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C5E4" w14:textId="7CE9DDCF" w:rsidR="007B027D" w:rsidRDefault="008E0125">
      <w:pPr>
        <w:pStyle w:val="a3"/>
        <w:pBdr>
          <w:bottom w:val="double" w:sz="6" w:space="1" w:color="auto"/>
        </w:pBdr>
        <w:spacing w:beforeAutospacing="0" w:afterAutospacing="0"/>
        <w:rPr>
          <w:sz w:val="2"/>
          <w:szCs w:val="2"/>
        </w:rPr>
      </w:pPr>
      <w:r>
        <w:rPr>
          <w:sz w:val="2"/>
          <w:szCs w:val="2"/>
        </w:rPr>
        <w:t xml:space="preserve"> </w:t>
      </w:r>
      <w:r>
        <w:rPr>
          <w:sz w:val="2"/>
          <w:szCs w:val="2"/>
        </w:rPr>
        <w:t> </w:t>
      </w:r>
    </w:p>
    <w:p w14:paraId="3973C5E5"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p w14:paraId="3973C5E6" w14:textId="77777777" w:rsidR="007B027D" w:rsidRDefault="008E0125">
      <w:pPr>
        <w:pStyle w:val="a3"/>
        <w:spacing w:beforeAutospacing="0" w:afterAutospacing="0"/>
        <w:jc w:val="center"/>
        <w:rPr>
          <w:rFonts w:ascii="Calibri" w:hAnsi="Calibri" w:cs="Calibri"/>
          <w:b/>
          <w:bCs/>
          <w:sz w:val="22"/>
          <w:szCs w:val="22"/>
        </w:rPr>
      </w:pPr>
      <w:r>
        <w:rPr>
          <w:rFonts w:ascii="Calibri" w:hAnsi="Calibri" w:cs="Calibri"/>
          <w:b/>
          <w:bCs/>
          <w:sz w:val="22"/>
          <w:szCs w:val="22"/>
        </w:rPr>
        <w:t>UNITED STATES</w:t>
      </w:r>
    </w:p>
    <w:p w14:paraId="3973C5E7" w14:textId="77777777" w:rsidR="007B027D" w:rsidRDefault="008E0125">
      <w:pPr>
        <w:pStyle w:val="a3"/>
        <w:spacing w:beforeAutospacing="0" w:afterAutospacing="0"/>
        <w:jc w:val="center"/>
        <w:rPr>
          <w:rFonts w:ascii="Calibri" w:hAnsi="Calibri" w:cs="Calibri"/>
          <w:b/>
          <w:bCs/>
          <w:sz w:val="22"/>
          <w:szCs w:val="22"/>
        </w:rPr>
      </w:pPr>
      <w:r>
        <w:rPr>
          <w:rFonts w:ascii="Calibri" w:hAnsi="Calibri" w:cs="Calibri"/>
          <w:b/>
          <w:bCs/>
          <w:sz w:val="22"/>
          <w:szCs w:val="22"/>
        </w:rPr>
        <w:t>SECURITIES AND EXCHANGE COMMISSION</w:t>
      </w:r>
    </w:p>
    <w:p w14:paraId="3973C5E8"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Washington, D.C. 20549</w:t>
      </w:r>
    </w:p>
    <w:p w14:paraId="3973C5E9" w14:textId="77777777" w:rsidR="007B027D" w:rsidRDefault="008E0125">
      <w:pPr>
        <w:pStyle w:val="a3"/>
        <w:pBdr>
          <w:bottom w:val="single" w:sz="6" w:space="1" w:color="auto"/>
        </w:pBdr>
        <w:spacing w:beforeAutospacing="0" w:afterAutospacing="0"/>
        <w:jc w:val="center"/>
        <w:rPr>
          <w:rFonts w:ascii="Times New Roman" w:hAnsi="Times New Roman"/>
          <w:sz w:val="6"/>
          <w:szCs w:val="6"/>
        </w:rPr>
      </w:pPr>
      <w:r>
        <w:rPr>
          <w:rFonts w:ascii="Times New Roman" w:hAnsi="Times New Roman"/>
          <w:sz w:val="6"/>
          <w:szCs w:val="6"/>
        </w:rPr>
        <w:t> </w:t>
      </w:r>
    </w:p>
    <w:p w14:paraId="3973C5EA" w14:textId="77777777" w:rsidR="007B027D" w:rsidRDefault="008E0125">
      <w:pPr>
        <w:pStyle w:val="a3"/>
        <w:spacing w:beforeAutospacing="0" w:afterAutospacing="0"/>
        <w:jc w:val="center"/>
        <w:rPr>
          <w:rFonts w:ascii="Calibri" w:hAnsi="Calibri" w:cs="Calibri"/>
          <w:b/>
          <w:bCs/>
          <w:sz w:val="28"/>
          <w:szCs w:val="28"/>
        </w:rPr>
      </w:pPr>
      <w:r>
        <w:rPr>
          <w:rFonts w:ascii="Calibri" w:hAnsi="Calibri" w:cs="Calibri"/>
          <w:b/>
          <w:bCs/>
          <w:sz w:val="28"/>
          <w:szCs w:val="28"/>
        </w:rPr>
        <w:t>FORM 10-K</w:t>
      </w:r>
    </w:p>
    <w:tbl>
      <w:tblPr>
        <w:tblW w:w="5000" w:type="pct"/>
        <w:tblCellMar>
          <w:left w:w="0" w:type="dxa"/>
          <w:right w:w="0" w:type="dxa"/>
        </w:tblCellMar>
        <w:tblLook w:val="04A0" w:firstRow="1" w:lastRow="0" w:firstColumn="1" w:lastColumn="0" w:noHBand="0" w:noVBand="1"/>
      </w:tblPr>
      <w:tblGrid>
        <w:gridCol w:w="1917"/>
        <w:gridCol w:w="435"/>
        <w:gridCol w:w="5954"/>
      </w:tblGrid>
      <w:tr w:rsidR="007B027D" w14:paraId="3973C5EE" w14:textId="77777777">
        <w:tc>
          <w:tcPr>
            <w:tcW w:w="1154" w:type="pct"/>
            <w:shd w:val="clear" w:color="auto" w:fill="auto"/>
            <w:noWrap/>
          </w:tcPr>
          <w:p w14:paraId="3973C5EB" w14:textId="77777777" w:rsidR="007B027D" w:rsidRDefault="008E0125">
            <w:pPr>
              <w:pStyle w:val="a3"/>
              <w:spacing w:beforeAutospacing="0" w:afterAutospacing="0"/>
              <w:rPr>
                <w:rFonts w:ascii="Calibri" w:hAnsi="Calibri" w:cs="Calibri"/>
                <w:b/>
                <w:bCs/>
                <w:sz w:val="18"/>
                <w:szCs w:val="18"/>
              </w:rPr>
            </w:pPr>
            <w:r>
              <w:rPr>
                <w:rFonts w:ascii="Calibri" w:hAnsi="Calibri" w:cs="Calibri"/>
                <w:b/>
                <w:bCs/>
                <w:sz w:val="18"/>
                <w:szCs w:val="18"/>
              </w:rPr>
              <w:t> </w:t>
            </w:r>
          </w:p>
        </w:tc>
        <w:tc>
          <w:tcPr>
            <w:tcW w:w="262" w:type="pct"/>
            <w:shd w:val="clear" w:color="auto" w:fill="auto"/>
            <w:noWrap/>
          </w:tcPr>
          <w:p w14:paraId="3973C5EC" w14:textId="77777777" w:rsidR="007B027D" w:rsidRDefault="008E0125">
            <w:pPr>
              <w:pStyle w:val="a3"/>
              <w:spacing w:beforeAutospacing="0" w:afterAutospacing="0"/>
              <w:rPr>
                <w:rFonts w:ascii="Segoe UI Symbol" w:eastAsia="Segoe UI Symbol" w:hAnsi="Segoe UI Symbol" w:cs="Segoe UI Symbol"/>
                <w:b/>
                <w:bCs/>
                <w:sz w:val="18"/>
                <w:szCs w:val="18"/>
              </w:rPr>
            </w:pPr>
            <w:r>
              <w:rPr>
                <w:rFonts w:ascii="Segoe UI Symbol" w:eastAsia="Segoe UI Symbol" w:hAnsi="Segoe UI Symbol" w:cs="Segoe UI Symbol"/>
                <w:b/>
                <w:bCs/>
                <w:sz w:val="18"/>
                <w:szCs w:val="18"/>
              </w:rPr>
              <w:t>☒</w:t>
            </w:r>
          </w:p>
        </w:tc>
        <w:tc>
          <w:tcPr>
            <w:tcW w:w="0" w:type="auto"/>
            <w:shd w:val="clear" w:color="auto" w:fill="auto"/>
          </w:tcPr>
          <w:p w14:paraId="3973C5ED" w14:textId="77777777" w:rsidR="007B027D" w:rsidRDefault="008E0125">
            <w:pPr>
              <w:pStyle w:val="a3"/>
              <w:spacing w:beforeAutospacing="0" w:afterAutospacing="0"/>
              <w:rPr>
                <w:rFonts w:ascii="Calibri" w:hAnsi="Calibri" w:cs="Calibri"/>
                <w:b/>
                <w:bCs/>
                <w:sz w:val="18"/>
                <w:szCs w:val="18"/>
              </w:rPr>
            </w:pPr>
            <w:r>
              <w:rPr>
                <w:rFonts w:ascii="Calibri" w:hAnsi="Calibri" w:cs="Calibri"/>
                <w:b/>
                <w:bCs/>
                <w:sz w:val="18"/>
                <w:szCs w:val="18"/>
              </w:rPr>
              <w:t>ANNUAL REPORT PURSUANT TO SECTION 13 OR 15(d) OF</w:t>
            </w:r>
          </w:p>
        </w:tc>
      </w:tr>
    </w:tbl>
    <w:p w14:paraId="3973C5EF" w14:textId="77777777" w:rsidR="007B027D" w:rsidRDefault="008E0125">
      <w:pPr>
        <w:pStyle w:val="a3"/>
        <w:spacing w:beforeAutospacing="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3973C5F0" w14:textId="77777777" w:rsidR="007B027D" w:rsidRDefault="008E012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fiscal year ended May 31, 2022</w:t>
      </w:r>
    </w:p>
    <w:p w14:paraId="3973C5F1" w14:textId="77777777" w:rsidR="007B027D" w:rsidRDefault="008E012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tbl>
      <w:tblPr>
        <w:tblW w:w="5000" w:type="pct"/>
        <w:tblCellMar>
          <w:left w:w="0" w:type="dxa"/>
          <w:right w:w="0" w:type="dxa"/>
        </w:tblCellMar>
        <w:tblLook w:val="04A0" w:firstRow="1" w:lastRow="0" w:firstColumn="1" w:lastColumn="0" w:noHBand="0" w:noVBand="1"/>
      </w:tblPr>
      <w:tblGrid>
        <w:gridCol w:w="1917"/>
        <w:gridCol w:w="435"/>
        <w:gridCol w:w="5954"/>
      </w:tblGrid>
      <w:tr w:rsidR="007B027D" w14:paraId="3973C5F5" w14:textId="77777777">
        <w:tc>
          <w:tcPr>
            <w:tcW w:w="1154" w:type="pct"/>
            <w:shd w:val="clear" w:color="auto" w:fill="auto"/>
            <w:noWrap/>
          </w:tcPr>
          <w:p w14:paraId="3973C5F2" w14:textId="77777777" w:rsidR="007B027D" w:rsidRDefault="008E0125">
            <w:pPr>
              <w:pStyle w:val="a3"/>
              <w:spacing w:before="60" w:beforeAutospacing="0" w:afterAutospacing="0"/>
              <w:rPr>
                <w:rFonts w:ascii="Calibri" w:hAnsi="Calibri" w:cs="Calibri"/>
                <w:b/>
                <w:bCs/>
                <w:sz w:val="18"/>
                <w:szCs w:val="18"/>
              </w:rPr>
            </w:pPr>
            <w:r>
              <w:rPr>
                <w:rFonts w:ascii="Calibri" w:hAnsi="Calibri" w:cs="Calibri"/>
                <w:b/>
                <w:bCs/>
                <w:sz w:val="18"/>
                <w:szCs w:val="18"/>
              </w:rPr>
              <w:t> </w:t>
            </w:r>
          </w:p>
        </w:tc>
        <w:tc>
          <w:tcPr>
            <w:tcW w:w="262" w:type="pct"/>
            <w:shd w:val="clear" w:color="auto" w:fill="auto"/>
            <w:noWrap/>
          </w:tcPr>
          <w:p w14:paraId="3973C5F3" w14:textId="77777777" w:rsidR="007B027D" w:rsidRDefault="008E0125">
            <w:pPr>
              <w:pStyle w:val="a3"/>
              <w:spacing w:before="60" w:beforeAutospacing="0" w:afterAutospacing="0"/>
              <w:rPr>
                <w:rFonts w:ascii="Segoe UI Symbol" w:eastAsia="Segoe UI Symbol" w:hAnsi="Segoe UI Symbol" w:cs="Segoe UI Symbol"/>
                <w:b/>
                <w:bCs/>
                <w:sz w:val="18"/>
                <w:szCs w:val="18"/>
              </w:rPr>
            </w:pPr>
            <w:r>
              <w:rPr>
                <w:rFonts w:ascii="Segoe UI Symbol" w:eastAsia="Segoe UI Symbol" w:hAnsi="Segoe UI Symbol" w:cs="Segoe UI Symbol"/>
                <w:b/>
                <w:bCs/>
                <w:sz w:val="18"/>
                <w:szCs w:val="18"/>
              </w:rPr>
              <w:t>☐</w:t>
            </w:r>
          </w:p>
        </w:tc>
        <w:tc>
          <w:tcPr>
            <w:tcW w:w="0" w:type="auto"/>
            <w:shd w:val="clear" w:color="auto" w:fill="auto"/>
          </w:tcPr>
          <w:p w14:paraId="3973C5F4" w14:textId="77777777" w:rsidR="007B027D" w:rsidRDefault="008E0125">
            <w:pPr>
              <w:pStyle w:val="a3"/>
              <w:spacing w:before="60" w:beforeAutospacing="0" w:afterAutospacing="0"/>
              <w:rPr>
                <w:rFonts w:ascii="Calibri" w:hAnsi="Calibri" w:cs="Calibri"/>
                <w:b/>
                <w:bCs/>
                <w:sz w:val="18"/>
                <w:szCs w:val="18"/>
              </w:rPr>
            </w:pPr>
            <w:r>
              <w:rPr>
                <w:rFonts w:ascii="Calibri" w:hAnsi="Calibri" w:cs="Calibri"/>
                <w:b/>
                <w:bCs/>
                <w:sz w:val="18"/>
                <w:szCs w:val="18"/>
              </w:rPr>
              <w:t xml:space="preserve">TRANSITION REPORT </w:t>
            </w:r>
            <w:r>
              <w:rPr>
                <w:rFonts w:ascii="Calibri" w:hAnsi="Calibri" w:cs="Calibri"/>
                <w:b/>
                <w:bCs/>
                <w:sz w:val="18"/>
                <w:szCs w:val="18"/>
              </w:rPr>
              <w:t>PURSUANT TO SECTION 13 OR 15(d) OF</w:t>
            </w:r>
          </w:p>
        </w:tc>
      </w:tr>
    </w:tbl>
    <w:p w14:paraId="3973C5F6" w14:textId="77777777" w:rsidR="007B027D" w:rsidRDefault="008E0125">
      <w:pPr>
        <w:pStyle w:val="a3"/>
        <w:spacing w:beforeAutospacing="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3973C5F7" w14:textId="77777777" w:rsidR="007B027D" w:rsidRDefault="008E012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 xml:space="preserve">For the transition period from </w:t>
      </w:r>
      <w:r>
        <w:rPr>
          <w:rFonts w:ascii="Calibri" w:hAnsi="Calibri" w:cs="Calibri"/>
          <w:b/>
          <w:bCs/>
          <w:sz w:val="18"/>
          <w:szCs w:val="18"/>
          <w:u w:val="single"/>
        </w:rPr>
        <w:t>       </w:t>
      </w:r>
      <w:r>
        <w:rPr>
          <w:rFonts w:ascii="Calibri" w:hAnsi="Calibri" w:cs="Calibri"/>
          <w:b/>
          <w:bCs/>
          <w:sz w:val="18"/>
          <w:szCs w:val="18"/>
        </w:rPr>
        <w:t xml:space="preserve"> to </w:t>
      </w:r>
      <w:r>
        <w:rPr>
          <w:rFonts w:ascii="Calibri" w:hAnsi="Calibri" w:cs="Calibri"/>
          <w:b/>
          <w:bCs/>
          <w:sz w:val="18"/>
          <w:szCs w:val="18"/>
          <w:u w:val="single"/>
        </w:rPr>
        <w:t>       </w:t>
      </w:r>
    </w:p>
    <w:p w14:paraId="3973C5F8" w14:textId="77777777" w:rsidR="007B027D" w:rsidRDefault="008E012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3973C5F9" w14:textId="77777777" w:rsidR="007B027D" w:rsidRDefault="008E0125">
      <w:pPr>
        <w:pStyle w:val="a3"/>
        <w:pBdr>
          <w:bottom w:val="single" w:sz="6" w:space="1" w:color="auto"/>
        </w:pBdr>
        <w:spacing w:beforeAutospacing="0" w:afterAutospacing="0"/>
        <w:jc w:val="center"/>
        <w:rPr>
          <w:rFonts w:ascii="Times New Roman" w:hAnsi="Times New Roman"/>
          <w:sz w:val="4"/>
          <w:szCs w:val="4"/>
        </w:rPr>
      </w:pPr>
      <w:r>
        <w:rPr>
          <w:rFonts w:ascii="Times New Roman" w:hAnsi="Times New Roman"/>
          <w:sz w:val="4"/>
          <w:szCs w:val="4"/>
        </w:rPr>
        <w:t> </w:t>
      </w:r>
    </w:p>
    <w:p w14:paraId="3973C5FA" w14:textId="77777777" w:rsidR="007B027D" w:rsidRDefault="008E0125">
      <w:pPr>
        <w:pStyle w:val="a3"/>
        <w:spacing w:beforeAutospacing="0" w:afterAutospacing="0"/>
        <w:jc w:val="center"/>
        <w:rPr>
          <w:rFonts w:ascii="Calibri" w:hAnsi="Calibri" w:cs="Calibri"/>
          <w:b/>
          <w:bCs/>
          <w:sz w:val="38"/>
          <w:szCs w:val="38"/>
        </w:rPr>
      </w:pPr>
      <w:r>
        <w:rPr>
          <w:rFonts w:ascii="Calibri" w:hAnsi="Calibri" w:cs="Calibri"/>
          <w:b/>
          <w:bCs/>
          <w:sz w:val="38"/>
          <w:szCs w:val="38"/>
        </w:rPr>
        <w:t>Oracle Corporation</w:t>
      </w:r>
    </w:p>
    <w:p w14:paraId="3973C5FB" w14:textId="77777777" w:rsidR="007B027D" w:rsidRDefault="008E0125">
      <w:pPr>
        <w:pStyle w:val="a3"/>
        <w:spacing w:beforeAutospacing="0" w:afterAutospacing="0"/>
        <w:jc w:val="center"/>
        <w:rPr>
          <w:rFonts w:ascii="Calibri" w:hAnsi="Calibri" w:cs="Calibri"/>
          <w:b/>
          <w:bCs/>
          <w:sz w:val="12"/>
          <w:szCs w:val="12"/>
        </w:rPr>
      </w:pPr>
      <w:r>
        <w:rPr>
          <w:rFonts w:ascii="Calibri" w:hAnsi="Calibri" w:cs="Calibri"/>
          <w:b/>
          <w:bCs/>
          <w:sz w:val="12"/>
          <w:szCs w:val="12"/>
        </w:rPr>
        <w:t>(Exact name of registrant as specified in its charter)</w:t>
      </w:r>
    </w:p>
    <w:p w14:paraId="3973C5FC" w14:textId="77777777" w:rsidR="007B027D" w:rsidRDefault="008E0125">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4153"/>
        <w:gridCol w:w="4153"/>
      </w:tblGrid>
      <w:tr w:rsidR="007B027D" w14:paraId="3973C5FF" w14:textId="77777777">
        <w:tc>
          <w:tcPr>
            <w:tcW w:w="2500" w:type="pct"/>
            <w:shd w:val="clear" w:color="auto" w:fill="auto"/>
            <w:vAlign w:val="bottom"/>
          </w:tcPr>
          <w:p w14:paraId="3973C5FD"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Delaware</w:t>
            </w:r>
          </w:p>
        </w:tc>
        <w:tc>
          <w:tcPr>
            <w:tcW w:w="2500" w:type="pct"/>
            <w:shd w:val="clear" w:color="auto" w:fill="auto"/>
            <w:vAlign w:val="bottom"/>
          </w:tcPr>
          <w:p w14:paraId="3973C5FE"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54-2185193</w:t>
            </w:r>
          </w:p>
        </w:tc>
      </w:tr>
      <w:tr w:rsidR="007B027D" w14:paraId="3973C604" w14:textId="77777777">
        <w:tc>
          <w:tcPr>
            <w:tcW w:w="2500" w:type="pct"/>
            <w:shd w:val="clear" w:color="auto" w:fill="auto"/>
            <w:vAlign w:val="bottom"/>
          </w:tcPr>
          <w:p w14:paraId="3973C600"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(State or other jurisdiction of</w:t>
            </w:r>
          </w:p>
          <w:p w14:paraId="3973C601"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incorporation or organization)</w:t>
            </w:r>
          </w:p>
        </w:tc>
        <w:tc>
          <w:tcPr>
            <w:tcW w:w="2500" w:type="pct"/>
            <w:shd w:val="clear" w:color="auto" w:fill="auto"/>
            <w:vAlign w:val="bottom"/>
          </w:tcPr>
          <w:p w14:paraId="3973C602"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(I.R.S. Employer</w:t>
            </w:r>
          </w:p>
          <w:p w14:paraId="3973C603"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Identification No.)</w:t>
            </w:r>
          </w:p>
        </w:tc>
      </w:tr>
      <w:tr w:rsidR="007B027D" w14:paraId="3973C607" w14:textId="77777777">
        <w:tc>
          <w:tcPr>
            <w:tcW w:w="2500" w:type="pct"/>
            <w:shd w:val="clear" w:color="auto" w:fill="auto"/>
            <w:vAlign w:val="bottom"/>
          </w:tcPr>
          <w:p w14:paraId="3973C605" w14:textId="77777777" w:rsidR="007B027D" w:rsidRDefault="008E0125">
            <w:pPr>
              <w:pStyle w:val="a3"/>
              <w:spacing w:beforeAutospacing="0" w:afterAutospacing="0"/>
              <w:jc w:val="center"/>
              <w:rPr>
                <w:rFonts w:ascii="Times New Roman" w:hAnsi="Times New Roman"/>
                <w:b/>
                <w:bCs/>
                <w:sz w:val="4"/>
                <w:szCs w:val="4"/>
              </w:rPr>
            </w:pPr>
            <w:r>
              <w:rPr>
                <w:rFonts w:ascii="Times New Roman" w:hAnsi="Times New Roman"/>
                <w:b/>
                <w:bCs/>
                <w:sz w:val="4"/>
                <w:szCs w:val="4"/>
              </w:rPr>
              <w:t> </w:t>
            </w:r>
          </w:p>
        </w:tc>
        <w:tc>
          <w:tcPr>
            <w:tcW w:w="2500" w:type="pct"/>
            <w:shd w:val="clear" w:color="auto" w:fill="auto"/>
            <w:vAlign w:val="bottom"/>
          </w:tcPr>
          <w:p w14:paraId="3973C606" w14:textId="77777777" w:rsidR="007B027D" w:rsidRDefault="008E0125">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r>
      <w:tr w:rsidR="007B027D" w14:paraId="3973C60A" w14:textId="77777777">
        <w:trPr>
          <w:trHeight w:val="99"/>
        </w:trPr>
        <w:tc>
          <w:tcPr>
            <w:tcW w:w="2500" w:type="pct"/>
            <w:shd w:val="clear" w:color="auto" w:fill="auto"/>
            <w:vAlign w:val="bottom"/>
          </w:tcPr>
          <w:p w14:paraId="3973C608"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2300 Oracle Way</w:t>
            </w:r>
          </w:p>
        </w:tc>
        <w:tc>
          <w:tcPr>
            <w:tcW w:w="2500" w:type="pct"/>
            <w:shd w:val="clear" w:color="auto" w:fill="auto"/>
            <w:vAlign w:val="bottom"/>
          </w:tcPr>
          <w:p w14:paraId="3973C609" w14:textId="77777777" w:rsidR="007B027D" w:rsidRDefault="008E012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r>
      <w:tr w:rsidR="007B027D" w14:paraId="3973C60F" w14:textId="77777777">
        <w:tc>
          <w:tcPr>
            <w:tcW w:w="2500" w:type="pct"/>
            <w:shd w:val="clear" w:color="auto" w:fill="auto"/>
            <w:vAlign w:val="bottom"/>
          </w:tcPr>
          <w:p w14:paraId="3973C60B"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Austin, Texas</w:t>
            </w:r>
          </w:p>
          <w:p w14:paraId="3973C60C"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(Address of principal executive offices)</w:t>
            </w:r>
          </w:p>
        </w:tc>
        <w:tc>
          <w:tcPr>
            <w:tcW w:w="2500" w:type="pct"/>
            <w:shd w:val="clear" w:color="auto" w:fill="auto"/>
            <w:vAlign w:val="bottom"/>
          </w:tcPr>
          <w:p w14:paraId="3973C60D"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78741</w:t>
            </w:r>
          </w:p>
          <w:p w14:paraId="3973C60E"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(Zip Code)</w:t>
            </w:r>
          </w:p>
        </w:tc>
      </w:tr>
    </w:tbl>
    <w:p w14:paraId="3973C610"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(737) 867-1000</w:t>
      </w:r>
    </w:p>
    <w:p w14:paraId="3973C611" w14:textId="77777777" w:rsidR="007B027D" w:rsidRDefault="008E0125">
      <w:pPr>
        <w:pStyle w:val="a3"/>
        <w:spacing w:beforeAutospacing="0" w:afterAutospacing="0"/>
        <w:jc w:val="center"/>
        <w:rPr>
          <w:rFonts w:ascii="Calibri" w:hAnsi="Calibri" w:cs="Calibri"/>
          <w:b/>
          <w:bCs/>
          <w:sz w:val="14"/>
          <w:szCs w:val="14"/>
        </w:rPr>
      </w:pPr>
      <w:r>
        <w:rPr>
          <w:rFonts w:ascii="Calibri" w:hAnsi="Calibri" w:cs="Calibri"/>
          <w:b/>
          <w:bCs/>
          <w:sz w:val="14"/>
          <w:szCs w:val="14"/>
        </w:rPr>
        <w:t xml:space="preserve">(Registrant’s </w:t>
      </w:r>
      <w:r>
        <w:rPr>
          <w:rFonts w:ascii="Calibri" w:hAnsi="Calibri" w:cs="Calibri"/>
          <w:b/>
          <w:bCs/>
          <w:sz w:val="14"/>
          <w:szCs w:val="14"/>
        </w:rPr>
        <w:t>telephone number, including area code)</w:t>
      </w:r>
    </w:p>
    <w:p w14:paraId="3973C612" w14:textId="77777777" w:rsidR="007B027D" w:rsidRDefault="008E0125">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3973C613" w14:textId="77777777" w:rsidR="007B027D" w:rsidRDefault="008E0125">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7B027D" w14:paraId="3973C617" w14:textId="77777777">
        <w:tc>
          <w:tcPr>
            <w:tcW w:w="1667" w:type="pct"/>
            <w:shd w:val="clear" w:color="auto" w:fill="auto"/>
            <w:vAlign w:val="bottom"/>
          </w:tcPr>
          <w:p w14:paraId="3973C614"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667" w:type="pct"/>
            <w:shd w:val="clear" w:color="auto" w:fill="auto"/>
          </w:tcPr>
          <w:p w14:paraId="3973C615"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666" w:type="pct"/>
            <w:shd w:val="clear" w:color="auto" w:fill="auto"/>
          </w:tcPr>
          <w:p w14:paraId="3973C616"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7B027D" w14:paraId="3973C61E" w14:textId="77777777">
        <w:tc>
          <w:tcPr>
            <w:tcW w:w="1667" w:type="pct"/>
            <w:shd w:val="clear" w:color="auto" w:fill="auto"/>
          </w:tcPr>
          <w:p w14:paraId="3973C618" w14:textId="77777777" w:rsidR="007B027D" w:rsidRDefault="008E0125">
            <w:pPr>
              <w:pStyle w:val="a3"/>
              <w:spacing w:beforeAutospacing="0" w:afterAutospacing="0"/>
              <w:jc w:val="center"/>
              <w:rPr>
                <w:rFonts w:ascii="Calibri" w:hAnsi="Calibri" w:cs="Calibri"/>
                <w:sz w:val="14"/>
                <w:szCs w:val="14"/>
              </w:rPr>
            </w:pPr>
            <w:r>
              <w:rPr>
                <w:rFonts w:ascii="Calibri" w:hAnsi="Calibri" w:cs="Calibri"/>
                <w:sz w:val="14"/>
                <w:szCs w:val="14"/>
              </w:rPr>
              <w:t>Common Stock, par value $0.01 per share</w:t>
            </w:r>
          </w:p>
          <w:p w14:paraId="3973C619" w14:textId="77777777" w:rsidR="007B027D" w:rsidRDefault="008E0125">
            <w:pPr>
              <w:pStyle w:val="a3"/>
              <w:spacing w:beforeAutospacing="0" w:afterAutospacing="0"/>
              <w:jc w:val="center"/>
              <w:rPr>
                <w:rFonts w:ascii="Calibri" w:hAnsi="Calibri" w:cs="Calibri"/>
                <w:sz w:val="14"/>
                <w:szCs w:val="14"/>
              </w:rPr>
            </w:pPr>
            <w:r>
              <w:rPr>
                <w:rFonts w:ascii="Calibri" w:hAnsi="Calibri" w:cs="Calibri"/>
                <w:sz w:val="14"/>
                <w:szCs w:val="14"/>
              </w:rPr>
              <w:t xml:space="preserve">3.125% senior notes due July </w:t>
            </w:r>
            <w:r>
              <w:rPr>
                <w:rFonts w:ascii="Calibri" w:hAnsi="Calibri" w:cs="Calibri"/>
                <w:sz w:val="14"/>
                <w:szCs w:val="14"/>
              </w:rPr>
              <w:t>2025</w:t>
            </w:r>
          </w:p>
        </w:tc>
        <w:tc>
          <w:tcPr>
            <w:tcW w:w="1667" w:type="pct"/>
            <w:shd w:val="clear" w:color="auto" w:fill="auto"/>
          </w:tcPr>
          <w:p w14:paraId="3973C61A" w14:textId="77777777" w:rsidR="007B027D" w:rsidRDefault="008E0125">
            <w:pPr>
              <w:pStyle w:val="a3"/>
              <w:spacing w:beforeAutospacing="0" w:afterAutospacing="0"/>
              <w:jc w:val="center"/>
              <w:rPr>
                <w:rFonts w:ascii="Calibri" w:hAnsi="Calibri" w:cs="Calibri"/>
                <w:sz w:val="14"/>
                <w:szCs w:val="14"/>
              </w:rPr>
            </w:pPr>
            <w:r>
              <w:rPr>
                <w:rFonts w:ascii="Calibri" w:hAnsi="Calibri" w:cs="Calibri"/>
                <w:sz w:val="14"/>
                <w:szCs w:val="14"/>
              </w:rPr>
              <w:t>ORCL</w:t>
            </w:r>
          </w:p>
          <w:p w14:paraId="3973C61B" w14:textId="77777777" w:rsidR="007B027D" w:rsidRDefault="008E0125">
            <w:pPr>
              <w:pStyle w:val="a3"/>
              <w:spacing w:beforeAutospacing="0" w:afterAutospacing="0"/>
              <w:jc w:val="center"/>
              <w:rPr>
                <w:rFonts w:ascii="Calibri" w:hAnsi="Calibri" w:cs="Calibri"/>
                <w:color w:val="212529"/>
                <w:sz w:val="15"/>
                <w:szCs w:val="15"/>
              </w:rPr>
            </w:pPr>
            <w:r>
              <w:rPr>
                <w:rFonts w:ascii="Calibri" w:hAnsi="Calibri" w:cs="Calibri"/>
                <w:color w:val="212529"/>
                <w:sz w:val="15"/>
                <w:szCs w:val="15"/>
              </w:rPr>
              <w:t>—</w:t>
            </w:r>
          </w:p>
        </w:tc>
        <w:tc>
          <w:tcPr>
            <w:tcW w:w="1666" w:type="pct"/>
            <w:shd w:val="clear" w:color="auto" w:fill="auto"/>
          </w:tcPr>
          <w:p w14:paraId="3973C61C" w14:textId="77777777" w:rsidR="007B027D" w:rsidRDefault="008E0125">
            <w:pPr>
              <w:pStyle w:val="a3"/>
              <w:spacing w:beforeAutospacing="0" w:afterAutospacing="0"/>
              <w:jc w:val="center"/>
              <w:rPr>
                <w:rFonts w:ascii="Calibri" w:hAnsi="Calibri" w:cs="Calibri"/>
                <w:sz w:val="14"/>
                <w:szCs w:val="14"/>
              </w:rPr>
            </w:pPr>
            <w:r>
              <w:rPr>
                <w:rFonts w:ascii="Calibri" w:hAnsi="Calibri" w:cs="Calibri"/>
                <w:sz w:val="14"/>
                <w:szCs w:val="14"/>
              </w:rPr>
              <w:t>New York Stock Exchange</w:t>
            </w:r>
          </w:p>
          <w:p w14:paraId="3973C61D" w14:textId="77777777" w:rsidR="007B027D" w:rsidRDefault="008E0125">
            <w:pPr>
              <w:pStyle w:val="a3"/>
              <w:spacing w:beforeAutospacing="0" w:afterAutospacing="0"/>
              <w:jc w:val="center"/>
              <w:rPr>
                <w:rFonts w:ascii="Calibri" w:hAnsi="Calibri" w:cs="Calibri"/>
                <w:sz w:val="14"/>
                <w:szCs w:val="14"/>
              </w:rPr>
            </w:pPr>
            <w:r>
              <w:rPr>
                <w:rFonts w:ascii="Calibri" w:hAnsi="Calibri" w:cs="Calibri"/>
                <w:sz w:val="14"/>
                <w:szCs w:val="14"/>
              </w:rPr>
              <w:t>New York Stock Exchange</w:t>
            </w:r>
          </w:p>
        </w:tc>
      </w:tr>
    </w:tbl>
    <w:p w14:paraId="3973C61F" w14:textId="77777777" w:rsidR="007B027D" w:rsidRDefault="008E0125">
      <w:pPr>
        <w:pStyle w:val="a3"/>
        <w:spacing w:beforeAutospacing="0" w:afterAutospacing="0"/>
        <w:rPr>
          <w:rFonts w:ascii="Times New Roman" w:hAnsi="Times New Roman"/>
          <w:sz w:val="4"/>
          <w:szCs w:val="4"/>
        </w:rPr>
      </w:pPr>
      <w:r>
        <w:rPr>
          <w:rFonts w:ascii="Times New Roman" w:hAnsi="Times New Roman"/>
          <w:sz w:val="4"/>
          <w:szCs w:val="4"/>
        </w:rPr>
        <w:t> </w:t>
      </w:r>
    </w:p>
    <w:p w14:paraId="3973C620"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12(g) of the Act:</w:t>
      </w:r>
    </w:p>
    <w:p w14:paraId="3973C621" w14:textId="77777777" w:rsidR="007B027D" w:rsidRDefault="008E0125">
      <w:pPr>
        <w:pStyle w:val="a3"/>
        <w:spacing w:beforeAutospacing="0" w:afterAutospacing="0"/>
        <w:jc w:val="center"/>
        <w:rPr>
          <w:rFonts w:ascii="Calibri" w:hAnsi="Calibri" w:cs="Calibri"/>
          <w:sz w:val="15"/>
          <w:szCs w:val="15"/>
        </w:rPr>
      </w:pPr>
      <w:r>
        <w:rPr>
          <w:rFonts w:ascii="Calibri" w:hAnsi="Calibri" w:cs="Calibri"/>
          <w:sz w:val="15"/>
          <w:szCs w:val="15"/>
        </w:rPr>
        <w:t>None</w:t>
      </w:r>
    </w:p>
    <w:p w14:paraId="3973C622"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Indicate by check mark if the registrant is a well-known seasoned issuer, as defined in Rule 405 of the Securities </w:t>
      </w:r>
      <w:r>
        <w:rPr>
          <w:rFonts w:ascii="Calibri" w:hAnsi="Calibri" w:cs="Calibri"/>
          <w:sz w:val="15"/>
          <w:szCs w:val="15"/>
        </w:rPr>
        <w:t>Act.    </w:t>
      </w:r>
      <w:r>
        <w:rPr>
          <w:rFonts w:ascii="Calibri" w:hAnsi="Calibri" w:cs="Calibri"/>
          <w:caps/>
          <w:sz w:val="15"/>
          <w:szCs w:val="15"/>
        </w:rPr>
        <w:t>Yes</w:t>
      </w:r>
      <w:r>
        <w:rPr>
          <w:rFonts w:ascii="Calibri" w:hAnsi="Calibri" w:cs="Calibri"/>
          <w:sz w:val="15"/>
          <w:szCs w:val="15"/>
        </w:rPr>
        <w:t>  </w:t>
      </w:r>
      <w:r>
        <w:rPr>
          <w:rFonts w:ascii="Segoe UI Symbol" w:eastAsia="Segoe UI Symbol" w:hAnsi="Segoe UI Symbol" w:cs="Segoe UI Symbol"/>
          <w:sz w:val="15"/>
          <w:szCs w:val="15"/>
        </w:rPr>
        <w:t>☒</w:t>
      </w:r>
      <w:r>
        <w:rPr>
          <w:rFonts w:ascii="Calibri" w:hAnsi="Calibri" w:cs="Calibri"/>
          <w:sz w:val="15"/>
          <w:szCs w:val="15"/>
        </w:rPr>
        <w:t>    </w:t>
      </w:r>
      <w:r>
        <w:rPr>
          <w:rFonts w:ascii="Calibri" w:hAnsi="Calibri" w:cs="Calibri"/>
          <w:caps/>
          <w:sz w:val="15"/>
          <w:szCs w:val="15"/>
        </w:rPr>
        <w:t>No</w:t>
      </w:r>
      <w:r>
        <w:rPr>
          <w:rFonts w:ascii="Calibri" w:hAnsi="Calibri" w:cs="Calibri"/>
          <w:sz w:val="15"/>
          <w:szCs w:val="15"/>
        </w:rPr>
        <w:t>  </w:t>
      </w:r>
      <w:r>
        <w:rPr>
          <w:rFonts w:ascii="Segoe UI Symbol" w:eastAsia="Segoe UI Symbol" w:hAnsi="Segoe UI Symbol" w:cs="Segoe UI Symbol"/>
          <w:sz w:val="15"/>
          <w:szCs w:val="15"/>
        </w:rPr>
        <w:t>☐</w:t>
      </w:r>
    </w:p>
    <w:p w14:paraId="3973C623"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Indicate by check mark if the registrant is not required to file reports pursuant to Section 13 or Section 15(d) of the Act.    </w:t>
      </w:r>
      <w:r>
        <w:rPr>
          <w:rFonts w:ascii="Calibri" w:hAnsi="Calibri" w:cs="Calibri"/>
          <w:caps/>
          <w:sz w:val="15"/>
          <w:szCs w:val="15"/>
        </w:rPr>
        <w:t>Yes</w:t>
      </w:r>
      <w:r>
        <w:rPr>
          <w:rFonts w:ascii="Calibri" w:hAnsi="Calibri" w:cs="Calibri"/>
          <w:sz w:val="15"/>
          <w:szCs w:val="15"/>
        </w:rPr>
        <w:t xml:space="preserve"> </w:t>
      </w:r>
      <w:r>
        <w:rPr>
          <w:rFonts w:ascii="Segoe UI Symbol" w:eastAsia="Segoe UI Symbol" w:hAnsi="Segoe UI Symbol" w:cs="Segoe UI Symbol"/>
          <w:sz w:val="15"/>
          <w:szCs w:val="15"/>
        </w:rPr>
        <w:t>☐</w:t>
      </w:r>
      <w:r>
        <w:rPr>
          <w:rFonts w:ascii="Calibri" w:hAnsi="Calibri" w:cs="Calibri"/>
          <w:sz w:val="15"/>
          <w:szCs w:val="15"/>
        </w:rPr>
        <w:t>    </w:t>
      </w:r>
      <w:r>
        <w:rPr>
          <w:rFonts w:ascii="Calibri" w:hAnsi="Calibri" w:cs="Calibri"/>
          <w:caps/>
          <w:sz w:val="15"/>
          <w:szCs w:val="15"/>
        </w:rPr>
        <w:t>No</w:t>
      </w:r>
      <w:r>
        <w:rPr>
          <w:rFonts w:ascii="Calibri" w:hAnsi="Calibri" w:cs="Calibri"/>
          <w:sz w:val="15"/>
          <w:szCs w:val="15"/>
        </w:rPr>
        <w:t>  </w:t>
      </w:r>
      <w:r>
        <w:rPr>
          <w:rFonts w:ascii="Segoe UI Symbol" w:eastAsia="Segoe UI Symbol" w:hAnsi="Segoe UI Symbol" w:cs="Segoe UI Symbol"/>
          <w:sz w:val="15"/>
          <w:szCs w:val="15"/>
        </w:rPr>
        <w:t>☒</w:t>
      </w:r>
    </w:p>
    <w:p w14:paraId="3973C624"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Indicate by check mark whether the registrant (1) has filed all reports required to be </w:t>
      </w:r>
      <w:r>
        <w:rPr>
          <w:rFonts w:ascii="Calibri" w:hAnsi="Calibri" w:cs="Calibri"/>
          <w:sz w:val="15"/>
          <w:szCs w:val="15"/>
        </w:rPr>
        <w:t>filed by Section 13 or 15(d) of the Securities Exchange Act of 1934 during the preceding 12 months (or for such shorter period that the registrant was required to file such reports), and (2) has been subject to such filing requirements for the past 90 days</w:t>
      </w:r>
      <w:r>
        <w:rPr>
          <w:rFonts w:ascii="Calibri" w:hAnsi="Calibri" w:cs="Calibri"/>
          <w:sz w:val="15"/>
          <w:szCs w:val="15"/>
        </w:rPr>
        <w:t>.    </w:t>
      </w:r>
      <w:r>
        <w:rPr>
          <w:rFonts w:ascii="Calibri" w:hAnsi="Calibri" w:cs="Calibri"/>
          <w:caps/>
          <w:sz w:val="15"/>
          <w:szCs w:val="15"/>
        </w:rPr>
        <w:t>Yes</w:t>
      </w:r>
      <w:r>
        <w:rPr>
          <w:rFonts w:ascii="Calibri" w:hAnsi="Calibri" w:cs="Calibri"/>
          <w:sz w:val="15"/>
          <w:szCs w:val="15"/>
        </w:rPr>
        <w:t>  </w:t>
      </w:r>
      <w:r>
        <w:rPr>
          <w:rFonts w:ascii="Segoe UI Symbol" w:eastAsia="Segoe UI Symbol" w:hAnsi="Segoe UI Symbol" w:cs="Segoe UI Symbol"/>
          <w:sz w:val="15"/>
          <w:szCs w:val="15"/>
        </w:rPr>
        <w:t>☒</w:t>
      </w:r>
      <w:r>
        <w:rPr>
          <w:rFonts w:ascii="Calibri" w:hAnsi="Calibri" w:cs="Calibri"/>
          <w:sz w:val="15"/>
          <w:szCs w:val="15"/>
        </w:rPr>
        <w:t>    </w:t>
      </w:r>
      <w:r>
        <w:rPr>
          <w:rFonts w:ascii="Calibri" w:hAnsi="Calibri" w:cs="Calibri"/>
          <w:caps/>
          <w:sz w:val="15"/>
          <w:szCs w:val="15"/>
        </w:rPr>
        <w:t>No</w:t>
      </w:r>
      <w:r>
        <w:rPr>
          <w:rFonts w:ascii="Calibri" w:hAnsi="Calibri" w:cs="Calibri"/>
          <w:sz w:val="15"/>
          <w:szCs w:val="15"/>
        </w:rPr>
        <w:t>  </w:t>
      </w:r>
      <w:r>
        <w:rPr>
          <w:rFonts w:ascii="Segoe UI Symbol" w:eastAsia="Segoe UI Symbol" w:hAnsi="Segoe UI Symbol" w:cs="Segoe UI Symbol"/>
          <w:sz w:val="15"/>
          <w:szCs w:val="15"/>
        </w:rPr>
        <w:t>☐</w:t>
      </w:r>
    </w:p>
    <w:p w14:paraId="3973C625"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Indicate by check mark whether the registrant has submitted electronically every Interactive Data File required to be submitted pursuant to Rule 405 of Regulation S-T (§232.405 of this chapter) during the preceding 12 months (or for su</w:t>
      </w:r>
      <w:r>
        <w:rPr>
          <w:rFonts w:ascii="Calibri" w:hAnsi="Calibri" w:cs="Calibri"/>
          <w:sz w:val="15"/>
          <w:szCs w:val="15"/>
        </w:rPr>
        <w:t>ch shorter period that the registrant was required to submit such files).    </w:t>
      </w:r>
      <w:r>
        <w:rPr>
          <w:rFonts w:ascii="Calibri" w:hAnsi="Calibri" w:cs="Calibri"/>
          <w:caps/>
          <w:sz w:val="15"/>
          <w:szCs w:val="15"/>
        </w:rPr>
        <w:t>Yes</w:t>
      </w:r>
      <w:r>
        <w:rPr>
          <w:rFonts w:ascii="Calibri" w:hAnsi="Calibri" w:cs="Calibri"/>
          <w:sz w:val="15"/>
          <w:szCs w:val="15"/>
        </w:rPr>
        <w:t>  </w:t>
      </w:r>
      <w:r>
        <w:rPr>
          <w:rFonts w:ascii="Segoe UI Symbol" w:eastAsia="Segoe UI Symbol" w:hAnsi="Segoe UI Symbol" w:cs="Segoe UI Symbol"/>
          <w:sz w:val="15"/>
          <w:szCs w:val="15"/>
        </w:rPr>
        <w:t>☒</w:t>
      </w:r>
      <w:r>
        <w:rPr>
          <w:rFonts w:ascii="Calibri" w:hAnsi="Calibri" w:cs="Calibri"/>
          <w:sz w:val="15"/>
          <w:szCs w:val="15"/>
        </w:rPr>
        <w:t>    </w:t>
      </w:r>
      <w:r>
        <w:rPr>
          <w:rFonts w:ascii="Calibri" w:hAnsi="Calibri" w:cs="Calibri"/>
          <w:caps/>
          <w:sz w:val="15"/>
          <w:szCs w:val="15"/>
        </w:rPr>
        <w:t>No</w:t>
      </w:r>
      <w:r>
        <w:rPr>
          <w:rFonts w:ascii="Calibri" w:hAnsi="Calibri" w:cs="Calibri"/>
          <w:sz w:val="15"/>
          <w:szCs w:val="15"/>
        </w:rPr>
        <w:t>  </w:t>
      </w:r>
      <w:r>
        <w:rPr>
          <w:rFonts w:ascii="Segoe UI Symbol" w:eastAsia="Segoe UI Symbol" w:hAnsi="Segoe UI Symbol" w:cs="Segoe UI Symbol"/>
          <w:sz w:val="15"/>
          <w:szCs w:val="15"/>
        </w:rPr>
        <w:t>☐</w:t>
      </w:r>
    </w:p>
    <w:p w14:paraId="3973C626"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Indicate by check mark whether the registrant is a large accelerated filer, an accelerated filer, a non-accelerated filer, a smaller reporting company or an emergi</w:t>
      </w:r>
      <w:r>
        <w:rPr>
          <w:rFonts w:ascii="Calibri" w:hAnsi="Calibri" w:cs="Calibri"/>
          <w:sz w:val="15"/>
          <w:szCs w:val="15"/>
        </w:rPr>
        <w:t>ng growth company. See the definitions of “large accelerated filer,” “accelerated filer,” “smaller reporting company” and “emerging growth company” in Rule 12b-2 of the Exchange Act.</w:t>
      </w:r>
    </w:p>
    <w:p w14:paraId="3973C627"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1677"/>
        <w:gridCol w:w="1358"/>
        <w:gridCol w:w="1597"/>
        <w:gridCol w:w="1918"/>
        <w:gridCol w:w="1756"/>
      </w:tblGrid>
      <w:tr w:rsidR="007B027D" w14:paraId="3973C62D" w14:textId="77777777">
        <w:tc>
          <w:tcPr>
            <w:tcW w:w="1009" w:type="pct"/>
            <w:shd w:val="clear" w:color="auto" w:fill="auto"/>
            <w:vAlign w:val="center"/>
          </w:tcPr>
          <w:p w14:paraId="3973C628" w14:textId="77777777" w:rsidR="007B027D" w:rsidRDefault="007B027D">
            <w:pPr>
              <w:rPr>
                <w:rFonts w:ascii="宋体"/>
              </w:rPr>
            </w:pPr>
          </w:p>
        </w:tc>
        <w:tc>
          <w:tcPr>
            <w:tcW w:w="817" w:type="pct"/>
            <w:shd w:val="clear" w:color="auto" w:fill="auto"/>
            <w:vAlign w:val="center"/>
          </w:tcPr>
          <w:p w14:paraId="3973C629" w14:textId="77777777" w:rsidR="007B027D" w:rsidRDefault="007B027D">
            <w:pPr>
              <w:rPr>
                <w:rFonts w:ascii="宋体"/>
              </w:rPr>
            </w:pPr>
          </w:p>
        </w:tc>
        <w:tc>
          <w:tcPr>
            <w:tcW w:w="961" w:type="pct"/>
            <w:shd w:val="clear" w:color="auto" w:fill="auto"/>
            <w:vAlign w:val="center"/>
          </w:tcPr>
          <w:p w14:paraId="3973C62A" w14:textId="77777777" w:rsidR="007B027D" w:rsidRDefault="007B027D">
            <w:pPr>
              <w:rPr>
                <w:rFonts w:ascii="宋体"/>
              </w:rPr>
            </w:pPr>
          </w:p>
        </w:tc>
        <w:tc>
          <w:tcPr>
            <w:tcW w:w="1154" w:type="pct"/>
            <w:shd w:val="clear" w:color="auto" w:fill="auto"/>
            <w:vAlign w:val="center"/>
          </w:tcPr>
          <w:p w14:paraId="3973C62B" w14:textId="77777777" w:rsidR="007B027D" w:rsidRDefault="007B027D">
            <w:pPr>
              <w:rPr>
                <w:rFonts w:ascii="宋体"/>
              </w:rPr>
            </w:pPr>
          </w:p>
        </w:tc>
        <w:tc>
          <w:tcPr>
            <w:tcW w:w="1057" w:type="pct"/>
            <w:shd w:val="clear" w:color="auto" w:fill="auto"/>
            <w:vAlign w:val="center"/>
          </w:tcPr>
          <w:p w14:paraId="3973C62C" w14:textId="77777777" w:rsidR="007B027D" w:rsidRDefault="007B027D">
            <w:pPr>
              <w:rPr>
                <w:rFonts w:ascii="宋体"/>
              </w:rPr>
            </w:pPr>
          </w:p>
        </w:tc>
      </w:tr>
      <w:tr w:rsidR="007B027D" w14:paraId="3973C633" w14:textId="77777777">
        <w:tc>
          <w:tcPr>
            <w:tcW w:w="0" w:type="auto"/>
            <w:shd w:val="clear" w:color="auto" w:fill="auto"/>
            <w:vAlign w:val="bottom"/>
          </w:tcPr>
          <w:p w14:paraId="3973C62E" w14:textId="77777777" w:rsidR="007B027D" w:rsidRDefault="008E0125">
            <w:pPr>
              <w:pStyle w:val="a3"/>
              <w:spacing w:beforeAutospacing="0" w:afterAutospacing="0"/>
              <w:rPr>
                <w:rFonts w:ascii="Calibri" w:hAnsi="Calibri" w:cs="Calibri"/>
                <w:sz w:val="15"/>
                <w:szCs w:val="15"/>
              </w:rPr>
            </w:pPr>
            <w:r>
              <w:rPr>
                <w:rFonts w:ascii="Calibri" w:hAnsi="Calibri" w:cs="Calibri"/>
                <w:sz w:val="15"/>
                <w:szCs w:val="15"/>
              </w:rPr>
              <w:t>Large accelerated filer  </w:t>
            </w:r>
            <w:r>
              <w:rPr>
                <w:rFonts w:ascii="Segoe UI Symbol" w:eastAsia="Segoe UI Symbol" w:hAnsi="Segoe UI Symbol" w:cs="Segoe UI Symbol"/>
                <w:sz w:val="15"/>
                <w:szCs w:val="15"/>
              </w:rPr>
              <w:t>☒</w:t>
            </w:r>
          </w:p>
        </w:tc>
        <w:tc>
          <w:tcPr>
            <w:tcW w:w="0" w:type="auto"/>
            <w:shd w:val="clear" w:color="auto" w:fill="auto"/>
            <w:vAlign w:val="bottom"/>
          </w:tcPr>
          <w:p w14:paraId="3973C62F" w14:textId="77777777" w:rsidR="007B027D" w:rsidRDefault="008E0125">
            <w:pPr>
              <w:pStyle w:val="a3"/>
              <w:spacing w:beforeAutospacing="0" w:afterAutospacing="0"/>
              <w:rPr>
                <w:rFonts w:ascii="Calibri" w:hAnsi="Calibri" w:cs="Calibri"/>
                <w:sz w:val="15"/>
                <w:szCs w:val="15"/>
              </w:rPr>
            </w:pPr>
            <w:r>
              <w:rPr>
                <w:rFonts w:ascii="Calibri" w:hAnsi="Calibri" w:cs="Calibri"/>
                <w:sz w:val="15"/>
                <w:szCs w:val="15"/>
              </w:rPr>
              <w:t>Accelerated filer    </w:t>
            </w:r>
            <w:r>
              <w:rPr>
                <w:rFonts w:ascii="Segoe UI Symbol" w:eastAsia="Segoe UI Symbol" w:hAnsi="Segoe UI Symbol" w:cs="Segoe UI Symbol"/>
                <w:sz w:val="15"/>
                <w:szCs w:val="15"/>
              </w:rPr>
              <w:t>☐</w:t>
            </w:r>
          </w:p>
        </w:tc>
        <w:tc>
          <w:tcPr>
            <w:tcW w:w="0" w:type="auto"/>
            <w:shd w:val="clear" w:color="auto" w:fill="auto"/>
            <w:vAlign w:val="bottom"/>
          </w:tcPr>
          <w:p w14:paraId="3973C630" w14:textId="77777777" w:rsidR="007B027D" w:rsidRDefault="008E0125">
            <w:pPr>
              <w:pStyle w:val="a3"/>
              <w:spacing w:beforeAutospacing="0" w:afterAutospacing="0"/>
              <w:rPr>
                <w:rFonts w:ascii="Calibri" w:hAnsi="Calibri" w:cs="Calibri"/>
                <w:sz w:val="15"/>
                <w:szCs w:val="15"/>
              </w:rPr>
            </w:pPr>
            <w:r>
              <w:rPr>
                <w:rFonts w:ascii="Calibri" w:hAnsi="Calibri" w:cs="Calibri"/>
                <w:sz w:val="15"/>
                <w:szCs w:val="15"/>
              </w:rPr>
              <w:t>Non-accelerated filer  </w:t>
            </w:r>
            <w:r>
              <w:rPr>
                <w:rFonts w:ascii="Segoe UI Symbol" w:eastAsia="Segoe UI Symbol" w:hAnsi="Segoe UI Symbol" w:cs="Segoe UI Symbol"/>
                <w:sz w:val="15"/>
                <w:szCs w:val="15"/>
              </w:rPr>
              <w:t>☐</w:t>
            </w:r>
          </w:p>
        </w:tc>
        <w:tc>
          <w:tcPr>
            <w:tcW w:w="0" w:type="auto"/>
            <w:shd w:val="clear" w:color="auto" w:fill="auto"/>
            <w:vAlign w:val="bottom"/>
          </w:tcPr>
          <w:p w14:paraId="3973C631" w14:textId="77777777" w:rsidR="007B027D" w:rsidRDefault="008E0125">
            <w:pPr>
              <w:pStyle w:val="a3"/>
              <w:spacing w:beforeAutospacing="0" w:afterAutospacing="0"/>
              <w:rPr>
                <w:rFonts w:ascii="Calibri" w:hAnsi="Calibri" w:cs="Calibri"/>
                <w:sz w:val="15"/>
                <w:szCs w:val="15"/>
              </w:rPr>
            </w:pPr>
            <w:r>
              <w:rPr>
                <w:rFonts w:ascii="Calibri" w:hAnsi="Calibri" w:cs="Calibri"/>
                <w:sz w:val="15"/>
                <w:szCs w:val="15"/>
              </w:rPr>
              <w:t>Smaller reporting company  </w:t>
            </w:r>
            <w:r>
              <w:rPr>
                <w:rFonts w:ascii="Segoe UI Symbol" w:eastAsia="Segoe UI Symbol" w:hAnsi="Segoe UI Symbol" w:cs="Segoe UI Symbol"/>
                <w:sz w:val="15"/>
                <w:szCs w:val="15"/>
              </w:rPr>
              <w:t>☐</w:t>
            </w:r>
          </w:p>
        </w:tc>
        <w:tc>
          <w:tcPr>
            <w:tcW w:w="0" w:type="auto"/>
            <w:shd w:val="clear" w:color="auto" w:fill="auto"/>
            <w:vAlign w:val="bottom"/>
          </w:tcPr>
          <w:p w14:paraId="3973C632" w14:textId="77777777" w:rsidR="007B027D" w:rsidRDefault="008E0125">
            <w:pPr>
              <w:pStyle w:val="a3"/>
              <w:spacing w:beforeAutospacing="0" w:afterAutospacing="0"/>
              <w:rPr>
                <w:rFonts w:ascii="Calibri" w:hAnsi="Calibri" w:cs="Calibri"/>
                <w:sz w:val="15"/>
                <w:szCs w:val="15"/>
              </w:rPr>
            </w:pPr>
            <w:r>
              <w:rPr>
                <w:rFonts w:ascii="Calibri" w:hAnsi="Calibri" w:cs="Calibri"/>
                <w:sz w:val="15"/>
                <w:szCs w:val="15"/>
              </w:rPr>
              <w:t>Emerging growth company  </w:t>
            </w:r>
            <w:r>
              <w:rPr>
                <w:rFonts w:ascii="Segoe UI Symbol" w:eastAsia="Segoe UI Symbol" w:hAnsi="Segoe UI Symbol" w:cs="Segoe UI Symbol"/>
                <w:sz w:val="15"/>
                <w:szCs w:val="15"/>
              </w:rPr>
              <w:t>☐</w:t>
            </w:r>
          </w:p>
        </w:tc>
      </w:tr>
    </w:tbl>
    <w:p w14:paraId="3973C634"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p w14:paraId="3973C635" w14:textId="77777777" w:rsidR="007B027D" w:rsidRDefault="008E0125">
      <w:pPr>
        <w:pStyle w:val="a3"/>
        <w:spacing w:beforeAutospacing="0" w:after="20" w:afterAutospacing="0"/>
        <w:jc w:val="both"/>
        <w:rPr>
          <w:rFonts w:ascii="Calibri" w:hAnsi="Calibri" w:cs="Calibri"/>
          <w:sz w:val="15"/>
          <w:szCs w:val="15"/>
        </w:rPr>
      </w:pPr>
      <w:r>
        <w:rPr>
          <w:rFonts w:ascii="Calibri" w:hAnsi="Calibri" w:cs="Calibri"/>
          <w:sz w:val="15"/>
          <w:szCs w:val="15"/>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5"/>
          <w:szCs w:val="15"/>
        </w:rPr>
        <w:t>☐</w:t>
      </w:r>
    </w:p>
    <w:p w14:paraId="3973C636" w14:textId="77777777" w:rsidR="007B027D" w:rsidRDefault="008E0125">
      <w:pPr>
        <w:pStyle w:val="a3"/>
        <w:spacing w:beforeAutospacing="0" w:after="20" w:afterAutospacing="0"/>
        <w:jc w:val="both"/>
        <w:rPr>
          <w:rFonts w:ascii="Calibri" w:hAnsi="Calibri" w:cs="Calibri"/>
          <w:sz w:val="15"/>
          <w:szCs w:val="15"/>
        </w:rPr>
      </w:pPr>
      <w:r>
        <w:rPr>
          <w:rFonts w:ascii="Calibri" w:hAnsi="Calibri" w:cs="Calibri"/>
          <w:sz w:val="15"/>
          <w:szCs w:val="15"/>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Calibri" w:hAnsi="Calibri" w:cs="Calibri"/>
          <w:sz w:val="15"/>
          <w:szCs w:val="15"/>
        </w:rPr>
        <w:t>he registered public accounting firm that prepared or issued its audit report.    </w:t>
      </w:r>
      <w:r>
        <w:rPr>
          <w:rFonts w:ascii="Segoe UI Symbol" w:eastAsia="Segoe UI Symbol" w:hAnsi="Segoe UI Symbol" w:cs="Segoe UI Symbol"/>
          <w:sz w:val="15"/>
          <w:szCs w:val="15"/>
        </w:rPr>
        <w:t>☒</w:t>
      </w:r>
    </w:p>
    <w:p w14:paraId="3973C637"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Indicate by check mark whether the registrant is a shell company (as defined in Rule 12b-2 of the Exchange Act).    </w:t>
      </w:r>
      <w:r>
        <w:rPr>
          <w:rFonts w:ascii="Calibri" w:hAnsi="Calibri" w:cs="Calibri"/>
          <w:caps/>
          <w:sz w:val="15"/>
          <w:szCs w:val="15"/>
        </w:rPr>
        <w:t>Yes</w:t>
      </w:r>
      <w:r>
        <w:rPr>
          <w:rFonts w:ascii="Calibri" w:hAnsi="Calibri" w:cs="Calibri"/>
          <w:sz w:val="15"/>
          <w:szCs w:val="15"/>
        </w:rPr>
        <w:t>  </w:t>
      </w:r>
      <w:r>
        <w:rPr>
          <w:rFonts w:ascii="Segoe UI Symbol" w:eastAsia="Segoe UI Symbol" w:hAnsi="Segoe UI Symbol" w:cs="Segoe UI Symbol"/>
          <w:sz w:val="15"/>
          <w:szCs w:val="15"/>
        </w:rPr>
        <w:t>☐</w:t>
      </w:r>
      <w:r>
        <w:rPr>
          <w:rFonts w:ascii="Calibri" w:hAnsi="Calibri" w:cs="Calibri"/>
          <w:sz w:val="15"/>
          <w:szCs w:val="15"/>
        </w:rPr>
        <w:t>    </w:t>
      </w:r>
      <w:r>
        <w:rPr>
          <w:rFonts w:ascii="Calibri" w:hAnsi="Calibri" w:cs="Calibri"/>
          <w:caps/>
          <w:sz w:val="15"/>
          <w:szCs w:val="15"/>
        </w:rPr>
        <w:t>No</w:t>
      </w:r>
      <w:r>
        <w:rPr>
          <w:rFonts w:ascii="Calibri" w:hAnsi="Calibri" w:cs="Calibri"/>
          <w:sz w:val="15"/>
          <w:szCs w:val="15"/>
        </w:rPr>
        <w:t>  </w:t>
      </w:r>
      <w:r>
        <w:rPr>
          <w:rFonts w:ascii="Segoe UI Symbol" w:eastAsia="Segoe UI Symbol" w:hAnsi="Segoe UI Symbol" w:cs="Segoe UI Symbol"/>
          <w:sz w:val="15"/>
          <w:szCs w:val="15"/>
        </w:rPr>
        <w:t>☒</w:t>
      </w:r>
    </w:p>
    <w:p w14:paraId="3973C638"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The aggregate market value of the voting</w:t>
      </w:r>
      <w:r>
        <w:rPr>
          <w:rFonts w:ascii="Calibri" w:hAnsi="Calibri" w:cs="Calibri"/>
          <w:sz w:val="15"/>
          <w:szCs w:val="15"/>
        </w:rPr>
        <w:t xml:space="preserve"> stock held by non-affiliates of the registrant was $137,902,273,000 based on the number of shares held by non-affiliates of the registrant as of May 31, 2022, and based on the closing sale price of common stock as reported by the New York Stock Exchange o</w:t>
      </w:r>
      <w:r>
        <w:rPr>
          <w:rFonts w:ascii="Calibri" w:hAnsi="Calibri" w:cs="Calibri"/>
          <w:sz w:val="15"/>
          <w:szCs w:val="15"/>
        </w:rPr>
        <w:t>n November 30, 2021, which is the last business day of the registrant’s most recently completed second fiscal quarter. This calculation does not reflect a determination that persons are affiliates for any other purposes.</w:t>
      </w:r>
    </w:p>
    <w:p w14:paraId="3973C639"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Number of shares of common stock ou</w:t>
      </w:r>
      <w:r>
        <w:rPr>
          <w:rFonts w:ascii="Calibri" w:hAnsi="Calibri" w:cs="Calibri"/>
          <w:sz w:val="15"/>
          <w:szCs w:val="15"/>
        </w:rPr>
        <w:t>tstanding as of June 13, 2022: 2,664,926,000.</w:t>
      </w:r>
    </w:p>
    <w:p w14:paraId="3973C63A" w14:textId="77777777" w:rsidR="007B027D" w:rsidRDefault="008E0125">
      <w:pPr>
        <w:pStyle w:val="a3"/>
        <w:spacing w:before="60" w:beforeAutospacing="0" w:afterAutospacing="0"/>
        <w:jc w:val="both"/>
        <w:rPr>
          <w:rFonts w:ascii="Calibri" w:hAnsi="Calibri" w:cs="Calibri"/>
          <w:b/>
          <w:bCs/>
          <w:sz w:val="16"/>
          <w:szCs w:val="16"/>
        </w:rPr>
      </w:pPr>
      <w:r>
        <w:rPr>
          <w:rFonts w:ascii="Calibri" w:hAnsi="Calibri" w:cs="Calibri"/>
          <w:b/>
          <w:bCs/>
          <w:sz w:val="16"/>
          <w:szCs w:val="16"/>
        </w:rPr>
        <w:t>Documents Incorporated by Reference:</w:t>
      </w:r>
    </w:p>
    <w:p w14:paraId="3973C63B" w14:textId="77777777" w:rsidR="007B027D" w:rsidRDefault="008E0125">
      <w:pPr>
        <w:pStyle w:val="a3"/>
        <w:spacing w:before="60" w:beforeAutospacing="0" w:afterAutospacing="0"/>
        <w:jc w:val="both"/>
        <w:rPr>
          <w:rFonts w:ascii="Calibri" w:hAnsi="Calibri" w:cs="Calibri"/>
          <w:sz w:val="15"/>
          <w:szCs w:val="15"/>
        </w:rPr>
      </w:pPr>
      <w:r>
        <w:rPr>
          <w:rFonts w:ascii="Calibri" w:hAnsi="Calibri" w:cs="Calibri"/>
          <w:sz w:val="15"/>
          <w:szCs w:val="15"/>
        </w:rPr>
        <w:t>Portions of the registrant's definitive proxy statement relating to its 2022 annual meeting of stockholders are incorporated by reference into Part III of this Annual Report</w:t>
      </w:r>
      <w:r>
        <w:rPr>
          <w:rFonts w:ascii="Calibri" w:hAnsi="Calibri" w:cs="Calibri"/>
          <w:sz w:val="15"/>
          <w:szCs w:val="15"/>
        </w:rPr>
        <w:t xml:space="preserve"> on Form 10-K where indicated. Such proxy statement will be filed with the U.S. Securities and Exchange Commission within 120 days of the registrant’s fiscal year ended May 31, 2022</w:t>
      </w:r>
      <w:r>
        <w:rPr>
          <w:rFonts w:ascii="Times New Roman" w:hAnsi="Times New Roman"/>
          <w:sz w:val="15"/>
          <w:szCs w:val="15"/>
        </w:rPr>
        <w:t>.</w:t>
      </w:r>
    </w:p>
    <w:p w14:paraId="3973C63C" w14:textId="77777777" w:rsidR="007B027D" w:rsidRDefault="008E0125">
      <w:pPr>
        <w:pStyle w:val="a3"/>
        <w:pBdr>
          <w:bottom w:val="double" w:sz="6" w:space="1" w:color="auto"/>
        </w:pBdr>
        <w:spacing w:beforeAutospacing="0" w:afterAutospacing="0"/>
        <w:jc w:val="both"/>
        <w:rPr>
          <w:sz w:val="12"/>
          <w:szCs w:val="12"/>
        </w:rPr>
      </w:pPr>
      <w:r>
        <w:rPr>
          <w:sz w:val="12"/>
          <w:szCs w:val="12"/>
        </w:rPr>
        <w:t> </w:t>
      </w:r>
    </w:p>
    <w:p w14:paraId="3973C63D" w14:textId="77777777" w:rsidR="007B027D" w:rsidRDefault="008E0125">
      <w:pPr>
        <w:pStyle w:val="a3"/>
        <w:spacing w:before="240" w:beforeAutospacing="0" w:afterAutospacing="0"/>
        <w:jc w:val="center"/>
        <w:rPr>
          <w:rFonts w:ascii="Times New Roman" w:hAnsi="Times New Roman"/>
          <w:sz w:val="20"/>
          <w:szCs w:val="20"/>
        </w:rPr>
      </w:pPr>
      <w:r>
        <w:rPr>
          <w:rFonts w:ascii="Times New Roman" w:hAnsi="Times New Roman"/>
          <w:sz w:val="20"/>
          <w:szCs w:val="20"/>
        </w:rPr>
        <w:lastRenderedPageBreak/>
        <w:t> </w:t>
      </w:r>
    </w:p>
    <w:p w14:paraId="3973C63E" w14:textId="77777777" w:rsidR="007B027D" w:rsidRDefault="008E0125">
      <w:r>
        <w:rPr>
          <w:rFonts w:ascii="Times New Roman" w:hAnsi="Times New Roman"/>
          <w:sz w:val="20"/>
          <w:szCs w:val="20"/>
        </w:rPr>
        <w:pict w14:anchorId="39740038">
          <v:rect id="_x0000_i1025" style="width:415.3pt;height:1.5pt" o:hralign="center" o:hrstd="t" o:hr="t" fillcolor="#a0a0a0" stroked="f"/>
        </w:pict>
      </w:r>
    </w:p>
    <w:p w14:paraId="3973C63F"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64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641"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C642" w14:textId="77777777" w:rsidR="007B027D" w:rsidRDefault="008E012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FISCAL YEAR 2022</w:t>
      </w:r>
    </w:p>
    <w:p w14:paraId="3973C643"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FORM 10-K</w:t>
      </w:r>
    </w:p>
    <w:p w14:paraId="3973C644"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ANNUAL </w:t>
      </w:r>
      <w:r>
        <w:rPr>
          <w:rFonts w:ascii="Calibri" w:hAnsi="Calibri" w:cs="Calibri"/>
          <w:b/>
          <w:bCs/>
          <w:sz w:val="20"/>
          <w:szCs w:val="20"/>
        </w:rPr>
        <w:t>REPORT</w:t>
      </w:r>
    </w:p>
    <w:p w14:paraId="3973C645" w14:textId="77777777" w:rsidR="007B027D" w:rsidRDefault="008E0125">
      <w:pPr>
        <w:pStyle w:val="a3"/>
        <w:pBdr>
          <w:bottom w:val="single" w:sz="6" w:space="1" w:color="auto"/>
        </w:pBdr>
        <w:spacing w:beforeAutospacing="0" w:afterAutospacing="0"/>
        <w:jc w:val="center"/>
        <w:rPr>
          <w:rFonts w:ascii="Times New Roman" w:hAnsi="Times New Roman"/>
        </w:rPr>
      </w:pPr>
      <w:r>
        <w:rPr>
          <w:rFonts w:ascii="Times New Roman" w:hAnsi="Times New Roman"/>
        </w:rPr>
        <w:t> </w:t>
      </w:r>
    </w:p>
    <w:p w14:paraId="3973C646" w14:textId="77777777" w:rsidR="007B027D" w:rsidRDefault="008E0125">
      <w:pPr>
        <w:pStyle w:val="a3"/>
        <w:spacing w:before="24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3973C647"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w:t>
      </w:r>
    </w:p>
    <w:tbl>
      <w:tblPr>
        <w:tblW w:w="5000" w:type="pct"/>
        <w:tblCellMar>
          <w:left w:w="0" w:type="dxa"/>
          <w:right w:w="0" w:type="dxa"/>
        </w:tblCellMar>
        <w:tblLook w:val="04A0" w:firstRow="1" w:lastRow="0" w:firstColumn="1" w:lastColumn="0" w:noHBand="0" w:noVBand="1"/>
      </w:tblPr>
      <w:tblGrid>
        <w:gridCol w:w="606"/>
        <w:gridCol w:w="170"/>
        <w:gridCol w:w="6919"/>
        <w:gridCol w:w="170"/>
        <w:gridCol w:w="441"/>
      </w:tblGrid>
      <w:tr w:rsidR="007B027D" w14:paraId="3973C64D" w14:textId="77777777">
        <w:tc>
          <w:tcPr>
            <w:tcW w:w="400" w:type="pct"/>
            <w:shd w:val="clear" w:color="auto" w:fill="auto"/>
          </w:tcPr>
          <w:p w14:paraId="3973C648" w14:textId="77777777" w:rsidR="007B027D" w:rsidRDefault="008E012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50" w:type="pct"/>
            <w:shd w:val="clear" w:color="auto" w:fill="auto"/>
          </w:tcPr>
          <w:p w14:paraId="3973C649" w14:textId="77777777" w:rsidR="007B027D" w:rsidRDefault="008E012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4200" w:type="pct"/>
            <w:shd w:val="clear" w:color="auto" w:fill="auto"/>
          </w:tcPr>
          <w:p w14:paraId="3973C64A" w14:textId="77777777" w:rsidR="007B027D" w:rsidRDefault="008E012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50" w:type="pct"/>
            <w:shd w:val="clear" w:color="auto" w:fill="auto"/>
          </w:tcPr>
          <w:p w14:paraId="3973C64B" w14:textId="77777777" w:rsidR="007B027D" w:rsidRDefault="008E012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300" w:type="pct"/>
            <w:shd w:val="clear" w:color="auto" w:fill="auto"/>
          </w:tcPr>
          <w:p w14:paraId="3973C64C"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u w:val="single"/>
              </w:rPr>
              <w:t>Page</w:t>
            </w:r>
          </w:p>
        </w:tc>
      </w:tr>
      <w:tr w:rsidR="007B027D" w14:paraId="3973C653" w14:textId="77777777">
        <w:tc>
          <w:tcPr>
            <w:tcW w:w="400" w:type="pct"/>
            <w:shd w:val="clear" w:color="auto" w:fill="auto"/>
          </w:tcPr>
          <w:p w14:paraId="3973C64E" w14:textId="77777777" w:rsidR="007B027D" w:rsidRDefault="008E0125">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3973C64F" w14:textId="77777777" w:rsidR="007B027D" w:rsidRDefault="008E0125">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4200" w:type="pct"/>
            <w:shd w:val="clear" w:color="auto" w:fill="auto"/>
          </w:tcPr>
          <w:p w14:paraId="3973C650" w14:textId="77777777" w:rsidR="007B027D" w:rsidRDefault="008E0125">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3973C651" w14:textId="77777777" w:rsidR="007B027D" w:rsidRDefault="008E0125">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300" w:type="pct"/>
            <w:shd w:val="clear" w:color="auto" w:fill="auto"/>
          </w:tcPr>
          <w:p w14:paraId="3973C652" w14:textId="77777777" w:rsidR="007B027D" w:rsidRDefault="008E0125">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r>
      <w:tr w:rsidR="007B027D" w14:paraId="3973C659" w14:textId="77777777">
        <w:tc>
          <w:tcPr>
            <w:tcW w:w="400" w:type="pct"/>
            <w:shd w:val="clear" w:color="auto" w:fill="auto"/>
          </w:tcPr>
          <w:p w14:paraId="3973C654" w14:textId="77777777" w:rsidR="007B027D" w:rsidRDefault="008E0125">
            <w:pPr>
              <w:pStyle w:val="a3"/>
              <w:spacing w:beforeAutospacing="0" w:afterAutospacing="0"/>
              <w:rPr>
                <w:rFonts w:ascii="Calibri" w:hAnsi="Calibri" w:cs="Calibri"/>
                <w:b/>
                <w:bCs/>
                <w:sz w:val="17"/>
                <w:szCs w:val="17"/>
              </w:rPr>
            </w:pPr>
            <w:r>
              <w:rPr>
                <w:rFonts w:ascii="Calibri" w:hAnsi="Calibri" w:cs="Calibri"/>
                <w:b/>
                <w:bCs/>
                <w:sz w:val="17"/>
                <w:szCs w:val="17"/>
              </w:rPr>
              <w:t>PART I.</w:t>
            </w:r>
          </w:p>
        </w:tc>
        <w:tc>
          <w:tcPr>
            <w:tcW w:w="50" w:type="pct"/>
            <w:shd w:val="clear" w:color="auto" w:fill="auto"/>
          </w:tcPr>
          <w:p w14:paraId="3973C65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56" w14:textId="77777777" w:rsidR="007B027D" w:rsidRDefault="008E0125">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3973C65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58" w14:textId="77777777" w:rsidR="007B027D" w:rsidRDefault="008E0125">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7B027D" w14:paraId="3973C65F" w14:textId="77777777">
        <w:tc>
          <w:tcPr>
            <w:tcW w:w="400" w:type="pct"/>
            <w:shd w:val="clear" w:color="auto" w:fill="auto"/>
          </w:tcPr>
          <w:p w14:paraId="3973C65A" w14:textId="77777777" w:rsidR="007B027D" w:rsidRDefault="008E012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3973C65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5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5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5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65" w14:textId="77777777">
        <w:tc>
          <w:tcPr>
            <w:tcW w:w="400" w:type="pct"/>
            <w:shd w:val="clear" w:color="auto" w:fill="auto"/>
          </w:tcPr>
          <w:p w14:paraId="3973C66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w:t>
            </w:r>
          </w:p>
        </w:tc>
        <w:tc>
          <w:tcPr>
            <w:tcW w:w="50" w:type="pct"/>
            <w:shd w:val="clear" w:color="auto" w:fill="auto"/>
          </w:tcPr>
          <w:p w14:paraId="3973C66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62" w14:textId="77777777" w:rsidR="007B027D" w:rsidRDefault="008E0125">
            <w:pPr>
              <w:pStyle w:val="a3"/>
              <w:spacing w:beforeAutospacing="0" w:afterAutospacing="0"/>
              <w:rPr>
                <w:rFonts w:ascii="Calibri" w:hAnsi="Calibri" w:cs="Calibri"/>
                <w:sz w:val="17"/>
                <w:szCs w:val="17"/>
              </w:rPr>
            </w:pPr>
            <w:hyperlink r:id="rId6" w:anchor="ITEM_1_BUSINESS" w:history="1">
              <w:r>
                <w:rPr>
                  <w:rStyle w:val="a5"/>
                  <w:rFonts w:ascii="Calibri" w:hAnsi="Calibri" w:cs="Calibri"/>
                  <w:sz w:val="17"/>
                  <w:szCs w:val="17"/>
                </w:rPr>
                <w:t>Business</w:t>
              </w:r>
            </w:hyperlink>
          </w:p>
        </w:tc>
        <w:tc>
          <w:tcPr>
            <w:tcW w:w="50" w:type="pct"/>
            <w:shd w:val="clear" w:color="auto" w:fill="auto"/>
          </w:tcPr>
          <w:p w14:paraId="3973C66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6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4</w:t>
            </w:r>
          </w:p>
        </w:tc>
      </w:tr>
      <w:tr w:rsidR="007B027D" w14:paraId="3973C66B" w14:textId="77777777">
        <w:tc>
          <w:tcPr>
            <w:tcW w:w="400" w:type="pct"/>
            <w:shd w:val="clear" w:color="auto" w:fill="auto"/>
          </w:tcPr>
          <w:p w14:paraId="3973C66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6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6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6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6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71" w14:textId="77777777">
        <w:tc>
          <w:tcPr>
            <w:tcW w:w="400" w:type="pct"/>
            <w:shd w:val="clear" w:color="auto" w:fill="auto"/>
          </w:tcPr>
          <w:p w14:paraId="3973C66C"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1A.</w:t>
            </w:r>
          </w:p>
        </w:tc>
        <w:tc>
          <w:tcPr>
            <w:tcW w:w="50" w:type="pct"/>
            <w:shd w:val="clear" w:color="auto" w:fill="auto"/>
          </w:tcPr>
          <w:p w14:paraId="3973C66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6E" w14:textId="77777777" w:rsidR="007B027D" w:rsidRDefault="008E0125">
            <w:pPr>
              <w:pStyle w:val="a3"/>
              <w:spacing w:beforeAutospacing="0" w:afterAutospacing="0"/>
              <w:rPr>
                <w:rFonts w:ascii="Calibri" w:hAnsi="Calibri" w:cs="Calibri"/>
                <w:sz w:val="17"/>
                <w:szCs w:val="17"/>
              </w:rPr>
            </w:pPr>
            <w:hyperlink r:id="rId7" w:anchor="ITEM_1A_RISK_FACTORS" w:history="1">
              <w:r>
                <w:rPr>
                  <w:rStyle w:val="a5"/>
                  <w:rFonts w:ascii="Calibri" w:hAnsi="Calibri" w:cs="Calibri"/>
                  <w:sz w:val="17"/>
                  <w:szCs w:val="17"/>
                </w:rPr>
                <w:t>Risk Factors</w:t>
              </w:r>
            </w:hyperlink>
          </w:p>
        </w:tc>
        <w:tc>
          <w:tcPr>
            <w:tcW w:w="50" w:type="pct"/>
            <w:shd w:val="clear" w:color="auto" w:fill="auto"/>
          </w:tcPr>
          <w:p w14:paraId="3973C66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70"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18</w:t>
            </w:r>
          </w:p>
        </w:tc>
      </w:tr>
      <w:tr w:rsidR="007B027D" w14:paraId="3973C677" w14:textId="77777777">
        <w:tc>
          <w:tcPr>
            <w:tcW w:w="400" w:type="pct"/>
            <w:shd w:val="clear" w:color="auto" w:fill="auto"/>
          </w:tcPr>
          <w:p w14:paraId="3973C67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7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7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7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7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7D" w14:textId="77777777">
        <w:tc>
          <w:tcPr>
            <w:tcW w:w="400" w:type="pct"/>
            <w:shd w:val="clear" w:color="auto" w:fill="auto"/>
          </w:tcPr>
          <w:p w14:paraId="3973C678"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1B.</w:t>
            </w:r>
          </w:p>
        </w:tc>
        <w:tc>
          <w:tcPr>
            <w:tcW w:w="50" w:type="pct"/>
            <w:shd w:val="clear" w:color="auto" w:fill="auto"/>
          </w:tcPr>
          <w:p w14:paraId="3973C67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7A" w14:textId="77777777" w:rsidR="007B027D" w:rsidRDefault="008E0125">
            <w:pPr>
              <w:pStyle w:val="a3"/>
              <w:spacing w:beforeAutospacing="0" w:afterAutospacing="0"/>
              <w:rPr>
                <w:rFonts w:ascii="Calibri" w:hAnsi="Calibri" w:cs="Calibri"/>
                <w:sz w:val="17"/>
                <w:szCs w:val="17"/>
              </w:rPr>
            </w:pPr>
            <w:hyperlink r:id="rId8" w:anchor="ITEM_1B_UNRESOLVED_STAFF_COMMENTS" w:history="1">
              <w:r>
                <w:rPr>
                  <w:rStyle w:val="a5"/>
                  <w:rFonts w:ascii="Calibri" w:hAnsi="Calibri" w:cs="Calibri"/>
                  <w:sz w:val="17"/>
                  <w:szCs w:val="17"/>
                </w:rPr>
                <w:t>Unresolved Staff Comments</w:t>
              </w:r>
            </w:hyperlink>
          </w:p>
        </w:tc>
        <w:tc>
          <w:tcPr>
            <w:tcW w:w="50" w:type="pct"/>
            <w:shd w:val="clear" w:color="auto" w:fill="auto"/>
          </w:tcPr>
          <w:p w14:paraId="3973C67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7C"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7B027D" w14:paraId="3973C683" w14:textId="77777777">
        <w:tc>
          <w:tcPr>
            <w:tcW w:w="400" w:type="pct"/>
            <w:shd w:val="clear" w:color="auto" w:fill="auto"/>
          </w:tcPr>
          <w:p w14:paraId="3973C67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7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8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8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8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89" w14:textId="77777777">
        <w:tc>
          <w:tcPr>
            <w:tcW w:w="400" w:type="pct"/>
            <w:shd w:val="clear" w:color="auto" w:fill="auto"/>
          </w:tcPr>
          <w:p w14:paraId="3973C684"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2.</w:t>
            </w:r>
          </w:p>
        </w:tc>
        <w:tc>
          <w:tcPr>
            <w:tcW w:w="50" w:type="pct"/>
            <w:shd w:val="clear" w:color="auto" w:fill="auto"/>
          </w:tcPr>
          <w:p w14:paraId="3973C68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86" w14:textId="77777777" w:rsidR="007B027D" w:rsidRDefault="008E0125">
            <w:pPr>
              <w:pStyle w:val="a3"/>
              <w:spacing w:beforeAutospacing="0" w:afterAutospacing="0"/>
              <w:rPr>
                <w:rFonts w:ascii="Calibri" w:hAnsi="Calibri" w:cs="Calibri"/>
                <w:sz w:val="17"/>
                <w:szCs w:val="17"/>
              </w:rPr>
            </w:pPr>
            <w:hyperlink r:id="rId9" w:anchor="ITEM_2_PROPERTIES" w:history="1">
              <w:r>
                <w:rPr>
                  <w:rStyle w:val="a5"/>
                  <w:rFonts w:ascii="Calibri" w:hAnsi="Calibri" w:cs="Calibri"/>
                  <w:sz w:val="17"/>
                  <w:szCs w:val="17"/>
                </w:rPr>
                <w:t>Properties</w:t>
              </w:r>
            </w:hyperlink>
          </w:p>
        </w:tc>
        <w:tc>
          <w:tcPr>
            <w:tcW w:w="50" w:type="pct"/>
            <w:shd w:val="clear" w:color="auto" w:fill="auto"/>
          </w:tcPr>
          <w:p w14:paraId="3973C68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88"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7B027D" w14:paraId="3973C68F" w14:textId="77777777">
        <w:tc>
          <w:tcPr>
            <w:tcW w:w="400" w:type="pct"/>
            <w:shd w:val="clear" w:color="auto" w:fill="auto"/>
          </w:tcPr>
          <w:p w14:paraId="3973C68A"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8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8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8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8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95" w14:textId="77777777">
        <w:tc>
          <w:tcPr>
            <w:tcW w:w="400" w:type="pct"/>
            <w:shd w:val="clear" w:color="auto" w:fill="auto"/>
          </w:tcPr>
          <w:p w14:paraId="3973C69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3.</w:t>
            </w:r>
          </w:p>
        </w:tc>
        <w:tc>
          <w:tcPr>
            <w:tcW w:w="50" w:type="pct"/>
            <w:shd w:val="clear" w:color="auto" w:fill="auto"/>
          </w:tcPr>
          <w:p w14:paraId="3973C69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92" w14:textId="77777777" w:rsidR="007B027D" w:rsidRDefault="008E0125">
            <w:pPr>
              <w:pStyle w:val="a3"/>
              <w:spacing w:beforeAutospacing="0" w:afterAutospacing="0"/>
              <w:rPr>
                <w:rFonts w:ascii="Calibri" w:hAnsi="Calibri" w:cs="Calibri"/>
                <w:sz w:val="17"/>
                <w:szCs w:val="17"/>
              </w:rPr>
            </w:pPr>
            <w:hyperlink r:id="rId10" w:anchor="ITEM_3_LEGAL_PROCEEDINGS" w:history="1">
              <w:r>
                <w:rPr>
                  <w:rStyle w:val="a5"/>
                  <w:rFonts w:ascii="Calibri" w:hAnsi="Calibri" w:cs="Calibri"/>
                  <w:sz w:val="17"/>
                  <w:szCs w:val="17"/>
                </w:rPr>
                <w:t>Legal Proceedings</w:t>
              </w:r>
            </w:hyperlink>
          </w:p>
        </w:tc>
        <w:tc>
          <w:tcPr>
            <w:tcW w:w="50" w:type="pct"/>
            <w:shd w:val="clear" w:color="auto" w:fill="auto"/>
          </w:tcPr>
          <w:p w14:paraId="3973C69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9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7B027D" w14:paraId="3973C69B" w14:textId="77777777">
        <w:tc>
          <w:tcPr>
            <w:tcW w:w="400" w:type="pct"/>
            <w:shd w:val="clear" w:color="auto" w:fill="auto"/>
          </w:tcPr>
          <w:p w14:paraId="3973C69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9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9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9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9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A1" w14:textId="77777777">
        <w:tc>
          <w:tcPr>
            <w:tcW w:w="400" w:type="pct"/>
            <w:shd w:val="clear" w:color="auto" w:fill="auto"/>
          </w:tcPr>
          <w:p w14:paraId="3973C69C"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4.</w:t>
            </w:r>
          </w:p>
        </w:tc>
        <w:tc>
          <w:tcPr>
            <w:tcW w:w="50" w:type="pct"/>
            <w:shd w:val="clear" w:color="auto" w:fill="auto"/>
          </w:tcPr>
          <w:p w14:paraId="3973C69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9E" w14:textId="77777777" w:rsidR="007B027D" w:rsidRDefault="008E0125">
            <w:pPr>
              <w:pStyle w:val="a3"/>
              <w:spacing w:beforeAutospacing="0" w:afterAutospacing="0"/>
              <w:rPr>
                <w:rFonts w:ascii="Calibri" w:hAnsi="Calibri" w:cs="Calibri"/>
                <w:sz w:val="17"/>
                <w:szCs w:val="17"/>
              </w:rPr>
            </w:pPr>
            <w:hyperlink r:id="rId11" w:anchor="ITEM_4_MINE_SAFETY_DISCLOSURES" w:history="1">
              <w:r>
                <w:rPr>
                  <w:rStyle w:val="a5"/>
                  <w:rFonts w:ascii="Calibri" w:hAnsi="Calibri" w:cs="Calibri"/>
                  <w:sz w:val="17"/>
                  <w:szCs w:val="17"/>
                </w:rPr>
                <w:t>Mine Safety Disclosures</w:t>
              </w:r>
            </w:hyperlink>
          </w:p>
        </w:tc>
        <w:tc>
          <w:tcPr>
            <w:tcW w:w="50" w:type="pct"/>
            <w:shd w:val="clear" w:color="auto" w:fill="auto"/>
          </w:tcPr>
          <w:p w14:paraId="3973C69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A0"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7B027D" w14:paraId="3973C6A7" w14:textId="77777777">
        <w:tc>
          <w:tcPr>
            <w:tcW w:w="400" w:type="pct"/>
            <w:shd w:val="clear" w:color="auto" w:fill="auto"/>
          </w:tcPr>
          <w:p w14:paraId="3973C6A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A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A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A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A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AD" w14:textId="77777777">
        <w:tc>
          <w:tcPr>
            <w:tcW w:w="400" w:type="pct"/>
            <w:shd w:val="clear" w:color="auto" w:fill="auto"/>
          </w:tcPr>
          <w:p w14:paraId="3973C6A8" w14:textId="77777777" w:rsidR="007B027D" w:rsidRDefault="008E0125">
            <w:pPr>
              <w:pStyle w:val="a3"/>
              <w:spacing w:beforeAutospacing="0" w:afterAutospacing="0"/>
              <w:rPr>
                <w:rFonts w:ascii="Calibri" w:hAnsi="Calibri" w:cs="Calibri"/>
                <w:b/>
                <w:bCs/>
                <w:sz w:val="17"/>
                <w:szCs w:val="17"/>
              </w:rPr>
            </w:pPr>
            <w:r>
              <w:rPr>
                <w:rFonts w:ascii="Calibri" w:hAnsi="Calibri" w:cs="Calibri"/>
                <w:b/>
                <w:bCs/>
                <w:sz w:val="17"/>
                <w:szCs w:val="17"/>
              </w:rPr>
              <w:t>PART II.</w:t>
            </w:r>
          </w:p>
        </w:tc>
        <w:tc>
          <w:tcPr>
            <w:tcW w:w="50" w:type="pct"/>
            <w:shd w:val="clear" w:color="auto" w:fill="auto"/>
          </w:tcPr>
          <w:p w14:paraId="3973C6A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AA" w14:textId="77777777" w:rsidR="007B027D" w:rsidRDefault="008E0125">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3973C6A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AC" w14:textId="77777777" w:rsidR="007B027D" w:rsidRDefault="008E0125">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7B027D" w14:paraId="3973C6B3" w14:textId="77777777">
        <w:tc>
          <w:tcPr>
            <w:tcW w:w="400" w:type="pct"/>
            <w:shd w:val="clear" w:color="auto" w:fill="auto"/>
          </w:tcPr>
          <w:p w14:paraId="3973C6A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A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B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B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B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B9" w14:textId="77777777">
        <w:tc>
          <w:tcPr>
            <w:tcW w:w="400" w:type="pct"/>
            <w:shd w:val="clear" w:color="auto" w:fill="auto"/>
          </w:tcPr>
          <w:p w14:paraId="3973C6B4"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5.</w:t>
            </w:r>
          </w:p>
        </w:tc>
        <w:tc>
          <w:tcPr>
            <w:tcW w:w="50" w:type="pct"/>
            <w:shd w:val="clear" w:color="auto" w:fill="auto"/>
          </w:tcPr>
          <w:p w14:paraId="3973C6B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B6" w14:textId="77777777" w:rsidR="007B027D" w:rsidRDefault="008E0125">
            <w:pPr>
              <w:pStyle w:val="a3"/>
              <w:spacing w:beforeAutospacing="0" w:afterAutospacing="0"/>
              <w:rPr>
                <w:rFonts w:ascii="Calibri" w:hAnsi="Calibri" w:cs="Calibri"/>
                <w:sz w:val="17"/>
                <w:szCs w:val="17"/>
              </w:rPr>
            </w:pPr>
            <w:hyperlink r:id="rId12" w:anchor="ITEM_5_MARKET_FOR_REGISTRANTS_COMMON_EQU" w:history="1">
              <w:r>
                <w:rPr>
                  <w:rStyle w:val="a5"/>
                  <w:rFonts w:ascii="Calibri" w:hAnsi="Calibri" w:cs="Calibri"/>
                  <w:sz w:val="17"/>
                  <w:szCs w:val="17"/>
                </w:rPr>
                <w:t>Market for Registrant’s Common Equity, Related Stockholder Matters and Issuer Purchases of Equity Se</w:t>
              </w:r>
              <w:r>
                <w:rPr>
                  <w:rStyle w:val="a5"/>
                  <w:rFonts w:ascii="Calibri" w:hAnsi="Calibri" w:cs="Calibri"/>
                  <w:sz w:val="17"/>
                  <w:szCs w:val="17"/>
                </w:rPr>
                <w:t>curities</w:t>
              </w:r>
            </w:hyperlink>
          </w:p>
        </w:tc>
        <w:tc>
          <w:tcPr>
            <w:tcW w:w="50" w:type="pct"/>
            <w:shd w:val="clear" w:color="auto" w:fill="auto"/>
          </w:tcPr>
          <w:p w14:paraId="3973C6B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B8"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34</w:t>
            </w:r>
          </w:p>
        </w:tc>
      </w:tr>
      <w:tr w:rsidR="007B027D" w14:paraId="3973C6BF" w14:textId="77777777">
        <w:tc>
          <w:tcPr>
            <w:tcW w:w="400" w:type="pct"/>
            <w:shd w:val="clear" w:color="auto" w:fill="auto"/>
          </w:tcPr>
          <w:p w14:paraId="3973C6BA"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B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B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B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B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C5" w14:textId="77777777">
        <w:tc>
          <w:tcPr>
            <w:tcW w:w="400" w:type="pct"/>
            <w:shd w:val="clear" w:color="auto" w:fill="auto"/>
          </w:tcPr>
          <w:p w14:paraId="3973C6C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6.</w:t>
            </w:r>
          </w:p>
        </w:tc>
        <w:tc>
          <w:tcPr>
            <w:tcW w:w="50" w:type="pct"/>
            <w:shd w:val="clear" w:color="auto" w:fill="auto"/>
          </w:tcPr>
          <w:p w14:paraId="3973C6C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C2" w14:textId="77777777" w:rsidR="007B027D" w:rsidRDefault="008E0125">
            <w:pPr>
              <w:pStyle w:val="a3"/>
              <w:spacing w:beforeAutospacing="0" w:afterAutospacing="0"/>
              <w:rPr>
                <w:rFonts w:ascii="Calibri" w:hAnsi="Calibri" w:cs="Calibri"/>
                <w:sz w:val="17"/>
                <w:szCs w:val="17"/>
              </w:rPr>
            </w:pPr>
            <w:hyperlink r:id="rId13" w:anchor="Reserved" w:history="1">
              <w:r>
                <w:rPr>
                  <w:rStyle w:val="a5"/>
                  <w:rFonts w:ascii="Calibri" w:hAnsi="Calibri" w:cs="Calibri"/>
                  <w:sz w:val="17"/>
                  <w:szCs w:val="17"/>
                </w:rPr>
                <w:t>[Reserved]</w:t>
              </w:r>
            </w:hyperlink>
          </w:p>
        </w:tc>
        <w:tc>
          <w:tcPr>
            <w:tcW w:w="50" w:type="pct"/>
            <w:shd w:val="clear" w:color="auto" w:fill="auto"/>
          </w:tcPr>
          <w:p w14:paraId="3973C6C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C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35</w:t>
            </w:r>
          </w:p>
        </w:tc>
      </w:tr>
      <w:tr w:rsidR="007B027D" w14:paraId="3973C6CB" w14:textId="77777777">
        <w:tc>
          <w:tcPr>
            <w:tcW w:w="400" w:type="pct"/>
            <w:shd w:val="clear" w:color="auto" w:fill="auto"/>
          </w:tcPr>
          <w:p w14:paraId="3973C6C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C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C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C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C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D1" w14:textId="77777777">
        <w:tc>
          <w:tcPr>
            <w:tcW w:w="400" w:type="pct"/>
            <w:shd w:val="clear" w:color="auto" w:fill="auto"/>
          </w:tcPr>
          <w:p w14:paraId="3973C6CC"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7.</w:t>
            </w:r>
          </w:p>
        </w:tc>
        <w:tc>
          <w:tcPr>
            <w:tcW w:w="50" w:type="pct"/>
            <w:shd w:val="clear" w:color="auto" w:fill="auto"/>
          </w:tcPr>
          <w:p w14:paraId="3973C6C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CE" w14:textId="77777777" w:rsidR="007B027D" w:rsidRDefault="008E0125">
            <w:pPr>
              <w:pStyle w:val="a3"/>
              <w:spacing w:beforeAutospacing="0" w:afterAutospacing="0"/>
              <w:rPr>
                <w:rFonts w:ascii="Calibri" w:hAnsi="Calibri" w:cs="Calibri"/>
                <w:sz w:val="17"/>
                <w:szCs w:val="17"/>
              </w:rPr>
            </w:pPr>
            <w:hyperlink r:id="rId14" w:anchor="ITEM_7_MANAGEMENTS_DISCUSSION_ANALYSIS" w:history="1">
              <w:r>
                <w:rPr>
                  <w:rStyle w:val="a5"/>
                  <w:rFonts w:ascii="Calibri" w:hAnsi="Calibri" w:cs="Calibri"/>
                  <w:sz w:val="17"/>
                  <w:szCs w:val="17"/>
                </w:rPr>
                <w:t>Management’s Discussion and Analysis of Financial Condition and Results of Operations</w:t>
              </w:r>
            </w:hyperlink>
          </w:p>
        </w:tc>
        <w:tc>
          <w:tcPr>
            <w:tcW w:w="50" w:type="pct"/>
            <w:shd w:val="clear" w:color="auto" w:fill="auto"/>
          </w:tcPr>
          <w:p w14:paraId="3973C6C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D0"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36</w:t>
            </w:r>
          </w:p>
        </w:tc>
      </w:tr>
      <w:tr w:rsidR="007B027D" w14:paraId="3973C6D7" w14:textId="77777777">
        <w:tc>
          <w:tcPr>
            <w:tcW w:w="400" w:type="pct"/>
            <w:shd w:val="clear" w:color="auto" w:fill="auto"/>
          </w:tcPr>
          <w:p w14:paraId="3973C6D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D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D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D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D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DD" w14:textId="77777777">
        <w:tc>
          <w:tcPr>
            <w:tcW w:w="400" w:type="pct"/>
            <w:shd w:val="clear" w:color="auto" w:fill="auto"/>
          </w:tcPr>
          <w:p w14:paraId="3973C6D8"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7A.</w:t>
            </w:r>
          </w:p>
        </w:tc>
        <w:tc>
          <w:tcPr>
            <w:tcW w:w="50" w:type="pct"/>
            <w:shd w:val="clear" w:color="auto" w:fill="auto"/>
          </w:tcPr>
          <w:p w14:paraId="3973C6D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DA" w14:textId="77777777" w:rsidR="007B027D" w:rsidRDefault="008E0125">
            <w:pPr>
              <w:pStyle w:val="a3"/>
              <w:spacing w:beforeAutospacing="0" w:afterAutospacing="0"/>
              <w:rPr>
                <w:rFonts w:ascii="Calibri" w:hAnsi="Calibri" w:cs="Calibri"/>
                <w:sz w:val="17"/>
                <w:szCs w:val="17"/>
              </w:rPr>
            </w:pPr>
            <w:hyperlink r:id="rId15" w:anchor="ITEM_7A_QUANTITATIVE_QUALITATIVE_DISCLOS" w:history="1">
              <w:r>
                <w:rPr>
                  <w:rStyle w:val="a5"/>
                  <w:rFonts w:ascii="Calibri" w:hAnsi="Calibri" w:cs="Calibri"/>
                  <w:sz w:val="17"/>
                  <w:szCs w:val="17"/>
                </w:rPr>
                <w:t>Quantitative and Qualitative Disclosures About Market Risk</w:t>
              </w:r>
            </w:hyperlink>
          </w:p>
        </w:tc>
        <w:tc>
          <w:tcPr>
            <w:tcW w:w="50" w:type="pct"/>
            <w:shd w:val="clear" w:color="auto" w:fill="auto"/>
          </w:tcPr>
          <w:p w14:paraId="3973C6D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DC"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57</w:t>
            </w:r>
          </w:p>
        </w:tc>
      </w:tr>
      <w:tr w:rsidR="007B027D" w14:paraId="3973C6E3" w14:textId="77777777">
        <w:tc>
          <w:tcPr>
            <w:tcW w:w="400" w:type="pct"/>
            <w:shd w:val="clear" w:color="auto" w:fill="auto"/>
          </w:tcPr>
          <w:p w14:paraId="3973C6D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D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E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E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E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E9" w14:textId="77777777">
        <w:tc>
          <w:tcPr>
            <w:tcW w:w="400" w:type="pct"/>
            <w:shd w:val="clear" w:color="auto" w:fill="auto"/>
          </w:tcPr>
          <w:p w14:paraId="3973C6E4"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8.</w:t>
            </w:r>
          </w:p>
        </w:tc>
        <w:tc>
          <w:tcPr>
            <w:tcW w:w="50" w:type="pct"/>
            <w:shd w:val="clear" w:color="auto" w:fill="auto"/>
          </w:tcPr>
          <w:p w14:paraId="3973C6E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E6" w14:textId="77777777" w:rsidR="007B027D" w:rsidRDefault="008E0125">
            <w:pPr>
              <w:pStyle w:val="a3"/>
              <w:spacing w:beforeAutospacing="0" w:afterAutospacing="0"/>
              <w:rPr>
                <w:rFonts w:ascii="Calibri" w:hAnsi="Calibri" w:cs="Calibri"/>
                <w:sz w:val="17"/>
                <w:szCs w:val="17"/>
              </w:rPr>
            </w:pPr>
            <w:hyperlink r:id="rId16" w:anchor="ITEM_8_FINANCIAL_STATEMENTS_SUPPLEMENTAR" w:history="1">
              <w:r>
                <w:rPr>
                  <w:rStyle w:val="a5"/>
                  <w:rFonts w:ascii="Calibri" w:hAnsi="Calibri" w:cs="Calibri"/>
                  <w:sz w:val="17"/>
                  <w:szCs w:val="17"/>
                </w:rPr>
                <w:t>Financial Statements and Supplementary Data</w:t>
              </w:r>
            </w:hyperlink>
          </w:p>
        </w:tc>
        <w:tc>
          <w:tcPr>
            <w:tcW w:w="50" w:type="pct"/>
            <w:shd w:val="clear" w:color="auto" w:fill="auto"/>
          </w:tcPr>
          <w:p w14:paraId="3973C6E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E8"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58</w:t>
            </w:r>
          </w:p>
        </w:tc>
      </w:tr>
      <w:tr w:rsidR="007B027D" w14:paraId="3973C6EF" w14:textId="77777777">
        <w:tc>
          <w:tcPr>
            <w:tcW w:w="400" w:type="pct"/>
            <w:shd w:val="clear" w:color="auto" w:fill="auto"/>
          </w:tcPr>
          <w:p w14:paraId="3973C6EA"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E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E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E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E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6F5" w14:textId="77777777">
        <w:tc>
          <w:tcPr>
            <w:tcW w:w="400" w:type="pct"/>
            <w:shd w:val="clear" w:color="auto" w:fill="auto"/>
          </w:tcPr>
          <w:p w14:paraId="3973C6F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9.</w:t>
            </w:r>
          </w:p>
        </w:tc>
        <w:tc>
          <w:tcPr>
            <w:tcW w:w="50" w:type="pct"/>
            <w:shd w:val="clear" w:color="auto" w:fill="auto"/>
          </w:tcPr>
          <w:p w14:paraId="3973C6F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F2" w14:textId="77777777" w:rsidR="007B027D" w:rsidRDefault="008E0125">
            <w:pPr>
              <w:pStyle w:val="a3"/>
              <w:spacing w:beforeAutospacing="0" w:afterAutospacing="0"/>
              <w:rPr>
                <w:rFonts w:ascii="Calibri" w:hAnsi="Calibri" w:cs="Calibri"/>
                <w:sz w:val="17"/>
                <w:szCs w:val="17"/>
              </w:rPr>
            </w:pPr>
            <w:hyperlink r:id="rId17" w:anchor="ITEM_9_CHANGES_IN_DISAGREEMENTS_WITH_ACC" w:history="1">
              <w:r>
                <w:rPr>
                  <w:rStyle w:val="a5"/>
                  <w:rFonts w:ascii="Calibri" w:hAnsi="Calibri" w:cs="Calibri"/>
                  <w:sz w:val="17"/>
                  <w:szCs w:val="17"/>
                </w:rPr>
                <w:t>Changes in and Disagreements with Accountants on Accounting and Financial Disclosure</w:t>
              </w:r>
            </w:hyperlink>
          </w:p>
        </w:tc>
        <w:tc>
          <w:tcPr>
            <w:tcW w:w="50" w:type="pct"/>
            <w:shd w:val="clear" w:color="auto" w:fill="auto"/>
          </w:tcPr>
          <w:p w14:paraId="3973C6F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6F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58</w:t>
            </w:r>
          </w:p>
        </w:tc>
      </w:tr>
      <w:tr w:rsidR="007B027D" w14:paraId="3973C6FB" w14:textId="77777777">
        <w:tc>
          <w:tcPr>
            <w:tcW w:w="400" w:type="pct"/>
            <w:shd w:val="clear" w:color="auto" w:fill="auto"/>
          </w:tcPr>
          <w:p w14:paraId="3973C6F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F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6F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6F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6F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01" w14:textId="77777777">
        <w:tc>
          <w:tcPr>
            <w:tcW w:w="400" w:type="pct"/>
            <w:shd w:val="clear" w:color="auto" w:fill="auto"/>
          </w:tcPr>
          <w:p w14:paraId="3973C6FC"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9A.</w:t>
            </w:r>
          </w:p>
        </w:tc>
        <w:tc>
          <w:tcPr>
            <w:tcW w:w="50" w:type="pct"/>
            <w:shd w:val="clear" w:color="auto" w:fill="auto"/>
          </w:tcPr>
          <w:p w14:paraId="3973C6F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6FE" w14:textId="77777777" w:rsidR="007B027D" w:rsidRDefault="008E0125">
            <w:pPr>
              <w:pStyle w:val="a3"/>
              <w:spacing w:beforeAutospacing="0" w:afterAutospacing="0"/>
              <w:rPr>
                <w:rFonts w:ascii="Calibri" w:hAnsi="Calibri" w:cs="Calibri"/>
                <w:sz w:val="17"/>
                <w:szCs w:val="17"/>
              </w:rPr>
            </w:pPr>
            <w:hyperlink r:id="rId18" w:anchor="ITEM_9A_CONTROLS_PROCEDURES" w:history="1">
              <w:r>
                <w:rPr>
                  <w:rStyle w:val="a5"/>
                  <w:rFonts w:ascii="Calibri" w:hAnsi="Calibri" w:cs="Calibri"/>
                  <w:sz w:val="17"/>
                  <w:szCs w:val="17"/>
                </w:rPr>
                <w:t>Controls and Procedures</w:t>
              </w:r>
            </w:hyperlink>
          </w:p>
        </w:tc>
        <w:tc>
          <w:tcPr>
            <w:tcW w:w="50" w:type="pct"/>
            <w:shd w:val="clear" w:color="auto" w:fill="auto"/>
          </w:tcPr>
          <w:p w14:paraId="3973C6F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00"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59</w:t>
            </w:r>
          </w:p>
        </w:tc>
      </w:tr>
      <w:tr w:rsidR="007B027D" w14:paraId="3973C707" w14:textId="77777777">
        <w:tc>
          <w:tcPr>
            <w:tcW w:w="400" w:type="pct"/>
            <w:shd w:val="clear" w:color="auto" w:fill="auto"/>
          </w:tcPr>
          <w:p w14:paraId="3973C70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0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0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0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0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0D" w14:textId="77777777">
        <w:tc>
          <w:tcPr>
            <w:tcW w:w="400" w:type="pct"/>
            <w:shd w:val="clear" w:color="auto" w:fill="auto"/>
          </w:tcPr>
          <w:p w14:paraId="3973C708"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9B.</w:t>
            </w:r>
          </w:p>
        </w:tc>
        <w:tc>
          <w:tcPr>
            <w:tcW w:w="50" w:type="pct"/>
            <w:shd w:val="clear" w:color="auto" w:fill="auto"/>
          </w:tcPr>
          <w:p w14:paraId="3973C70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0A" w14:textId="77777777" w:rsidR="007B027D" w:rsidRDefault="008E0125">
            <w:pPr>
              <w:pStyle w:val="a3"/>
              <w:spacing w:beforeAutospacing="0" w:afterAutospacing="0"/>
              <w:rPr>
                <w:rFonts w:ascii="Calibri" w:hAnsi="Calibri" w:cs="Calibri"/>
                <w:sz w:val="17"/>
                <w:szCs w:val="17"/>
              </w:rPr>
            </w:pPr>
            <w:hyperlink r:id="rId19" w:anchor="ITEM_9B_OR_INFORMATION" w:history="1">
              <w:r>
                <w:rPr>
                  <w:rStyle w:val="a5"/>
                  <w:rFonts w:ascii="Calibri" w:hAnsi="Calibri" w:cs="Calibri"/>
                  <w:sz w:val="17"/>
                  <w:szCs w:val="17"/>
                </w:rPr>
                <w:t>Other Information</w:t>
              </w:r>
            </w:hyperlink>
          </w:p>
        </w:tc>
        <w:tc>
          <w:tcPr>
            <w:tcW w:w="50" w:type="pct"/>
            <w:shd w:val="clear" w:color="auto" w:fill="auto"/>
          </w:tcPr>
          <w:p w14:paraId="3973C70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0C"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60</w:t>
            </w:r>
          </w:p>
        </w:tc>
      </w:tr>
      <w:tr w:rsidR="007B027D" w14:paraId="3973C713" w14:textId="77777777">
        <w:tc>
          <w:tcPr>
            <w:tcW w:w="400" w:type="pct"/>
            <w:shd w:val="clear" w:color="auto" w:fill="auto"/>
          </w:tcPr>
          <w:p w14:paraId="3973C70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0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1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1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1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19" w14:textId="77777777">
        <w:tc>
          <w:tcPr>
            <w:tcW w:w="400" w:type="pct"/>
            <w:shd w:val="clear" w:color="auto" w:fill="auto"/>
          </w:tcPr>
          <w:p w14:paraId="3973C714" w14:textId="77777777" w:rsidR="007B027D" w:rsidRDefault="008E0125">
            <w:pPr>
              <w:pStyle w:val="a3"/>
              <w:spacing w:beforeAutospacing="0" w:afterAutospacing="0"/>
              <w:rPr>
                <w:rFonts w:ascii="Calibri" w:hAnsi="Calibri" w:cs="Calibri"/>
                <w:b/>
                <w:bCs/>
                <w:sz w:val="17"/>
                <w:szCs w:val="17"/>
              </w:rPr>
            </w:pPr>
            <w:r>
              <w:rPr>
                <w:rFonts w:ascii="Calibri" w:hAnsi="Calibri" w:cs="Calibri"/>
                <w:b/>
                <w:bCs/>
                <w:sz w:val="17"/>
                <w:szCs w:val="17"/>
              </w:rPr>
              <w:t>PART III.</w:t>
            </w:r>
          </w:p>
        </w:tc>
        <w:tc>
          <w:tcPr>
            <w:tcW w:w="50" w:type="pct"/>
            <w:shd w:val="clear" w:color="auto" w:fill="auto"/>
          </w:tcPr>
          <w:p w14:paraId="3973C71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16" w14:textId="77777777" w:rsidR="007B027D" w:rsidRDefault="008E0125">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3973C71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18" w14:textId="77777777" w:rsidR="007B027D" w:rsidRDefault="008E0125">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7B027D" w14:paraId="3973C71F" w14:textId="77777777">
        <w:tc>
          <w:tcPr>
            <w:tcW w:w="400" w:type="pct"/>
            <w:shd w:val="clear" w:color="auto" w:fill="auto"/>
          </w:tcPr>
          <w:p w14:paraId="3973C71A" w14:textId="77777777" w:rsidR="007B027D" w:rsidRDefault="008E012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3973C71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1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1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1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25" w14:textId="77777777">
        <w:tc>
          <w:tcPr>
            <w:tcW w:w="400" w:type="pct"/>
            <w:shd w:val="clear" w:color="auto" w:fill="auto"/>
          </w:tcPr>
          <w:p w14:paraId="3973C72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10.</w:t>
            </w:r>
          </w:p>
        </w:tc>
        <w:tc>
          <w:tcPr>
            <w:tcW w:w="50" w:type="pct"/>
            <w:shd w:val="clear" w:color="auto" w:fill="auto"/>
          </w:tcPr>
          <w:p w14:paraId="3973C72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22" w14:textId="77777777" w:rsidR="007B027D" w:rsidRDefault="008E0125">
            <w:pPr>
              <w:pStyle w:val="a3"/>
              <w:spacing w:beforeAutospacing="0" w:afterAutospacing="0"/>
              <w:rPr>
                <w:rFonts w:ascii="Calibri" w:hAnsi="Calibri" w:cs="Calibri"/>
                <w:sz w:val="17"/>
                <w:szCs w:val="17"/>
              </w:rPr>
            </w:pPr>
            <w:hyperlink r:id="rId20" w:anchor="ITEM_10_DIRECTORS_EXECUTIVE_FICERS_CORPO" w:history="1">
              <w:r>
                <w:rPr>
                  <w:rStyle w:val="a5"/>
                  <w:rFonts w:ascii="Calibri" w:hAnsi="Calibri" w:cs="Calibri"/>
                  <w:sz w:val="17"/>
                  <w:szCs w:val="17"/>
                </w:rPr>
                <w:t>Directors, Executive Officers and Corporate Governance</w:t>
              </w:r>
            </w:hyperlink>
          </w:p>
        </w:tc>
        <w:tc>
          <w:tcPr>
            <w:tcW w:w="50" w:type="pct"/>
            <w:shd w:val="clear" w:color="auto" w:fill="auto"/>
          </w:tcPr>
          <w:p w14:paraId="3973C72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2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7B027D" w14:paraId="3973C72B" w14:textId="77777777">
        <w:tc>
          <w:tcPr>
            <w:tcW w:w="400" w:type="pct"/>
            <w:shd w:val="clear" w:color="auto" w:fill="auto"/>
          </w:tcPr>
          <w:p w14:paraId="3973C72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2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2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2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2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31" w14:textId="77777777">
        <w:tc>
          <w:tcPr>
            <w:tcW w:w="400" w:type="pct"/>
            <w:shd w:val="clear" w:color="auto" w:fill="auto"/>
          </w:tcPr>
          <w:p w14:paraId="3973C72C"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11.</w:t>
            </w:r>
          </w:p>
        </w:tc>
        <w:tc>
          <w:tcPr>
            <w:tcW w:w="50" w:type="pct"/>
            <w:shd w:val="clear" w:color="auto" w:fill="auto"/>
          </w:tcPr>
          <w:p w14:paraId="3973C72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2E" w14:textId="77777777" w:rsidR="007B027D" w:rsidRDefault="008E0125">
            <w:pPr>
              <w:pStyle w:val="a3"/>
              <w:spacing w:beforeAutospacing="0" w:afterAutospacing="0"/>
              <w:rPr>
                <w:rFonts w:ascii="Calibri" w:hAnsi="Calibri" w:cs="Calibri"/>
                <w:sz w:val="17"/>
                <w:szCs w:val="17"/>
              </w:rPr>
            </w:pPr>
            <w:hyperlink r:id="rId21" w:anchor="ITEM_11_EXECUTIVE_COMPENSATION" w:history="1">
              <w:r>
                <w:rPr>
                  <w:rStyle w:val="a5"/>
                  <w:rFonts w:ascii="Calibri" w:hAnsi="Calibri" w:cs="Calibri"/>
                  <w:sz w:val="17"/>
                  <w:szCs w:val="17"/>
                </w:rPr>
                <w:t>Executive Compensation</w:t>
              </w:r>
            </w:hyperlink>
          </w:p>
        </w:tc>
        <w:tc>
          <w:tcPr>
            <w:tcW w:w="50" w:type="pct"/>
            <w:shd w:val="clear" w:color="auto" w:fill="auto"/>
          </w:tcPr>
          <w:p w14:paraId="3973C72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30"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7B027D" w14:paraId="3973C737" w14:textId="77777777">
        <w:tc>
          <w:tcPr>
            <w:tcW w:w="400" w:type="pct"/>
            <w:shd w:val="clear" w:color="auto" w:fill="auto"/>
          </w:tcPr>
          <w:p w14:paraId="3973C73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3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3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3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3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3D" w14:textId="77777777">
        <w:tc>
          <w:tcPr>
            <w:tcW w:w="400" w:type="pct"/>
            <w:shd w:val="clear" w:color="auto" w:fill="auto"/>
          </w:tcPr>
          <w:p w14:paraId="3973C738"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12.</w:t>
            </w:r>
          </w:p>
        </w:tc>
        <w:tc>
          <w:tcPr>
            <w:tcW w:w="50" w:type="pct"/>
            <w:shd w:val="clear" w:color="auto" w:fill="auto"/>
          </w:tcPr>
          <w:p w14:paraId="3973C73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3A" w14:textId="77777777" w:rsidR="007B027D" w:rsidRDefault="008E0125">
            <w:pPr>
              <w:pStyle w:val="a3"/>
              <w:spacing w:beforeAutospacing="0" w:afterAutospacing="0"/>
              <w:rPr>
                <w:rFonts w:ascii="Calibri" w:hAnsi="Calibri" w:cs="Calibri"/>
                <w:sz w:val="17"/>
                <w:szCs w:val="17"/>
              </w:rPr>
            </w:pPr>
            <w:hyperlink r:id="rId22" w:anchor="ITEM_12_SECURITY_OWNERSHIP_CERTAIN_BENEF" w:history="1">
              <w:r>
                <w:rPr>
                  <w:rStyle w:val="a5"/>
                  <w:rFonts w:ascii="Calibri" w:hAnsi="Calibri" w:cs="Calibri"/>
                  <w:sz w:val="17"/>
                  <w:szCs w:val="17"/>
                </w:rPr>
                <w:t>Security Ownership of Certain Beneficial Owners and Management and Related Stockholder Matters</w:t>
              </w:r>
            </w:hyperlink>
          </w:p>
        </w:tc>
        <w:tc>
          <w:tcPr>
            <w:tcW w:w="50" w:type="pct"/>
            <w:shd w:val="clear" w:color="auto" w:fill="auto"/>
          </w:tcPr>
          <w:p w14:paraId="3973C73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3C"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7B027D" w14:paraId="3973C743" w14:textId="77777777">
        <w:tc>
          <w:tcPr>
            <w:tcW w:w="400" w:type="pct"/>
            <w:shd w:val="clear" w:color="auto" w:fill="auto"/>
          </w:tcPr>
          <w:p w14:paraId="3973C73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3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4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4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4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49" w14:textId="77777777">
        <w:tc>
          <w:tcPr>
            <w:tcW w:w="400" w:type="pct"/>
            <w:shd w:val="clear" w:color="auto" w:fill="auto"/>
          </w:tcPr>
          <w:p w14:paraId="3973C744"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13.</w:t>
            </w:r>
          </w:p>
        </w:tc>
        <w:tc>
          <w:tcPr>
            <w:tcW w:w="50" w:type="pct"/>
            <w:shd w:val="clear" w:color="auto" w:fill="auto"/>
          </w:tcPr>
          <w:p w14:paraId="3973C745"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46" w14:textId="77777777" w:rsidR="007B027D" w:rsidRDefault="008E0125">
            <w:pPr>
              <w:pStyle w:val="a3"/>
              <w:spacing w:beforeAutospacing="0" w:afterAutospacing="0"/>
              <w:rPr>
                <w:rFonts w:ascii="Calibri" w:hAnsi="Calibri" w:cs="Calibri"/>
                <w:sz w:val="17"/>
                <w:szCs w:val="17"/>
              </w:rPr>
            </w:pPr>
            <w:hyperlink r:id="rId23" w:anchor="ITEM_13_CERTAIN_RELATIONSHIPS_RELATED_TR" w:history="1">
              <w:r>
                <w:rPr>
                  <w:rStyle w:val="a5"/>
                  <w:rFonts w:ascii="Calibri" w:hAnsi="Calibri" w:cs="Calibri"/>
                  <w:sz w:val="17"/>
                  <w:szCs w:val="17"/>
                </w:rPr>
                <w:t>Certain Relationships and Related Transactions, and Director Independence</w:t>
              </w:r>
            </w:hyperlink>
          </w:p>
        </w:tc>
        <w:tc>
          <w:tcPr>
            <w:tcW w:w="50" w:type="pct"/>
            <w:shd w:val="clear" w:color="auto" w:fill="auto"/>
          </w:tcPr>
          <w:p w14:paraId="3973C74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48"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7B027D" w14:paraId="3973C74F" w14:textId="77777777">
        <w:tc>
          <w:tcPr>
            <w:tcW w:w="400" w:type="pct"/>
            <w:shd w:val="clear" w:color="auto" w:fill="auto"/>
          </w:tcPr>
          <w:p w14:paraId="3973C74A"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4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4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4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4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55" w14:textId="77777777">
        <w:tc>
          <w:tcPr>
            <w:tcW w:w="400" w:type="pct"/>
            <w:shd w:val="clear" w:color="auto" w:fill="auto"/>
          </w:tcPr>
          <w:p w14:paraId="3973C750"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14.</w:t>
            </w:r>
          </w:p>
        </w:tc>
        <w:tc>
          <w:tcPr>
            <w:tcW w:w="50" w:type="pct"/>
            <w:shd w:val="clear" w:color="auto" w:fill="auto"/>
          </w:tcPr>
          <w:p w14:paraId="3973C751"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52" w14:textId="77777777" w:rsidR="007B027D" w:rsidRDefault="008E0125">
            <w:pPr>
              <w:pStyle w:val="a3"/>
              <w:spacing w:beforeAutospacing="0" w:afterAutospacing="0"/>
              <w:rPr>
                <w:rFonts w:ascii="Calibri" w:hAnsi="Calibri" w:cs="Calibri"/>
                <w:sz w:val="17"/>
                <w:szCs w:val="17"/>
              </w:rPr>
            </w:pPr>
            <w:hyperlink r:id="rId24" w:anchor="ITEM_14_PRINCIPAL_ACCOUNTING_FEES_SERVIC" w:history="1">
              <w:r>
                <w:rPr>
                  <w:rStyle w:val="a5"/>
                  <w:rFonts w:ascii="Calibri" w:hAnsi="Calibri" w:cs="Calibri"/>
                  <w:sz w:val="17"/>
                  <w:szCs w:val="17"/>
                </w:rPr>
                <w:t>Principal Accountant Fees and Services</w:t>
              </w:r>
            </w:hyperlink>
          </w:p>
        </w:tc>
        <w:tc>
          <w:tcPr>
            <w:tcW w:w="50" w:type="pct"/>
            <w:shd w:val="clear" w:color="auto" w:fill="auto"/>
          </w:tcPr>
          <w:p w14:paraId="3973C75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5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7B027D" w14:paraId="3973C75B" w14:textId="77777777">
        <w:tc>
          <w:tcPr>
            <w:tcW w:w="400" w:type="pct"/>
            <w:shd w:val="clear" w:color="auto" w:fill="auto"/>
          </w:tcPr>
          <w:p w14:paraId="3973C75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5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58"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5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5A"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61" w14:textId="77777777">
        <w:tc>
          <w:tcPr>
            <w:tcW w:w="400" w:type="pct"/>
            <w:shd w:val="clear" w:color="auto" w:fill="auto"/>
          </w:tcPr>
          <w:p w14:paraId="3973C75C" w14:textId="77777777" w:rsidR="007B027D" w:rsidRDefault="008E0125">
            <w:pPr>
              <w:pStyle w:val="a3"/>
              <w:spacing w:beforeAutospacing="0" w:afterAutospacing="0"/>
              <w:rPr>
                <w:rFonts w:ascii="Calibri" w:hAnsi="Calibri" w:cs="Calibri"/>
                <w:b/>
                <w:bCs/>
                <w:sz w:val="17"/>
                <w:szCs w:val="17"/>
              </w:rPr>
            </w:pPr>
            <w:r>
              <w:rPr>
                <w:rFonts w:ascii="Calibri" w:hAnsi="Calibri" w:cs="Calibri"/>
                <w:b/>
                <w:bCs/>
                <w:sz w:val="17"/>
                <w:szCs w:val="17"/>
              </w:rPr>
              <w:t>PART IV.</w:t>
            </w:r>
          </w:p>
        </w:tc>
        <w:tc>
          <w:tcPr>
            <w:tcW w:w="50" w:type="pct"/>
            <w:shd w:val="clear" w:color="auto" w:fill="auto"/>
          </w:tcPr>
          <w:p w14:paraId="3973C75D"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5E" w14:textId="77777777" w:rsidR="007B027D" w:rsidRDefault="008E0125">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3973C75F"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60" w14:textId="77777777" w:rsidR="007B027D" w:rsidRDefault="008E0125">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7B027D" w14:paraId="3973C767" w14:textId="77777777">
        <w:tc>
          <w:tcPr>
            <w:tcW w:w="400" w:type="pct"/>
            <w:shd w:val="clear" w:color="auto" w:fill="auto"/>
          </w:tcPr>
          <w:p w14:paraId="3973C76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63"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64"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65"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66"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6D" w14:textId="77777777">
        <w:tc>
          <w:tcPr>
            <w:tcW w:w="400" w:type="pct"/>
            <w:shd w:val="clear" w:color="auto" w:fill="auto"/>
          </w:tcPr>
          <w:p w14:paraId="3973C768"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15.</w:t>
            </w:r>
          </w:p>
        </w:tc>
        <w:tc>
          <w:tcPr>
            <w:tcW w:w="50" w:type="pct"/>
            <w:shd w:val="clear" w:color="auto" w:fill="auto"/>
          </w:tcPr>
          <w:p w14:paraId="3973C769"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3973C76A" w14:textId="77777777" w:rsidR="007B027D" w:rsidRDefault="008E0125">
            <w:pPr>
              <w:pStyle w:val="a3"/>
              <w:spacing w:beforeAutospacing="0" w:afterAutospacing="0"/>
              <w:rPr>
                <w:rFonts w:ascii="Calibri" w:hAnsi="Calibri" w:cs="Calibri"/>
                <w:sz w:val="17"/>
                <w:szCs w:val="17"/>
              </w:rPr>
            </w:pPr>
            <w:hyperlink r:id="rId25" w:anchor="ITEM_15_EXHIBITS_FINANCIAL_STATEMENT_SCH" w:history="1">
              <w:r>
                <w:rPr>
                  <w:rStyle w:val="a5"/>
                  <w:rFonts w:ascii="Calibri" w:hAnsi="Calibri" w:cs="Calibri"/>
                  <w:sz w:val="17"/>
                  <w:szCs w:val="17"/>
                </w:rPr>
                <w:t>Exhibits and Financial Statement Schedules</w:t>
              </w:r>
            </w:hyperlink>
          </w:p>
        </w:tc>
        <w:tc>
          <w:tcPr>
            <w:tcW w:w="50" w:type="pct"/>
            <w:shd w:val="clear" w:color="auto" w:fill="auto"/>
          </w:tcPr>
          <w:p w14:paraId="3973C76B"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6C"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62</w:t>
            </w:r>
          </w:p>
        </w:tc>
      </w:tr>
      <w:tr w:rsidR="007B027D" w14:paraId="3973C773" w14:textId="77777777">
        <w:tc>
          <w:tcPr>
            <w:tcW w:w="400" w:type="pct"/>
            <w:shd w:val="clear" w:color="auto" w:fill="auto"/>
          </w:tcPr>
          <w:p w14:paraId="3973C76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6F"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70" w14:textId="77777777" w:rsidR="007B027D" w:rsidRDefault="008E0125">
            <w:pPr>
              <w:pStyle w:val="a3"/>
              <w:spacing w:beforeAutospacing="0" w:afterAutospacing="0"/>
              <w:rPr>
                <w:sz w:val="12"/>
                <w:szCs w:val="12"/>
              </w:rPr>
            </w:pPr>
            <w:r>
              <w:rPr>
                <w:sz w:val="12"/>
                <w:szCs w:val="12"/>
              </w:rPr>
              <w:t> </w:t>
            </w:r>
          </w:p>
        </w:tc>
        <w:tc>
          <w:tcPr>
            <w:tcW w:w="50" w:type="pct"/>
            <w:shd w:val="clear" w:color="auto" w:fill="auto"/>
          </w:tcPr>
          <w:p w14:paraId="3973C77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72"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79" w14:textId="77777777">
        <w:trPr>
          <w:trHeight w:val="171"/>
        </w:trPr>
        <w:tc>
          <w:tcPr>
            <w:tcW w:w="400" w:type="pct"/>
            <w:shd w:val="clear" w:color="auto" w:fill="auto"/>
            <w:vAlign w:val="bottom"/>
          </w:tcPr>
          <w:p w14:paraId="3973C774" w14:textId="77777777" w:rsidR="007B027D" w:rsidRDefault="008E0125">
            <w:pPr>
              <w:pStyle w:val="a3"/>
              <w:spacing w:beforeAutospacing="0" w:afterAutospacing="0"/>
              <w:rPr>
                <w:rFonts w:ascii="Calibri" w:hAnsi="Calibri" w:cs="Calibri"/>
                <w:sz w:val="17"/>
                <w:szCs w:val="17"/>
              </w:rPr>
            </w:pPr>
            <w:r>
              <w:rPr>
                <w:rFonts w:ascii="Calibri" w:hAnsi="Calibri" w:cs="Calibri"/>
                <w:sz w:val="17"/>
                <w:szCs w:val="17"/>
              </w:rPr>
              <w:t>Item 16.</w:t>
            </w:r>
          </w:p>
        </w:tc>
        <w:tc>
          <w:tcPr>
            <w:tcW w:w="50" w:type="pct"/>
            <w:shd w:val="clear" w:color="auto" w:fill="auto"/>
            <w:vAlign w:val="bottom"/>
          </w:tcPr>
          <w:p w14:paraId="3973C775" w14:textId="77777777" w:rsidR="007B027D" w:rsidRDefault="008E0125">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4200" w:type="pct"/>
            <w:shd w:val="clear" w:color="auto" w:fill="auto"/>
            <w:vAlign w:val="bottom"/>
          </w:tcPr>
          <w:p w14:paraId="3973C776" w14:textId="77777777" w:rsidR="007B027D" w:rsidRDefault="008E0125">
            <w:pPr>
              <w:pStyle w:val="a3"/>
              <w:spacing w:beforeAutospacing="0" w:afterAutospacing="0"/>
              <w:rPr>
                <w:rFonts w:ascii="Calibri" w:hAnsi="Calibri" w:cs="Calibri"/>
                <w:sz w:val="17"/>
                <w:szCs w:val="17"/>
              </w:rPr>
            </w:pPr>
            <w:hyperlink r:id="rId26" w:anchor="FORM_10K_SUMMARY" w:history="1">
              <w:r>
                <w:rPr>
                  <w:rStyle w:val="a5"/>
                  <w:rFonts w:ascii="Calibri" w:hAnsi="Calibri" w:cs="Calibri"/>
                  <w:sz w:val="17"/>
                  <w:szCs w:val="17"/>
                </w:rPr>
                <w:t>Form 10-K Summary</w:t>
              </w:r>
            </w:hyperlink>
          </w:p>
        </w:tc>
        <w:tc>
          <w:tcPr>
            <w:tcW w:w="50" w:type="pct"/>
            <w:shd w:val="clear" w:color="auto" w:fill="auto"/>
          </w:tcPr>
          <w:p w14:paraId="3973C777"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78"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109</w:t>
            </w:r>
          </w:p>
        </w:tc>
      </w:tr>
      <w:tr w:rsidR="007B027D" w14:paraId="3973C77F" w14:textId="77777777">
        <w:tc>
          <w:tcPr>
            <w:tcW w:w="400" w:type="pct"/>
            <w:shd w:val="clear" w:color="auto" w:fill="auto"/>
          </w:tcPr>
          <w:p w14:paraId="3973C77A"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7B"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3973C77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7D"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3973C77E" w14:textId="77777777" w:rsidR="007B027D" w:rsidRDefault="008E012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7B027D" w14:paraId="3973C785" w14:textId="77777777">
        <w:tc>
          <w:tcPr>
            <w:tcW w:w="400" w:type="pct"/>
            <w:shd w:val="clear" w:color="auto" w:fill="auto"/>
          </w:tcPr>
          <w:p w14:paraId="3973C78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973C781"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vAlign w:val="bottom"/>
          </w:tcPr>
          <w:p w14:paraId="3973C782" w14:textId="77777777" w:rsidR="007B027D" w:rsidRDefault="008E0125">
            <w:pPr>
              <w:pStyle w:val="a3"/>
              <w:spacing w:beforeAutospacing="0" w:afterAutospacing="0"/>
              <w:rPr>
                <w:rFonts w:ascii="Calibri" w:hAnsi="Calibri" w:cs="Calibri"/>
                <w:sz w:val="17"/>
                <w:szCs w:val="17"/>
              </w:rPr>
            </w:pPr>
            <w:hyperlink r:id="rId27" w:anchor="SIGNATURES" w:history="1">
              <w:r>
                <w:rPr>
                  <w:rStyle w:val="a5"/>
                  <w:rFonts w:ascii="Calibri" w:hAnsi="Calibri" w:cs="Calibri"/>
                  <w:sz w:val="17"/>
                  <w:szCs w:val="17"/>
                </w:rPr>
                <w:t>Signatures</w:t>
              </w:r>
            </w:hyperlink>
          </w:p>
        </w:tc>
        <w:tc>
          <w:tcPr>
            <w:tcW w:w="50" w:type="pct"/>
            <w:shd w:val="clear" w:color="auto" w:fill="auto"/>
          </w:tcPr>
          <w:p w14:paraId="3973C783" w14:textId="77777777" w:rsidR="007B027D" w:rsidRDefault="008E0125">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3973C784" w14:textId="77777777" w:rsidR="007B027D" w:rsidRDefault="008E0125">
            <w:pPr>
              <w:pStyle w:val="a3"/>
              <w:spacing w:beforeAutospacing="0" w:afterAutospacing="0"/>
              <w:jc w:val="right"/>
              <w:rPr>
                <w:rFonts w:ascii="Calibri" w:hAnsi="Calibri" w:cs="Calibri"/>
                <w:sz w:val="17"/>
                <w:szCs w:val="17"/>
              </w:rPr>
            </w:pPr>
            <w:r>
              <w:rPr>
                <w:rFonts w:ascii="Calibri" w:hAnsi="Calibri" w:cs="Calibri"/>
                <w:sz w:val="17"/>
                <w:szCs w:val="17"/>
              </w:rPr>
              <w:t>116</w:t>
            </w:r>
          </w:p>
        </w:tc>
      </w:tr>
      <w:tr w:rsidR="007B027D" w14:paraId="3973C78B" w14:textId="77777777">
        <w:trPr>
          <w:trHeight w:val="180"/>
        </w:trPr>
        <w:tc>
          <w:tcPr>
            <w:tcW w:w="400" w:type="pct"/>
            <w:shd w:val="clear" w:color="auto" w:fill="auto"/>
          </w:tcPr>
          <w:p w14:paraId="3973C786" w14:textId="77777777" w:rsidR="007B027D" w:rsidRDefault="008E0125">
            <w:pPr>
              <w:pStyle w:val="a3"/>
              <w:spacing w:beforeAutospacing="0" w:afterAutospacing="0"/>
              <w:rPr>
                <w:sz w:val="17"/>
                <w:szCs w:val="17"/>
              </w:rPr>
            </w:pPr>
            <w:r>
              <w:rPr>
                <w:sz w:val="17"/>
                <w:szCs w:val="17"/>
              </w:rPr>
              <w:t> </w:t>
            </w:r>
          </w:p>
        </w:tc>
        <w:tc>
          <w:tcPr>
            <w:tcW w:w="50" w:type="pct"/>
            <w:shd w:val="clear" w:color="auto" w:fill="auto"/>
          </w:tcPr>
          <w:p w14:paraId="3973C787" w14:textId="77777777" w:rsidR="007B027D" w:rsidRDefault="008E0125">
            <w:pPr>
              <w:pStyle w:val="a3"/>
              <w:spacing w:beforeAutospacing="0" w:afterAutospacing="0"/>
              <w:jc w:val="both"/>
              <w:rPr>
                <w:sz w:val="17"/>
                <w:szCs w:val="17"/>
              </w:rPr>
            </w:pPr>
            <w:r>
              <w:rPr>
                <w:sz w:val="17"/>
                <w:szCs w:val="17"/>
              </w:rPr>
              <w:t> </w:t>
            </w:r>
          </w:p>
        </w:tc>
        <w:tc>
          <w:tcPr>
            <w:tcW w:w="4200" w:type="pct"/>
            <w:shd w:val="clear" w:color="auto" w:fill="auto"/>
          </w:tcPr>
          <w:p w14:paraId="3973C788" w14:textId="77777777" w:rsidR="007B027D" w:rsidRDefault="008E0125">
            <w:pPr>
              <w:pStyle w:val="a3"/>
              <w:spacing w:beforeAutospacing="0" w:afterAutospacing="0"/>
              <w:rPr>
                <w:sz w:val="17"/>
                <w:szCs w:val="17"/>
              </w:rPr>
            </w:pPr>
            <w:r>
              <w:rPr>
                <w:sz w:val="17"/>
                <w:szCs w:val="17"/>
              </w:rPr>
              <w:t> </w:t>
            </w:r>
          </w:p>
        </w:tc>
        <w:tc>
          <w:tcPr>
            <w:tcW w:w="50" w:type="pct"/>
            <w:shd w:val="clear" w:color="auto" w:fill="auto"/>
          </w:tcPr>
          <w:p w14:paraId="3973C789" w14:textId="77777777" w:rsidR="007B027D" w:rsidRDefault="008E0125">
            <w:pPr>
              <w:pStyle w:val="a3"/>
              <w:spacing w:beforeAutospacing="0" w:afterAutospacing="0"/>
              <w:jc w:val="both"/>
              <w:rPr>
                <w:sz w:val="17"/>
                <w:szCs w:val="17"/>
              </w:rPr>
            </w:pPr>
            <w:r>
              <w:rPr>
                <w:sz w:val="17"/>
                <w:szCs w:val="17"/>
              </w:rPr>
              <w:t> </w:t>
            </w:r>
          </w:p>
        </w:tc>
        <w:tc>
          <w:tcPr>
            <w:tcW w:w="300" w:type="pct"/>
            <w:shd w:val="clear" w:color="auto" w:fill="auto"/>
            <w:vAlign w:val="bottom"/>
          </w:tcPr>
          <w:p w14:paraId="3973C78A" w14:textId="77777777" w:rsidR="007B027D" w:rsidRDefault="008E0125">
            <w:pPr>
              <w:pStyle w:val="a3"/>
              <w:spacing w:beforeAutospacing="0" w:afterAutospacing="0"/>
              <w:jc w:val="right"/>
              <w:rPr>
                <w:sz w:val="17"/>
                <w:szCs w:val="17"/>
              </w:rPr>
            </w:pPr>
            <w:r>
              <w:rPr>
                <w:sz w:val="17"/>
                <w:szCs w:val="17"/>
              </w:rPr>
              <w:t> </w:t>
            </w:r>
          </w:p>
        </w:tc>
      </w:tr>
    </w:tbl>
    <w:p w14:paraId="3973C78C" w14:textId="77777777" w:rsidR="007B027D" w:rsidRDefault="008E0125">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3973C78D" w14:textId="77777777" w:rsidR="007B027D" w:rsidRDefault="008E0125">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3973C78E" w14:textId="77777777" w:rsidR="007B027D" w:rsidRDefault="008E0125">
      <w:pPr>
        <w:pStyle w:val="a3"/>
        <w:spacing w:beforeAutospacing="0" w:afterAutospacing="0"/>
        <w:jc w:val="center"/>
        <w:rPr>
          <w:rFonts w:ascii="Times New Roman" w:hAnsi="Times New Roman"/>
          <w:b/>
          <w:bCs/>
          <w:sz w:val="20"/>
          <w:szCs w:val="20"/>
        </w:rPr>
      </w:pPr>
      <w:r>
        <w:rPr>
          <w:rFonts w:ascii="Times New Roman" w:hAnsi="Times New Roman"/>
          <w:b/>
          <w:bCs/>
          <w:sz w:val="20"/>
          <w:szCs w:val="20"/>
        </w:rPr>
        <w:t> </w:t>
      </w:r>
    </w:p>
    <w:p w14:paraId="3973C78F" w14:textId="77777777" w:rsidR="007B027D" w:rsidRDefault="008E0125">
      <w:pPr>
        <w:pStyle w:val="a3"/>
        <w:spacing w:before="240" w:beforeAutospacing="0" w:afterAutospacing="0"/>
        <w:jc w:val="center"/>
        <w:rPr>
          <w:rFonts w:ascii="Times New Roman" w:hAnsi="Times New Roman"/>
          <w:sz w:val="20"/>
          <w:szCs w:val="20"/>
        </w:rPr>
      </w:pPr>
      <w:r>
        <w:rPr>
          <w:rFonts w:ascii="Times New Roman" w:hAnsi="Times New Roman"/>
          <w:sz w:val="20"/>
          <w:szCs w:val="20"/>
        </w:rPr>
        <w:lastRenderedPageBreak/>
        <w:t> </w:t>
      </w:r>
    </w:p>
    <w:p w14:paraId="3973C790" w14:textId="77777777" w:rsidR="007B027D" w:rsidRDefault="008E0125">
      <w:r>
        <w:rPr>
          <w:rFonts w:ascii="Times New Roman" w:hAnsi="Times New Roman"/>
          <w:sz w:val="20"/>
          <w:szCs w:val="20"/>
        </w:rPr>
        <w:pict w14:anchorId="39740039">
          <v:rect id="_x0000_i1026" style="width:415.3pt;height:1.5pt" o:hralign="center" o:hrstd="t" o:hr="t" fillcolor="#a0a0a0" stroked="f"/>
        </w:pict>
      </w:r>
    </w:p>
    <w:p w14:paraId="3973C791" w14:textId="77777777" w:rsidR="007B027D" w:rsidRDefault="008E0125">
      <w:pPr>
        <w:pStyle w:val="a3"/>
        <w:spacing w:beforeAutospacing="0" w:after="120" w:afterAutospacing="0"/>
        <w:rPr>
          <w:rFonts w:ascii="Calibri" w:hAnsi="Calibri" w:cs="Calibri"/>
          <w:sz w:val="18"/>
          <w:szCs w:val="18"/>
        </w:rPr>
      </w:pPr>
      <w:hyperlink r:id="rId28" w:anchor="TABLE_OF_CONTENTS" w:history="1">
        <w:r>
          <w:rPr>
            <w:rStyle w:val="a5"/>
            <w:rFonts w:ascii="Calibri" w:hAnsi="Calibri" w:cs="Calibri"/>
            <w:sz w:val="18"/>
            <w:szCs w:val="18"/>
          </w:rPr>
          <w:t>Table of Contents</w:t>
        </w:r>
      </w:hyperlink>
    </w:p>
    <w:p w14:paraId="3973C792" w14:textId="77777777" w:rsidR="007B027D" w:rsidRDefault="008E0125">
      <w:pPr>
        <w:pStyle w:val="a3"/>
        <w:spacing w:beforeAutospacing="0" w:afterAutospacing="0"/>
        <w:rPr>
          <w:rFonts w:ascii="Calibri" w:hAnsi="Calibri" w:cs="Calibri"/>
          <w:sz w:val="18"/>
          <w:szCs w:val="18"/>
        </w:rPr>
      </w:pPr>
      <w:hyperlink r:id="rId29" w:anchor="ITEM_15_EXHIBITS_FINANCIAL_STATEMENT_SCH" w:history="1">
        <w:r>
          <w:rPr>
            <w:rStyle w:val="a5"/>
            <w:rFonts w:ascii="Calibri" w:hAnsi="Calibri" w:cs="Calibri"/>
            <w:sz w:val="18"/>
            <w:szCs w:val="18"/>
          </w:rPr>
          <w:t>Index to Financial Statements</w:t>
        </w:r>
      </w:hyperlink>
    </w:p>
    <w:p w14:paraId="3973C79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79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795"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Cautionary Note on Forward-Looking Statements</w:t>
      </w:r>
    </w:p>
    <w:p w14:paraId="3973C79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w:t>
      </w:r>
      <w:r>
        <w:rPr>
          <w:rFonts w:ascii="Calibri" w:hAnsi="Calibri" w:cs="Calibri"/>
          <w:sz w:val="20"/>
          <w:szCs w:val="20"/>
        </w:rPr>
        <w:t xml:space="preserve">his Annual Report, the terms “Oracle,” “we,” “us” and “our” refer to Oracle Corporation and its consolidated subsidiaries. This Annual Report on Form 10-K contains statements that are not historical in nature, are predictive in nature, or that depend upon </w:t>
      </w:r>
      <w:r>
        <w:rPr>
          <w:rFonts w:ascii="Calibri" w:hAnsi="Calibri" w:cs="Calibri"/>
          <w:sz w:val="20"/>
          <w:szCs w:val="20"/>
        </w:rPr>
        <w:t xml:space="preserve">or refer to future events or conditions or otherwise contain forward-looking statements within the meaning of Section 21E of the Securities Exchange Act of 1934, as amended (the Exchange Act), and Section 27A of the Securities Act of 1933, as amended (the </w:t>
      </w:r>
      <w:r>
        <w:rPr>
          <w:rFonts w:ascii="Calibri" w:hAnsi="Calibri" w:cs="Calibri"/>
          <w:sz w:val="20"/>
          <w:szCs w:val="20"/>
        </w:rPr>
        <w:t>Securities Act).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9A" w14:textId="77777777">
        <w:tc>
          <w:tcPr>
            <w:tcW w:w="454" w:type="pct"/>
            <w:shd w:val="clear" w:color="auto" w:fill="auto"/>
            <w:noWrap/>
          </w:tcPr>
          <w:p w14:paraId="3973C79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9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99"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possible impact of the Russia-Ukraine situation on our business, including our belief that our profitability and the generation of positive cash flow from our </w:t>
            </w:r>
            <w:r>
              <w:rPr>
                <w:rFonts w:ascii="Calibri" w:hAnsi="Calibri" w:cs="Calibri"/>
                <w:color w:val="000000"/>
                <w:sz w:val="20"/>
                <w:szCs w:val="20"/>
              </w:rPr>
              <w:t>operations will not be jeopardized by the current situation;</w:t>
            </w:r>
          </w:p>
        </w:tc>
      </w:tr>
    </w:tbl>
    <w:p w14:paraId="3973C79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9F" w14:textId="77777777">
        <w:tc>
          <w:tcPr>
            <w:tcW w:w="454" w:type="pct"/>
            <w:shd w:val="clear" w:color="auto" w:fill="auto"/>
            <w:noWrap/>
          </w:tcPr>
          <w:p w14:paraId="3973C79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9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9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3973C7A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A4" w14:textId="77777777">
        <w:tc>
          <w:tcPr>
            <w:tcW w:w="454" w:type="pct"/>
            <w:shd w:val="clear" w:color="auto" w:fill="auto"/>
            <w:noWrap/>
          </w:tcPr>
          <w:p w14:paraId="3973C7A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A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A3"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companies, products, services and technologies </w:t>
            </w:r>
            <w:r>
              <w:rPr>
                <w:rFonts w:ascii="Calibri" w:hAnsi="Calibri" w:cs="Calibri"/>
                <w:color w:val="000000"/>
                <w:sz w:val="20"/>
                <w:szCs w:val="20"/>
              </w:rPr>
              <w:t>to further our corporate strategy as compelling opportunities become available;</w:t>
            </w:r>
          </w:p>
        </w:tc>
      </w:tr>
    </w:tbl>
    <w:p w14:paraId="3973C7A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A9" w14:textId="77777777">
        <w:tc>
          <w:tcPr>
            <w:tcW w:w="454" w:type="pct"/>
            <w:shd w:val="clear" w:color="auto" w:fill="auto"/>
            <w:noWrap/>
          </w:tcPr>
          <w:p w14:paraId="3973C7A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A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A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acquisition of Cerner Corporation;</w:t>
            </w:r>
          </w:p>
        </w:tc>
      </w:tr>
    </w:tbl>
    <w:p w14:paraId="3973C7A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AE" w14:textId="77777777">
        <w:tc>
          <w:tcPr>
            <w:tcW w:w="454" w:type="pct"/>
            <w:shd w:val="clear" w:color="auto" w:fill="auto"/>
            <w:noWrap/>
          </w:tcPr>
          <w:p w14:paraId="3973C7A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A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A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our acquisitions enhance the products and services that we can offer to </w:t>
            </w:r>
            <w:r>
              <w:rPr>
                <w:rFonts w:ascii="Calibri" w:hAnsi="Calibri" w:cs="Calibri"/>
                <w:color w:val="000000"/>
                <w:sz w:val="20"/>
                <w:szCs w:val="20"/>
              </w:rPr>
              <w:t>customers, expand our customer base, provide greater scale to accelerate innovation, grow our revenues and earnings, and increase stockholder value;</w:t>
            </w:r>
          </w:p>
        </w:tc>
      </w:tr>
    </w:tbl>
    <w:p w14:paraId="3973C7A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B3" w14:textId="77777777">
        <w:tc>
          <w:tcPr>
            <w:tcW w:w="454" w:type="pct"/>
            <w:shd w:val="clear" w:color="auto" w:fill="auto"/>
            <w:noWrap/>
          </w:tcPr>
          <w:p w14:paraId="3973C7B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B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B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w:t>
            </w:r>
            <w:r>
              <w:rPr>
                <w:rFonts w:ascii="Calibri" w:hAnsi="Calibri" w:cs="Calibri"/>
                <w:color w:val="000000"/>
                <w:sz w:val="20"/>
                <w:szCs w:val="20"/>
              </w:rPr>
              <w:t>ll continue to increase due to expected growth in our cloud services and our license support offerings, and continued demand for our cloud license and on-premise license offerings;</w:t>
            </w:r>
          </w:p>
        </w:tc>
      </w:tr>
    </w:tbl>
    <w:p w14:paraId="3973C7B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B8" w14:textId="77777777">
        <w:tc>
          <w:tcPr>
            <w:tcW w:w="454" w:type="pct"/>
            <w:shd w:val="clear" w:color="auto" w:fill="auto"/>
            <w:noWrap/>
          </w:tcPr>
          <w:p w14:paraId="3973C7B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B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B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belief that our Oracle Cloud Software-as-a-Service and Oracle Clo</w:t>
            </w:r>
            <w:r>
              <w:rPr>
                <w:rFonts w:ascii="Calibri" w:hAnsi="Calibri" w:cs="Calibri"/>
                <w:color w:val="000000"/>
                <w:sz w:val="20"/>
                <w:szCs w:val="20"/>
              </w:rPr>
              <w:t>ud Infrastructure (SaaS and OCI, respectively, and collectively, Oracle Cloud Services) offerings are opportunities for us to expand our cloud and license business, and that we are in the early stages of what we expect will be a material migration of our e</w:t>
            </w:r>
            <w:r>
              <w:rPr>
                <w:rFonts w:ascii="Calibri" w:hAnsi="Calibri" w:cs="Calibri"/>
                <w:color w:val="000000"/>
                <w:sz w:val="20"/>
                <w:szCs w:val="20"/>
              </w:rPr>
              <w:t>xisting Oracle customer base from on-premise applications and infrastructure products and services to the Oracle Cloud;</w:t>
            </w:r>
          </w:p>
        </w:tc>
      </w:tr>
    </w:tbl>
    <w:p w14:paraId="3973C7B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BD" w14:textId="77777777">
        <w:tc>
          <w:tcPr>
            <w:tcW w:w="454" w:type="pct"/>
            <w:shd w:val="clear" w:color="auto" w:fill="auto"/>
            <w:noWrap/>
          </w:tcPr>
          <w:p w14:paraId="3973C7B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B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B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we can market our SaaS and cloud infrastructure services to a broader ecosystem of small and </w:t>
            </w:r>
            <w:r>
              <w:rPr>
                <w:rFonts w:ascii="Calibri" w:hAnsi="Calibri" w:cs="Calibri"/>
                <w:color w:val="000000"/>
                <w:sz w:val="20"/>
                <w:szCs w:val="20"/>
              </w:rPr>
              <w:t>medium-sized businesses, non-IT lines of business purchasers, developers and partners due to the highly available, intuitive design, low touch and low cost characteristics of the Oracle Cloud;</w:t>
            </w:r>
          </w:p>
        </w:tc>
      </w:tr>
    </w:tbl>
    <w:p w14:paraId="3973C7B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C2" w14:textId="77777777">
        <w:tc>
          <w:tcPr>
            <w:tcW w:w="454" w:type="pct"/>
            <w:shd w:val="clear" w:color="auto" w:fill="auto"/>
            <w:noWrap/>
          </w:tcPr>
          <w:p w14:paraId="3973C7B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C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C1"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substantially all of our </w:t>
            </w:r>
            <w:r>
              <w:rPr>
                <w:rFonts w:ascii="Calibri" w:hAnsi="Calibri" w:cs="Calibri"/>
                <w:color w:val="000000"/>
                <w:sz w:val="20"/>
                <w:szCs w:val="20"/>
              </w:rPr>
              <w:t>customers will renew their license support contracts annually;</w:t>
            </w:r>
          </w:p>
        </w:tc>
      </w:tr>
    </w:tbl>
    <w:p w14:paraId="3973C7C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C7" w14:textId="77777777">
        <w:tc>
          <w:tcPr>
            <w:tcW w:w="454" w:type="pct"/>
            <w:shd w:val="clear" w:color="auto" w:fill="auto"/>
            <w:noWrap/>
          </w:tcPr>
          <w:p w14:paraId="3973C7C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C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C6"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belief that Oracle Fusion Cloud ERP is a strategic suite of applications that is foundational to facilitate and extract more business value out of the adoption of other Oracle SaaS of</w:t>
            </w:r>
            <w:r>
              <w:rPr>
                <w:rFonts w:ascii="Calibri" w:hAnsi="Calibri" w:cs="Calibri"/>
                <w:color w:val="000000"/>
                <w:sz w:val="20"/>
                <w:szCs w:val="20"/>
              </w:rPr>
              <w:t>ferings as customers realize the value of a common data model that spans across core business applications;</w:t>
            </w:r>
          </w:p>
        </w:tc>
      </w:tr>
    </w:tbl>
    <w:p w14:paraId="3973C7C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CC" w14:textId="77777777">
        <w:tc>
          <w:tcPr>
            <w:tcW w:w="454" w:type="pct"/>
            <w:shd w:val="clear" w:color="auto" w:fill="auto"/>
            <w:noWrap/>
          </w:tcPr>
          <w:p w14:paraId="3973C7C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C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C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belief that our SaaS offerings remove business boundaries between front- and back-office activities;</w:t>
            </w:r>
          </w:p>
        </w:tc>
      </w:tr>
    </w:tbl>
    <w:p w14:paraId="3973C7C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D1" w14:textId="77777777">
        <w:tc>
          <w:tcPr>
            <w:tcW w:w="454" w:type="pct"/>
            <w:shd w:val="clear" w:color="auto" w:fill="auto"/>
            <w:noWrap/>
          </w:tcPr>
          <w:p w14:paraId="3973C7C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C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D0"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expectations </w:t>
            </w:r>
            <w:r>
              <w:rPr>
                <w:rFonts w:ascii="Calibri" w:hAnsi="Calibri" w:cs="Calibri"/>
                <w:color w:val="000000"/>
                <w:sz w:val="20"/>
                <w:szCs w:val="20"/>
              </w:rPr>
              <w:t>regarding the ability of the Oracle Autonomous Database to deliver rapid insights and innovation to our customers while also reducing customer downtime and cost;</w:t>
            </w:r>
          </w:p>
        </w:tc>
      </w:tr>
    </w:tbl>
    <w:p w14:paraId="3973C7D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D6" w14:textId="77777777">
        <w:tc>
          <w:tcPr>
            <w:tcW w:w="454" w:type="pct"/>
            <w:shd w:val="clear" w:color="auto" w:fill="auto"/>
            <w:noWrap/>
          </w:tcPr>
          <w:p w14:paraId="3973C7D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D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D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current and expected customer demand will require us to accelerate </w:t>
            </w:r>
            <w:r>
              <w:rPr>
                <w:rFonts w:ascii="Calibri" w:hAnsi="Calibri" w:cs="Calibri"/>
                <w:color w:val="000000"/>
                <w:sz w:val="20"/>
                <w:szCs w:val="20"/>
              </w:rPr>
              <w:t>cloud services and license support expenses in order to expand the Oracle Cloud by increasing existing data center capacity and adding additional data centers in new geographic locations, which may result in lower total operating margins in future periods;</w:t>
            </w:r>
          </w:p>
        </w:tc>
      </w:tr>
    </w:tbl>
    <w:p w14:paraId="3973C7D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DB" w14:textId="77777777">
        <w:tc>
          <w:tcPr>
            <w:tcW w:w="454" w:type="pct"/>
            <w:shd w:val="clear" w:color="auto" w:fill="auto"/>
            <w:noWrap/>
          </w:tcPr>
          <w:p w14:paraId="3973C7D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D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D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our hardware business will have lower operating margins as a percentage of revenues than our cloud and license business;</w:t>
            </w:r>
          </w:p>
        </w:tc>
      </w:tr>
    </w:tbl>
    <w:p w14:paraId="3973C7D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E0" w14:textId="77777777">
        <w:tc>
          <w:tcPr>
            <w:tcW w:w="454" w:type="pct"/>
            <w:shd w:val="clear" w:color="auto" w:fill="auto"/>
            <w:noWrap/>
          </w:tcPr>
          <w:p w14:paraId="3973C7D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D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DF"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we will continue to make significant investments in research and development, an</w:t>
            </w:r>
            <w:r>
              <w:rPr>
                <w:rFonts w:ascii="Calibri" w:hAnsi="Calibri" w:cs="Calibri"/>
                <w:color w:val="000000"/>
                <w:sz w:val="20"/>
                <w:szCs w:val="20"/>
              </w:rPr>
              <w:t>d our belief that research and development efforts are essential to maintaining our competitive position;</w:t>
            </w:r>
          </w:p>
        </w:tc>
      </w:tr>
    </w:tbl>
    <w:p w14:paraId="3973C7E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3973C7E2" w14:textId="77777777" w:rsidR="007B027D" w:rsidRDefault="008E0125">
      <w:r>
        <w:rPr>
          <w:rFonts w:ascii="Calibri" w:hAnsi="Calibri" w:cs="Calibri"/>
          <w:sz w:val="20"/>
          <w:szCs w:val="20"/>
        </w:rPr>
        <w:pict w14:anchorId="3974003A">
          <v:rect id="_x0000_i1027" style="width:415.3pt;height:1.5pt" o:hralign="center" o:hrstd="t" o:hr="t" fillcolor="#a0a0a0" stroked="f"/>
        </w:pict>
      </w:r>
    </w:p>
    <w:p w14:paraId="3973C7E3" w14:textId="77777777" w:rsidR="007B027D" w:rsidRDefault="008E0125">
      <w:pPr>
        <w:pStyle w:val="a3"/>
        <w:spacing w:beforeAutospacing="0" w:after="120" w:afterAutospacing="0"/>
        <w:rPr>
          <w:rFonts w:ascii="Calibri" w:hAnsi="Calibri" w:cs="Calibri"/>
          <w:sz w:val="18"/>
          <w:szCs w:val="18"/>
        </w:rPr>
      </w:pPr>
      <w:hyperlink r:id="rId30" w:anchor="TABLE_OF_CONTENTS" w:history="1">
        <w:r>
          <w:rPr>
            <w:rStyle w:val="a5"/>
            <w:rFonts w:ascii="Calibri" w:hAnsi="Calibri" w:cs="Calibri"/>
            <w:sz w:val="18"/>
            <w:szCs w:val="18"/>
          </w:rPr>
          <w:t>Table of Contents</w:t>
        </w:r>
      </w:hyperlink>
    </w:p>
    <w:p w14:paraId="3973C7E4" w14:textId="77777777" w:rsidR="007B027D" w:rsidRDefault="008E0125">
      <w:pPr>
        <w:pStyle w:val="a3"/>
        <w:spacing w:beforeAutospacing="0" w:afterAutospacing="0"/>
        <w:rPr>
          <w:rFonts w:ascii="Calibri" w:hAnsi="Calibri" w:cs="Calibri"/>
          <w:sz w:val="18"/>
          <w:szCs w:val="18"/>
        </w:rPr>
      </w:pPr>
      <w:hyperlink r:id="rId31" w:anchor="ITEM_15_EXHIBITS_FINANCIAL_STATEMENT_SCH" w:history="1">
        <w:r>
          <w:rPr>
            <w:rStyle w:val="a5"/>
            <w:rFonts w:ascii="Calibri" w:hAnsi="Calibri" w:cs="Calibri"/>
            <w:sz w:val="18"/>
            <w:szCs w:val="18"/>
          </w:rPr>
          <w:t>Index to Financial Statements</w:t>
        </w:r>
      </w:hyperlink>
    </w:p>
    <w:p w14:paraId="3973C7E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E9" w14:textId="77777777">
        <w:tc>
          <w:tcPr>
            <w:tcW w:w="454" w:type="pct"/>
            <w:shd w:val="clear" w:color="auto" w:fill="auto"/>
            <w:noWrap/>
          </w:tcPr>
          <w:p w14:paraId="3973C7E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E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E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expenses;</w:t>
            </w:r>
          </w:p>
        </w:tc>
      </w:tr>
    </w:tbl>
    <w:p w14:paraId="3973C7E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EE" w14:textId="77777777">
        <w:tc>
          <w:tcPr>
            <w:tcW w:w="454" w:type="pct"/>
            <w:shd w:val="clear" w:color="auto" w:fill="auto"/>
            <w:noWrap/>
          </w:tcPr>
          <w:p w14:paraId="3973C7E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E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E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w:t>
            </w:r>
            <w:r>
              <w:rPr>
                <w:rFonts w:ascii="Calibri" w:hAnsi="Calibri" w:cs="Calibri"/>
                <w:color w:val="000000"/>
                <w:sz w:val="20"/>
                <w:szCs w:val="20"/>
              </w:rPr>
              <w:t>expectation that variable expenditures that were curtailed primarily in response to COVID-19 may normalize in future periods provided global economic and health conditions improve;</w:t>
            </w:r>
          </w:p>
        </w:tc>
      </w:tr>
    </w:tbl>
    <w:p w14:paraId="3973C7E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F3" w14:textId="77777777">
        <w:tc>
          <w:tcPr>
            <w:tcW w:w="454" w:type="pct"/>
            <w:shd w:val="clear" w:color="auto" w:fill="auto"/>
            <w:noWrap/>
          </w:tcPr>
          <w:p w14:paraId="3973C7F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F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F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the proportion of our cloud services and </w:t>
            </w:r>
            <w:r>
              <w:rPr>
                <w:rFonts w:ascii="Calibri" w:hAnsi="Calibri" w:cs="Calibri"/>
                <w:color w:val="000000"/>
                <w:sz w:val="20"/>
                <w:szCs w:val="20"/>
              </w:rPr>
              <w:t>license support revenues relative to our cloud license and on-premise license revenues, hardware revenues and services revenues will continue to increase;</w:t>
            </w:r>
          </w:p>
        </w:tc>
      </w:tr>
    </w:tbl>
    <w:p w14:paraId="3973C7F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F8" w14:textId="77777777">
        <w:tc>
          <w:tcPr>
            <w:tcW w:w="454" w:type="pct"/>
            <w:shd w:val="clear" w:color="auto" w:fill="auto"/>
            <w:noWrap/>
          </w:tcPr>
          <w:p w14:paraId="3973C7F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F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F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sufficiency of our sources of funding for working capital, capital expenditures, contractua</w:t>
            </w:r>
            <w:r>
              <w:rPr>
                <w:rFonts w:ascii="Calibri" w:hAnsi="Calibri" w:cs="Calibri"/>
                <w:color w:val="000000"/>
                <w:sz w:val="20"/>
                <w:szCs w:val="20"/>
              </w:rPr>
              <w:t>l obligations, acquisitions, dividends, stock repurchases, debt repayments and other matters;</w:t>
            </w:r>
          </w:p>
        </w:tc>
      </w:tr>
    </w:tbl>
    <w:p w14:paraId="3973C7F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7FD" w14:textId="77777777">
        <w:tc>
          <w:tcPr>
            <w:tcW w:w="454" w:type="pct"/>
            <w:shd w:val="clear" w:color="auto" w:fill="auto"/>
            <w:noWrap/>
          </w:tcPr>
          <w:p w14:paraId="3973C7F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7F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7F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belief that we have adequately provided under U.S. generally accepted accounting principles for outcomes related to our tax audits and that the final ou</w:t>
            </w:r>
            <w:r>
              <w:rPr>
                <w:rFonts w:ascii="Calibri" w:hAnsi="Calibri" w:cs="Calibri"/>
                <w:color w:val="000000"/>
                <w:sz w:val="20"/>
                <w:szCs w:val="20"/>
              </w:rPr>
              <w:t>tcome of our tax-related examinations, agreements or judicial proceedings will not have a material effect on our results of operations, our belief that our net deferred tax assets will likely be realized in the foreseeable future, and our expectations rega</w:t>
            </w:r>
            <w:r>
              <w:rPr>
                <w:rFonts w:ascii="Calibri" w:hAnsi="Calibri" w:cs="Calibri"/>
                <w:color w:val="000000"/>
                <w:sz w:val="20"/>
                <w:szCs w:val="20"/>
              </w:rPr>
              <w:t>rding the “Build Back Better Act” budget reconciliation bill;</w:t>
            </w:r>
          </w:p>
        </w:tc>
      </w:tr>
    </w:tbl>
    <w:p w14:paraId="3973C7F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02" w14:textId="77777777">
        <w:tc>
          <w:tcPr>
            <w:tcW w:w="454" w:type="pct"/>
            <w:shd w:val="clear" w:color="auto" w:fill="auto"/>
            <w:noWrap/>
          </w:tcPr>
          <w:p w14:paraId="3973C7F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0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01"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belief that the outcome of certain legal proceedings and claims to which we are a party will not, individually or in the aggregate, result in losses that are materially in excess of am</w:t>
            </w:r>
            <w:r>
              <w:rPr>
                <w:rFonts w:ascii="Calibri" w:hAnsi="Calibri" w:cs="Calibri"/>
                <w:color w:val="000000"/>
                <w:sz w:val="20"/>
                <w:szCs w:val="20"/>
              </w:rPr>
              <w:t>ounts already recognized, if any;</w:t>
            </w:r>
          </w:p>
        </w:tc>
      </w:tr>
    </w:tbl>
    <w:p w14:paraId="3973C80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07" w14:textId="77777777">
        <w:tc>
          <w:tcPr>
            <w:tcW w:w="454" w:type="pct"/>
            <w:shd w:val="clear" w:color="auto" w:fill="auto"/>
            <w:noWrap/>
          </w:tcPr>
          <w:p w14:paraId="3973C80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0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06"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certain litigation related charges will not recur;</w:t>
            </w:r>
          </w:p>
        </w:tc>
      </w:tr>
    </w:tbl>
    <w:p w14:paraId="3973C80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0C" w14:textId="77777777">
        <w:tc>
          <w:tcPr>
            <w:tcW w:w="454" w:type="pct"/>
            <w:shd w:val="clear" w:color="auto" w:fill="auto"/>
            <w:noWrap/>
          </w:tcPr>
          <w:p w14:paraId="3973C80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0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0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 possibility that certain legal proceedings to which we are a party could have a material impact on our financial position, </w:t>
            </w:r>
            <w:r>
              <w:rPr>
                <w:rFonts w:ascii="Calibri" w:hAnsi="Calibri" w:cs="Calibri"/>
                <w:color w:val="000000"/>
                <w:sz w:val="20"/>
                <w:szCs w:val="20"/>
              </w:rPr>
              <w:t>future cash flows and results of operations;</w:t>
            </w:r>
          </w:p>
        </w:tc>
      </w:tr>
    </w:tbl>
    <w:p w14:paraId="3973C80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11" w14:textId="77777777">
        <w:tc>
          <w:tcPr>
            <w:tcW w:w="454" w:type="pct"/>
            <w:shd w:val="clear" w:color="auto" w:fill="auto"/>
            <w:noWrap/>
          </w:tcPr>
          <w:p w14:paraId="3973C80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0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10"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timing and amount of expenses we expect to incur;</w:t>
            </w:r>
          </w:p>
        </w:tc>
      </w:tr>
    </w:tbl>
    <w:p w14:paraId="3973C81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16" w14:textId="77777777">
        <w:tc>
          <w:tcPr>
            <w:tcW w:w="454" w:type="pct"/>
            <w:shd w:val="clear" w:color="auto" w:fill="auto"/>
            <w:noWrap/>
          </w:tcPr>
          <w:p w14:paraId="3973C81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1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1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cost savings we expect to realize pursuant to our Fiscal 2022 Oracle Restructuring Plan;</w:t>
            </w:r>
          </w:p>
        </w:tc>
      </w:tr>
    </w:tbl>
    <w:p w14:paraId="3973C81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1B" w14:textId="77777777">
        <w:tc>
          <w:tcPr>
            <w:tcW w:w="454" w:type="pct"/>
            <w:shd w:val="clear" w:color="auto" w:fill="auto"/>
            <w:noWrap/>
          </w:tcPr>
          <w:p w14:paraId="3973C81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1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1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declarations of future cash dividend </w:t>
            </w:r>
            <w:r>
              <w:rPr>
                <w:rFonts w:ascii="Calibri" w:hAnsi="Calibri" w:cs="Calibri"/>
                <w:color w:val="000000"/>
                <w:sz w:val="20"/>
                <w:szCs w:val="20"/>
              </w:rPr>
              <w:t>payments and the timing and amount of future stock repurchases, including our expectation that the levels of our future stock repurchase activity may be modified in comparison to past periods in order to use available cash for other purposes;</w:t>
            </w:r>
          </w:p>
        </w:tc>
      </w:tr>
    </w:tbl>
    <w:p w14:paraId="3973C81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20" w14:textId="77777777">
        <w:tc>
          <w:tcPr>
            <w:tcW w:w="454" w:type="pct"/>
            <w:shd w:val="clear" w:color="auto" w:fill="auto"/>
            <w:noWrap/>
          </w:tcPr>
          <w:p w14:paraId="3973C81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1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1F"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w:t>
            </w:r>
            <w:r>
              <w:rPr>
                <w:rFonts w:ascii="Calibri" w:hAnsi="Calibri" w:cs="Calibri"/>
                <w:color w:val="000000"/>
                <w:sz w:val="20"/>
                <w:szCs w:val="20"/>
              </w:rPr>
              <w:t>ectations regarding the impact of recent accounting pronouncements on our consolidated financial statements;</w:t>
            </w:r>
          </w:p>
        </w:tc>
      </w:tr>
    </w:tbl>
    <w:p w14:paraId="3973C82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25" w14:textId="77777777">
        <w:tc>
          <w:tcPr>
            <w:tcW w:w="454" w:type="pct"/>
            <w:shd w:val="clear" w:color="auto" w:fill="auto"/>
            <w:noWrap/>
          </w:tcPr>
          <w:p w14:paraId="3973C82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2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24"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performance of our investments in marketable and non-marketable equity securities and the timing and amount of</w:t>
            </w:r>
            <w:r>
              <w:rPr>
                <w:rFonts w:ascii="Calibri" w:hAnsi="Calibri" w:cs="Calibri"/>
                <w:color w:val="000000"/>
                <w:sz w:val="20"/>
                <w:szCs w:val="20"/>
              </w:rPr>
              <w:t xml:space="preserve"> changes in fair value of these investments;</w:t>
            </w:r>
          </w:p>
        </w:tc>
      </w:tr>
    </w:tbl>
    <w:p w14:paraId="3973C82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2A" w14:textId="77777777">
        <w:tc>
          <w:tcPr>
            <w:tcW w:w="454" w:type="pct"/>
            <w:shd w:val="clear" w:color="auto" w:fill="auto"/>
            <w:noWrap/>
          </w:tcPr>
          <w:p w14:paraId="3973C82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2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29"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to the extent customers renew support contracts or cloud SaaS and OCI contracts from companies that we have acquired prior to fiscal 2022, we will recognize revenues for the full cont</w:t>
            </w:r>
            <w:r>
              <w:rPr>
                <w:rFonts w:ascii="Calibri" w:hAnsi="Calibri" w:cs="Calibri"/>
                <w:color w:val="000000"/>
                <w:sz w:val="20"/>
                <w:szCs w:val="20"/>
              </w:rPr>
              <w:t>racts’ values over the respective renewal periods;</w:t>
            </w:r>
          </w:p>
        </w:tc>
      </w:tr>
    </w:tbl>
    <w:p w14:paraId="3973C82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2F" w14:textId="77777777">
        <w:tc>
          <w:tcPr>
            <w:tcW w:w="454" w:type="pct"/>
            <w:shd w:val="clear" w:color="auto" w:fill="auto"/>
            <w:noWrap/>
          </w:tcPr>
          <w:p w14:paraId="3973C82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2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2E"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ability to predict revenues, particularly certain cloud license and on-premise license revenues and hardware revenues;</w:t>
            </w:r>
          </w:p>
        </w:tc>
      </w:tr>
    </w:tbl>
    <w:p w14:paraId="3973C83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34" w14:textId="77777777">
        <w:tc>
          <w:tcPr>
            <w:tcW w:w="454" w:type="pct"/>
            <w:shd w:val="clear" w:color="auto" w:fill="auto"/>
            <w:noWrap/>
          </w:tcPr>
          <w:p w14:paraId="3973C83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3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33"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 percentages of remaining performance obligations that we </w:t>
            </w:r>
            <w:r>
              <w:rPr>
                <w:rFonts w:ascii="Calibri" w:hAnsi="Calibri" w:cs="Calibri"/>
                <w:color w:val="000000"/>
                <w:sz w:val="20"/>
                <w:szCs w:val="20"/>
              </w:rPr>
              <w:t>expect to recognize as revenues over respective future periods;</w:t>
            </w:r>
          </w:p>
        </w:tc>
      </w:tr>
    </w:tbl>
    <w:p w14:paraId="3973C83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7B027D" w14:paraId="3973C839" w14:textId="77777777">
        <w:tc>
          <w:tcPr>
            <w:tcW w:w="454" w:type="pct"/>
            <w:shd w:val="clear" w:color="auto" w:fill="auto"/>
            <w:noWrap/>
          </w:tcPr>
          <w:p w14:paraId="3973C83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83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3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expectation that the financial impacts of standard warranty or service level provisions in our revenue arrangements will continue to be insignificant;</w:t>
            </w:r>
          </w:p>
        </w:tc>
      </w:tr>
    </w:tbl>
    <w:p w14:paraId="3973C83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“anticipates,” “intends,” “plans,” “believes</w:t>
      </w:r>
      <w:r>
        <w:rPr>
          <w:rFonts w:ascii="Calibri" w:hAnsi="Calibri" w:cs="Calibri"/>
          <w:sz w:val="20"/>
          <w:szCs w:val="20"/>
        </w:rPr>
        <w:t>,” “seeks,” “strives,” “endeavors,” “estimates,” “will,” “should,” “is designed to” and similar expressions. We claim the protection of the safe harbor for forward-looking statements contained in the Exchange Act and the Securities Act for all forward-look</w:t>
      </w:r>
      <w:r>
        <w:rPr>
          <w:rFonts w:ascii="Calibri" w:hAnsi="Calibri" w:cs="Calibri"/>
          <w:sz w:val="20"/>
          <w:szCs w:val="20"/>
        </w:rPr>
        <w:t>ing statements. We have based these forward-looking statements on our current expectations and projections about future events. These forward-looking statements are subject to risks, uncertainties and assumptions about our business that could affect our fu</w:t>
      </w:r>
      <w:r>
        <w:rPr>
          <w:rFonts w:ascii="Calibri" w:hAnsi="Calibri" w:cs="Calibri"/>
          <w:sz w:val="20"/>
          <w:szCs w:val="20"/>
        </w:rPr>
        <w:t>ture results and could cause those results or other outcomes to differ materially from those expressed or implied in the forward-looking statements. Factors that might cause or contribute to such differences include, but are not limited to, those discussed</w:t>
      </w:r>
      <w:r>
        <w:rPr>
          <w:rFonts w:ascii="Calibri" w:hAnsi="Calibri" w:cs="Calibri"/>
          <w:sz w:val="20"/>
          <w:szCs w:val="20"/>
        </w:rPr>
        <w:t xml:space="preserve"> in “Risk Factors” included elsewhere in this Annual Report and as may be updated in </w:t>
      </w:r>
    </w:p>
    <w:p w14:paraId="3973C83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3973C83C" w14:textId="77777777" w:rsidR="007B027D" w:rsidRDefault="008E0125">
      <w:r>
        <w:rPr>
          <w:rFonts w:ascii="Calibri" w:hAnsi="Calibri" w:cs="Calibri"/>
          <w:sz w:val="20"/>
          <w:szCs w:val="20"/>
        </w:rPr>
        <w:pict w14:anchorId="3974003B">
          <v:rect id="_x0000_i1028" style="width:415.3pt;height:1.5pt" o:hralign="center" o:hrstd="t" o:hr="t" fillcolor="#a0a0a0" stroked="f"/>
        </w:pict>
      </w:r>
    </w:p>
    <w:p w14:paraId="3973C83D" w14:textId="77777777" w:rsidR="007B027D" w:rsidRDefault="008E0125">
      <w:pPr>
        <w:pStyle w:val="a3"/>
        <w:spacing w:beforeAutospacing="0" w:after="120" w:afterAutospacing="0"/>
        <w:rPr>
          <w:rFonts w:ascii="Calibri" w:hAnsi="Calibri" w:cs="Calibri"/>
          <w:sz w:val="18"/>
          <w:szCs w:val="18"/>
        </w:rPr>
      </w:pPr>
      <w:hyperlink r:id="rId32" w:anchor="TABLE_OF_CONTENTS" w:history="1">
        <w:r>
          <w:rPr>
            <w:rStyle w:val="a5"/>
            <w:rFonts w:ascii="Calibri" w:hAnsi="Calibri" w:cs="Calibri"/>
            <w:sz w:val="18"/>
            <w:szCs w:val="18"/>
          </w:rPr>
          <w:t>Table of Contents</w:t>
        </w:r>
      </w:hyperlink>
    </w:p>
    <w:p w14:paraId="3973C83E" w14:textId="77777777" w:rsidR="007B027D" w:rsidRDefault="008E0125">
      <w:pPr>
        <w:pStyle w:val="a3"/>
        <w:spacing w:beforeAutospacing="0" w:afterAutospacing="0"/>
        <w:rPr>
          <w:rFonts w:ascii="Calibri" w:hAnsi="Calibri" w:cs="Calibri"/>
          <w:sz w:val="18"/>
          <w:szCs w:val="18"/>
        </w:rPr>
      </w:pPr>
      <w:hyperlink r:id="rId33" w:anchor="ITEM_15_EXHIBITS_FINANCIAL_STATEMENT_SCH" w:history="1">
        <w:r>
          <w:rPr>
            <w:rStyle w:val="a5"/>
            <w:rFonts w:ascii="Calibri" w:hAnsi="Calibri" w:cs="Calibri"/>
            <w:sz w:val="18"/>
            <w:szCs w:val="18"/>
          </w:rPr>
          <w:t>Index to Financial Statements</w:t>
        </w:r>
      </w:hyperlink>
    </w:p>
    <w:p w14:paraId="3973C83F"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4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filings we make from time to time with the U.S. Securities and Exchange Commission (the SEC), including our Quarterly Reports on Form 10-Q to be filed by us in our fis</w:t>
      </w:r>
      <w:r>
        <w:rPr>
          <w:rFonts w:ascii="Calibri" w:hAnsi="Calibri" w:cs="Calibri"/>
          <w:sz w:val="20"/>
          <w:szCs w:val="20"/>
        </w:rPr>
        <w:t xml:space="preserve">cal year 2023, which runs from June 1, 2022 to May 31, 2023. </w:t>
      </w:r>
    </w:p>
    <w:p w14:paraId="3973C84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the extent required by applicable sec</w:t>
      </w:r>
      <w:r>
        <w:rPr>
          <w:rFonts w:ascii="Calibri" w:hAnsi="Calibri" w:cs="Calibri"/>
          <w:sz w:val="20"/>
          <w:szCs w:val="20"/>
        </w:rPr>
        <w:t>urities laws. If we do update one or more forward-looking statements, no inference should be drawn that we will make additional updates with respect to those or other forward-looking statements. New information, future events or risks could cause the forwa</w:t>
      </w:r>
      <w:r>
        <w:rPr>
          <w:rFonts w:ascii="Calibri" w:hAnsi="Calibri" w:cs="Calibri"/>
          <w:sz w:val="20"/>
          <w:szCs w:val="20"/>
        </w:rPr>
        <w:t>rd-looking events we discuss in this Annual Report not to occur. You should not place undue reliance on these forward-looking statements, which reflect our expectations only as of the date of this Annual Report.</w:t>
      </w:r>
    </w:p>
    <w:p w14:paraId="3973C842"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3973C843" w14:textId="77777777" w:rsidR="007B027D" w:rsidRDefault="008E0125">
      <w:r>
        <w:rPr>
          <w:rFonts w:ascii="Calibri" w:hAnsi="Calibri" w:cs="Calibri"/>
          <w:sz w:val="20"/>
          <w:szCs w:val="20"/>
        </w:rPr>
        <w:pict w14:anchorId="3974003C">
          <v:rect id="_x0000_i1029" style="width:415.3pt;height:1.5pt" o:hralign="center" o:hrstd="t" o:hr="t" fillcolor="#a0a0a0" stroked="f"/>
        </w:pict>
      </w:r>
    </w:p>
    <w:p w14:paraId="3973C844" w14:textId="77777777" w:rsidR="007B027D" w:rsidRDefault="008E0125">
      <w:pPr>
        <w:pStyle w:val="a3"/>
        <w:spacing w:beforeAutospacing="0" w:after="120" w:afterAutospacing="0"/>
        <w:rPr>
          <w:rFonts w:ascii="Calibri" w:hAnsi="Calibri" w:cs="Calibri"/>
          <w:sz w:val="18"/>
          <w:szCs w:val="18"/>
        </w:rPr>
      </w:pPr>
      <w:hyperlink r:id="rId34" w:anchor="TABLE_OF_CONTENTS" w:history="1">
        <w:r>
          <w:rPr>
            <w:rStyle w:val="a5"/>
            <w:rFonts w:ascii="Calibri" w:hAnsi="Calibri" w:cs="Calibri"/>
            <w:sz w:val="18"/>
            <w:szCs w:val="18"/>
          </w:rPr>
          <w:t>Table of Contents</w:t>
        </w:r>
      </w:hyperlink>
    </w:p>
    <w:p w14:paraId="3973C845" w14:textId="77777777" w:rsidR="007B027D" w:rsidRDefault="008E0125">
      <w:pPr>
        <w:pStyle w:val="a3"/>
        <w:spacing w:beforeAutospacing="0" w:afterAutospacing="0"/>
        <w:rPr>
          <w:rFonts w:ascii="Calibri" w:hAnsi="Calibri" w:cs="Calibri"/>
          <w:sz w:val="18"/>
          <w:szCs w:val="18"/>
        </w:rPr>
      </w:pPr>
      <w:hyperlink r:id="rId35" w:anchor="ITEM_15_EXHIBITS_FINANCIAL_STATEMENT_SCH" w:history="1">
        <w:r>
          <w:rPr>
            <w:rStyle w:val="a5"/>
            <w:rFonts w:ascii="Calibri" w:hAnsi="Calibri" w:cs="Calibri"/>
            <w:sz w:val="18"/>
            <w:szCs w:val="18"/>
          </w:rPr>
          <w:t>Index to Financial Statements</w:t>
        </w:r>
      </w:hyperlink>
    </w:p>
    <w:p w14:paraId="3973C846"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47"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PART I</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84A" w14:textId="77777777">
        <w:tc>
          <w:tcPr>
            <w:tcW w:w="213" w:type="pct"/>
            <w:shd w:val="clear" w:color="auto" w:fill="auto"/>
            <w:noWrap/>
          </w:tcPr>
          <w:p w14:paraId="3973C848"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3973C849"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Business</w:t>
            </w:r>
          </w:p>
        </w:tc>
      </w:tr>
    </w:tbl>
    <w:p w14:paraId="3973C84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provides products and services that address enterprise information technology (IT) environments. Our products and services </w:t>
      </w:r>
      <w:r>
        <w:rPr>
          <w:rFonts w:ascii="Calibri" w:hAnsi="Calibri" w:cs="Calibri"/>
          <w:sz w:val="20"/>
          <w:szCs w:val="20"/>
        </w:rPr>
        <w:t>include enterprise applications and infrastructure offerings that are delivered worldwide through a variety of flexible and interoperable IT deployment models. These models include on-premise deployments, cloud-based deployments, and hybrid deployments (an</w:t>
      </w:r>
      <w:r>
        <w:rPr>
          <w:rFonts w:ascii="Calibri" w:hAnsi="Calibri" w:cs="Calibri"/>
          <w:sz w:val="20"/>
          <w:szCs w:val="20"/>
        </w:rPr>
        <w:t xml:space="preserve"> approach that combines both on-premise and cloud-based deployment) such as our Oracle Cloud@Customer offering (an instance of Oracle Cloud in a customer’s own data center). Accordingly, we offer choice and flexibility to our customers and facilitate the p</w:t>
      </w:r>
      <w:r>
        <w:rPr>
          <w:rFonts w:ascii="Calibri" w:hAnsi="Calibri" w:cs="Calibri"/>
          <w:sz w:val="20"/>
          <w:szCs w:val="20"/>
        </w:rPr>
        <w:t>roduct, service and deployment combinations that best suit our customers’ needs. Our customers include businesses of many sizes, government agencies, educational institutions and resellers that we market and sell to directly through our worldwide sales for</w:t>
      </w:r>
      <w:r>
        <w:rPr>
          <w:rFonts w:ascii="Calibri" w:hAnsi="Calibri" w:cs="Calibri"/>
          <w:sz w:val="20"/>
          <w:szCs w:val="20"/>
        </w:rPr>
        <w:t>ce and indirectly through the Oracle Partner Network. Using Oracle technologies, our customers build, deploy, run, manage and support their internal and external products, services and business operations including, for example, a global cloud applications</w:t>
      </w:r>
      <w:r>
        <w:rPr>
          <w:rFonts w:ascii="Calibri" w:hAnsi="Calibri" w:cs="Calibri"/>
          <w:sz w:val="20"/>
          <w:szCs w:val="20"/>
        </w:rPr>
        <w:t xml:space="preserve"> developer that utilizes Oracle Cloud Infrastructure (OCI) to power its software-as-a-service (SaaS) offerings; a multi-national financial institution that runs its banking applications using the Oracle Exadata Database Machine; and a global consumer produ</w:t>
      </w:r>
      <w:r>
        <w:rPr>
          <w:rFonts w:ascii="Calibri" w:hAnsi="Calibri" w:cs="Calibri"/>
          <w:sz w:val="20"/>
          <w:szCs w:val="20"/>
        </w:rPr>
        <w:t>cts company that leverages Oracle Fusion Cloud Enterprise Resource Planning for its accounting processes, consolidation and financial planning functions.</w:t>
      </w:r>
    </w:p>
    <w:p w14:paraId="3973C84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Cloud Services offerings, which include Oracle SaaS and OCI offerings, provide comprehensive an</w:t>
      </w:r>
      <w:r>
        <w:rPr>
          <w:rFonts w:ascii="Calibri" w:hAnsi="Calibri" w:cs="Calibri"/>
          <w:sz w:val="20"/>
          <w:szCs w:val="20"/>
        </w:rPr>
        <w:t>d integrated applications and infrastructure services delivered via cloud-based deployment models. Oracle Cloud Services integrate the IT components, including software, hardware and services, on a customer’s behalf in a cloud-based IT environment that Ora</w:t>
      </w:r>
      <w:r>
        <w:rPr>
          <w:rFonts w:ascii="Calibri" w:hAnsi="Calibri" w:cs="Calibri"/>
          <w:sz w:val="20"/>
          <w:szCs w:val="20"/>
        </w:rPr>
        <w:t xml:space="preserve">cle deploys, manages, supports and upgrades for the customer and that a customer may access utilizing common web browsers via a broad spectrum of devices. </w:t>
      </w:r>
    </w:p>
    <w:p w14:paraId="3973C84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Cloud Services are designed to be rapidly deployable to enable customers shorter time to inno</w:t>
      </w:r>
      <w:r>
        <w:rPr>
          <w:rFonts w:ascii="Calibri" w:hAnsi="Calibri" w:cs="Calibri"/>
          <w:sz w:val="20"/>
          <w:szCs w:val="20"/>
        </w:rPr>
        <w:t>vation; intuitive for casual and experienced users; easily maintainable to reduce upgrade, integration and testing work; connectable among differing deployment models to enable interchangeability and extendibility between IT environments; compatible to eas</w:t>
      </w:r>
      <w:r>
        <w:rPr>
          <w:rFonts w:ascii="Calibri" w:hAnsi="Calibri" w:cs="Calibri"/>
          <w:sz w:val="20"/>
          <w:szCs w:val="20"/>
        </w:rPr>
        <w:t xml:space="preserve">ily move workloads between the Oracle Cloud and other IT environments; cost-effective by requiring lower upfront customer investment; and secure, standards-based and reliable. </w:t>
      </w:r>
    </w:p>
    <w:p w14:paraId="3973C84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cloud license and on-premise license deployment offerings include Oracle Applications, Oracle Database and Oracle Middleware software offerings, among others, which customers deploy using IT infrastructure from the Oracle Cloud or their own cloud-ba</w:t>
      </w:r>
      <w:r>
        <w:rPr>
          <w:rFonts w:ascii="Calibri" w:hAnsi="Calibri" w:cs="Calibri"/>
          <w:sz w:val="20"/>
          <w:szCs w:val="20"/>
        </w:rPr>
        <w:t xml:space="preserve">sed or on-premise IT environments. Substantially all customers, at their option, purchase license support contracts when they purchase an Oracle license. </w:t>
      </w:r>
    </w:p>
    <w:p w14:paraId="3973C84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hardware products include Oracle Engineered Systems, servers, storage and industry-specific pr</w:t>
      </w:r>
      <w:r>
        <w:rPr>
          <w:rFonts w:ascii="Calibri" w:hAnsi="Calibri" w:cs="Calibri"/>
          <w:sz w:val="20"/>
          <w:szCs w:val="20"/>
        </w:rPr>
        <w:t xml:space="preserve">oducts, among others. Customers generally opt to purchase hardware support contracts when they purchase Oracle hardware products. </w:t>
      </w:r>
    </w:p>
    <w:p w14:paraId="3973C85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also offers services to assist our customers and partners to maximize the performance of their Oracle purchases. </w:t>
      </w:r>
    </w:p>
    <w:p w14:paraId="3973C85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Prov</w:t>
      </w:r>
      <w:r>
        <w:rPr>
          <w:rFonts w:ascii="Calibri" w:hAnsi="Calibri" w:cs="Calibri"/>
          <w:sz w:val="20"/>
          <w:szCs w:val="20"/>
        </w:rPr>
        <w:t>iding choice and flexibility to Oracle customers as to when and how they deploy Oracle applications and infrastructure technologies is an important element of our corporate strategy. We believe that offering customers broad, comprehensive, flexible and int</w:t>
      </w:r>
      <w:r>
        <w:rPr>
          <w:rFonts w:ascii="Calibri" w:hAnsi="Calibri" w:cs="Calibri"/>
          <w:sz w:val="20"/>
          <w:szCs w:val="20"/>
        </w:rPr>
        <w:t>eroperable deployment models for Oracle applications and infrastructure technologies is important to our growth strategy and better addresses customer needs relative to our competitors, many of whom provide fewer offerings, more restrictive deployment mode</w:t>
      </w:r>
      <w:r>
        <w:rPr>
          <w:rFonts w:ascii="Calibri" w:hAnsi="Calibri" w:cs="Calibri"/>
          <w:sz w:val="20"/>
          <w:szCs w:val="20"/>
        </w:rPr>
        <w:t>ls and less flexibility for a customer’s transition to cloud-based IT environments.</w:t>
      </w:r>
    </w:p>
    <w:p w14:paraId="3973C85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investments in, and innovation with respect to, Oracle products and services that we offer through our three businesses (cloud and license, hardware and services busine</w:t>
      </w:r>
      <w:r>
        <w:rPr>
          <w:rFonts w:ascii="Calibri" w:hAnsi="Calibri" w:cs="Calibri"/>
          <w:sz w:val="20"/>
          <w:szCs w:val="20"/>
        </w:rPr>
        <w:t>sses, described further below) are another important element of our corporate strategy. In fiscal 2022, 2021 and 2020, we invested $7.2 billion, $6.5 billion and $6.1 billion, respectively, in research and development to enhance our existing portfolio of o</w:t>
      </w:r>
      <w:r>
        <w:rPr>
          <w:rFonts w:ascii="Calibri" w:hAnsi="Calibri" w:cs="Calibri"/>
          <w:sz w:val="20"/>
          <w:szCs w:val="20"/>
        </w:rPr>
        <w:t>fferings and to develop new technologies and services. We have a deep understanding as to how applications and infrastructure technologies interact and function with one another including through the use of OCI to power our Oracle Fusion SaaS Applications,</w:t>
      </w:r>
      <w:r>
        <w:rPr>
          <w:rFonts w:ascii="Calibri" w:hAnsi="Calibri" w:cs="Calibri"/>
          <w:sz w:val="20"/>
          <w:szCs w:val="20"/>
        </w:rPr>
        <w:t xml:space="preserve"> which we and our customers use to run internal business processes. We focus our development efforts on improving the performance, security, operation, integration and cost-effectiveness of our offerings </w:t>
      </w:r>
    </w:p>
    <w:p w14:paraId="3973C85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3973C854" w14:textId="77777777" w:rsidR="007B027D" w:rsidRDefault="008E0125">
      <w:r>
        <w:rPr>
          <w:rFonts w:ascii="Calibri" w:hAnsi="Calibri" w:cs="Calibri"/>
          <w:sz w:val="20"/>
          <w:szCs w:val="20"/>
        </w:rPr>
        <w:pict w14:anchorId="3974003D">
          <v:rect id="_x0000_i1030" style="width:415.3pt;height:1.5pt" o:hralign="center" o:hrstd="t" o:hr="t" fillcolor="#a0a0a0" stroked="f"/>
        </w:pict>
      </w:r>
    </w:p>
    <w:p w14:paraId="3973C855" w14:textId="77777777" w:rsidR="007B027D" w:rsidRDefault="008E0125">
      <w:pPr>
        <w:pStyle w:val="a3"/>
        <w:spacing w:beforeAutospacing="0" w:after="120" w:afterAutospacing="0"/>
        <w:rPr>
          <w:rFonts w:ascii="Calibri" w:hAnsi="Calibri" w:cs="Calibri"/>
          <w:sz w:val="18"/>
          <w:szCs w:val="18"/>
        </w:rPr>
      </w:pPr>
      <w:hyperlink r:id="rId36" w:anchor="TABLE_OF_CONTENTS" w:history="1">
        <w:r>
          <w:rPr>
            <w:rStyle w:val="a5"/>
            <w:rFonts w:ascii="Calibri" w:hAnsi="Calibri" w:cs="Calibri"/>
            <w:sz w:val="18"/>
            <w:szCs w:val="18"/>
          </w:rPr>
          <w:t>Table of Contents</w:t>
        </w:r>
      </w:hyperlink>
    </w:p>
    <w:p w14:paraId="3973C856" w14:textId="77777777" w:rsidR="007B027D" w:rsidRDefault="008E0125">
      <w:pPr>
        <w:pStyle w:val="a3"/>
        <w:spacing w:beforeAutospacing="0" w:afterAutospacing="0"/>
        <w:rPr>
          <w:rFonts w:ascii="Calibri" w:hAnsi="Calibri" w:cs="Calibri"/>
          <w:sz w:val="18"/>
          <w:szCs w:val="18"/>
        </w:rPr>
      </w:pPr>
      <w:hyperlink r:id="rId37" w:anchor="ITEM_15_EXHIBITS_FINANCIAL_STATEMENT_SCH" w:history="1">
        <w:r>
          <w:rPr>
            <w:rStyle w:val="a5"/>
            <w:rFonts w:ascii="Calibri" w:hAnsi="Calibri" w:cs="Calibri"/>
            <w:sz w:val="18"/>
            <w:szCs w:val="18"/>
          </w:rPr>
          <w:t>Index to Financial Statements</w:t>
        </w:r>
      </w:hyperlink>
    </w:p>
    <w:p w14:paraId="3973C857"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5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relative to our competitors; facilitating the ease with which organizations are able to deploy, use, manage and maintain our offerings; and incorporating emerging technologies within our offerings to enable leaner </w:t>
      </w:r>
      <w:r>
        <w:rPr>
          <w:rFonts w:ascii="Calibri" w:hAnsi="Calibri" w:cs="Calibri"/>
          <w:sz w:val="20"/>
          <w:szCs w:val="20"/>
        </w:rPr>
        <w:t>business processes, automation and innovation. For example, the Oracle Autonomous Database is designed to deliver transformational infrastructure as an OCI offering that utilizes machine learning capabilities. After an initial purchase of Oracle products a</w:t>
      </w:r>
      <w:r>
        <w:rPr>
          <w:rFonts w:ascii="Calibri" w:hAnsi="Calibri" w:cs="Calibri"/>
          <w:sz w:val="20"/>
          <w:szCs w:val="20"/>
        </w:rPr>
        <w:t>nd services, our customers can continue to benefit from our offerings, research and development efforts and deep IT expertise by electing to purchase and renew Oracle support offerings for their license and hardware deployments, which may include product e</w:t>
      </w:r>
      <w:r>
        <w:rPr>
          <w:rFonts w:ascii="Calibri" w:hAnsi="Calibri" w:cs="Calibri"/>
          <w:sz w:val="20"/>
          <w:szCs w:val="20"/>
        </w:rPr>
        <w:t xml:space="preserve">nhancements that we periodically deliver to our products, and by renewing their Oracle Cloud Services contracts with us. </w:t>
      </w:r>
    </w:p>
    <w:p w14:paraId="3973C85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selective and active acquisition program is another important element of our corporate strategy. We believe that our acquisitions </w:t>
      </w:r>
      <w:r>
        <w:rPr>
          <w:rFonts w:ascii="Calibri" w:hAnsi="Calibri" w:cs="Calibri"/>
          <w:sz w:val="20"/>
          <w:szCs w:val="20"/>
        </w:rPr>
        <w:t>enhance the products and services that we can offer to customers, expand our customer base, provide greater scale to accelerate innovation, grow our revenues and earnings, and increase stockholder value. We have invested billions of dollars over time to ac</w:t>
      </w:r>
      <w:r>
        <w:rPr>
          <w:rFonts w:ascii="Calibri" w:hAnsi="Calibri" w:cs="Calibri"/>
          <w:sz w:val="20"/>
          <w:szCs w:val="20"/>
        </w:rPr>
        <w:t>quire a number of companies, products, services and technologies that add to, are complementary to, or have otherwise enhanced our existing offerings, including our acquisition of Cerner Corporation in June 2022 (see Note 2 of Notes to Consolidated Financi</w:t>
      </w:r>
      <w:r>
        <w:rPr>
          <w:rFonts w:ascii="Calibri" w:hAnsi="Calibri" w:cs="Calibri"/>
          <w:sz w:val="20"/>
          <w:szCs w:val="20"/>
        </w:rPr>
        <w:t>al Statements included elsewhere in this Annual Report for additional information). We expect to continue to acquire companies, products, services and technologies to further our corporate strategy.</w:t>
      </w:r>
    </w:p>
    <w:p w14:paraId="3973C85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w:t>
      </w:r>
      <w:r>
        <w:rPr>
          <w:rFonts w:ascii="Calibri" w:hAnsi="Calibri" w:cs="Calibri"/>
          <w:sz w:val="20"/>
          <w:szCs w:val="20"/>
        </w:rPr>
        <w:t xml:space="preserve">d services, and each is comprised of a single operating segment. Item 7 Management’s Discussion and Analysis of Financial Condition and Results of Operations and Note 14 of Notes to Consolidated Financial Statements, both included elsewhere in this Annual </w:t>
      </w:r>
      <w:r>
        <w:rPr>
          <w:rFonts w:ascii="Calibri" w:hAnsi="Calibri" w:cs="Calibri"/>
          <w:sz w:val="20"/>
          <w:szCs w:val="20"/>
        </w:rPr>
        <w:t>Report, provide additional information related to our businesses and operating segments.</w:t>
      </w:r>
    </w:p>
    <w:p w14:paraId="3973C85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Corporation was incorporated in 2005 as a Delaware corporation and is the successor to operations originally begun in June 1977.</w:t>
      </w:r>
    </w:p>
    <w:p w14:paraId="3973C85C" w14:textId="77777777" w:rsidR="007B027D" w:rsidRDefault="008E0125">
      <w:pPr>
        <w:pStyle w:val="a3"/>
        <w:shd w:val="clear" w:color="auto" w:fill="FFFFFF"/>
        <w:spacing w:before="240" w:beforeAutospacing="0" w:afterAutospacing="0"/>
        <w:jc w:val="both"/>
        <w:rPr>
          <w:rFonts w:ascii="Calibri" w:hAnsi="Calibri" w:cs="Calibri"/>
          <w:b/>
          <w:bCs/>
          <w:color w:val="000000"/>
          <w:sz w:val="20"/>
          <w:szCs w:val="20"/>
        </w:rPr>
      </w:pPr>
      <w:r>
        <w:rPr>
          <w:rFonts w:ascii="Calibri" w:hAnsi="Calibri" w:cs="Calibri"/>
          <w:b/>
          <w:bCs/>
          <w:color w:val="000000"/>
          <w:sz w:val="20"/>
          <w:szCs w:val="20"/>
          <w:shd w:val="clear" w:color="auto" w:fill="FFFFFF"/>
        </w:rPr>
        <w:t>Recent Global Events</w:t>
      </w:r>
    </w:p>
    <w:p w14:paraId="3973C85D"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Oracle withdrew its operations from the Russian Federation and the Republic of Belarus in March 2022. </w:t>
      </w:r>
      <w:r>
        <w:rPr>
          <w:rFonts w:ascii="Calibri" w:hAnsi="Calibri" w:cs="Calibri"/>
          <w:color w:val="000000"/>
          <w:sz w:val="20"/>
          <w:szCs w:val="20"/>
          <w:shd w:val="clear" w:color="auto" w:fill="FFFFFF"/>
        </w:rPr>
        <w:t>Neither of the aforementioned countries, nor Ukraine, have composed or are expected to compose a material portion of Oracle’s total consolidated revenues,</w:t>
      </w:r>
      <w:r>
        <w:rPr>
          <w:rFonts w:ascii="Calibri" w:hAnsi="Calibri" w:cs="Calibri"/>
          <w:color w:val="000000"/>
          <w:sz w:val="20"/>
          <w:szCs w:val="20"/>
          <w:shd w:val="clear" w:color="auto" w:fill="FFFFFF"/>
        </w:rPr>
        <w:t xml:space="preserve"> net income, net assets, or workforce. Our business was also affected by the impacts of COVID-19 during the fiscal 2022 and 2021 periods presented in this Annual Report. For additional discussion of these matters and their impacts to Oracle, and a more com</w:t>
      </w:r>
      <w:r>
        <w:rPr>
          <w:rFonts w:ascii="Calibri" w:hAnsi="Calibri" w:cs="Calibri"/>
          <w:color w:val="000000"/>
          <w:sz w:val="20"/>
          <w:szCs w:val="20"/>
          <w:shd w:val="clear" w:color="auto" w:fill="FFFFFF"/>
        </w:rPr>
        <w:t>plete discussion of the risks we encounter in our business, please refer to Item 1A Risk Factors and Item 7 Management’s Discussion and Analysis of Financial Condition and Results of Operations, each of which are included elsewhere in this Annual Report.</w:t>
      </w:r>
    </w:p>
    <w:p w14:paraId="3973C85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w:t>
      </w:r>
      <w:r>
        <w:rPr>
          <w:rFonts w:ascii="Calibri" w:hAnsi="Calibri" w:cs="Calibri"/>
          <w:b/>
          <w:bCs/>
          <w:sz w:val="20"/>
          <w:szCs w:val="20"/>
        </w:rPr>
        <w:t>racle Applications and Infrastructure Technologies</w:t>
      </w:r>
    </w:p>
    <w:p w14:paraId="3973C85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Oracle’s comprehensive portfolio of applications and infrastructure technologies is designed to address an organization’s IT environment needs including business process, infrastructure and applications de</w:t>
      </w:r>
      <w:r>
        <w:rPr>
          <w:rFonts w:ascii="Calibri" w:hAnsi="Calibri" w:cs="Calibri"/>
          <w:sz w:val="20"/>
          <w:szCs w:val="20"/>
        </w:rPr>
        <w:t>velopment requirements, among others. Oracle technologies are based upon industry standards and are designed to be enterprise-grade, reliable, scalable and secure. Oracle applications and infrastructure technologies including database and middleware softwa</w:t>
      </w:r>
      <w:r>
        <w:rPr>
          <w:rFonts w:ascii="Calibri" w:hAnsi="Calibri" w:cs="Calibri"/>
          <w:sz w:val="20"/>
          <w:szCs w:val="20"/>
        </w:rPr>
        <w:t>re as well as enterprise applications, virtualization, clustering, large-scale systems management and related infrastructure products and services are the building blocks of Oracle Cloud Services, our partners’ cloud services, and our customers’ cloud IT e</w:t>
      </w:r>
      <w:r>
        <w:rPr>
          <w:rFonts w:ascii="Calibri" w:hAnsi="Calibri" w:cs="Calibri"/>
          <w:sz w:val="20"/>
          <w:szCs w:val="20"/>
        </w:rPr>
        <w:t>nvironments. Oracle applications and infrastructure offerings are marketed and sold through our cloud and license, hardware, and services businesses and are delivered through the Oracle Cloud, or through other IT deployment models including cloud-based, hy</w:t>
      </w:r>
      <w:r>
        <w:rPr>
          <w:rFonts w:ascii="Calibri" w:hAnsi="Calibri" w:cs="Calibri"/>
          <w:sz w:val="20"/>
          <w:szCs w:val="20"/>
        </w:rPr>
        <w:t xml:space="preserve">brid and on-premise deployments. We believe Oracle applications and infrastructure offerings enable flexibility, interoperability and choice to best meet customer IT needs. </w:t>
      </w:r>
    </w:p>
    <w:p w14:paraId="3973C86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Oracle Cloud Services offerings are opportunities for us to co</w:t>
      </w:r>
      <w:r>
        <w:rPr>
          <w:rFonts w:ascii="Calibri" w:hAnsi="Calibri" w:cs="Calibri"/>
          <w:sz w:val="20"/>
          <w:szCs w:val="20"/>
        </w:rPr>
        <w:t>ntinue to expand our cloud and license business. We believe that our customers increasingly recognize the value of access to the latest versions of Oracle cloud-based applications and infrastructure capabilities via a lower cost, rapidly deployable, flexib</w:t>
      </w:r>
      <w:r>
        <w:rPr>
          <w:rFonts w:ascii="Calibri" w:hAnsi="Calibri" w:cs="Calibri"/>
          <w:sz w:val="20"/>
          <w:szCs w:val="20"/>
        </w:rPr>
        <w:t>le and interoperable services model that Oracle provisions, manages, upgrades and maintains on our customers’ behalf. We believe that we can market and sell our Oracle SaaS and OCI offerings together to help new and existing customers migrate their extensi</w:t>
      </w:r>
      <w:r>
        <w:rPr>
          <w:rFonts w:ascii="Calibri" w:hAnsi="Calibri" w:cs="Calibri"/>
          <w:sz w:val="20"/>
          <w:szCs w:val="20"/>
        </w:rPr>
        <w:t xml:space="preserve">ve installed base of on-premise and cloud-based applications and infrastructure </w:t>
      </w:r>
    </w:p>
    <w:p w14:paraId="3973C86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3973C862" w14:textId="77777777" w:rsidR="007B027D" w:rsidRDefault="008E0125">
      <w:r>
        <w:rPr>
          <w:rFonts w:ascii="Calibri" w:hAnsi="Calibri" w:cs="Calibri"/>
          <w:sz w:val="20"/>
          <w:szCs w:val="20"/>
        </w:rPr>
        <w:pict w14:anchorId="3974003E">
          <v:rect id="_x0000_i1031" style="width:415.3pt;height:1.5pt" o:hralign="center" o:hrstd="t" o:hr="t" fillcolor="#a0a0a0" stroked="f"/>
        </w:pict>
      </w:r>
    </w:p>
    <w:p w14:paraId="3973C863" w14:textId="77777777" w:rsidR="007B027D" w:rsidRDefault="008E0125">
      <w:pPr>
        <w:pStyle w:val="a3"/>
        <w:spacing w:beforeAutospacing="0" w:after="120" w:afterAutospacing="0"/>
        <w:rPr>
          <w:rFonts w:ascii="Calibri" w:hAnsi="Calibri" w:cs="Calibri"/>
          <w:sz w:val="18"/>
          <w:szCs w:val="18"/>
        </w:rPr>
      </w:pPr>
      <w:hyperlink r:id="rId38" w:anchor="TABLE_OF_CONTENTS" w:history="1">
        <w:r>
          <w:rPr>
            <w:rStyle w:val="a5"/>
            <w:rFonts w:ascii="Calibri" w:hAnsi="Calibri" w:cs="Calibri"/>
            <w:sz w:val="18"/>
            <w:szCs w:val="18"/>
          </w:rPr>
          <w:t>Table of Contents</w:t>
        </w:r>
      </w:hyperlink>
    </w:p>
    <w:p w14:paraId="3973C864" w14:textId="77777777" w:rsidR="007B027D" w:rsidRDefault="008E0125">
      <w:pPr>
        <w:pStyle w:val="a3"/>
        <w:spacing w:beforeAutospacing="0" w:afterAutospacing="0"/>
        <w:rPr>
          <w:rFonts w:ascii="Calibri" w:hAnsi="Calibri" w:cs="Calibri"/>
          <w:sz w:val="18"/>
          <w:szCs w:val="18"/>
        </w:rPr>
      </w:pPr>
      <w:hyperlink r:id="rId39" w:anchor="ITEM_15_EXHIBITS_FINANCIAL_STATEMENT_SCH" w:history="1">
        <w:r>
          <w:rPr>
            <w:rStyle w:val="a5"/>
            <w:rFonts w:ascii="Calibri" w:hAnsi="Calibri" w:cs="Calibri"/>
            <w:sz w:val="18"/>
            <w:szCs w:val="18"/>
          </w:rPr>
          <w:t>Index to Financial Statements</w:t>
        </w:r>
      </w:hyperlink>
    </w:p>
    <w:p w14:paraId="3973C86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6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technologies to the Oracle Cloud, and we believe we are in the ea</w:t>
      </w:r>
      <w:r>
        <w:rPr>
          <w:rFonts w:ascii="Calibri" w:hAnsi="Calibri" w:cs="Calibri"/>
          <w:sz w:val="20"/>
          <w:szCs w:val="20"/>
        </w:rPr>
        <w:t>rly stages of what we expect will be a material migration of our existing Oracle customer base from on-premise applications and infrastructure products and services to the Oracle Cloud. In addition, we also believe we can market our Oracle SaaS and OCI ser</w:t>
      </w:r>
      <w:r>
        <w:rPr>
          <w:rFonts w:ascii="Calibri" w:hAnsi="Calibri" w:cs="Calibri"/>
          <w:sz w:val="20"/>
          <w:szCs w:val="20"/>
        </w:rPr>
        <w:t xml:space="preserve">vices to a broader ecosystem of small and medium-sized businesses, non-IT lines of business purchasers, developers and partners due to the highly available, intuitive design, ease of access, low touch and low cost characteristics of the Oracle Cloud. </w:t>
      </w:r>
    </w:p>
    <w:p w14:paraId="3973C86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r</w:t>
      </w:r>
      <w:r>
        <w:rPr>
          <w:rFonts w:ascii="Calibri" w:hAnsi="Calibri" w:cs="Calibri"/>
          <w:sz w:val="20"/>
          <w:szCs w:val="20"/>
        </w:rPr>
        <w:t xml:space="preserve">ecent periods, customer demand for our applications and infrastructure technologies delivered through our Oracle Cloud Services deployment models has increased. To address customer demand and enable customer choice, we have introduced certain programs for </w:t>
      </w:r>
      <w:r>
        <w:rPr>
          <w:rFonts w:ascii="Calibri" w:hAnsi="Calibri" w:cs="Calibri"/>
          <w:sz w:val="20"/>
          <w:szCs w:val="20"/>
        </w:rPr>
        <w:t>customers to pivot their applications and infrastructure licenses and license support contracts to the Oracle Cloud for new deployments and to migrate to and expand with the Oracle Cloud for their existing workloads. The proportion of our cloud services an</w:t>
      </w:r>
      <w:r>
        <w:rPr>
          <w:rFonts w:ascii="Calibri" w:hAnsi="Calibri" w:cs="Calibri"/>
          <w:sz w:val="20"/>
          <w:szCs w:val="20"/>
        </w:rPr>
        <w:t xml:space="preserve">d license support revenues relative to our cloud license and on-premise license revenues, hardware revenues and services revenues has increased and our cloud services and license support revenues represented 71% of our total revenues during each of fiscal </w:t>
      </w:r>
      <w:r>
        <w:rPr>
          <w:rFonts w:ascii="Calibri" w:hAnsi="Calibri" w:cs="Calibri"/>
          <w:sz w:val="20"/>
          <w:szCs w:val="20"/>
        </w:rPr>
        <w:t>2022 and 2021 and 70% of our total revenues during fiscal 2020. We expect these trends to continue.</w:t>
      </w:r>
    </w:p>
    <w:p w14:paraId="3973C86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Oracle Applications Technologies</w:t>
      </w:r>
    </w:p>
    <w:p w14:paraId="3973C86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applications technologies are marketed, sold, delivered and supported through our cloud and license business. Our ap</w:t>
      </w:r>
      <w:r>
        <w:rPr>
          <w:rFonts w:ascii="Calibri" w:hAnsi="Calibri" w:cs="Calibri"/>
          <w:sz w:val="20"/>
          <w:szCs w:val="20"/>
        </w:rPr>
        <w:t>plications cloud services and license support revenues represented 42%, 41% and 40% of our total cloud services and license support revenues during fiscal 2022, 2021 and 2020, respectively. Oracle applications offerings include our Oracle Cloud SaaS offeri</w:t>
      </w:r>
      <w:r>
        <w:rPr>
          <w:rFonts w:ascii="Calibri" w:hAnsi="Calibri" w:cs="Calibri"/>
          <w:sz w:val="20"/>
          <w:szCs w:val="20"/>
        </w:rPr>
        <w:t>ngs, which are available for customers as a subscription, and Oracle applications license offerings, which are available for customers to purchase for use within the Oracle Cloud, and other cloud-based and on-premise IT environments, and include the option</w:t>
      </w:r>
      <w:r>
        <w:rPr>
          <w:rFonts w:ascii="Calibri" w:hAnsi="Calibri" w:cs="Calibri"/>
          <w:sz w:val="20"/>
          <w:szCs w:val="20"/>
        </w:rPr>
        <w:t xml:space="preserve"> to purchase related license support. Regardless of the deployment model selected, our applications technologies are designed to reduce the risk, cost and complexity of our customers’ IT infrastructures, while supporting customer choice with flexible deplo</w:t>
      </w:r>
      <w:r>
        <w:rPr>
          <w:rFonts w:ascii="Calibri" w:hAnsi="Calibri" w:cs="Calibri"/>
          <w:sz w:val="20"/>
          <w:szCs w:val="20"/>
        </w:rPr>
        <w:t>yment models that readily enable performance, agility, compatibility and extendibility. Our applications technologies are generally designed using industry standard architectures to manage and automate core business functions across the enterprise, as well</w:t>
      </w:r>
      <w:r>
        <w:rPr>
          <w:rFonts w:ascii="Calibri" w:hAnsi="Calibri" w:cs="Calibri"/>
          <w:sz w:val="20"/>
          <w:szCs w:val="20"/>
        </w:rPr>
        <w:t xml:space="preserve"> as to help customers differentiate and innovate in those processes unique to their industries or organizations. We offer applications that are deployable to meet several business automation requirements across a broad range of industries. We also offer in</w:t>
      </w:r>
      <w:r>
        <w:rPr>
          <w:rFonts w:ascii="Calibri" w:hAnsi="Calibri" w:cs="Calibri"/>
          <w:sz w:val="20"/>
          <w:szCs w:val="20"/>
        </w:rPr>
        <w:t>dustry-specific applications, which provide solutions to customers in the automotive, communications, construction and engineering, consumer goods, energy and water, financial services, food and beverage, government and education, healthcare, high technolo</w:t>
      </w:r>
      <w:r>
        <w:rPr>
          <w:rFonts w:ascii="Calibri" w:hAnsi="Calibri" w:cs="Calibri"/>
          <w:sz w:val="20"/>
          <w:szCs w:val="20"/>
        </w:rPr>
        <w:t>gy, hospitality, industrial manufacturing, life sciences, media and entertainment, oil and gas, professional services, retail, travel and transportation, and wholesale distribution industries, among others.</w:t>
      </w:r>
    </w:p>
    <w:p w14:paraId="3973C86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Cloud Software-as-a-Service (SaaS)</w:t>
      </w:r>
    </w:p>
    <w:p w14:paraId="3973C86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Oracle’s broad spectrum of Oracle Cloud SaaS offerings provides customers a choice of software applications that are delivered via a cloud-based IT environment that we deploy, manage, upgrade and support, and that customers purchase by entering into a subs</w:t>
      </w:r>
      <w:r>
        <w:rPr>
          <w:rFonts w:ascii="Calibri" w:hAnsi="Calibri" w:cs="Calibri"/>
          <w:sz w:val="20"/>
          <w:szCs w:val="20"/>
        </w:rPr>
        <w:t>cription agreement with us for a stated period. Customers access Oracle Cloud SaaS offerings utilizing common web browsers via a broad spectrum of devices. Our SaaS offerings are built upon open industry standards such as SQL, Java and HTML5 for easier app</w:t>
      </w:r>
      <w:r>
        <w:rPr>
          <w:rFonts w:ascii="Calibri" w:hAnsi="Calibri" w:cs="Calibri"/>
          <w:sz w:val="20"/>
          <w:szCs w:val="20"/>
        </w:rPr>
        <w:t>lication accessibility, integration and development. Our SaaS offerings represent an industry leading business innovation platform, leveraging Oracle’s Next-Generation Cloud Infrastructure, and include a broad suite of modular, next generation cloud softwa</w:t>
      </w:r>
      <w:r>
        <w:rPr>
          <w:rFonts w:ascii="Calibri" w:hAnsi="Calibri" w:cs="Calibri"/>
          <w:sz w:val="20"/>
          <w:szCs w:val="20"/>
        </w:rPr>
        <w:t>re applications spanning all core business functions including, among others: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6F" w14:textId="77777777">
        <w:tc>
          <w:tcPr>
            <w:tcW w:w="262" w:type="pct"/>
            <w:shd w:val="clear" w:color="auto" w:fill="auto"/>
            <w:noWrap/>
          </w:tcPr>
          <w:p w14:paraId="3973C86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6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6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Oracle Fusion Cloud Enterprise Resource Planning (ERP), which is designed to be a complete, global and integrated ERP solution to help organizations improve decision making and workforce productivity, and to optimize back-office operations by utilizing a s</w:t>
            </w:r>
            <w:r>
              <w:rPr>
                <w:rFonts w:ascii="Calibri" w:hAnsi="Calibri" w:cs="Calibri"/>
                <w:color w:val="000000"/>
                <w:sz w:val="20"/>
                <w:szCs w:val="20"/>
              </w:rPr>
              <w:t xml:space="preserve">ingle data and security model with a common user interface; </w:t>
            </w:r>
          </w:p>
        </w:tc>
      </w:tr>
    </w:tbl>
    <w:p w14:paraId="3973C87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74" w14:textId="77777777">
        <w:tc>
          <w:tcPr>
            <w:tcW w:w="262" w:type="pct"/>
            <w:shd w:val="clear" w:color="auto" w:fill="auto"/>
            <w:noWrap/>
          </w:tcPr>
          <w:p w14:paraId="3973C87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7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7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Oracle Fusion Cloud Enterprise Performance Management (EPM), which is designed to analyze financial performance, drive accurate and agile financial plans, optimize the financial close and c</w:t>
            </w:r>
            <w:r>
              <w:rPr>
                <w:rFonts w:ascii="Calibri" w:hAnsi="Calibri" w:cs="Calibri"/>
                <w:color w:val="000000"/>
                <w:sz w:val="20"/>
                <w:szCs w:val="20"/>
              </w:rPr>
              <w:t>onsolidation process, streamline account reconciliation and satisfy an organization’s reporting requirements;</w:t>
            </w:r>
          </w:p>
        </w:tc>
      </w:tr>
    </w:tbl>
    <w:p w14:paraId="3973C87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3973C876" w14:textId="77777777" w:rsidR="007B027D" w:rsidRDefault="008E0125">
      <w:r>
        <w:rPr>
          <w:rFonts w:ascii="Calibri" w:hAnsi="Calibri" w:cs="Calibri"/>
          <w:sz w:val="20"/>
          <w:szCs w:val="20"/>
        </w:rPr>
        <w:pict w14:anchorId="3974003F">
          <v:rect id="_x0000_i1032" style="width:415.3pt;height:1.5pt" o:hralign="center" o:hrstd="t" o:hr="t" fillcolor="#a0a0a0" stroked="f"/>
        </w:pict>
      </w:r>
    </w:p>
    <w:p w14:paraId="3973C877" w14:textId="77777777" w:rsidR="007B027D" w:rsidRDefault="008E0125">
      <w:pPr>
        <w:pStyle w:val="a3"/>
        <w:spacing w:beforeAutospacing="0" w:after="120" w:afterAutospacing="0"/>
        <w:rPr>
          <w:rFonts w:ascii="Calibri" w:hAnsi="Calibri" w:cs="Calibri"/>
          <w:sz w:val="18"/>
          <w:szCs w:val="18"/>
        </w:rPr>
      </w:pPr>
      <w:hyperlink r:id="rId40" w:anchor="TABLE_OF_CONTENTS" w:history="1">
        <w:r>
          <w:rPr>
            <w:rStyle w:val="a5"/>
            <w:rFonts w:ascii="Calibri" w:hAnsi="Calibri" w:cs="Calibri"/>
            <w:sz w:val="18"/>
            <w:szCs w:val="18"/>
          </w:rPr>
          <w:t>Table of</w:t>
        </w:r>
        <w:r>
          <w:rPr>
            <w:rStyle w:val="a5"/>
            <w:rFonts w:ascii="Calibri" w:hAnsi="Calibri" w:cs="Calibri"/>
            <w:sz w:val="18"/>
            <w:szCs w:val="18"/>
          </w:rPr>
          <w:t xml:space="preserve"> Contents</w:t>
        </w:r>
      </w:hyperlink>
    </w:p>
    <w:p w14:paraId="3973C878" w14:textId="77777777" w:rsidR="007B027D" w:rsidRDefault="008E0125">
      <w:pPr>
        <w:pStyle w:val="a3"/>
        <w:spacing w:beforeAutospacing="0" w:afterAutospacing="0"/>
        <w:rPr>
          <w:rFonts w:ascii="Calibri" w:hAnsi="Calibri" w:cs="Calibri"/>
          <w:sz w:val="18"/>
          <w:szCs w:val="18"/>
        </w:rPr>
      </w:pPr>
      <w:hyperlink r:id="rId41" w:anchor="ITEM_15_EXHIBITS_FINANCIAL_STATEMENT_SCH" w:history="1">
        <w:r>
          <w:rPr>
            <w:rStyle w:val="a5"/>
            <w:rFonts w:ascii="Calibri" w:hAnsi="Calibri" w:cs="Calibri"/>
            <w:sz w:val="18"/>
            <w:szCs w:val="18"/>
          </w:rPr>
          <w:t>Index to Financial Statements</w:t>
        </w:r>
      </w:hyperlink>
    </w:p>
    <w:p w14:paraId="3973C879"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7D" w14:textId="77777777">
        <w:tc>
          <w:tcPr>
            <w:tcW w:w="262" w:type="pct"/>
            <w:shd w:val="clear" w:color="auto" w:fill="auto"/>
            <w:noWrap/>
          </w:tcPr>
          <w:p w14:paraId="3973C87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7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7C"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Oracle Fusion Cloud Supply Chain and Manufacturing Management</w:t>
            </w:r>
            <w:r>
              <w:rPr>
                <w:rFonts w:ascii="Calibri" w:hAnsi="Calibri" w:cs="Calibri"/>
                <w:color w:val="000000"/>
                <w:sz w:val="20"/>
                <w:szCs w:val="20"/>
              </w:rPr>
              <w:t xml:space="preserve"> (SCM), which is designed to help organizations create, optimize and digitize their supply chains and innovate products quickly; </w:t>
            </w:r>
          </w:p>
        </w:tc>
      </w:tr>
    </w:tbl>
    <w:p w14:paraId="3973C87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82" w14:textId="77777777">
        <w:tc>
          <w:tcPr>
            <w:tcW w:w="262" w:type="pct"/>
            <w:shd w:val="clear" w:color="auto" w:fill="auto"/>
            <w:noWrap/>
          </w:tcPr>
          <w:p w14:paraId="3973C87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8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81"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Oracle Fusion Cloud Human Capital Management (HCM), which is designed to help organizations find, develop and </w:t>
            </w:r>
            <w:r>
              <w:rPr>
                <w:rFonts w:ascii="Calibri" w:hAnsi="Calibri" w:cs="Calibri"/>
                <w:color w:val="000000"/>
                <w:sz w:val="20"/>
                <w:szCs w:val="20"/>
              </w:rPr>
              <w:t>retain their talent, enable collaboration, provide complete workforce insights, improve business process efficiency, and enable users to connect to an integrated suite of HCM applications from any device;</w:t>
            </w:r>
          </w:p>
        </w:tc>
      </w:tr>
    </w:tbl>
    <w:p w14:paraId="3973C88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87" w14:textId="77777777">
        <w:tc>
          <w:tcPr>
            <w:tcW w:w="262" w:type="pct"/>
            <w:shd w:val="clear" w:color="auto" w:fill="auto"/>
            <w:noWrap/>
          </w:tcPr>
          <w:p w14:paraId="3973C88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8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86"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Oracle Fusion Sales, Service and </w:t>
            </w:r>
            <w:r>
              <w:rPr>
                <w:rFonts w:ascii="Calibri" w:hAnsi="Calibri" w:cs="Calibri"/>
                <w:color w:val="000000"/>
                <w:sz w:val="20"/>
                <w:szCs w:val="20"/>
              </w:rPr>
              <w:t>Marketing, which are modules that are designed to be complete and integrated solutions to help organizations deliver consistent and personalized customer experiences across their customer channels, touch points and interactions;</w:t>
            </w:r>
          </w:p>
        </w:tc>
      </w:tr>
    </w:tbl>
    <w:p w14:paraId="3973C88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8C" w14:textId="77777777">
        <w:tc>
          <w:tcPr>
            <w:tcW w:w="262" w:type="pct"/>
            <w:shd w:val="clear" w:color="auto" w:fill="auto"/>
            <w:noWrap/>
          </w:tcPr>
          <w:p w14:paraId="3973C88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8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8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NetSuite Applications</w:t>
            </w:r>
            <w:r>
              <w:rPr>
                <w:rFonts w:ascii="Calibri" w:hAnsi="Calibri" w:cs="Calibri"/>
                <w:color w:val="000000"/>
                <w:sz w:val="20"/>
                <w:szCs w:val="20"/>
              </w:rPr>
              <w:t xml:space="preserve"> Suite, which is designed to be a unified, cloud-based applications suite to run a company’s entire business and includes financials and ERP, customer relationship management, human resources, professional services and commerce, among others. Our NetSuite </w:t>
            </w:r>
            <w:r>
              <w:rPr>
                <w:rFonts w:ascii="Calibri" w:hAnsi="Calibri" w:cs="Calibri"/>
                <w:color w:val="000000"/>
                <w:sz w:val="20"/>
                <w:szCs w:val="20"/>
              </w:rPr>
              <w:t>applications are generally marketed to small to medium-sized organizations; and</w:t>
            </w:r>
          </w:p>
        </w:tc>
      </w:tr>
    </w:tbl>
    <w:p w14:paraId="3973C88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91" w14:textId="77777777">
        <w:tc>
          <w:tcPr>
            <w:tcW w:w="262" w:type="pct"/>
            <w:shd w:val="clear" w:color="auto" w:fill="auto"/>
            <w:noWrap/>
          </w:tcPr>
          <w:p w14:paraId="3973C88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8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90"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Oracle Advertising, which enables organizations to leverage their own data and consumer data to inform and measure marketing strategies and programs.</w:t>
            </w:r>
          </w:p>
        </w:tc>
      </w:tr>
    </w:tbl>
    <w:p w14:paraId="3973C89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w:t>
      </w:r>
      <w:r>
        <w:rPr>
          <w:rFonts w:ascii="Calibri" w:hAnsi="Calibri" w:cs="Calibri"/>
          <w:sz w:val="20"/>
          <w:szCs w:val="20"/>
        </w:rPr>
        <w:t>addition, we offer several cloud-based industry solutions to address specific customer needs within certain industries including communications, construction and engineering, education, financial services, government, healthcare, hospitality, manufacturing</w:t>
      </w:r>
      <w:r>
        <w:rPr>
          <w:rFonts w:ascii="Calibri" w:hAnsi="Calibri" w:cs="Calibri"/>
          <w:sz w:val="20"/>
          <w:szCs w:val="20"/>
        </w:rPr>
        <w:t>, and retail, among others.</w:t>
      </w:r>
    </w:p>
    <w:p w14:paraId="3973C89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Customers, partners and other interested parties may elect to subscribe to Oracle applications and infrastructure training and certification programs through a variety of online, cloud-based learning subscriptions offered by Ora</w:t>
      </w:r>
      <w:r>
        <w:rPr>
          <w:rFonts w:ascii="Calibri" w:hAnsi="Calibri" w:cs="Calibri"/>
          <w:sz w:val="20"/>
          <w:szCs w:val="20"/>
        </w:rPr>
        <w:t>cle University. Learners generally have unlimited access to course content delivered during the subscription period.</w:t>
      </w:r>
    </w:p>
    <w:p w14:paraId="3973C89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the comprehensiveness and breadth of our SaaS offerings as a business innovation platform differentiate us from many of our</w:t>
      </w:r>
      <w:r>
        <w:rPr>
          <w:rFonts w:ascii="Calibri" w:hAnsi="Calibri" w:cs="Calibri"/>
          <w:sz w:val="20"/>
          <w:szCs w:val="20"/>
        </w:rPr>
        <w:t xml:space="preserve"> competitors that offer more limited or specialized applications. Our SaaS offerings are designed to support connected business processes in the cloud and are centered on an intuitive and conversational user experience, a responsive, open and flexible busi</w:t>
      </w:r>
      <w:r>
        <w:rPr>
          <w:rFonts w:ascii="Calibri" w:hAnsi="Calibri" w:cs="Calibri"/>
          <w:sz w:val="20"/>
          <w:szCs w:val="20"/>
        </w:rPr>
        <w:t>ness core, and a common data model. We believe Oracle Fusion Cloud ERP is a strategic suite of applications that is foundational to facilitating and extracting more business value out of the adoption of other Oracle SaaS offerings, such as Oracle Fusion Cl</w:t>
      </w:r>
      <w:r>
        <w:rPr>
          <w:rFonts w:ascii="Calibri" w:hAnsi="Calibri" w:cs="Calibri"/>
          <w:sz w:val="20"/>
          <w:szCs w:val="20"/>
        </w:rPr>
        <w:t xml:space="preserve">oud HCM and Oracle Fusion Cloud EPM, as customers realize the value of a common data model that spans across core business applications. We believe our SaaS offerings remove business boundaries between front- and back-office activities. Our SaaS offerings </w:t>
      </w:r>
      <w:r>
        <w:rPr>
          <w:rFonts w:ascii="Calibri" w:hAnsi="Calibri" w:cs="Calibri"/>
          <w:sz w:val="20"/>
          <w:szCs w:val="20"/>
        </w:rPr>
        <w:t>are designed to deliver a secure data isolation architecture and flexible upgrades; self-service access controls for users; a Service-Oriented Architecture; built-in social, mobile and business insight capabilities (analytics); and a high performance, high</w:t>
      </w:r>
      <w:r>
        <w:rPr>
          <w:rFonts w:ascii="Calibri" w:hAnsi="Calibri" w:cs="Calibri"/>
          <w:sz w:val="20"/>
          <w:szCs w:val="20"/>
        </w:rPr>
        <w:t xml:space="preserve"> availability infrastructure based on Oracle’s Next-Generation Cloud Infrastructure. These SaaS capabilities are designed to simplify customer IT environments, reduce time to implement and upgrade, enable agility, reduce risk, provide an intuitive user exp</w:t>
      </w:r>
      <w:r>
        <w:rPr>
          <w:rFonts w:ascii="Calibri" w:hAnsi="Calibri" w:cs="Calibri"/>
          <w:sz w:val="20"/>
          <w:szCs w:val="20"/>
        </w:rPr>
        <w:t>erience for casual and experienced users, and enable customers to focus resources on business growth opportunities. Our SaaS offerings are also designed to natively incorporate advanced technologies such as Internet-of-Things (IoT), artificial intelligence</w:t>
      </w:r>
      <w:r>
        <w:rPr>
          <w:rFonts w:ascii="Calibri" w:hAnsi="Calibri" w:cs="Calibri"/>
          <w:sz w:val="20"/>
          <w:szCs w:val="20"/>
        </w:rPr>
        <w:t xml:space="preserve">, machine learning, blockchain, digital assistants and advances in the “human interface” and how users interact with Oracle Cloud SaaS offerings within a business context or to augment human capabilities to enhance productivity. </w:t>
      </w:r>
    </w:p>
    <w:p w14:paraId="3973C895"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Applications Licens</w:t>
      </w:r>
      <w:r>
        <w:rPr>
          <w:rFonts w:ascii="Calibri" w:hAnsi="Calibri" w:cs="Calibri"/>
          <w:b/>
          <w:bCs/>
          <w:i/>
          <w:iCs/>
          <w:sz w:val="20"/>
          <w:szCs w:val="20"/>
        </w:rPr>
        <w:t>es</w:t>
      </w:r>
    </w:p>
    <w:p w14:paraId="3973C89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Customers have the ability to license Oracle Applications, including Oracle E-Business Suite, PeopleSoft, JD Edwards and Siebel applications, among others, for use within the Oracle Cloud or within their own cloud-based or on-premise IT environments. Th</w:t>
      </w:r>
      <w:r>
        <w:rPr>
          <w:rFonts w:ascii="Calibri" w:hAnsi="Calibri" w:cs="Calibri"/>
          <w:sz w:val="20"/>
          <w:szCs w:val="20"/>
        </w:rPr>
        <w:t xml:space="preserve">ese licensed applications are designed to manage and automate core business functions across the enterprise, including HCM, ERP, EPM, SCM, Customer Experience, and industry-specific applications, as described above, among others. </w:t>
      </w:r>
    </w:p>
    <w:p w14:paraId="3973C89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provide </w:t>
      </w:r>
      <w:r>
        <w:rPr>
          <w:rFonts w:ascii="Calibri" w:hAnsi="Calibri" w:cs="Calibri"/>
          <w:sz w:val="20"/>
          <w:szCs w:val="20"/>
        </w:rPr>
        <w:t>customers the option to purchase license support contracts in connection with the purchase of Oracle Applications licenses.</w:t>
      </w:r>
    </w:p>
    <w:p w14:paraId="3973C89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3973C899" w14:textId="77777777" w:rsidR="007B027D" w:rsidRDefault="008E0125">
      <w:r>
        <w:rPr>
          <w:rFonts w:ascii="Calibri" w:hAnsi="Calibri" w:cs="Calibri"/>
          <w:sz w:val="20"/>
          <w:szCs w:val="20"/>
        </w:rPr>
        <w:pict w14:anchorId="39740040">
          <v:rect id="_x0000_i1033" style="width:415.3pt;height:1.5pt" o:hralign="center" o:hrstd="t" o:hr="t" fillcolor="#a0a0a0" stroked="f"/>
        </w:pict>
      </w:r>
    </w:p>
    <w:p w14:paraId="3973C89A" w14:textId="77777777" w:rsidR="007B027D" w:rsidRDefault="008E0125">
      <w:pPr>
        <w:pStyle w:val="a3"/>
        <w:spacing w:beforeAutospacing="0" w:after="120" w:afterAutospacing="0"/>
        <w:rPr>
          <w:rFonts w:ascii="Calibri" w:hAnsi="Calibri" w:cs="Calibri"/>
          <w:sz w:val="18"/>
          <w:szCs w:val="18"/>
        </w:rPr>
      </w:pPr>
      <w:hyperlink r:id="rId42" w:anchor="TABLE_OF_CONTENTS" w:history="1">
        <w:r>
          <w:rPr>
            <w:rStyle w:val="a5"/>
            <w:rFonts w:ascii="Calibri" w:hAnsi="Calibri" w:cs="Calibri"/>
            <w:sz w:val="18"/>
            <w:szCs w:val="18"/>
          </w:rPr>
          <w:t>Table of Contents</w:t>
        </w:r>
      </w:hyperlink>
    </w:p>
    <w:p w14:paraId="3973C89B" w14:textId="77777777" w:rsidR="007B027D" w:rsidRDefault="008E0125">
      <w:pPr>
        <w:pStyle w:val="a3"/>
        <w:spacing w:beforeAutospacing="0" w:afterAutospacing="0"/>
        <w:rPr>
          <w:rFonts w:ascii="Calibri" w:hAnsi="Calibri" w:cs="Calibri"/>
          <w:sz w:val="18"/>
          <w:szCs w:val="18"/>
        </w:rPr>
      </w:pPr>
      <w:hyperlink r:id="rId43" w:anchor="ITEM_15_EXHIBITS_FINANCIAL_STATEMENT_SCH" w:history="1">
        <w:r>
          <w:rPr>
            <w:rStyle w:val="a5"/>
            <w:rFonts w:ascii="Calibri" w:hAnsi="Calibri" w:cs="Calibri"/>
            <w:sz w:val="18"/>
            <w:szCs w:val="18"/>
          </w:rPr>
          <w:t>Index to Financial Statements</w:t>
        </w:r>
      </w:hyperlink>
    </w:p>
    <w:p w14:paraId="3973C89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9D"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License Support</w:t>
      </w:r>
    </w:p>
    <w:p w14:paraId="3973C89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w:t>
      </w:r>
      <w:r>
        <w:rPr>
          <w:rFonts w:ascii="Calibri" w:hAnsi="Calibri" w:cs="Calibri"/>
          <w:sz w:val="20"/>
          <w:szCs w:val="20"/>
        </w:rPr>
        <w:t>license support offerings are marketed and sold as a part of our cloud and license business. Substantially all of our customers opt to purchase license support contracts when they purchase Oracle applications and infrastructure licenses to run within the O</w:t>
      </w:r>
      <w:r>
        <w:rPr>
          <w:rFonts w:ascii="Calibri" w:hAnsi="Calibri" w:cs="Calibri"/>
          <w:sz w:val="20"/>
          <w:szCs w:val="20"/>
        </w:rPr>
        <w:t xml:space="preserve">racle Cloud or other cloud-based and on-premise IT environments. We believe our license support offerings protect and enhance our customers’ investments in Oracle applications and infrastructure technologies because they provide proactive and personalized </w:t>
      </w:r>
      <w:r>
        <w:rPr>
          <w:rFonts w:ascii="Calibri" w:hAnsi="Calibri" w:cs="Calibri"/>
          <w:sz w:val="20"/>
          <w:szCs w:val="20"/>
        </w:rPr>
        <w:t>support services including Oracle Lifetime Support and unspecified license enhancements and upgrades during the term of the support period. Substantially all license support customers renew their support contracts with us upon expiration in order to contin</w:t>
      </w:r>
      <w:r>
        <w:rPr>
          <w:rFonts w:ascii="Calibri" w:hAnsi="Calibri" w:cs="Calibri"/>
          <w:sz w:val="20"/>
          <w:szCs w:val="20"/>
        </w:rPr>
        <w:t xml:space="preserve">ue to benefit from technical support services and the periodic issuance of unspecified updates and enhancements, which current license support customers are entitled to receive. Our license support contracts are generally priced as a percentage of the net </w:t>
      </w:r>
      <w:r>
        <w:rPr>
          <w:rFonts w:ascii="Calibri" w:hAnsi="Calibri" w:cs="Calibri"/>
          <w:sz w:val="20"/>
          <w:szCs w:val="20"/>
        </w:rPr>
        <w:t>fees paid by the customer to purchase the license, are typically one year in duration and are generally billed to the customer annually in advance.</w:t>
      </w:r>
    </w:p>
    <w:p w14:paraId="3973C89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Oracle Infrastructure Technologies</w:t>
      </w:r>
    </w:p>
    <w:p w14:paraId="3973C8A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infrastructure technologies are marketed, sold and delivered through our cloud and license business and through our hardware business. Our infrastructure technologies are designed to be flexible, cost-effective, standards-based, secure and high-perf</w:t>
      </w:r>
      <w:r>
        <w:rPr>
          <w:rFonts w:ascii="Calibri" w:hAnsi="Calibri" w:cs="Calibri"/>
          <w:sz w:val="20"/>
          <w:szCs w:val="20"/>
        </w:rPr>
        <w:t xml:space="preserve">ormance in order to facilitate the development, running, integration, management and extension across an organization’s cloud-based, on-premise and hybrid IT environments. </w:t>
      </w:r>
    </w:p>
    <w:p w14:paraId="3973C8A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infrastructure technologies include the Oracle Data</w:t>
      </w:r>
      <w:r>
        <w:rPr>
          <w:rFonts w:ascii="Calibri" w:hAnsi="Calibri" w:cs="Calibri"/>
          <w:sz w:val="20"/>
          <w:szCs w:val="20"/>
        </w:rPr>
        <w:t>base, which is the world’s most popular enterprise database; Java, which is the computer industry’s most widely-used software development language; and middleware including development tools, among others. These infrastructure technologies are available th</w:t>
      </w:r>
      <w:r>
        <w:rPr>
          <w:rFonts w:ascii="Calibri" w:hAnsi="Calibri" w:cs="Calibri"/>
          <w:sz w:val="20"/>
          <w:szCs w:val="20"/>
        </w:rPr>
        <w:t>rough a subscription to our OCI offerings or through the purchase of a license and related license support, at the customer’s option, to run within the Oracle Cloud, as a part of a customer’s on-premise cloud services, and in other customer IT environments</w:t>
      </w:r>
      <w:r>
        <w:rPr>
          <w:rFonts w:ascii="Calibri" w:hAnsi="Calibri" w:cs="Calibri"/>
          <w:sz w:val="20"/>
          <w:szCs w:val="20"/>
        </w:rPr>
        <w:t>. Our OCI offerings also include cloud-based compute, storage and networking capabilities, among others, and new and innovative services such as Oracle Autonomous Database (described further below), MySQL HeatWave and emerging technologies such as IoT, dig</w:t>
      </w:r>
      <w:r>
        <w:rPr>
          <w:rFonts w:ascii="Calibri" w:hAnsi="Calibri" w:cs="Calibri"/>
          <w:sz w:val="20"/>
          <w:szCs w:val="20"/>
        </w:rPr>
        <w:t xml:space="preserve">ital assistant, and blockchain. </w:t>
      </w:r>
    </w:p>
    <w:p w14:paraId="3973C8A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infrastructure technologies consist of hardware products and certain unique hardware-related software offerings and include Oracle Engineered Systems, enterprise servers, storage solutions, industry-s</w:t>
      </w:r>
      <w:r>
        <w:rPr>
          <w:rFonts w:ascii="Calibri" w:hAnsi="Calibri" w:cs="Calibri"/>
          <w:sz w:val="20"/>
          <w:szCs w:val="20"/>
        </w:rPr>
        <w:t>pecific hardware, virtualization software, operating systems, management software, and related hardware services, including hardware support at the customer’s option. Our customers utilize Oracle hardware products and related offerings in their cloud-based</w:t>
      </w:r>
      <w:r>
        <w:rPr>
          <w:rFonts w:ascii="Calibri" w:hAnsi="Calibri" w:cs="Calibri"/>
          <w:sz w:val="20"/>
          <w:szCs w:val="20"/>
        </w:rPr>
        <w:t xml:space="preserve">, on-premise or hybrid environments to run their internal business operations and to deliver products and services to their customers. </w:t>
      </w:r>
    </w:p>
    <w:p w14:paraId="3973C8A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design our infrastructure technologies to work in our customers’ on-premise IT environments that may include other Or</w:t>
      </w:r>
      <w:r>
        <w:rPr>
          <w:rFonts w:ascii="Calibri" w:hAnsi="Calibri" w:cs="Calibri"/>
          <w:sz w:val="20"/>
          <w:szCs w:val="20"/>
        </w:rPr>
        <w:t xml:space="preserve">acle or non-Oracle hardware or software components. Our flexible and open approach also provides Oracle customers with a choice as to how they can utilize and deploy Oracle infrastructure technologies: through the use of Oracle Cloud offerings; on-premise </w:t>
      </w:r>
      <w:r>
        <w:rPr>
          <w:rFonts w:ascii="Calibri" w:hAnsi="Calibri" w:cs="Calibri"/>
          <w:sz w:val="20"/>
          <w:szCs w:val="20"/>
        </w:rPr>
        <w:t>in our customers’ data centers; or a hybrid combination of these two deployment models, such as in the Oracle Cloud@Customer deployment model (described further below). We focus on the operation and integration of Oracle infrastructure technologies to make</w:t>
      </w:r>
      <w:r>
        <w:rPr>
          <w:rFonts w:ascii="Calibri" w:hAnsi="Calibri" w:cs="Calibri"/>
          <w:sz w:val="20"/>
          <w:szCs w:val="20"/>
        </w:rPr>
        <w:t xml:space="preserve"> them easier to deploy, extend, interconnect, manage and maintain for our customers and to improve computing performance relative to our competitors’ offerings. For example, the Oracle Exadata Database Machine integrates multiple Oracle technology componen</w:t>
      </w:r>
      <w:r>
        <w:rPr>
          <w:rFonts w:ascii="Calibri" w:hAnsi="Calibri" w:cs="Calibri"/>
          <w:sz w:val="20"/>
          <w:szCs w:val="20"/>
        </w:rPr>
        <w:t>ts to work together to deliver improved performance, availability, scalability, security and operational efficiency of Oracle Database workloads relative to our competitors’ products.</w:t>
      </w:r>
    </w:p>
    <w:p w14:paraId="3973C8A4"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Infrastructure Technologies – Cloud and License Business Offering</w:t>
      </w:r>
      <w:r>
        <w:rPr>
          <w:rFonts w:ascii="Calibri" w:hAnsi="Calibri" w:cs="Calibri"/>
          <w:b/>
          <w:bCs/>
          <w:i/>
          <w:iCs/>
          <w:sz w:val="20"/>
          <w:szCs w:val="20"/>
        </w:rPr>
        <w:t>s</w:t>
      </w:r>
    </w:p>
    <w:p w14:paraId="3973C8A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infrastructure technologies are marketed, sold and delivered through our cloud and license business. Our infrastructure cloud services and license support revenues represented 58%, 59% and 60% of our total cloud services and license support revenu</w:t>
      </w:r>
      <w:r>
        <w:rPr>
          <w:rFonts w:ascii="Calibri" w:hAnsi="Calibri" w:cs="Calibri"/>
          <w:sz w:val="20"/>
          <w:szCs w:val="20"/>
        </w:rPr>
        <w:t>es during fiscal 2022, 2021 and 2020, respectively.</w:t>
      </w:r>
    </w:p>
    <w:p w14:paraId="3973C8A6"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3973C8A7" w14:textId="77777777" w:rsidR="007B027D" w:rsidRDefault="008E0125">
      <w:r>
        <w:rPr>
          <w:rFonts w:ascii="Calibri" w:hAnsi="Calibri" w:cs="Calibri"/>
          <w:sz w:val="20"/>
          <w:szCs w:val="20"/>
        </w:rPr>
        <w:pict w14:anchorId="39740041">
          <v:rect id="_x0000_i1034" style="width:415.3pt;height:1.5pt" o:hralign="center" o:hrstd="t" o:hr="t" fillcolor="#a0a0a0" stroked="f"/>
        </w:pict>
      </w:r>
    </w:p>
    <w:p w14:paraId="3973C8A8" w14:textId="77777777" w:rsidR="007B027D" w:rsidRDefault="008E0125">
      <w:pPr>
        <w:pStyle w:val="a3"/>
        <w:spacing w:beforeAutospacing="0" w:after="120" w:afterAutospacing="0"/>
        <w:rPr>
          <w:rFonts w:ascii="Calibri" w:hAnsi="Calibri" w:cs="Calibri"/>
          <w:sz w:val="18"/>
          <w:szCs w:val="18"/>
        </w:rPr>
      </w:pPr>
      <w:hyperlink r:id="rId44" w:anchor="TABLE_OF_CONTENTS" w:history="1">
        <w:r>
          <w:rPr>
            <w:rStyle w:val="a5"/>
            <w:rFonts w:ascii="Calibri" w:hAnsi="Calibri" w:cs="Calibri"/>
            <w:sz w:val="18"/>
            <w:szCs w:val="18"/>
          </w:rPr>
          <w:t>Table of Contents</w:t>
        </w:r>
      </w:hyperlink>
    </w:p>
    <w:p w14:paraId="3973C8A9" w14:textId="77777777" w:rsidR="007B027D" w:rsidRDefault="008E0125">
      <w:pPr>
        <w:pStyle w:val="a3"/>
        <w:spacing w:beforeAutospacing="0" w:afterAutospacing="0"/>
        <w:rPr>
          <w:rFonts w:ascii="Calibri" w:hAnsi="Calibri" w:cs="Calibri"/>
          <w:sz w:val="18"/>
          <w:szCs w:val="18"/>
        </w:rPr>
      </w:pPr>
      <w:hyperlink r:id="rId45" w:anchor="ITEM_15_EXHIBITS_FINANCIAL_STATEMENT_SCH" w:history="1">
        <w:r>
          <w:rPr>
            <w:rStyle w:val="a5"/>
            <w:rFonts w:ascii="Calibri" w:hAnsi="Calibri" w:cs="Calibri"/>
            <w:sz w:val="18"/>
            <w:szCs w:val="18"/>
          </w:rPr>
          <w:t>Index to Financial Statements</w:t>
        </w:r>
      </w:hyperlink>
    </w:p>
    <w:p w14:paraId="3973C8AA"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AB"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Cloud Infrastructure (OCI)</w:t>
      </w:r>
    </w:p>
    <w:p w14:paraId="3973C8A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OCI offerings are based upon Or</w:t>
      </w:r>
      <w:r>
        <w:rPr>
          <w:rFonts w:ascii="Calibri" w:hAnsi="Calibri" w:cs="Calibri"/>
          <w:sz w:val="20"/>
          <w:szCs w:val="20"/>
        </w:rPr>
        <w:t>acle’s Next-Generation Cloud Infrastructure and are designed to deliver our infrastructure technologies as a service including compute, storage and networking services. OCI offerings include our Oracle Autonomous Database offerings, among others, that Orac</w:t>
      </w:r>
      <w:r>
        <w:rPr>
          <w:rFonts w:ascii="Calibri" w:hAnsi="Calibri" w:cs="Calibri"/>
          <w:sz w:val="20"/>
          <w:szCs w:val="20"/>
        </w:rPr>
        <w:t>le runs, manages, upgrades and supports on behalf of the customer. We typically charge a prepaid fee that is decremented as the OCI services are consumed by the customer over a stated time period. By utilizing OCI, customers can leverage the Oracle Cloud f</w:t>
      </w:r>
      <w:r>
        <w:rPr>
          <w:rFonts w:ascii="Calibri" w:hAnsi="Calibri" w:cs="Calibri"/>
          <w:sz w:val="20"/>
          <w:szCs w:val="20"/>
        </w:rPr>
        <w:t>or enterprise-grade, high performance, scalable, cost-effective and secure infrastructure technologies that are designed to be rapidly deployable and provide real-time elasticity while reducing the amount of time and resources normally consumed by IT proce</w:t>
      </w:r>
      <w:r>
        <w:rPr>
          <w:rFonts w:ascii="Calibri" w:hAnsi="Calibri" w:cs="Calibri"/>
          <w:sz w:val="20"/>
          <w:szCs w:val="20"/>
        </w:rPr>
        <w:t>sses within on-premise environments. OCI is designed to be differentiated from other cloud vendors to provide better security by separating cloud control code computers from customer data compute nodes. Customers use OCI to build and operate new cloud-nati</w:t>
      </w:r>
      <w:r>
        <w:rPr>
          <w:rFonts w:ascii="Calibri" w:hAnsi="Calibri" w:cs="Calibri"/>
          <w:sz w:val="20"/>
          <w:szCs w:val="20"/>
        </w:rPr>
        <w:t>ve applications, to run new workloads and to move their existing Oracle or non-Oracle workloads to the Oracle Cloud from their on-premise data centers or from other cloud-based IT environments, among other uses. We continue to invest in OCI to improve feat</w:t>
      </w:r>
      <w:r>
        <w:rPr>
          <w:rFonts w:ascii="Calibri" w:hAnsi="Calibri" w:cs="Calibri"/>
          <w:sz w:val="20"/>
          <w:szCs w:val="20"/>
        </w:rPr>
        <w:t>ures and performance; to expand the catalog of cloud-based infrastructure tools and services that we provide; to increase the capacity and geographic footprint to deliver these services; to simplify the processes for migrating workloads to the Oracle Cloud</w:t>
      </w:r>
      <w:r>
        <w:rPr>
          <w:rFonts w:ascii="Calibri" w:hAnsi="Calibri" w:cs="Calibri"/>
          <w:sz w:val="20"/>
          <w:szCs w:val="20"/>
        </w:rPr>
        <w:t xml:space="preserve">; and to provide customers with the ability to run workloads across different IT environments, the Oracle Cloud as well as other third-party clouds in a hybrid deployment model. </w:t>
      </w:r>
    </w:p>
    <w:p w14:paraId="3973C8A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customers and partners utilize OCI offerings for platform-related serv</w:t>
      </w:r>
      <w:r>
        <w:rPr>
          <w:rFonts w:ascii="Calibri" w:hAnsi="Calibri" w:cs="Calibri"/>
          <w:sz w:val="20"/>
          <w:szCs w:val="20"/>
        </w:rPr>
        <w:t>ices that are based upon the Oracle Database, Java and Oracle Middleware, including open source and other tools for a variety of use cases across data management (including the use of Oracle Autonomous Database and MySQL HeatWave), applications development</w:t>
      </w:r>
      <w:r>
        <w:rPr>
          <w:rFonts w:ascii="Calibri" w:hAnsi="Calibri" w:cs="Calibri"/>
          <w:sz w:val="20"/>
          <w:szCs w:val="20"/>
        </w:rPr>
        <w:t>, integration, content management, analytics, IT management and governance, security, and rapidly emerging technologies such as machine learning. OCI machine learning features are designed to be embedded into customer applications for a variety of predicti</w:t>
      </w:r>
      <w:r>
        <w:rPr>
          <w:rFonts w:ascii="Calibri" w:hAnsi="Calibri" w:cs="Calibri"/>
          <w:sz w:val="20"/>
          <w:szCs w:val="20"/>
        </w:rPr>
        <w:t xml:space="preserve">ve use cases including, among others, the servicing of machine parts that are at risk of failing, the stocking of retailer store shelves, and the financial modeling to stay within a business’ forecasts. </w:t>
      </w:r>
    </w:p>
    <w:p w14:paraId="3973C8A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customers and partners also utilize OCI offer</w:t>
      </w:r>
      <w:r>
        <w:rPr>
          <w:rFonts w:ascii="Calibri" w:hAnsi="Calibri" w:cs="Calibri"/>
          <w:sz w:val="20"/>
          <w:szCs w:val="20"/>
        </w:rPr>
        <w:t>ings for highly-scalable, available, and secure compute, storage and networking services. OCI compute services range from virtual machines to graphics processing unit-based offerings to bare metal servers and include options for dense I/O workloads and hig</w:t>
      </w:r>
      <w:r>
        <w:rPr>
          <w:rFonts w:ascii="Calibri" w:hAnsi="Calibri" w:cs="Calibri"/>
          <w:sz w:val="20"/>
          <w:szCs w:val="20"/>
        </w:rPr>
        <w:t>h performance computing. OCI storage offerings include block, object and archive storage services. In addition, our OCI offerings include networking, connectivity, and edge services that help connect customer data centers and third-party clouds, such as Mi</w:t>
      </w:r>
      <w:r>
        <w:rPr>
          <w:rFonts w:ascii="Calibri" w:hAnsi="Calibri" w:cs="Calibri"/>
          <w:sz w:val="20"/>
          <w:szCs w:val="20"/>
        </w:rPr>
        <w:t>crosoft Azure, with our OCI services for the creation of distributed and multi-cloud architectures.</w:t>
      </w:r>
    </w:p>
    <w:p w14:paraId="3973C8A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full suite of OCI offerings delivered by dozens of Oracle public cloud regions across the globe, we provide our customers with flexibilit</w:t>
      </w:r>
      <w:r>
        <w:rPr>
          <w:rFonts w:ascii="Calibri" w:hAnsi="Calibri" w:cs="Calibri"/>
          <w:sz w:val="20"/>
          <w:szCs w:val="20"/>
        </w:rPr>
        <w:t>y by offering certain OCI services within a customer’s own data center to address customer latency requirements and address restrictions imposed upon customers that operate in certain regulated industries, entities or jurisdictions. Oracle Cloud@Customer i</w:t>
      </w:r>
      <w:r>
        <w:rPr>
          <w:rFonts w:ascii="Calibri" w:hAnsi="Calibri" w:cs="Calibri"/>
          <w:sz w:val="20"/>
          <w:szCs w:val="20"/>
        </w:rPr>
        <w:t>s designed to enable customers to run Oracle Autonomous Database or Oracle Database in their own data centers behind their firewalls while having the services managed by Oracle. Oracle Dedicated Region Cloud@Customer is designed to enable customers to brin</w:t>
      </w:r>
      <w:r>
        <w:rPr>
          <w:rFonts w:ascii="Calibri" w:hAnsi="Calibri" w:cs="Calibri"/>
          <w:sz w:val="20"/>
          <w:szCs w:val="20"/>
        </w:rPr>
        <w:t>g a self-contained OCI instance into their data centers while accessing a substantial portfolio of OCI and Oracle SaaS offerings. Oracle Roving Edge Infrastructure offerings are designed to enable customers to access cloud computing and storage services at</w:t>
      </w:r>
      <w:r>
        <w:rPr>
          <w:rFonts w:ascii="Calibri" w:hAnsi="Calibri" w:cs="Calibri"/>
          <w:sz w:val="20"/>
          <w:szCs w:val="20"/>
        </w:rPr>
        <w:t xml:space="preserve"> the edge of networks and in generally disconnected locations in order to accelerate deployment of cloud workloads outside of the data center.</w:t>
      </w:r>
    </w:p>
    <w:p w14:paraId="3973C8B0"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Database Licenses</w:t>
      </w:r>
    </w:p>
    <w:p w14:paraId="3973C8B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Database is the world’s most popular enterprise database and is designed to enabl</w:t>
      </w:r>
      <w:r>
        <w:rPr>
          <w:rFonts w:ascii="Calibri" w:hAnsi="Calibri" w:cs="Calibri"/>
          <w:sz w:val="20"/>
          <w:szCs w:val="20"/>
        </w:rPr>
        <w:t>e reliable and secure storage, retrieval and manipulation of all forms of data. Oracle Database is licensed throughout the world by businesses and organizations of all sizes for a multitude of purposes, including, among others: for use within the Oracle Cl</w:t>
      </w:r>
      <w:r>
        <w:rPr>
          <w:rFonts w:ascii="Calibri" w:hAnsi="Calibri" w:cs="Calibri"/>
          <w:sz w:val="20"/>
          <w:szCs w:val="20"/>
        </w:rPr>
        <w:t>oud to deliver our Oracle SaaS and OCI offerings; for use as a cloud license by a number of cloud-based vendors as a component of their respective cloud offerings; for packaged and custom applications for transaction processing; and for data warehousing an</w:t>
      </w:r>
      <w:r>
        <w:rPr>
          <w:rFonts w:ascii="Calibri" w:hAnsi="Calibri" w:cs="Calibri"/>
          <w:sz w:val="20"/>
          <w:szCs w:val="20"/>
        </w:rPr>
        <w:t xml:space="preserve">d business intelligence. Oracle Database may be deployed in various IT </w:t>
      </w:r>
    </w:p>
    <w:p w14:paraId="3973C8B2"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3973C8B3" w14:textId="77777777" w:rsidR="007B027D" w:rsidRDefault="008E0125">
      <w:r>
        <w:rPr>
          <w:rFonts w:ascii="Calibri" w:hAnsi="Calibri" w:cs="Calibri"/>
          <w:sz w:val="20"/>
          <w:szCs w:val="20"/>
        </w:rPr>
        <w:pict w14:anchorId="39740042">
          <v:rect id="_x0000_i1035" style="width:415.3pt;height:1.5pt" o:hralign="center" o:hrstd="t" o:hr="t" fillcolor="#a0a0a0" stroked="f"/>
        </w:pict>
      </w:r>
    </w:p>
    <w:p w14:paraId="3973C8B4" w14:textId="77777777" w:rsidR="007B027D" w:rsidRDefault="008E0125">
      <w:pPr>
        <w:pStyle w:val="a3"/>
        <w:spacing w:beforeAutospacing="0" w:after="120" w:afterAutospacing="0"/>
        <w:rPr>
          <w:rFonts w:ascii="Calibri" w:hAnsi="Calibri" w:cs="Calibri"/>
          <w:sz w:val="18"/>
          <w:szCs w:val="18"/>
        </w:rPr>
      </w:pPr>
      <w:hyperlink r:id="rId46" w:anchor="TABLE_OF_CONTENTS" w:history="1">
        <w:r>
          <w:rPr>
            <w:rStyle w:val="a5"/>
            <w:rFonts w:ascii="Calibri" w:hAnsi="Calibri" w:cs="Calibri"/>
            <w:sz w:val="18"/>
            <w:szCs w:val="18"/>
          </w:rPr>
          <w:t>Table of Contents</w:t>
        </w:r>
      </w:hyperlink>
    </w:p>
    <w:p w14:paraId="3973C8B5" w14:textId="77777777" w:rsidR="007B027D" w:rsidRDefault="008E0125">
      <w:pPr>
        <w:pStyle w:val="a3"/>
        <w:spacing w:beforeAutospacing="0" w:afterAutospacing="0"/>
        <w:rPr>
          <w:rFonts w:ascii="Calibri" w:hAnsi="Calibri" w:cs="Calibri"/>
          <w:sz w:val="18"/>
          <w:szCs w:val="18"/>
        </w:rPr>
      </w:pPr>
      <w:hyperlink r:id="rId47" w:anchor="ITEM_15_EXHIBITS_FINANCIAL_STATEMENT_SCH" w:history="1">
        <w:r>
          <w:rPr>
            <w:rStyle w:val="a5"/>
            <w:rFonts w:ascii="Calibri" w:hAnsi="Calibri" w:cs="Calibri"/>
            <w:sz w:val="18"/>
            <w:szCs w:val="18"/>
          </w:rPr>
          <w:t>Index to Financial Statements</w:t>
        </w:r>
      </w:hyperlink>
    </w:p>
    <w:p w14:paraId="3973C8B6"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B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environments including Oracle Cloud, Oracle Cloud@Customer and Dedicated Region Cloud@Customer environments, other cloud-based IT environments, and on-premise data cen</w:t>
      </w:r>
      <w:r>
        <w:rPr>
          <w:rFonts w:ascii="Calibri" w:hAnsi="Calibri" w:cs="Calibri"/>
          <w:sz w:val="20"/>
          <w:szCs w:val="20"/>
        </w:rPr>
        <w:t>ters, among others. Oracle Database Enterprise Edition is available with a number of optional add-on products to address specific customer requirements. As described above, customers may elect to purchase license support for Oracle Database licenses. We al</w:t>
      </w:r>
      <w:r>
        <w:rPr>
          <w:rFonts w:ascii="Calibri" w:hAnsi="Calibri" w:cs="Calibri"/>
          <w:sz w:val="20"/>
          <w:szCs w:val="20"/>
        </w:rPr>
        <w:t xml:space="preserve">so offer Oracle Database as a cloud service, such as with OCI’s Exadata Cloud Service and Database Cloud Service. </w:t>
      </w:r>
    </w:p>
    <w:p w14:paraId="3973C8B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to the Oracle Database, we offer a portfolio of specialized databases to address specific customer requirements including MySQL, </w:t>
      </w:r>
      <w:r>
        <w:rPr>
          <w:rFonts w:ascii="Calibri" w:hAnsi="Calibri" w:cs="Calibri"/>
          <w:sz w:val="20"/>
          <w:szCs w:val="20"/>
        </w:rPr>
        <w:t>the world’s most popular open source database, as a cloud service and an on-premise offering.</w:t>
      </w:r>
    </w:p>
    <w:p w14:paraId="3973C8B9" w14:textId="77777777" w:rsidR="007B027D" w:rsidRDefault="008E0125">
      <w:pPr>
        <w:pStyle w:val="a3"/>
        <w:spacing w:before="240" w:beforeAutospacing="0" w:afterAutospacing="0"/>
        <w:jc w:val="both"/>
        <w:rPr>
          <w:rFonts w:ascii="Calibri" w:hAnsi="Calibri" w:cs="Calibri"/>
          <w:sz w:val="20"/>
          <w:szCs w:val="20"/>
        </w:rPr>
      </w:pPr>
      <w:r>
        <w:rPr>
          <w:rFonts w:ascii="Calibri" w:hAnsi="Calibri" w:cs="Calibri"/>
          <w:sz w:val="20"/>
          <w:szCs w:val="20"/>
          <w:u w:val="single"/>
        </w:rPr>
        <w:t>Oracle Autonomous Database</w:t>
      </w:r>
    </w:p>
    <w:p w14:paraId="3973C8B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Autonomous Database is designed to deliver performance and scale for enterprise database workloads with automated database opera</w:t>
      </w:r>
      <w:r>
        <w:rPr>
          <w:rFonts w:ascii="Calibri" w:hAnsi="Calibri" w:cs="Calibri"/>
          <w:sz w:val="20"/>
          <w:szCs w:val="20"/>
        </w:rPr>
        <w:t>tions and policy-driven optimization by combining certain Oracle infrastructure technologies including the Oracle Database, Oracle’s Next-Generation Cloud Infrastructure, Oracle Exadata, and native machine learning capabilities, among others. Oracle Autono</w:t>
      </w:r>
      <w:r>
        <w:rPr>
          <w:rFonts w:ascii="Calibri" w:hAnsi="Calibri" w:cs="Calibri"/>
          <w:sz w:val="20"/>
          <w:szCs w:val="20"/>
        </w:rPr>
        <w:t>mous Database is designed to be self-driving, automating routine database administration tasks including maintenance, tuning, patching, security and backup. Oracle Autonomous Database is engineered to lower labor costs and reduce human error while using ma</w:t>
      </w:r>
      <w:r>
        <w:rPr>
          <w:rFonts w:ascii="Calibri" w:hAnsi="Calibri" w:cs="Calibri"/>
          <w:sz w:val="20"/>
          <w:szCs w:val="20"/>
        </w:rPr>
        <w:t>chine learning-driven diagnostics for fault prediction and error handling and is also engineered to provide automatic threat detection and remediation. Oracle Autonomous Database is designed to enable on-demand, automatic scaling of database resources comb</w:t>
      </w:r>
      <w:r>
        <w:rPr>
          <w:rFonts w:ascii="Calibri" w:hAnsi="Calibri" w:cs="Calibri"/>
          <w:sz w:val="20"/>
          <w:szCs w:val="20"/>
        </w:rPr>
        <w:t>ined with consumption-based pricing in order to help organizations lower costs by paying only for resources used. The integration of Oracle Autonomous Database with other Oracle Cloud Services, such as Java Cloud and the Oracle APEX low-code service, along</w:t>
      </w:r>
      <w:r>
        <w:rPr>
          <w:rFonts w:ascii="Calibri" w:hAnsi="Calibri" w:cs="Calibri"/>
          <w:sz w:val="20"/>
          <w:szCs w:val="20"/>
        </w:rPr>
        <w:t xml:space="preserve"> with open interfaces and integrations, is designed to provide developers with a modern, open platform to develop new and innovative applications.</w:t>
      </w:r>
    </w:p>
    <w:p w14:paraId="3973C8B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analytics workloads, Oracle Autonomous Database is designed to provide customers with easy-to-use analyti</w:t>
      </w:r>
      <w:r>
        <w:rPr>
          <w:rFonts w:ascii="Calibri" w:hAnsi="Calibri" w:cs="Calibri"/>
          <w:sz w:val="20"/>
          <w:szCs w:val="20"/>
        </w:rPr>
        <w:t>cs tools and machine learning capabilities that are accelerated using Oracle Exadata’s scale-out infrastructure. We believe Oracle Autonomous Database’s built-in developer capabilities and automation will enable organizations to:</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BF" w14:textId="77777777">
        <w:tc>
          <w:tcPr>
            <w:tcW w:w="262" w:type="pct"/>
            <w:shd w:val="clear" w:color="auto" w:fill="auto"/>
            <w:noWrap/>
          </w:tcPr>
          <w:p w14:paraId="3973C8B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B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B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quickly deploy new </w:t>
            </w:r>
            <w:r>
              <w:rPr>
                <w:rFonts w:ascii="Calibri" w:hAnsi="Calibri" w:cs="Calibri"/>
                <w:color w:val="000000"/>
                <w:sz w:val="20"/>
                <w:szCs w:val="20"/>
              </w:rPr>
              <w:t>data marts and data warehouses;</w:t>
            </w:r>
          </w:p>
        </w:tc>
      </w:tr>
    </w:tbl>
    <w:p w14:paraId="3973C8C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C4" w14:textId="77777777">
        <w:tc>
          <w:tcPr>
            <w:tcW w:w="262" w:type="pct"/>
            <w:shd w:val="clear" w:color="auto" w:fill="auto"/>
            <w:noWrap/>
          </w:tcPr>
          <w:p w14:paraId="3973C8C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C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C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move existing ones to the cloud; and </w:t>
            </w:r>
          </w:p>
        </w:tc>
      </w:tr>
    </w:tbl>
    <w:p w14:paraId="3973C8C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C9" w14:textId="77777777">
        <w:tc>
          <w:tcPr>
            <w:tcW w:w="262" w:type="pct"/>
            <w:shd w:val="clear" w:color="auto" w:fill="auto"/>
            <w:noWrap/>
          </w:tcPr>
          <w:p w14:paraId="3973C8C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C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C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create data lake houses.</w:t>
            </w:r>
          </w:p>
        </w:tc>
      </w:tr>
    </w:tbl>
    <w:p w14:paraId="3973C8CA" w14:textId="77777777" w:rsidR="007B027D" w:rsidRDefault="008E0125">
      <w:pPr>
        <w:pStyle w:val="a3"/>
        <w:spacing w:before="120" w:beforeAutospacing="0" w:afterAutospacing="0"/>
        <w:rPr>
          <w:rFonts w:ascii="Calibri" w:hAnsi="Calibri" w:cs="Calibri"/>
          <w:sz w:val="20"/>
          <w:szCs w:val="20"/>
        </w:rPr>
      </w:pPr>
      <w:r>
        <w:rPr>
          <w:rFonts w:ascii="Calibri" w:hAnsi="Calibri" w:cs="Calibri"/>
          <w:sz w:val="20"/>
          <w:szCs w:val="20"/>
        </w:rPr>
        <w:t xml:space="preserve">All of which is designed to enable organizations to gain new insights into customer behavior, more accurately anticipate future demand, align </w:t>
      </w:r>
      <w:r>
        <w:rPr>
          <w:rFonts w:ascii="Calibri" w:hAnsi="Calibri" w:cs="Calibri"/>
          <w:sz w:val="20"/>
          <w:szCs w:val="20"/>
        </w:rPr>
        <w:t>workforce deployment with business activity forecasts and accelerate the pace of operations, among other benefits. For transaction processing workloads, Oracle Autonomous Database is designed to enable organizations to safely run a complex mix of high-perf</w:t>
      </w:r>
      <w:r>
        <w:rPr>
          <w:rFonts w:ascii="Calibri" w:hAnsi="Calibri" w:cs="Calibri"/>
          <w:sz w:val="20"/>
          <w:szCs w:val="20"/>
        </w:rPr>
        <w:t>ormance transactions. It is also designed to enable organizations to efficiently support dynamic workloads, conduct real-time analysis of transactional data and lower administration costs.</w:t>
      </w:r>
    </w:p>
    <w:p w14:paraId="3973C8C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Autonomous Database offers the following options, among othe</w:t>
      </w:r>
      <w:r>
        <w:rPr>
          <w:rFonts w:ascii="Calibri" w:hAnsi="Calibri" w:cs="Calibri"/>
          <w:sz w:val="20"/>
          <w:szCs w:val="20"/>
        </w:rPr>
        <w:t xml:space="preserve">rs: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CF" w14:textId="77777777">
        <w:tc>
          <w:tcPr>
            <w:tcW w:w="262" w:type="pct"/>
            <w:shd w:val="clear" w:color="auto" w:fill="auto"/>
            <w:noWrap/>
          </w:tcPr>
          <w:p w14:paraId="3973C8C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C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C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Shared Exadata Cloud Infrastructure, which is designed to provide a simple and elastic deployment choice in OCI regions where Oracle autonomously operates all aspects of the database lifecycle, including database placement, backup and software upd</w:t>
            </w:r>
            <w:r>
              <w:rPr>
                <w:rFonts w:ascii="Calibri" w:hAnsi="Calibri" w:cs="Calibri"/>
                <w:color w:val="000000"/>
                <w:sz w:val="20"/>
                <w:szCs w:val="20"/>
              </w:rPr>
              <w:t>ates;</w:t>
            </w:r>
          </w:p>
        </w:tc>
      </w:tr>
    </w:tbl>
    <w:p w14:paraId="3973C8D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D4" w14:textId="77777777">
        <w:tc>
          <w:tcPr>
            <w:tcW w:w="262" w:type="pct"/>
            <w:shd w:val="clear" w:color="auto" w:fill="auto"/>
            <w:noWrap/>
          </w:tcPr>
          <w:p w14:paraId="3973C8D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D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D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Dedicated Exadata Cloud Infrastructure, which is designed to provide dedicated compute, storage, networking and database resources for a single tenant in OCI regions, enabling high levels of security isolation and governance, customizable opera</w:t>
            </w:r>
            <w:r>
              <w:rPr>
                <w:rFonts w:ascii="Calibri" w:hAnsi="Calibri" w:cs="Calibri"/>
                <w:color w:val="000000"/>
                <w:sz w:val="20"/>
                <w:szCs w:val="20"/>
              </w:rPr>
              <w:t>tional policies for autonomous operations, workload placement and optimization, availability, over-provisioning and peak usage; and</w:t>
            </w:r>
          </w:p>
        </w:tc>
      </w:tr>
    </w:tbl>
    <w:p w14:paraId="3973C8D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D9" w14:textId="77777777">
        <w:tc>
          <w:tcPr>
            <w:tcW w:w="262" w:type="pct"/>
            <w:shd w:val="clear" w:color="auto" w:fill="auto"/>
            <w:noWrap/>
          </w:tcPr>
          <w:p w14:paraId="3973C8D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D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D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Exadata Cloud@Customer Infrastructure, which is designed to be deployed in customer data centers to provide the characteristics of a private, on-premise cloud but with cloud automation, consumption pricing, and Oracle management of the infrastructure and s</w:t>
            </w:r>
            <w:r>
              <w:rPr>
                <w:rFonts w:ascii="Calibri" w:hAnsi="Calibri" w:cs="Calibri"/>
                <w:color w:val="000000"/>
                <w:sz w:val="20"/>
                <w:szCs w:val="20"/>
              </w:rPr>
              <w:t xml:space="preserve">oftware. </w:t>
            </w:r>
          </w:p>
        </w:tc>
      </w:tr>
    </w:tbl>
    <w:p w14:paraId="3973C8DA"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w:t>
      </w:r>
    </w:p>
    <w:p w14:paraId="3973C8DB" w14:textId="77777777" w:rsidR="007B027D" w:rsidRDefault="008E0125">
      <w:r>
        <w:rPr>
          <w:rFonts w:ascii="Calibri" w:hAnsi="Calibri" w:cs="Calibri"/>
          <w:sz w:val="20"/>
          <w:szCs w:val="20"/>
        </w:rPr>
        <w:pict w14:anchorId="39740043">
          <v:rect id="_x0000_i1036" style="width:415.3pt;height:1.5pt" o:hralign="center" o:hrstd="t" o:hr="t" fillcolor="#a0a0a0" stroked="f"/>
        </w:pict>
      </w:r>
    </w:p>
    <w:p w14:paraId="3973C8DC" w14:textId="77777777" w:rsidR="007B027D" w:rsidRDefault="008E0125">
      <w:pPr>
        <w:pStyle w:val="a3"/>
        <w:spacing w:beforeAutospacing="0" w:after="120" w:afterAutospacing="0"/>
        <w:rPr>
          <w:rFonts w:ascii="Calibri" w:hAnsi="Calibri" w:cs="Calibri"/>
          <w:sz w:val="18"/>
          <w:szCs w:val="18"/>
        </w:rPr>
      </w:pPr>
      <w:hyperlink r:id="rId48" w:anchor="TABLE_OF_CONTENTS" w:history="1">
        <w:r>
          <w:rPr>
            <w:rStyle w:val="a5"/>
            <w:rFonts w:ascii="Calibri" w:hAnsi="Calibri" w:cs="Calibri"/>
            <w:sz w:val="18"/>
            <w:szCs w:val="18"/>
          </w:rPr>
          <w:t>Table of Contents</w:t>
        </w:r>
      </w:hyperlink>
    </w:p>
    <w:p w14:paraId="3973C8DD" w14:textId="77777777" w:rsidR="007B027D" w:rsidRDefault="008E0125">
      <w:pPr>
        <w:pStyle w:val="a3"/>
        <w:spacing w:beforeAutospacing="0" w:afterAutospacing="0"/>
        <w:rPr>
          <w:rFonts w:ascii="Calibri" w:hAnsi="Calibri" w:cs="Calibri"/>
          <w:sz w:val="18"/>
          <w:szCs w:val="18"/>
        </w:rPr>
      </w:pPr>
      <w:hyperlink r:id="rId49" w:anchor="ITEM_15_EXHIBITS_FINANCIAL_STATEMENT_SCH" w:history="1">
        <w:r>
          <w:rPr>
            <w:rStyle w:val="a5"/>
            <w:rFonts w:ascii="Calibri" w:hAnsi="Calibri" w:cs="Calibri"/>
            <w:sz w:val="18"/>
            <w:szCs w:val="18"/>
          </w:rPr>
          <w:t>Index to Financial Statements</w:t>
        </w:r>
      </w:hyperlink>
    </w:p>
    <w:p w14:paraId="3973C8DE"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DF"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Middleware Licenses</w:t>
      </w:r>
    </w:p>
    <w:p w14:paraId="3973C8E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license our Oracle Middleware, which is a broad family of integrated application infrastructure software, for use in the Oracle Cloud, ot</w:t>
      </w:r>
      <w:r>
        <w:rPr>
          <w:rFonts w:ascii="Calibri" w:hAnsi="Calibri" w:cs="Calibri"/>
          <w:sz w:val="20"/>
          <w:szCs w:val="20"/>
        </w:rPr>
        <w:t>her cloud-based environments, on-premise data centers and related IT environments. Oracle Middleware is designed to enable customers to design and integrate Oracle and non-Oracle business applications, automate business processes, scale applications to mee</w:t>
      </w:r>
      <w:r>
        <w:rPr>
          <w:rFonts w:ascii="Calibri" w:hAnsi="Calibri" w:cs="Calibri"/>
          <w:sz w:val="20"/>
          <w:szCs w:val="20"/>
        </w:rPr>
        <w:t>t customer demand, simplify security and compliance, manage lifecycles of documents and get actionable, targeted business intelligence. Built with Oracle’s Java technology platform, Oracle Middleware products are designed to be flexible across different de</w:t>
      </w:r>
      <w:r>
        <w:rPr>
          <w:rFonts w:ascii="Calibri" w:hAnsi="Calibri" w:cs="Calibri"/>
          <w:sz w:val="20"/>
          <w:szCs w:val="20"/>
        </w:rPr>
        <w:t>ployment environments—cloud, on-premise or hybrid—as a foundation for custom, packaged and composite applications, thereby simplifying and reducing time to deployment. Oracle Middleware is designed to protect customers’ IT investments and work with both Or</w:t>
      </w:r>
      <w:r>
        <w:rPr>
          <w:rFonts w:ascii="Calibri" w:hAnsi="Calibri" w:cs="Calibri"/>
          <w:sz w:val="20"/>
          <w:szCs w:val="20"/>
        </w:rPr>
        <w:t>acle and non-Oracle database, middleware and applications software through an open architecture and adherence to industry standards. In addition, Oracle Middleware supports multiple development languages and tools, which enables developers to flexibly buil</w:t>
      </w:r>
      <w:r>
        <w:rPr>
          <w:rFonts w:ascii="Calibri" w:hAnsi="Calibri" w:cs="Calibri"/>
          <w:sz w:val="20"/>
          <w:szCs w:val="20"/>
        </w:rPr>
        <w:t xml:space="preserve">d once and deploy applications globally across websites, portals and cloud-based applications utilizing a variety of IT environments. </w:t>
      </w:r>
    </w:p>
    <w:p w14:paraId="3973C8E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Among our other middleware license offerings, we license development tools, such as Oracle WebLogic Server for Java application development, and Oracle Identity Manager, which automates user identity provisioning and allows enterprises to manage the end-to</w:t>
      </w:r>
      <w:r>
        <w:rPr>
          <w:rFonts w:ascii="Calibri" w:hAnsi="Calibri" w:cs="Calibri"/>
          <w:sz w:val="20"/>
          <w:szCs w:val="20"/>
        </w:rPr>
        <w:t>-end lifecycle of user identities across all enterprise resources. Organizations may elect to purchase license support, as described above, for Oracle Middleware licenses at their option. We also offer certain of our middleware capabilities as a part of ou</w:t>
      </w:r>
      <w:r>
        <w:rPr>
          <w:rFonts w:ascii="Calibri" w:hAnsi="Calibri" w:cs="Calibri"/>
          <w:sz w:val="20"/>
          <w:szCs w:val="20"/>
        </w:rPr>
        <w:t xml:space="preserve">r OCI offerings. </w:t>
      </w:r>
    </w:p>
    <w:p w14:paraId="3973C8E2"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Java Licenses</w:t>
      </w:r>
    </w:p>
    <w:p w14:paraId="3973C8E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Java is the world’s most popular programming language that is used to deliver cloud development and deployment services, microservices, analytics, data management, blockchain, security, and continuous integration tools for n</w:t>
      </w:r>
      <w:r>
        <w:rPr>
          <w:rFonts w:ascii="Calibri" w:hAnsi="Calibri" w:cs="Calibri"/>
          <w:sz w:val="20"/>
          <w:szCs w:val="20"/>
        </w:rPr>
        <w:t>umerous platforms and technologies including websites, enterprise and consumer applications, embedded devices and large-scale systems. Java is designed to enable developers to write software on a single platform and run it on many other different platforms</w:t>
      </w:r>
      <w:r>
        <w:rPr>
          <w:rFonts w:ascii="Calibri" w:hAnsi="Calibri" w:cs="Calibri"/>
          <w:sz w:val="20"/>
          <w:szCs w:val="20"/>
        </w:rPr>
        <w:t>, independent of operating system and hardware architecture. Java has been adopted by both independent software vendors (ISVs) that have built their products using Java and by enterprise organizations building custom applications or consuming Java-based IS</w:t>
      </w:r>
      <w:r>
        <w:rPr>
          <w:rFonts w:ascii="Calibri" w:hAnsi="Calibri" w:cs="Calibri"/>
          <w:sz w:val="20"/>
          <w:szCs w:val="20"/>
        </w:rPr>
        <w:t>V products. Oracle is the steward of the Java platform and ecosystem. Customers generally purchase Java offerings through subscriptions that include licenses and support services. Oracle’s Java offerings are used by customers to support their Java deployme</w:t>
      </w:r>
      <w:r>
        <w:rPr>
          <w:rFonts w:ascii="Calibri" w:hAnsi="Calibri" w:cs="Calibri"/>
          <w:sz w:val="20"/>
          <w:szCs w:val="20"/>
        </w:rPr>
        <w:t>nts and to stay current with the latest security updates and other technology innovations.</w:t>
      </w:r>
    </w:p>
    <w:p w14:paraId="3973C8E4"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Infrastructure Technologies – Hardware Business Offerings</w:t>
      </w:r>
    </w:p>
    <w:p w14:paraId="3973C8E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infrastructure technologies are also marketed, sold and delivered through our </w:t>
      </w:r>
      <w:r>
        <w:rPr>
          <w:rFonts w:ascii="Calibri" w:hAnsi="Calibri" w:cs="Calibri"/>
          <w:sz w:val="20"/>
          <w:szCs w:val="20"/>
        </w:rPr>
        <w:t>hardware business, including a broad selection of hardware products and related hardware support services to power cloud-based and on-premise IT environments.</w:t>
      </w:r>
    </w:p>
    <w:p w14:paraId="3973C8E6"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Engineered Systems</w:t>
      </w:r>
    </w:p>
    <w:p w14:paraId="3973C8E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Engineered Systems are core to our cloud-based and on-premise da</w:t>
      </w:r>
      <w:r>
        <w:rPr>
          <w:rFonts w:ascii="Calibri" w:hAnsi="Calibri" w:cs="Calibri"/>
          <w:sz w:val="20"/>
          <w:szCs w:val="20"/>
        </w:rPr>
        <w:t>ta center infrastructure offerings. Oracle Engineered Systems are pre-integrated products, combining multiple unique Oracle technology components, including database, storage, operating system, and management software with server, storage, networking hardw</w:t>
      </w:r>
      <w:r>
        <w:rPr>
          <w:rFonts w:ascii="Calibri" w:hAnsi="Calibri" w:cs="Calibri"/>
          <w:sz w:val="20"/>
          <w:szCs w:val="20"/>
        </w:rPr>
        <w:t>are and other technologies. Oracle Engineered Systems are designed to work together to deliver improved performance, scalability, availability, security and operational efficiency relative to our competitors’ products; to be upgraded effectively and effici</w:t>
      </w:r>
      <w:r>
        <w:rPr>
          <w:rFonts w:ascii="Calibri" w:hAnsi="Calibri" w:cs="Calibri"/>
          <w:sz w:val="20"/>
          <w:szCs w:val="20"/>
        </w:rPr>
        <w:t>ently in a non-disruptive manner; and to simplify maintenance cycles and improve security by providing a single solution for patching. For example, Oracle Exadata Database Machine is an integrated platform that is optimized for running Oracle Database, ach</w:t>
      </w:r>
      <w:r>
        <w:rPr>
          <w:rFonts w:ascii="Calibri" w:hAnsi="Calibri" w:cs="Calibri"/>
          <w:sz w:val="20"/>
          <w:szCs w:val="20"/>
        </w:rPr>
        <w:t>ieving higher performance, scalability and availability at a lower cost by combining Oracle Database, storage and operating system software with Oracle server, storage and networking hardware. We offer certain of our Oracle Engineered Systems, including th</w:t>
      </w:r>
      <w:r>
        <w:rPr>
          <w:rFonts w:ascii="Calibri" w:hAnsi="Calibri" w:cs="Calibri"/>
          <w:sz w:val="20"/>
          <w:szCs w:val="20"/>
        </w:rPr>
        <w:t xml:space="preserve">e Oracle Exadata Database Machine, among others, through flexible deployment options, including on-premise, as a cloud offering in OCI, and as a hybrid cloud offering in customer data centers. </w:t>
      </w:r>
    </w:p>
    <w:p w14:paraId="3973C8E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3973C8E9" w14:textId="77777777" w:rsidR="007B027D" w:rsidRDefault="008E0125">
      <w:r>
        <w:rPr>
          <w:rFonts w:ascii="Calibri" w:hAnsi="Calibri" w:cs="Calibri"/>
          <w:sz w:val="20"/>
          <w:szCs w:val="20"/>
        </w:rPr>
        <w:pict w14:anchorId="39740044">
          <v:rect id="_x0000_i1037" style="width:415.3pt;height:1.5pt" o:hralign="center" o:hrstd="t" o:hr="t" fillcolor="#a0a0a0" stroked="f"/>
        </w:pict>
      </w:r>
    </w:p>
    <w:p w14:paraId="3973C8EA" w14:textId="77777777" w:rsidR="007B027D" w:rsidRDefault="008E0125">
      <w:pPr>
        <w:pStyle w:val="a3"/>
        <w:spacing w:beforeAutospacing="0" w:after="120" w:afterAutospacing="0"/>
        <w:rPr>
          <w:rFonts w:ascii="Calibri" w:hAnsi="Calibri" w:cs="Calibri"/>
          <w:sz w:val="18"/>
          <w:szCs w:val="18"/>
        </w:rPr>
      </w:pPr>
      <w:hyperlink r:id="rId50" w:anchor="TABLE_OF_CONTENTS" w:history="1">
        <w:r>
          <w:rPr>
            <w:rStyle w:val="a5"/>
            <w:rFonts w:ascii="Calibri" w:hAnsi="Calibri" w:cs="Calibri"/>
            <w:sz w:val="18"/>
            <w:szCs w:val="18"/>
          </w:rPr>
          <w:t>Table of Contents</w:t>
        </w:r>
      </w:hyperlink>
    </w:p>
    <w:p w14:paraId="3973C8EB" w14:textId="77777777" w:rsidR="007B027D" w:rsidRDefault="008E0125">
      <w:pPr>
        <w:pStyle w:val="a3"/>
        <w:spacing w:beforeAutospacing="0" w:afterAutospacing="0"/>
        <w:rPr>
          <w:rFonts w:ascii="Calibri" w:hAnsi="Calibri" w:cs="Calibri"/>
          <w:sz w:val="18"/>
          <w:szCs w:val="18"/>
        </w:rPr>
      </w:pPr>
      <w:hyperlink r:id="rId51" w:anchor="ITEM_15_EXHIBITS_FINANCIAL_STATEMENT_SCH" w:history="1">
        <w:r>
          <w:rPr>
            <w:rStyle w:val="a5"/>
            <w:rFonts w:ascii="Calibri" w:hAnsi="Calibri" w:cs="Calibri"/>
            <w:sz w:val="18"/>
            <w:szCs w:val="18"/>
          </w:rPr>
          <w:t>Ind</w:t>
        </w:r>
        <w:r>
          <w:rPr>
            <w:rStyle w:val="a5"/>
            <w:rFonts w:ascii="Calibri" w:hAnsi="Calibri" w:cs="Calibri"/>
            <w:sz w:val="18"/>
            <w:szCs w:val="18"/>
          </w:rPr>
          <w:t>ex to Financial Statements</w:t>
        </w:r>
      </w:hyperlink>
    </w:p>
    <w:p w14:paraId="3973C8E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8ED"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Oracle Servers </w:t>
      </w:r>
    </w:p>
    <w:p w14:paraId="3973C8E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a wide range of Oracle server products that are designed for mission-critical enterprise environments and that are key components of our Oracle Engineered Systems and Oracle Cloud </w:t>
      </w:r>
      <w:r>
        <w:rPr>
          <w:rFonts w:ascii="Calibri" w:hAnsi="Calibri" w:cs="Calibri"/>
          <w:sz w:val="20"/>
          <w:szCs w:val="20"/>
        </w:rPr>
        <w:t>offerings. We have two families of server products: those based on the Oracle SPARC microprocessor, which are designed to be differentiated by their reliability, security and scalability specifically for UNIX environments; and those using x86 microprocesso</w:t>
      </w:r>
      <w:r>
        <w:rPr>
          <w:rFonts w:ascii="Calibri" w:hAnsi="Calibri" w:cs="Calibri"/>
          <w:sz w:val="20"/>
          <w:szCs w:val="20"/>
        </w:rPr>
        <w:t>rs. By offering a range of server sizes and microprocessors, customers are offered the flexibility to choose the types of servers that they believe will be most appropriate and valuable for their particular IT environments.</w:t>
      </w:r>
    </w:p>
    <w:p w14:paraId="3973C8EF"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Storage</w:t>
      </w:r>
    </w:p>
    <w:p w14:paraId="3973C8F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storage pr</w:t>
      </w:r>
      <w:r>
        <w:rPr>
          <w:rFonts w:ascii="Calibri" w:hAnsi="Calibri" w:cs="Calibri"/>
          <w:sz w:val="20"/>
          <w:szCs w:val="20"/>
        </w:rPr>
        <w:t>oducts are engineered for cloud, on-premise and hybrid IT environments and designed to securely store, manage, protect and archive customers’ mission-critical data assets generated by any database or application. Oracle storage products combine flash, disk</w:t>
      </w:r>
      <w:r>
        <w:rPr>
          <w:rFonts w:ascii="Calibri" w:hAnsi="Calibri" w:cs="Calibri"/>
          <w:sz w:val="20"/>
          <w:szCs w:val="20"/>
        </w:rPr>
        <w:t xml:space="preserve">, tape and server technologies with optimized software and unique integrations with the Oracle Database offering greater performance and efficiency and lower total cost relative to our competitors’ storage products. Certain of our storage products provide </w:t>
      </w:r>
      <w:r>
        <w:rPr>
          <w:rFonts w:ascii="Calibri" w:hAnsi="Calibri" w:cs="Calibri"/>
          <w:sz w:val="20"/>
          <w:szCs w:val="20"/>
        </w:rPr>
        <w:t>integration with Oracle Cloud Services for backup and archiving.</w:t>
      </w:r>
    </w:p>
    <w:p w14:paraId="3973C8F1"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Oracle Industry-Specific Hardware Offerings </w:t>
      </w:r>
    </w:p>
    <w:p w14:paraId="3973C8F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hardware products and services designed for certain specific industries including, among others, our point-of-sale terminals and related </w:t>
      </w:r>
      <w:r>
        <w:rPr>
          <w:rFonts w:ascii="Calibri" w:hAnsi="Calibri" w:cs="Calibri"/>
          <w:sz w:val="20"/>
          <w:szCs w:val="20"/>
        </w:rPr>
        <w:t>hardware that are designed for managing businesses within the food and beverage, hotel and retail industries; and hardware products and services for communications networks including network signaling, policy control and subscriber data management solution</w:t>
      </w:r>
      <w:r>
        <w:rPr>
          <w:rFonts w:ascii="Calibri" w:hAnsi="Calibri" w:cs="Calibri"/>
          <w:sz w:val="20"/>
          <w:szCs w:val="20"/>
        </w:rPr>
        <w:t>s, and session border control technology.</w:t>
      </w:r>
    </w:p>
    <w:p w14:paraId="3973C8F3"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Operating Systems, Virtualization, Management and Other Hardware-Related Software</w:t>
      </w:r>
    </w:p>
    <w:p w14:paraId="3973C8F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offer a portfolio of operating systems, including Oracle Linux and Oracle Solaris, virtualization software, and other hard</w:t>
      </w:r>
      <w:r>
        <w:rPr>
          <w:rFonts w:ascii="Calibri" w:hAnsi="Calibri" w:cs="Calibri"/>
          <w:sz w:val="20"/>
          <w:szCs w:val="20"/>
        </w:rPr>
        <w:t>ware-related software. We also offer a range of management technologies and products, including Oracle Enterprise Manager and the Oracle Cloud Observability and Management Platform, designed to help customers efficiently operate complex IT environments, in</w:t>
      </w:r>
      <w:r>
        <w:rPr>
          <w:rFonts w:ascii="Calibri" w:hAnsi="Calibri" w:cs="Calibri"/>
          <w:sz w:val="20"/>
          <w:szCs w:val="20"/>
        </w:rPr>
        <w:t>cluding both end users’ and service providers’ cloud environments</w:t>
      </w:r>
      <w:r>
        <w:rPr>
          <w:rFonts w:ascii="Calibri" w:hAnsi="Calibri" w:cs="Calibri"/>
          <w:color w:val="000000"/>
          <w:sz w:val="20"/>
          <w:szCs w:val="20"/>
        </w:rPr>
        <w:t xml:space="preserve">. </w:t>
      </w:r>
    </w:p>
    <w:p w14:paraId="3973C8F5"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Oracle Hardware Support </w:t>
      </w:r>
    </w:p>
    <w:p w14:paraId="3973C8F6"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Oracle hardware support offerings provide customers with unspecified software updates for software components that are essential to the functionality of our hardwa</w:t>
      </w:r>
      <w:r>
        <w:rPr>
          <w:rFonts w:ascii="Calibri" w:hAnsi="Calibri" w:cs="Calibri"/>
          <w:color w:val="000000"/>
          <w:sz w:val="20"/>
          <w:szCs w:val="20"/>
        </w:rPr>
        <w:t>re products such as for Oracle operating systems and firmware. These offerings can also include product repairs, maintenance services and technical support services. We continue to evolve hardware support processes that are intended to proactively identify</w:t>
      </w:r>
      <w:r>
        <w:rPr>
          <w:rFonts w:ascii="Calibri" w:hAnsi="Calibri" w:cs="Calibri"/>
          <w:color w:val="000000"/>
          <w:sz w:val="20"/>
          <w:szCs w:val="20"/>
        </w:rPr>
        <w:t xml:space="preserve"> and solve quality issues and to increase the amount of new and renewed hardware support contracts sold in connection with the sales of our hardware products. Hardware support contracts are generally priced as a percentage of the net hardware products fees</w:t>
      </w:r>
      <w:r>
        <w:rPr>
          <w:rFonts w:ascii="Calibri" w:hAnsi="Calibri" w:cs="Calibri"/>
          <w:color w:val="000000"/>
          <w:sz w:val="20"/>
          <w:szCs w:val="20"/>
        </w:rPr>
        <w:t xml:space="preserve">. </w:t>
      </w:r>
    </w:p>
    <w:p w14:paraId="3973C8F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Oracle Services</w:t>
      </w:r>
      <w:r>
        <w:rPr>
          <w:rFonts w:ascii="Calibri" w:hAnsi="Calibri" w:cs="Calibri"/>
          <w:b/>
          <w:bCs/>
          <w:i/>
          <w:iCs/>
          <w:sz w:val="20"/>
          <w:szCs w:val="20"/>
        </w:rPr>
        <w:t xml:space="preserve"> </w:t>
      </w:r>
    </w:p>
    <w:p w14:paraId="3973C8F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services to help customers and partners maximize the performance of their investments in Oracle applications and infrastructure technologies. We believe that our services are differentiated based on our focus on Oracle </w:t>
      </w:r>
      <w:r>
        <w:rPr>
          <w:rFonts w:ascii="Calibri" w:hAnsi="Calibri" w:cs="Calibri"/>
          <w:sz w:val="20"/>
          <w:szCs w:val="20"/>
        </w:rPr>
        <w:t>technologies, extensive experience and broad sets of intellectual property and best practices. Our services offerings substantially include, among others: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8FC" w14:textId="77777777">
        <w:tc>
          <w:tcPr>
            <w:tcW w:w="262" w:type="pct"/>
            <w:shd w:val="clear" w:color="auto" w:fill="auto"/>
            <w:noWrap/>
          </w:tcPr>
          <w:p w14:paraId="3973C8F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8F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8F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consulting services, which are designed to help our customers and global system integrator partne</w:t>
            </w:r>
            <w:r>
              <w:rPr>
                <w:rFonts w:ascii="Calibri" w:hAnsi="Calibri" w:cs="Calibri"/>
                <w:color w:val="000000"/>
                <w:sz w:val="20"/>
                <w:szCs w:val="20"/>
              </w:rPr>
              <w:t>rs more successfully architect and deploy our cloud and license offerings, including IT strategy alignment, enterprise architecture planning and design, implementation, integration, application development, security assessments and ongoing software enhance</w:t>
            </w:r>
            <w:r>
              <w:rPr>
                <w:rFonts w:ascii="Calibri" w:hAnsi="Calibri" w:cs="Calibri"/>
                <w:color w:val="000000"/>
                <w:sz w:val="20"/>
                <w:szCs w:val="20"/>
              </w:rPr>
              <w:t xml:space="preserve">ments and upgrades. We utilize a global, blended </w:t>
            </w:r>
          </w:p>
        </w:tc>
      </w:tr>
    </w:tbl>
    <w:p w14:paraId="3973C8F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3973C8FE" w14:textId="77777777" w:rsidR="007B027D" w:rsidRDefault="008E0125">
      <w:r>
        <w:rPr>
          <w:rFonts w:ascii="Calibri" w:hAnsi="Calibri" w:cs="Calibri"/>
          <w:sz w:val="20"/>
          <w:szCs w:val="20"/>
        </w:rPr>
        <w:pict w14:anchorId="39740045">
          <v:rect id="_x0000_i1038" style="width:415.3pt;height:1.5pt" o:hralign="center" o:hrstd="t" o:hr="t" fillcolor="#a0a0a0" stroked="f"/>
        </w:pict>
      </w:r>
    </w:p>
    <w:p w14:paraId="3973C8FF" w14:textId="77777777" w:rsidR="007B027D" w:rsidRDefault="008E0125">
      <w:pPr>
        <w:pStyle w:val="a3"/>
        <w:spacing w:beforeAutospacing="0" w:after="120" w:afterAutospacing="0"/>
        <w:rPr>
          <w:rFonts w:ascii="Calibri" w:hAnsi="Calibri" w:cs="Calibri"/>
          <w:sz w:val="18"/>
          <w:szCs w:val="18"/>
        </w:rPr>
      </w:pPr>
      <w:hyperlink r:id="rId52" w:anchor="TABLE_OF_CONTENTS" w:history="1">
        <w:r>
          <w:rPr>
            <w:rStyle w:val="a5"/>
            <w:rFonts w:ascii="Calibri" w:hAnsi="Calibri" w:cs="Calibri"/>
            <w:sz w:val="18"/>
            <w:szCs w:val="18"/>
          </w:rPr>
          <w:t>Table of Contents</w:t>
        </w:r>
      </w:hyperlink>
    </w:p>
    <w:p w14:paraId="3973C900" w14:textId="77777777" w:rsidR="007B027D" w:rsidRDefault="008E0125">
      <w:pPr>
        <w:pStyle w:val="a3"/>
        <w:spacing w:beforeAutospacing="0" w:afterAutospacing="0"/>
        <w:rPr>
          <w:rFonts w:ascii="Calibri" w:hAnsi="Calibri" w:cs="Calibri"/>
          <w:sz w:val="18"/>
          <w:szCs w:val="18"/>
        </w:rPr>
      </w:pPr>
      <w:hyperlink r:id="rId53" w:anchor="ITEM_15_EXHIBITS_FINANCIAL_STATEMENT_SCH" w:history="1">
        <w:r>
          <w:rPr>
            <w:rStyle w:val="a5"/>
            <w:rFonts w:ascii="Calibri" w:hAnsi="Calibri" w:cs="Calibri"/>
            <w:sz w:val="18"/>
            <w:szCs w:val="18"/>
          </w:rPr>
          <w:t>Index to Financial Statements</w:t>
        </w:r>
      </w:hyperlink>
    </w:p>
    <w:p w14:paraId="3973C90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05" w14:textId="77777777">
        <w:tc>
          <w:tcPr>
            <w:tcW w:w="262" w:type="pct"/>
            <w:shd w:val="clear" w:color="auto" w:fill="auto"/>
            <w:noWrap/>
          </w:tcPr>
          <w:p w14:paraId="3973C90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03" w14:textId="77777777" w:rsidR="007B027D" w:rsidRDefault="007B027D">
            <w:pPr>
              <w:rPr>
                <w:rFonts w:ascii="宋体"/>
              </w:rPr>
            </w:pPr>
          </w:p>
        </w:tc>
        <w:tc>
          <w:tcPr>
            <w:tcW w:w="0" w:type="auto"/>
            <w:shd w:val="clear" w:color="auto" w:fill="auto"/>
          </w:tcPr>
          <w:p w14:paraId="3973C904"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delivery model to optimize value for our customers and partner</w:t>
            </w:r>
            <w:r>
              <w:rPr>
                <w:rFonts w:ascii="Calibri" w:hAnsi="Calibri" w:cs="Calibri"/>
                <w:color w:val="000000"/>
                <w:sz w:val="20"/>
                <w:szCs w:val="20"/>
              </w:rPr>
              <w:t>s, consisting of consultants from local geographies, industry specialists and consultants from our global delivery and solution centers; and</w:t>
            </w:r>
          </w:p>
        </w:tc>
      </w:tr>
    </w:tbl>
    <w:p w14:paraId="3973C90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0A" w14:textId="77777777">
        <w:tc>
          <w:tcPr>
            <w:tcW w:w="262" w:type="pct"/>
            <w:shd w:val="clear" w:color="auto" w:fill="auto"/>
            <w:noWrap/>
          </w:tcPr>
          <w:p w14:paraId="3973C90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0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09"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advanced customer services, which are support services provided by Oracle to a customer on-site or </w:t>
            </w:r>
            <w:r>
              <w:rPr>
                <w:rFonts w:ascii="Calibri" w:hAnsi="Calibri" w:cs="Calibri"/>
                <w:color w:val="000000"/>
                <w:sz w:val="20"/>
                <w:szCs w:val="20"/>
              </w:rPr>
              <w:t>remote to enable increased performance and higher availability of a customer’s Oracle products and services.</w:t>
            </w:r>
          </w:p>
        </w:tc>
      </w:tr>
    </w:tbl>
    <w:p w14:paraId="3973C90B"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Oracle Cloud Operations</w:t>
      </w:r>
    </w:p>
    <w:p w14:paraId="3973C90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Cloud Operations deliver our Oracle Cloud Services to customers through a secure, reliable, scalable, enterprise grade cloud infrastructure platform managed by Oracle employees within a global network of data centers, which we refer to as the Oracle</w:t>
      </w:r>
      <w:r>
        <w:rPr>
          <w:rFonts w:ascii="Calibri" w:hAnsi="Calibri" w:cs="Calibri"/>
          <w:sz w:val="20"/>
          <w:szCs w:val="20"/>
        </w:rPr>
        <w:t xml:space="preserve"> Cloud. The Oracle Cloud enables secure and isolated cloud-based instances for each of our customers to access the functionality of Oracle Cloud Services via a broad spectrum of devices. Oracle Cloud Operations leverage automated software tools to enable t</w:t>
      </w:r>
      <w:r>
        <w:rPr>
          <w:rFonts w:ascii="Calibri" w:hAnsi="Calibri" w:cs="Calibri"/>
          <w:sz w:val="20"/>
          <w:szCs w:val="20"/>
        </w:rPr>
        <w:t>he rapid delivery of the latest cloud technology capabilities to the Oracle Cloud as they become available, providing Oracle customers access to the latest Oracle releases generally on a quarterly cadence. We have invested in the expansion of the Oracle Cl</w:t>
      </w:r>
      <w:r>
        <w:rPr>
          <w:rFonts w:ascii="Calibri" w:hAnsi="Calibri" w:cs="Calibri"/>
          <w:sz w:val="20"/>
          <w:szCs w:val="20"/>
        </w:rPr>
        <w:t xml:space="preserve">oud by increasing existing data center capacity and adding additional data centers in new geographic locations to meet current and expected customer demand. We expect this trend will continue. </w:t>
      </w:r>
    </w:p>
    <w:p w14:paraId="3973C90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Manufacturing </w:t>
      </w:r>
    </w:p>
    <w:p w14:paraId="3973C90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rely on third-party manufacturing partners t</w:t>
      </w:r>
      <w:r>
        <w:rPr>
          <w:rFonts w:ascii="Calibri" w:hAnsi="Calibri" w:cs="Calibri"/>
          <w:sz w:val="20"/>
          <w:szCs w:val="20"/>
        </w:rPr>
        <w:t>o produce the substantial majority of our hardware products that we market and sell to customers and utilize internally to deliver Oracle Cloud Services, and we distribute most of our hardware products from these partners’ facilities. Our manufacturing pro</w:t>
      </w:r>
      <w:r>
        <w:rPr>
          <w:rFonts w:ascii="Calibri" w:hAnsi="Calibri" w:cs="Calibri"/>
          <w:sz w:val="20"/>
          <w:szCs w:val="20"/>
        </w:rPr>
        <w:t xml:space="preserve">cesses are substantially based on standardization of components across product types and centralization of assembly and distribution centers. Production of our hardware products requires that we purchase materials, supplies, product subassemblies and full </w:t>
      </w:r>
      <w:r>
        <w:rPr>
          <w:rFonts w:ascii="Calibri" w:hAnsi="Calibri" w:cs="Calibri"/>
          <w:sz w:val="20"/>
          <w:szCs w:val="20"/>
        </w:rPr>
        <w:t>assemblies from a number of suppliers. For most of our hardware products, we have existing alternative sources of supply or such sources are readily available. However, we do rely on sole sources for certain hardware components. We monitor and evaluate pot</w:t>
      </w:r>
      <w:r>
        <w:rPr>
          <w:rFonts w:ascii="Calibri" w:hAnsi="Calibri" w:cs="Calibri"/>
          <w:sz w:val="20"/>
          <w:szCs w:val="20"/>
        </w:rPr>
        <w:t>ential risks of disruption within our supply chain operations. Refer to Risk Factors included in Item 1A within this Annual Report for additional discussion of the challenges we encounter with respect to the sources and availability of supplies for our har</w:t>
      </w:r>
      <w:r>
        <w:rPr>
          <w:rFonts w:ascii="Calibri" w:hAnsi="Calibri" w:cs="Calibri"/>
          <w:sz w:val="20"/>
          <w:szCs w:val="20"/>
        </w:rPr>
        <w:t xml:space="preserve">dware products and the related risks to our businesses. </w:t>
      </w:r>
    </w:p>
    <w:p w14:paraId="3973C90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Sales and Marketing</w:t>
      </w:r>
    </w:p>
    <w:p w14:paraId="3973C91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directly market and sell our cloud, license, hardware, support and services offerings globally to businesses of many sizes and in many industries, government agencies and educa</w:t>
      </w:r>
      <w:r>
        <w:rPr>
          <w:rFonts w:ascii="Calibri" w:hAnsi="Calibri" w:cs="Calibri"/>
          <w:sz w:val="20"/>
          <w:szCs w:val="20"/>
        </w:rPr>
        <w:t xml:space="preserve">tional institutions. We also market and sell our offerings globally through indirect channels. </w:t>
      </w:r>
    </w:p>
    <w:p w14:paraId="3973C9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the United States (U.S.), our sales and services employees are based in our headquarters and other facilities throughout the country. Outside the U.S., our i</w:t>
      </w:r>
      <w:r>
        <w:rPr>
          <w:rFonts w:ascii="Calibri" w:hAnsi="Calibri" w:cs="Calibri"/>
          <w:sz w:val="20"/>
          <w:szCs w:val="20"/>
        </w:rPr>
        <w:t>nternational subsidiaries sell, support and service our offerings in their local countries as well as within other foreign countries where we do not operate through a direct sales subsidiary. Our geographic coverage allows us to draw on business and techni</w:t>
      </w:r>
      <w:r>
        <w:rPr>
          <w:rFonts w:ascii="Calibri" w:hAnsi="Calibri" w:cs="Calibri"/>
          <w:sz w:val="20"/>
          <w:szCs w:val="20"/>
        </w:rPr>
        <w:t>cal expertise from a global workforce, provides stability to our operations and revenue streams to offset geography specific economic trends, and offers us an opportunity to take advantage of new markets for our offerings. Our international operations subj</w:t>
      </w:r>
      <w:r>
        <w:rPr>
          <w:rFonts w:ascii="Calibri" w:hAnsi="Calibri" w:cs="Calibri"/>
          <w:sz w:val="20"/>
          <w:szCs w:val="20"/>
        </w:rPr>
        <w:t>ect us to certain risks, which are more fully described in Risk Factors included in Item 1A of this Annual Report. A summary of our domestic and international revenues and long-lived assets is set forth in Note 14 of Notes to Consolidated Financial Stateme</w:t>
      </w:r>
      <w:r>
        <w:rPr>
          <w:rFonts w:ascii="Calibri" w:hAnsi="Calibri" w:cs="Calibri"/>
          <w:sz w:val="20"/>
          <w:szCs w:val="20"/>
        </w:rPr>
        <w:t>nts included elsewhere in this Annual Report.</w:t>
      </w:r>
    </w:p>
    <w:p w14:paraId="3973C91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also market our product offerings worldwide through indirect channels. The companies that comprise our indirect channel network are members of the Oracle Partner Network. The Oracle Partner Network is a glob</w:t>
      </w:r>
      <w:r>
        <w:rPr>
          <w:rFonts w:ascii="Calibri" w:hAnsi="Calibri" w:cs="Calibri"/>
          <w:sz w:val="20"/>
          <w:szCs w:val="20"/>
        </w:rPr>
        <w:t xml:space="preserve">al program that manages our business relationships with a large, broad-based network of companies, including cloud and license, hardware and services suppliers, system integrators and resellers that deliver innovative solutions and services based upon and </w:t>
      </w:r>
      <w:r>
        <w:rPr>
          <w:rFonts w:ascii="Calibri" w:hAnsi="Calibri" w:cs="Calibri"/>
          <w:sz w:val="20"/>
          <w:szCs w:val="20"/>
        </w:rPr>
        <w:t>in conjunction with our product offerings. By offering our partners access to our product offerings, educational information, technical services, marketing and sales support, the Oracle Partner Network program extends our market reach by providing our part</w:t>
      </w:r>
      <w:r>
        <w:rPr>
          <w:rFonts w:ascii="Calibri" w:hAnsi="Calibri" w:cs="Calibri"/>
          <w:sz w:val="20"/>
          <w:szCs w:val="20"/>
        </w:rPr>
        <w:t>ners with the resources they need to be successful in delivering solutions to customers globally</w:t>
      </w:r>
      <w:r>
        <w:rPr>
          <w:rFonts w:ascii="Calibri" w:hAnsi="Calibri" w:cs="Calibri"/>
          <w:color w:val="000000"/>
          <w:sz w:val="20"/>
          <w:szCs w:val="20"/>
        </w:rPr>
        <w:t>.</w:t>
      </w:r>
    </w:p>
    <w:p w14:paraId="3973C91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3973C914" w14:textId="77777777" w:rsidR="007B027D" w:rsidRDefault="008E0125">
      <w:r>
        <w:rPr>
          <w:rFonts w:ascii="Calibri" w:hAnsi="Calibri" w:cs="Calibri"/>
          <w:sz w:val="20"/>
          <w:szCs w:val="20"/>
        </w:rPr>
        <w:pict w14:anchorId="39740046">
          <v:rect id="_x0000_i1039" style="width:415.3pt;height:1.5pt" o:hralign="center" o:hrstd="t" o:hr="t" fillcolor="#a0a0a0" stroked="f"/>
        </w:pict>
      </w:r>
    </w:p>
    <w:p w14:paraId="3973C915" w14:textId="77777777" w:rsidR="007B027D" w:rsidRDefault="008E0125">
      <w:pPr>
        <w:pStyle w:val="a3"/>
        <w:spacing w:beforeAutospacing="0" w:after="120" w:afterAutospacing="0"/>
        <w:rPr>
          <w:rFonts w:ascii="Calibri" w:hAnsi="Calibri" w:cs="Calibri"/>
          <w:sz w:val="18"/>
          <w:szCs w:val="18"/>
        </w:rPr>
      </w:pPr>
      <w:hyperlink r:id="rId54" w:anchor="TABLE_OF_CONTENTS" w:history="1">
        <w:r>
          <w:rPr>
            <w:rStyle w:val="a5"/>
            <w:rFonts w:ascii="Calibri" w:hAnsi="Calibri" w:cs="Calibri"/>
            <w:sz w:val="18"/>
            <w:szCs w:val="18"/>
          </w:rPr>
          <w:t>Table of Contents</w:t>
        </w:r>
      </w:hyperlink>
    </w:p>
    <w:p w14:paraId="3973C916" w14:textId="77777777" w:rsidR="007B027D" w:rsidRDefault="008E0125">
      <w:pPr>
        <w:pStyle w:val="a3"/>
        <w:spacing w:beforeAutospacing="0" w:afterAutospacing="0"/>
        <w:rPr>
          <w:rFonts w:ascii="Calibri" w:hAnsi="Calibri" w:cs="Calibri"/>
          <w:sz w:val="18"/>
          <w:szCs w:val="18"/>
        </w:rPr>
      </w:pPr>
      <w:hyperlink r:id="rId55" w:anchor="ITEM_15_EXHIBITS_FINANCIAL_STATEMENT_SCH" w:history="1">
        <w:r>
          <w:rPr>
            <w:rStyle w:val="a5"/>
            <w:rFonts w:ascii="Calibri" w:hAnsi="Calibri" w:cs="Calibri"/>
            <w:sz w:val="18"/>
            <w:szCs w:val="18"/>
          </w:rPr>
          <w:t>Index to Financial Statements</w:t>
        </w:r>
      </w:hyperlink>
    </w:p>
    <w:p w14:paraId="3973C917"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91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Research and Development</w:t>
      </w:r>
    </w:p>
    <w:p w14:paraId="3973C91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develop the substantial majority of o</w:t>
      </w:r>
      <w:r>
        <w:rPr>
          <w:rFonts w:ascii="Calibri" w:hAnsi="Calibri" w:cs="Calibri"/>
          <w:sz w:val="20"/>
          <w:szCs w:val="20"/>
        </w:rPr>
        <w:t>ur products and services offerings internally utilizing the skills and diversity of a global workforce. In addition, we have extended our products and services offerings and intellectual property through acquisitions of businesses and technologies. We also</w:t>
      </w:r>
      <w:r>
        <w:rPr>
          <w:rFonts w:ascii="Calibri" w:hAnsi="Calibri" w:cs="Calibri"/>
          <w:sz w:val="20"/>
          <w:szCs w:val="20"/>
        </w:rPr>
        <w:t xml:space="preserve"> purchase or license intellectual property rights in certain circumstances. Internal development allows us to maintain technical control over the design and development of our products. We have a number of U.S. and foreign patents and pending applications </w:t>
      </w:r>
      <w:r>
        <w:rPr>
          <w:rFonts w:ascii="Calibri" w:hAnsi="Calibri" w:cs="Calibri"/>
          <w:sz w:val="20"/>
          <w:szCs w:val="20"/>
        </w:rPr>
        <w:t>that relate to various aspects of our products and technology. While we believe that our patents have value, no single patent is essential to us or to any of our principal businesses. Rapid technological advances in cloud, software and hardware development</w:t>
      </w:r>
      <w:r>
        <w:rPr>
          <w:rFonts w:ascii="Calibri" w:hAnsi="Calibri" w:cs="Calibri"/>
          <w:sz w:val="20"/>
          <w:szCs w:val="20"/>
        </w:rPr>
        <w:t>, evolving standards in computer hardware and software technology, changing customer needs and frequent new product introductions, offerings and enhancements characterize the markets in which we compete. We plan to continue to dedicate a significant amount</w:t>
      </w:r>
      <w:r>
        <w:rPr>
          <w:rFonts w:ascii="Calibri" w:hAnsi="Calibri" w:cs="Calibri"/>
          <w:sz w:val="20"/>
          <w:szCs w:val="20"/>
        </w:rPr>
        <w:t xml:space="preserve"> of resources to research and development efforts to maintain and improve our current products and services offerings. </w:t>
      </w:r>
    </w:p>
    <w:p w14:paraId="3973C91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Human Capital Resources</w:t>
      </w:r>
    </w:p>
    <w:p w14:paraId="3973C91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At Oracle, our success is driven by the quality of our people, who we believe are among the best and brightest i</w:t>
      </w:r>
      <w:r>
        <w:rPr>
          <w:rFonts w:ascii="Calibri" w:hAnsi="Calibri" w:cs="Calibri"/>
          <w:sz w:val="20"/>
          <w:szCs w:val="20"/>
        </w:rPr>
        <w:t>n the industry. We strive to create an environment that supports employee success and a culture where everyone has a voice in driving innovation.</w:t>
      </w:r>
    </w:p>
    <w:p w14:paraId="3973C91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Workforce</w:t>
      </w:r>
    </w:p>
    <w:p w14:paraId="3973C91D" w14:textId="77777777" w:rsidR="007B027D" w:rsidRDefault="008E0125">
      <w:pPr>
        <w:pStyle w:val="a3"/>
        <w:spacing w:before="120" w:beforeAutospacing="0" w:after="240" w:afterAutospacing="0"/>
        <w:jc w:val="both"/>
        <w:rPr>
          <w:rFonts w:ascii="Calibri" w:hAnsi="Calibri" w:cs="Calibri"/>
          <w:sz w:val="20"/>
          <w:szCs w:val="20"/>
        </w:rPr>
      </w:pPr>
      <w:r>
        <w:rPr>
          <w:rFonts w:ascii="Calibri" w:hAnsi="Calibri" w:cs="Calibri"/>
          <w:sz w:val="20"/>
          <w:szCs w:val="20"/>
        </w:rPr>
        <w:t>As of May 31, 2022, we employed approximately 143,000 full-time employees, of which approximately 48</w:t>
      </w:r>
      <w:r>
        <w:rPr>
          <w:rFonts w:ascii="Calibri" w:hAnsi="Calibri" w:cs="Calibri"/>
          <w:sz w:val="20"/>
          <w:szCs w:val="20"/>
        </w:rPr>
        <w:t>,000 were employed in the U.S. and approximately 95,000 were employed internationally. Our approximate employee counts by lines of business are:</w:t>
      </w:r>
    </w:p>
    <w:tbl>
      <w:tblPr>
        <w:tblW w:w="5000" w:type="pct"/>
        <w:tblCellMar>
          <w:left w:w="0" w:type="dxa"/>
          <w:right w:w="0" w:type="dxa"/>
        </w:tblCellMar>
        <w:tblLook w:val="04A0" w:firstRow="1" w:lastRow="0" w:firstColumn="1" w:lastColumn="0" w:noHBand="0" w:noVBand="1"/>
      </w:tblPr>
      <w:tblGrid>
        <w:gridCol w:w="84"/>
        <w:gridCol w:w="723"/>
        <w:gridCol w:w="84"/>
        <w:gridCol w:w="123"/>
        <w:gridCol w:w="3365"/>
        <w:gridCol w:w="123"/>
        <w:gridCol w:w="83"/>
        <w:gridCol w:w="722"/>
        <w:gridCol w:w="83"/>
        <w:gridCol w:w="123"/>
        <w:gridCol w:w="2808"/>
      </w:tblGrid>
      <w:tr w:rsidR="007B027D" w14:paraId="3973C929" w14:textId="77777777">
        <w:tc>
          <w:tcPr>
            <w:tcW w:w="50" w:type="pct"/>
            <w:shd w:val="clear" w:color="auto" w:fill="CFF0FC"/>
            <w:noWrap/>
            <w:tcMar>
              <w:top w:w="15" w:type="dxa"/>
              <w:right w:w="15" w:type="dxa"/>
            </w:tcMar>
            <w:vAlign w:val="bottom"/>
          </w:tcPr>
          <w:p w14:paraId="3973C91E" w14:textId="77777777" w:rsidR="007B027D" w:rsidRDefault="008E0125">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434" w:type="pct"/>
            <w:shd w:val="clear" w:color="auto" w:fill="CFF0FC"/>
            <w:noWrap/>
            <w:tcMar>
              <w:top w:w="15" w:type="dxa"/>
              <w:right w:w="15" w:type="dxa"/>
            </w:tcMar>
            <w:vAlign w:val="bottom"/>
          </w:tcPr>
          <w:p w14:paraId="3973C91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38,000</w:t>
            </w:r>
          </w:p>
        </w:tc>
        <w:tc>
          <w:tcPr>
            <w:tcW w:w="50" w:type="pct"/>
            <w:shd w:val="clear" w:color="auto" w:fill="CFF0FC"/>
            <w:noWrap/>
            <w:tcMar>
              <w:top w:w="15" w:type="dxa"/>
              <w:right w:w="15" w:type="dxa"/>
            </w:tcMar>
            <w:vAlign w:val="bottom"/>
          </w:tcPr>
          <w:p w14:paraId="3973C9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3973C9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021" w:type="pct"/>
            <w:shd w:val="clear" w:color="auto" w:fill="CFF0FC"/>
            <w:tcMar>
              <w:top w:w="15" w:type="dxa"/>
              <w:right w:w="15" w:type="dxa"/>
            </w:tcMar>
            <w:vAlign w:val="bottom"/>
          </w:tcPr>
          <w:p w14:paraId="3973C9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Sales and marketing</w:t>
            </w:r>
          </w:p>
        </w:tc>
        <w:tc>
          <w:tcPr>
            <w:tcW w:w="74" w:type="pct"/>
            <w:shd w:val="clear" w:color="auto" w:fill="CFF0FC"/>
            <w:tcMar>
              <w:top w:w="15" w:type="dxa"/>
              <w:right w:w="15" w:type="dxa"/>
            </w:tcMar>
            <w:vAlign w:val="bottom"/>
          </w:tcPr>
          <w:p w14:paraId="3973C9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9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shd w:val="clear" w:color="auto" w:fill="CFF0FC"/>
            <w:noWrap/>
            <w:tcMar>
              <w:top w:w="15" w:type="dxa"/>
              <w:right w:w="15" w:type="dxa"/>
            </w:tcMar>
            <w:vAlign w:val="bottom"/>
          </w:tcPr>
          <w:p w14:paraId="3973C92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25,000</w:t>
            </w:r>
          </w:p>
        </w:tc>
        <w:tc>
          <w:tcPr>
            <w:tcW w:w="50" w:type="pct"/>
            <w:shd w:val="clear" w:color="auto" w:fill="CFF0FC"/>
            <w:noWrap/>
            <w:tcMar>
              <w:top w:w="15" w:type="dxa"/>
              <w:right w:w="15" w:type="dxa"/>
            </w:tcMar>
            <w:vAlign w:val="bottom"/>
          </w:tcPr>
          <w:p w14:paraId="3973C9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3973C9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686" w:type="pct"/>
            <w:shd w:val="clear" w:color="auto" w:fill="CFF0FC"/>
            <w:tcMar>
              <w:top w:w="15" w:type="dxa"/>
              <w:right w:w="15" w:type="dxa"/>
            </w:tcMar>
            <w:vAlign w:val="bottom"/>
          </w:tcPr>
          <w:p w14:paraId="3973C9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r>
      <w:tr w:rsidR="007B027D" w14:paraId="3973C935" w14:textId="77777777">
        <w:tc>
          <w:tcPr>
            <w:tcW w:w="50" w:type="pct"/>
            <w:shd w:val="clear" w:color="auto" w:fill="FFFFFF"/>
            <w:noWrap/>
            <w:tcMar>
              <w:top w:w="15" w:type="dxa"/>
              <w:right w:w="15" w:type="dxa"/>
            </w:tcMar>
            <w:vAlign w:val="bottom"/>
          </w:tcPr>
          <w:p w14:paraId="3973C9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shd w:val="clear" w:color="auto" w:fill="FFFFFF"/>
            <w:noWrap/>
            <w:tcMar>
              <w:top w:w="15" w:type="dxa"/>
              <w:right w:w="15" w:type="dxa"/>
            </w:tcMar>
            <w:vAlign w:val="bottom"/>
          </w:tcPr>
          <w:p w14:paraId="3973C92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21,000</w:t>
            </w:r>
          </w:p>
        </w:tc>
        <w:tc>
          <w:tcPr>
            <w:tcW w:w="50" w:type="pct"/>
            <w:shd w:val="clear" w:color="auto" w:fill="FFFFFF"/>
            <w:noWrap/>
            <w:tcMar>
              <w:top w:w="15" w:type="dxa"/>
              <w:right w:w="15" w:type="dxa"/>
            </w:tcMar>
            <w:vAlign w:val="bottom"/>
          </w:tcPr>
          <w:p w14:paraId="3973C92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FFFFFF"/>
            <w:tcMar>
              <w:top w:w="15" w:type="dxa"/>
              <w:right w:w="15" w:type="dxa"/>
            </w:tcMar>
            <w:vAlign w:val="bottom"/>
          </w:tcPr>
          <w:p w14:paraId="3973C9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021" w:type="pct"/>
            <w:shd w:val="clear" w:color="auto" w:fill="FFFFFF"/>
            <w:tcMar>
              <w:top w:w="15" w:type="dxa"/>
              <w:right w:w="15" w:type="dxa"/>
            </w:tcMar>
            <w:vAlign w:val="bottom"/>
          </w:tcPr>
          <w:p w14:paraId="3973C92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Cloud services and license </w:t>
            </w:r>
            <w:r>
              <w:rPr>
                <w:rFonts w:ascii="Calibri" w:hAnsi="Calibri" w:cs="Calibri"/>
                <w:color w:val="000000"/>
                <w:sz w:val="18"/>
                <w:szCs w:val="18"/>
              </w:rPr>
              <w:t>support operations</w:t>
            </w:r>
          </w:p>
        </w:tc>
        <w:tc>
          <w:tcPr>
            <w:tcW w:w="74" w:type="pct"/>
            <w:shd w:val="clear" w:color="auto" w:fill="FFFFFF"/>
            <w:tcMar>
              <w:top w:w="15" w:type="dxa"/>
              <w:right w:w="15" w:type="dxa"/>
            </w:tcMar>
            <w:vAlign w:val="bottom"/>
          </w:tcPr>
          <w:p w14:paraId="3973C9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9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shd w:val="clear" w:color="auto" w:fill="FFFFFF"/>
            <w:noWrap/>
            <w:tcMar>
              <w:top w:w="15" w:type="dxa"/>
              <w:right w:w="15" w:type="dxa"/>
            </w:tcMar>
            <w:vAlign w:val="bottom"/>
          </w:tcPr>
          <w:p w14:paraId="3973C93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44,000</w:t>
            </w:r>
          </w:p>
        </w:tc>
        <w:tc>
          <w:tcPr>
            <w:tcW w:w="50" w:type="pct"/>
            <w:shd w:val="clear" w:color="auto" w:fill="FFFFFF"/>
            <w:noWrap/>
            <w:tcMar>
              <w:top w:w="15" w:type="dxa"/>
              <w:right w:w="15" w:type="dxa"/>
            </w:tcMar>
            <w:vAlign w:val="bottom"/>
          </w:tcPr>
          <w:p w14:paraId="3973C93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FFFFFF"/>
            <w:tcMar>
              <w:top w:w="15" w:type="dxa"/>
              <w:right w:w="15" w:type="dxa"/>
            </w:tcMar>
            <w:vAlign w:val="bottom"/>
          </w:tcPr>
          <w:p w14:paraId="3973C9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686" w:type="pct"/>
            <w:shd w:val="clear" w:color="auto" w:fill="FFFFFF"/>
            <w:tcMar>
              <w:top w:w="15" w:type="dxa"/>
              <w:right w:w="15" w:type="dxa"/>
            </w:tcMar>
            <w:vAlign w:val="bottom"/>
          </w:tcPr>
          <w:p w14:paraId="3973C9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Research and development</w:t>
            </w:r>
          </w:p>
        </w:tc>
      </w:tr>
      <w:tr w:rsidR="007B027D" w14:paraId="3973C941" w14:textId="77777777">
        <w:tc>
          <w:tcPr>
            <w:tcW w:w="50" w:type="pct"/>
            <w:shd w:val="clear" w:color="auto" w:fill="CFF0FC"/>
            <w:noWrap/>
            <w:tcMar>
              <w:top w:w="15" w:type="dxa"/>
              <w:right w:w="15" w:type="dxa"/>
            </w:tcMar>
            <w:vAlign w:val="bottom"/>
          </w:tcPr>
          <w:p w14:paraId="3973C9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shd w:val="clear" w:color="auto" w:fill="CFF0FC"/>
            <w:noWrap/>
            <w:tcMar>
              <w:top w:w="15" w:type="dxa"/>
              <w:right w:w="15" w:type="dxa"/>
            </w:tcMar>
            <w:vAlign w:val="bottom"/>
          </w:tcPr>
          <w:p w14:paraId="3973C93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3,000</w:t>
            </w:r>
          </w:p>
        </w:tc>
        <w:tc>
          <w:tcPr>
            <w:tcW w:w="50" w:type="pct"/>
            <w:shd w:val="clear" w:color="auto" w:fill="CFF0FC"/>
            <w:noWrap/>
            <w:tcMar>
              <w:top w:w="15" w:type="dxa"/>
              <w:right w:w="15" w:type="dxa"/>
            </w:tcMar>
            <w:vAlign w:val="bottom"/>
          </w:tcPr>
          <w:p w14:paraId="3973C9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3973C9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021" w:type="pct"/>
            <w:shd w:val="clear" w:color="auto" w:fill="CFF0FC"/>
            <w:tcMar>
              <w:top w:w="15" w:type="dxa"/>
              <w:right w:w="15" w:type="dxa"/>
            </w:tcMar>
            <w:vAlign w:val="bottom"/>
          </w:tcPr>
          <w:p w14:paraId="3973C93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74" w:type="pct"/>
            <w:shd w:val="clear" w:color="auto" w:fill="CFF0FC"/>
            <w:tcMar>
              <w:top w:w="15" w:type="dxa"/>
              <w:right w:w="15" w:type="dxa"/>
            </w:tcMar>
            <w:vAlign w:val="bottom"/>
          </w:tcPr>
          <w:p w14:paraId="3973C9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93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shd w:val="clear" w:color="auto" w:fill="CFF0FC"/>
            <w:noWrap/>
            <w:tcMar>
              <w:top w:w="15" w:type="dxa"/>
              <w:right w:w="15" w:type="dxa"/>
            </w:tcMar>
            <w:vAlign w:val="bottom"/>
          </w:tcPr>
          <w:p w14:paraId="3973C93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12,000</w:t>
            </w:r>
          </w:p>
        </w:tc>
        <w:tc>
          <w:tcPr>
            <w:tcW w:w="50" w:type="pct"/>
            <w:shd w:val="clear" w:color="auto" w:fill="CFF0FC"/>
            <w:noWrap/>
            <w:tcMar>
              <w:top w:w="15" w:type="dxa"/>
              <w:right w:w="15" w:type="dxa"/>
            </w:tcMar>
            <w:vAlign w:val="bottom"/>
          </w:tcPr>
          <w:p w14:paraId="3973C93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 w:type="pct"/>
            <w:shd w:val="clear" w:color="auto" w:fill="CFF0FC"/>
            <w:tcMar>
              <w:top w:w="15" w:type="dxa"/>
              <w:right w:w="15" w:type="dxa"/>
            </w:tcMar>
            <w:vAlign w:val="bottom"/>
          </w:tcPr>
          <w:p w14:paraId="3973C9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686" w:type="pct"/>
            <w:shd w:val="clear" w:color="auto" w:fill="CFF0FC"/>
            <w:tcMar>
              <w:top w:w="15" w:type="dxa"/>
              <w:right w:w="15" w:type="dxa"/>
            </w:tcMar>
            <w:vAlign w:val="bottom"/>
          </w:tcPr>
          <w:p w14:paraId="3973C9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General and administrative</w:t>
            </w:r>
          </w:p>
        </w:tc>
      </w:tr>
    </w:tbl>
    <w:p w14:paraId="3973C942" w14:textId="77777777" w:rsidR="007B027D" w:rsidRDefault="008E0125">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The average tenure of our employees is approximately seven years and 27% of our employees have been employed with Oracle for ten </w:t>
      </w:r>
      <w:r>
        <w:rPr>
          <w:rFonts w:ascii="Calibri" w:hAnsi="Calibri" w:cs="Calibri"/>
          <w:sz w:val="20"/>
          <w:szCs w:val="20"/>
        </w:rPr>
        <w:t>or more years.</w:t>
      </w:r>
    </w:p>
    <w:p w14:paraId="3973C943" w14:textId="77777777" w:rsidR="007B027D" w:rsidRDefault="008E0125">
      <w:pPr>
        <w:pStyle w:val="a3"/>
        <w:spacing w:before="240" w:beforeAutospacing="0" w:afterAutospacing="0"/>
        <w:jc w:val="both"/>
        <w:rPr>
          <w:rFonts w:ascii="Calibri" w:hAnsi="Calibri" w:cs="Calibri"/>
          <w:sz w:val="20"/>
          <w:szCs w:val="20"/>
        </w:rPr>
      </w:pPr>
      <w:r>
        <w:rPr>
          <w:rFonts w:ascii="Calibri" w:hAnsi="Calibri" w:cs="Calibri"/>
          <w:sz w:val="20"/>
          <w:szCs w:val="20"/>
        </w:rPr>
        <w:t>None of our employees in the U.S. is represented by a labor union; however, in certain foreign subsidiaries, labor unions or workers’ councils represent some of our employees.</w:t>
      </w:r>
    </w:p>
    <w:p w14:paraId="3973C94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Diversity and Inclusion</w:t>
      </w:r>
    </w:p>
    <w:p w14:paraId="3973C94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innovation starts with in</w:t>
      </w:r>
      <w:r>
        <w:rPr>
          <w:rFonts w:ascii="Calibri" w:hAnsi="Calibri" w:cs="Calibri"/>
          <w:sz w:val="20"/>
          <w:szCs w:val="20"/>
        </w:rPr>
        <w:t>clusion. Our focus on diversity and inclusion is reflected throughout our organization, starting at the highest level. Our Chief Executive Officer is a woman and forty percent of our Board members are women and/or come from a diverse background. We endeavo</w:t>
      </w:r>
      <w:r>
        <w:rPr>
          <w:rFonts w:ascii="Calibri" w:hAnsi="Calibri" w:cs="Calibri"/>
          <w:sz w:val="20"/>
          <w:szCs w:val="20"/>
        </w:rPr>
        <w:t>r to hire employees from a broad pool of talent with diverse backgrounds, perspectives and abilities and we believe Oracle’s leaders serve as role models for our diverse and inclusive workforce. We seek to continuously build on our inclusive hiring strateg</w:t>
      </w:r>
      <w:r>
        <w:rPr>
          <w:rFonts w:ascii="Calibri" w:hAnsi="Calibri" w:cs="Calibri"/>
          <w:sz w:val="20"/>
          <w:szCs w:val="20"/>
        </w:rPr>
        <w:t xml:space="preserve">ies, tracking our progress and holding ourselves accountable for greater diversity at Oracle. Our programs are supported by Oracle leaders across the company with strategic sponsorship from Oracle’s Executive Diversity Council, which is led by Safra Catz, </w:t>
      </w:r>
      <w:r>
        <w:rPr>
          <w:rFonts w:ascii="Calibri" w:hAnsi="Calibri" w:cs="Calibri"/>
          <w:sz w:val="20"/>
          <w:szCs w:val="20"/>
        </w:rPr>
        <w:t>our Chief Executive Officer, and extend through the actions we are taking globally on Oracle’s five Diversity and Inclusion (D&amp;I) Imperatives: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49" w14:textId="77777777">
        <w:tc>
          <w:tcPr>
            <w:tcW w:w="262" w:type="pct"/>
            <w:shd w:val="clear" w:color="auto" w:fill="auto"/>
            <w:noWrap/>
          </w:tcPr>
          <w:p w14:paraId="3973C94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4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4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driving insight and accountability with data;</w:t>
            </w:r>
          </w:p>
        </w:tc>
      </w:tr>
    </w:tbl>
    <w:p w14:paraId="3973C94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4E" w14:textId="77777777">
        <w:tc>
          <w:tcPr>
            <w:tcW w:w="262" w:type="pct"/>
            <w:shd w:val="clear" w:color="auto" w:fill="auto"/>
            <w:noWrap/>
          </w:tcPr>
          <w:p w14:paraId="3973C94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4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4D"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recruiting with an intention on diversity;</w:t>
            </w:r>
          </w:p>
        </w:tc>
      </w:tr>
    </w:tbl>
    <w:p w14:paraId="3973C94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53" w14:textId="77777777">
        <w:tc>
          <w:tcPr>
            <w:tcW w:w="262" w:type="pct"/>
            <w:shd w:val="clear" w:color="auto" w:fill="auto"/>
            <w:noWrap/>
          </w:tcPr>
          <w:p w14:paraId="3973C95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5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52"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embedding inclusion into talent development;</w:t>
            </w:r>
          </w:p>
        </w:tc>
      </w:tr>
    </w:tbl>
    <w:p w14:paraId="3973C95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58" w14:textId="77777777">
        <w:tc>
          <w:tcPr>
            <w:tcW w:w="262" w:type="pct"/>
            <w:shd w:val="clear" w:color="auto" w:fill="auto"/>
            <w:noWrap/>
          </w:tcPr>
          <w:p w14:paraId="3973C95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5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57"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inspiring an inclusive culture through community; and</w:t>
            </w:r>
          </w:p>
        </w:tc>
      </w:tr>
    </w:tbl>
    <w:p w14:paraId="3973C95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5D" w14:textId="77777777">
        <w:tc>
          <w:tcPr>
            <w:tcW w:w="262" w:type="pct"/>
            <w:shd w:val="clear" w:color="auto" w:fill="auto"/>
            <w:noWrap/>
          </w:tcPr>
          <w:p w14:paraId="3973C95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5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5C"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investing in the future diversity of our industry.</w:t>
            </w:r>
          </w:p>
        </w:tc>
      </w:tr>
    </w:tbl>
    <w:p w14:paraId="3973C95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3973C95F" w14:textId="77777777" w:rsidR="007B027D" w:rsidRDefault="008E0125">
      <w:r>
        <w:rPr>
          <w:rFonts w:ascii="Calibri" w:hAnsi="Calibri" w:cs="Calibri"/>
          <w:sz w:val="20"/>
          <w:szCs w:val="20"/>
        </w:rPr>
        <w:pict w14:anchorId="39740047">
          <v:rect id="_x0000_i1040" style="width:415.3pt;height:1.5pt" o:hralign="center" o:hrstd="t" o:hr="t" fillcolor="#a0a0a0" stroked="f"/>
        </w:pict>
      </w:r>
    </w:p>
    <w:p w14:paraId="3973C960" w14:textId="77777777" w:rsidR="007B027D" w:rsidRDefault="008E0125">
      <w:pPr>
        <w:pStyle w:val="a3"/>
        <w:spacing w:beforeAutospacing="0" w:after="120" w:afterAutospacing="0"/>
        <w:rPr>
          <w:rFonts w:ascii="Calibri" w:hAnsi="Calibri" w:cs="Calibri"/>
          <w:sz w:val="18"/>
          <w:szCs w:val="18"/>
        </w:rPr>
      </w:pPr>
      <w:hyperlink r:id="rId56" w:anchor="TABLE_OF_CONTENTS" w:history="1">
        <w:r>
          <w:rPr>
            <w:rStyle w:val="a5"/>
            <w:rFonts w:ascii="Calibri" w:hAnsi="Calibri" w:cs="Calibri"/>
            <w:sz w:val="18"/>
            <w:szCs w:val="18"/>
          </w:rPr>
          <w:t>Table of Contents</w:t>
        </w:r>
      </w:hyperlink>
    </w:p>
    <w:p w14:paraId="3973C961" w14:textId="77777777" w:rsidR="007B027D" w:rsidRDefault="008E0125">
      <w:pPr>
        <w:pStyle w:val="a3"/>
        <w:spacing w:beforeAutospacing="0" w:afterAutospacing="0"/>
        <w:rPr>
          <w:rFonts w:ascii="Calibri" w:hAnsi="Calibri" w:cs="Calibri"/>
          <w:sz w:val="18"/>
          <w:szCs w:val="18"/>
        </w:rPr>
      </w:pPr>
      <w:hyperlink r:id="rId57" w:anchor="ITEM_15_EXHIBITS_FINANCIAL_STATEMENT_SCH" w:history="1">
        <w:r>
          <w:rPr>
            <w:rStyle w:val="a5"/>
            <w:rFonts w:ascii="Calibri" w:hAnsi="Calibri" w:cs="Calibri"/>
            <w:sz w:val="18"/>
            <w:szCs w:val="18"/>
          </w:rPr>
          <w:t>Index to Financial Statements</w:t>
        </w:r>
      </w:hyperlink>
    </w:p>
    <w:p w14:paraId="3973C962"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96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96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global, regional and local programs, Oracle Huma</w:t>
      </w:r>
      <w:r>
        <w:rPr>
          <w:rFonts w:ascii="Calibri" w:hAnsi="Calibri" w:cs="Calibri"/>
          <w:sz w:val="20"/>
          <w:szCs w:val="20"/>
        </w:rPr>
        <w:t>n Resources partners with business leaders to create and implement D&amp;I plans to embed targeted strategies into organizations across Oracle. Employee satisfaction on the importance of D&amp;I at Oracle and their manager’s encouragement of diverse ideas and pers</w:t>
      </w:r>
      <w:r>
        <w:rPr>
          <w:rFonts w:ascii="Calibri" w:hAnsi="Calibri" w:cs="Calibri"/>
          <w:sz w:val="20"/>
          <w:szCs w:val="20"/>
        </w:rPr>
        <w:t>pectives ranks high in our employee engagement surveys.</w:t>
      </w:r>
    </w:p>
    <w:p w14:paraId="3973C96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proud to be recognized for our progress and commitment to D&amp;I, including being named a Best Place to Work for LGBTQ+ Equality in 2022 by the Human Rights Campaign Foundation, a 2021 Best Place </w:t>
      </w:r>
      <w:r>
        <w:rPr>
          <w:rFonts w:ascii="Calibri" w:hAnsi="Calibri" w:cs="Calibri"/>
          <w:sz w:val="20"/>
          <w:szCs w:val="20"/>
        </w:rPr>
        <w:t>to Work for Disability Inclusion by the Disability Equality Index, and a 2022 Top Supporter of Historically Black College and University Engineering Schools by Career Communications Group.</w:t>
      </w:r>
    </w:p>
    <w:p w14:paraId="3973C96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Leaders Who Listen</w:t>
      </w:r>
    </w:p>
    <w:p w14:paraId="3973C96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an important aspect of </w:t>
      </w:r>
      <w:r>
        <w:rPr>
          <w:rFonts w:ascii="Calibri" w:hAnsi="Calibri" w:cs="Calibri"/>
          <w:sz w:val="20"/>
          <w:szCs w:val="20"/>
        </w:rPr>
        <w:t>creating a culture and environment that supports employee, customer and business success is listening to employee feedback. We share the results of our annual employee engagement survey with leaders who receive direct observations from employees about area</w:t>
      </w:r>
      <w:r>
        <w:rPr>
          <w:rFonts w:ascii="Calibri" w:hAnsi="Calibri" w:cs="Calibri"/>
          <w:sz w:val="20"/>
          <w:szCs w:val="20"/>
        </w:rPr>
        <w:t>s critical to Oracle’s strategic priorities, including the employee and customer experience. The results of the survey are also discussed with our Board of Directors and Board committees. Nearly 80% of our employees participate in the annual survey. Leader</w:t>
      </w:r>
      <w:r>
        <w:rPr>
          <w:rFonts w:ascii="Calibri" w:hAnsi="Calibri" w:cs="Calibri"/>
          <w:sz w:val="20"/>
          <w:szCs w:val="20"/>
        </w:rPr>
        <w:t>s listen to employees, evaluate feedback and prioritize actions to enhance employee, business and customer success.</w:t>
      </w:r>
    </w:p>
    <w:p w14:paraId="3973C96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Employee Experience</w:t>
      </w:r>
    </w:p>
    <w:p w14:paraId="3973C96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Emerging from the COVID-19 pandemic, Oracle has further increased our focus on delivering a great employee experience, a</w:t>
      </w:r>
      <w:r>
        <w:rPr>
          <w:rFonts w:ascii="Calibri" w:hAnsi="Calibri" w:cs="Calibri"/>
          <w:sz w:val="20"/>
          <w:szCs w:val="20"/>
        </w:rPr>
        <w:t>nchored by meaningful work, career opportunities and well-being, to continue to attract and retain high quality talent. We support employee well-being from multiple dimensions, including economic, health, development, and lifestyle with a comprehensive sui</w:t>
      </w:r>
      <w:r>
        <w:rPr>
          <w:rFonts w:ascii="Calibri" w:hAnsi="Calibri" w:cs="Calibri"/>
          <w:sz w:val="20"/>
          <w:szCs w:val="20"/>
        </w:rPr>
        <w:t>te of compensation, benefits, learning and development, and flexible work options.</w:t>
      </w:r>
    </w:p>
    <w:p w14:paraId="3973C96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Opportunities to Learn and Grow</w:t>
      </w:r>
    </w:p>
    <w:p w14:paraId="3973C96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one of the primary reasons candidates join Oracle is for career development and opportunities to grow their careers. We </w:t>
      </w:r>
      <w:r>
        <w:rPr>
          <w:rFonts w:ascii="Calibri" w:hAnsi="Calibri" w:cs="Calibri"/>
          <w:sz w:val="20"/>
          <w:szCs w:val="20"/>
        </w:rPr>
        <w:t>have programs and resources to help our employees explore, build and achieve their career goals. We also promote regular career conversations between leaders and employees. These are separate from performance feedback conversations and are focused on helpi</w:t>
      </w:r>
      <w:r>
        <w:rPr>
          <w:rFonts w:ascii="Calibri" w:hAnsi="Calibri" w:cs="Calibri"/>
          <w:sz w:val="20"/>
          <w:szCs w:val="20"/>
        </w:rPr>
        <w:t>ng employees identify and take steps to grow their careers. Our Talent Review process, run on Oracle Fusion Cloud HCM, provides the mechanism for leaders to review and discuss opportunities and action plans to develop employees. 24% of our open non-entry l</w:t>
      </w:r>
      <w:r>
        <w:rPr>
          <w:rFonts w:ascii="Calibri" w:hAnsi="Calibri" w:cs="Calibri"/>
          <w:sz w:val="20"/>
          <w:szCs w:val="20"/>
        </w:rPr>
        <w:t>evel positions were filled internally in fiscal 2022, providing growth opportunities and retaining critical knowledge and talent.</w:t>
      </w:r>
    </w:p>
    <w:p w14:paraId="3973C96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Helping our employees learn and apply new skills is key to retaining them and critical to our ability to innovate and rapidly </w:t>
      </w:r>
      <w:r>
        <w:rPr>
          <w:rFonts w:ascii="Calibri" w:hAnsi="Calibri" w:cs="Calibri"/>
          <w:sz w:val="20"/>
          <w:szCs w:val="20"/>
        </w:rPr>
        <w:t>evolve. We support employees with anytime, everywhere learning resources to help build skills for today and the future. Oracle employees received two million hours of training in fiscal 2022 and accessed online learning content at an average rate of more t</w:t>
      </w:r>
      <w:r>
        <w:rPr>
          <w:rFonts w:ascii="Calibri" w:hAnsi="Calibri" w:cs="Calibri"/>
          <w:sz w:val="20"/>
          <w:szCs w:val="20"/>
        </w:rPr>
        <w:t>han two million views per month. Our employees take advantage of online classes and learning resources on business and technical skills, as well as webinars and learning opportunities that are designed to support employee and family well-being.</w:t>
      </w:r>
    </w:p>
    <w:p w14:paraId="3973C96D"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Flexible Wo</w:t>
      </w:r>
      <w:r>
        <w:rPr>
          <w:rFonts w:ascii="Calibri" w:hAnsi="Calibri" w:cs="Calibri"/>
          <w:b/>
          <w:bCs/>
          <w:i/>
          <w:iCs/>
          <w:sz w:val="20"/>
          <w:szCs w:val="20"/>
        </w:rPr>
        <w:t>rk Options</w:t>
      </w:r>
    </w:p>
    <w:p w14:paraId="3973C96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the vast majority of Oracle’s employees, productivity is not tied to being in an office and collaboration can happen between people anywhere. Oracle’s modern approach to work gives our employees more flexibility to choose where and how to wo</w:t>
      </w:r>
      <w:r>
        <w:rPr>
          <w:rFonts w:ascii="Calibri" w:hAnsi="Calibri" w:cs="Calibri"/>
          <w:sz w:val="20"/>
          <w:szCs w:val="20"/>
        </w:rPr>
        <w:t>rk. Depending on their role, many of our employees can choose their office location, as well as work from home some or all of the time. We believe this allows us to engage with a wider pool of talent and retain employees who want or need more flexibility.</w:t>
      </w:r>
    </w:p>
    <w:p w14:paraId="3973C96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3973C970" w14:textId="77777777" w:rsidR="007B027D" w:rsidRDefault="008E0125">
      <w:r>
        <w:rPr>
          <w:rFonts w:ascii="Calibri" w:hAnsi="Calibri" w:cs="Calibri"/>
          <w:sz w:val="20"/>
          <w:szCs w:val="20"/>
        </w:rPr>
        <w:pict w14:anchorId="39740048">
          <v:rect id="_x0000_i1041" style="width:415.3pt;height:1.5pt" o:hralign="center" o:hrstd="t" o:hr="t" fillcolor="#a0a0a0" stroked="f"/>
        </w:pict>
      </w:r>
    </w:p>
    <w:p w14:paraId="3973C971" w14:textId="77777777" w:rsidR="007B027D" w:rsidRDefault="008E0125">
      <w:pPr>
        <w:pStyle w:val="a3"/>
        <w:spacing w:beforeAutospacing="0" w:after="120" w:afterAutospacing="0"/>
        <w:rPr>
          <w:rFonts w:ascii="Calibri" w:hAnsi="Calibri" w:cs="Calibri"/>
          <w:sz w:val="18"/>
          <w:szCs w:val="18"/>
        </w:rPr>
      </w:pPr>
      <w:hyperlink r:id="rId58" w:anchor="TABLE_OF_CONTENTS" w:history="1">
        <w:r>
          <w:rPr>
            <w:rStyle w:val="a5"/>
            <w:rFonts w:ascii="Calibri" w:hAnsi="Calibri" w:cs="Calibri"/>
            <w:sz w:val="18"/>
            <w:szCs w:val="18"/>
          </w:rPr>
          <w:t>Table of Contents</w:t>
        </w:r>
      </w:hyperlink>
    </w:p>
    <w:p w14:paraId="3973C972" w14:textId="77777777" w:rsidR="007B027D" w:rsidRDefault="008E0125">
      <w:pPr>
        <w:pStyle w:val="a3"/>
        <w:spacing w:beforeAutospacing="0" w:afterAutospacing="0"/>
        <w:rPr>
          <w:rFonts w:ascii="Calibri" w:hAnsi="Calibri" w:cs="Calibri"/>
          <w:sz w:val="18"/>
          <w:szCs w:val="18"/>
        </w:rPr>
      </w:pPr>
      <w:hyperlink r:id="rId59" w:anchor="ITEM_15_EXHIBITS_FINANCIAL_STATEMENT_SCH" w:history="1">
        <w:r>
          <w:rPr>
            <w:rStyle w:val="a5"/>
            <w:rFonts w:ascii="Calibri" w:hAnsi="Calibri" w:cs="Calibri"/>
            <w:sz w:val="18"/>
            <w:szCs w:val="18"/>
          </w:rPr>
          <w:t>Index to Financial Statements</w:t>
        </w:r>
      </w:hyperlink>
    </w:p>
    <w:p w14:paraId="3973C97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97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Making a Difference</w:t>
      </w:r>
    </w:p>
    <w:p w14:paraId="3973C97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Many of our employees participate in Oracle’s corporate citizenship initiatives focused on education, the environment and community. Each </w:t>
      </w:r>
      <w:r>
        <w:rPr>
          <w:rFonts w:ascii="Calibri" w:hAnsi="Calibri" w:cs="Calibri"/>
          <w:sz w:val="20"/>
          <w:szCs w:val="20"/>
        </w:rPr>
        <w:t>year, through our volunteering and giving programs, employees donate tens of thousands of volunteer hours and millions of dollars (matched by Oracle) to a wide variety of causes. Of particular note are the efforts made by employees to support colleagues im</w:t>
      </w:r>
      <w:r>
        <w:rPr>
          <w:rFonts w:ascii="Calibri" w:hAnsi="Calibri" w:cs="Calibri"/>
          <w:sz w:val="20"/>
          <w:szCs w:val="20"/>
        </w:rPr>
        <w:t>pacted by the Russia-Ukraine conflict, above and beyond the direct support Oracle has provided. In addition to monetary donations by employees and by Oracle through its matching program to support humanitarian relief efforts in Ukraine and Oracle employees</w:t>
      </w:r>
      <w:r>
        <w:rPr>
          <w:rFonts w:ascii="Calibri" w:hAnsi="Calibri" w:cs="Calibri"/>
          <w:sz w:val="20"/>
          <w:szCs w:val="20"/>
        </w:rPr>
        <w:t xml:space="preserve"> in need, many employees have offered direct assistance to Ukrainian coworkers and their families as they seek safety.</w:t>
      </w:r>
    </w:p>
    <w:p w14:paraId="3973C97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Seasonality and Cyclicality</w:t>
      </w:r>
    </w:p>
    <w:p w14:paraId="3973C97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quarterly revenues have historically been affected by a variety of seasonal factors, including the struct</w:t>
      </w:r>
      <w:r>
        <w:rPr>
          <w:rFonts w:ascii="Calibri" w:hAnsi="Calibri" w:cs="Calibri"/>
          <w:sz w:val="20"/>
          <w:szCs w:val="20"/>
        </w:rPr>
        <w:t>ure of our sales force incentive compensation plans, which are common in the IT industry. In each fiscal year, our total revenues and operating margins are typically highest in our fourth fiscal quarter and lowest in our first fiscal quarter. See “Cloud an</w:t>
      </w:r>
      <w:r>
        <w:rPr>
          <w:rFonts w:ascii="Calibri" w:hAnsi="Calibri" w:cs="Calibri"/>
          <w:sz w:val="20"/>
          <w:szCs w:val="20"/>
        </w:rPr>
        <w:t>d License Business” in Item 7 of this Annual Report for more information regarding the seasonality and cyclicality of the revenues, expenses and margins of our cloud and license business, which is our largest business.</w:t>
      </w:r>
    </w:p>
    <w:p w14:paraId="3973C97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Competition</w:t>
      </w:r>
    </w:p>
    <w:p w14:paraId="3973C97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face intense competiti</w:t>
      </w:r>
      <w:r>
        <w:rPr>
          <w:rFonts w:ascii="Calibri" w:hAnsi="Calibri" w:cs="Calibri"/>
          <w:sz w:val="20"/>
          <w:szCs w:val="20"/>
        </w:rPr>
        <w:t>on in all aspects of our business. The nature of the IT industry creates a competitive landscape that is constantly evolving as firms emerge, expand or are acquired, as technology evolves and as customer demands and competitive pressures otherwise change.</w:t>
      </w:r>
    </w:p>
    <w:p w14:paraId="3973C97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customers are demanding less complexity and lower total cost in the implementation, sourcing, integration and ongoing maintenance of their IT environments. Our enterprise cloud, license and hardware offerings compete directly with certain offerings fro</w:t>
      </w:r>
      <w:r>
        <w:rPr>
          <w:rFonts w:ascii="Calibri" w:hAnsi="Calibri" w:cs="Calibri"/>
          <w:sz w:val="20"/>
          <w:szCs w:val="20"/>
        </w:rPr>
        <w:t>m some of the largest and most competitive companies in the world, including Amazon.com, Inc., Microsoft Corporation, International Business Machines Corporation (IBM), Intel Corporation, Cisco Systems, Inc., Adobe Systems Incorporated, Alphabet Inc., sale</w:t>
      </w:r>
      <w:r>
        <w:rPr>
          <w:rFonts w:ascii="Calibri" w:hAnsi="Calibri" w:cs="Calibri"/>
          <w:sz w:val="20"/>
          <w:szCs w:val="20"/>
        </w:rPr>
        <w:t>sforce.com, inc. and SAP SE, as well as other companies like Hewlett-Packard Enterprise and Workday, Inc. In addition, due to the low barriers to entry in many of our market segments, new technologies and new and growing competitors frequently emerge to ch</w:t>
      </w:r>
      <w:r>
        <w:rPr>
          <w:rFonts w:ascii="Calibri" w:hAnsi="Calibri" w:cs="Calibri"/>
          <w:sz w:val="20"/>
          <w:szCs w:val="20"/>
        </w:rPr>
        <w:t>allenge our offerings. Our competitors range from companies offering broad IT solutions across many of our lines of business to vendors providing point solutions, or offerings focused on a specific functionality, product area or industry. In addition, as w</w:t>
      </w:r>
      <w:r>
        <w:rPr>
          <w:rFonts w:ascii="Calibri" w:hAnsi="Calibri" w:cs="Calibri"/>
          <w:sz w:val="20"/>
          <w:szCs w:val="20"/>
        </w:rPr>
        <w:t>e expand into new market segments, we face increased competition as we compete with existing competitors, as well as firms that may be partners in other areas of our business and other firms with whom we have not previously competed. Moreover, we or our co</w:t>
      </w:r>
      <w:r>
        <w:rPr>
          <w:rFonts w:ascii="Calibri" w:hAnsi="Calibri" w:cs="Calibri"/>
          <w:sz w:val="20"/>
          <w:szCs w:val="20"/>
        </w:rPr>
        <w:t xml:space="preserve">mpetitors may take certain strategic actions—including acquisitions, partnerships and joint ventures, or repositioning of product lines—which invite even greater competition in one or more product offering categories. </w:t>
      </w:r>
    </w:p>
    <w:p w14:paraId="3973C97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Key competitive factors in each of th</w:t>
      </w:r>
      <w:r>
        <w:rPr>
          <w:rFonts w:ascii="Calibri" w:hAnsi="Calibri" w:cs="Calibri"/>
          <w:sz w:val="20"/>
          <w:szCs w:val="20"/>
        </w:rPr>
        <w:t>e segments in which we currently compete and may compete in the future include: total cost of ownership, performance, scalability, reliability, security, functionality, efficiency, ease of use, speed to production and quality of technical support. Our prod</w:t>
      </w:r>
      <w:r>
        <w:rPr>
          <w:rFonts w:ascii="Calibri" w:hAnsi="Calibri" w:cs="Calibri"/>
          <w:sz w:val="20"/>
          <w:szCs w:val="20"/>
        </w:rPr>
        <w:t>ucts and services sales and the relative strength of our products and services versus those of our competitors are also directly and indirectly affected by the following, among other factors: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7F" w14:textId="77777777">
        <w:tc>
          <w:tcPr>
            <w:tcW w:w="262" w:type="pct"/>
            <w:shd w:val="clear" w:color="auto" w:fill="auto"/>
            <w:noWrap/>
          </w:tcPr>
          <w:p w14:paraId="3973C97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7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7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market adoption of cloud-based IT offerings including SaaS and cloud infrastructure offerings; </w:t>
            </w:r>
          </w:p>
        </w:tc>
      </w:tr>
    </w:tbl>
    <w:p w14:paraId="3973C98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84" w14:textId="77777777">
        <w:tc>
          <w:tcPr>
            <w:tcW w:w="262" w:type="pct"/>
            <w:shd w:val="clear" w:color="auto" w:fill="auto"/>
            <w:noWrap/>
          </w:tcPr>
          <w:p w14:paraId="3973C98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8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8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ease of deployment, use, transacting for and maintenance of our products and services offerings;</w:t>
            </w:r>
          </w:p>
        </w:tc>
      </w:tr>
    </w:tbl>
    <w:p w14:paraId="3973C98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89" w14:textId="77777777">
        <w:tc>
          <w:tcPr>
            <w:tcW w:w="262" w:type="pct"/>
            <w:shd w:val="clear" w:color="auto" w:fill="auto"/>
            <w:noWrap/>
          </w:tcPr>
          <w:p w14:paraId="3973C98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8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8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compatibility between Oracle products and </w:t>
            </w:r>
            <w:r>
              <w:rPr>
                <w:rFonts w:ascii="Calibri" w:hAnsi="Calibri" w:cs="Calibri"/>
                <w:color w:val="000000"/>
                <w:sz w:val="20"/>
                <w:szCs w:val="20"/>
              </w:rPr>
              <w:t>services deployed within local IT environments and public cloud IT environments, including our Oracle Cloud environments;</w:t>
            </w:r>
          </w:p>
        </w:tc>
      </w:tr>
    </w:tbl>
    <w:p w14:paraId="3973C98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8E" w14:textId="77777777">
        <w:tc>
          <w:tcPr>
            <w:tcW w:w="262" w:type="pct"/>
            <w:shd w:val="clear" w:color="auto" w:fill="auto"/>
            <w:noWrap/>
          </w:tcPr>
          <w:p w14:paraId="3973C98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8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8D"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adoption of commodity servers and microprocessors;</w:t>
            </w:r>
          </w:p>
        </w:tc>
      </w:tr>
    </w:tbl>
    <w:p w14:paraId="3973C98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93" w14:textId="77777777">
        <w:tc>
          <w:tcPr>
            <w:tcW w:w="262" w:type="pct"/>
            <w:shd w:val="clear" w:color="auto" w:fill="auto"/>
            <w:noWrap/>
          </w:tcPr>
          <w:p w14:paraId="3973C99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9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92"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broader “platform” competition between our industry </w:t>
            </w:r>
            <w:r>
              <w:rPr>
                <w:rFonts w:ascii="Calibri" w:hAnsi="Calibri" w:cs="Calibri"/>
                <w:color w:val="000000"/>
                <w:sz w:val="20"/>
                <w:szCs w:val="20"/>
              </w:rPr>
              <w:t>standard Java technology platform and the .NET programming environment of Microsoft;</w:t>
            </w:r>
          </w:p>
        </w:tc>
      </w:tr>
    </w:tbl>
    <w:p w14:paraId="3973C99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3973C995" w14:textId="77777777" w:rsidR="007B027D" w:rsidRDefault="008E0125">
      <w:r>
        <w:rPr>
          <w:rFonts w:ascii="Calibri" w:hAnsi="Calibri" w:cs="Calibri"/>
          <w:sz w:val="20"/>
          <w:szCs w:val="20"/>
        </w:rPr>
        <w:pict w14:anchorId="39740049">
          <v:rect id="_x0000_i1042" style="width:415.3pt;height:1.5pt" o:hralign="center" o:hrstd="t" o:hr="t" fillcolor="#a0a0a0" stroked="f"/>
        </w:pict>
      </w:r>
    </w:p>
    <w:p w14:paraId="3973C996" w14:textId="77777777" w:rsidR="007B027D" w:rsidRDefault="008E0125">
      <w:pPr>
        <w:pStyle w:val="a3"/>
        <w:spacing w:beforeAutospacing="0" w:after="120" w:afterAutospacing="0"/>
        <w:rPr>
          <w:rFonts w:ascii="Calibri" w:hAnsi="Calibri" w:cs="Calibri"/>
          <w:sz w:val="18"/>
          <w:szCs w:val="18"/>
        </w:rPr>
      </w:pPr>
      <w:hyperlink r:id="rId60" w:anchor="TABLE_OF_CONTENTS" w:history="1">
        <w:r>
          <w:rPr>
            <w:rStyle w:val="a5"/>
            <w:rFonts w:ascii="Calibri" w:hAnsi="Calibri" w:cs="Calibri"/>
            <w:sz w:val="18"/>
            <w:szCs w:val="18"/>
          </w:rPr>
          <w:t>Table of Contents</w:t>
        </w:r>
      </w:hyperlink>
    </w:p>
    <w:p w14:paraId="3973C997" w14:textId="77777777" w:rsidR="007B027D" w:rsidRDefault="008E0125">
      <w:pPr>
        <w:pStyle w:val="a3"/>
        <w:spacing w:beforeAutospacing="0" w:afterAutospacing="0"/>
        <w:rPr>
          <w:rFonts w:ascii="Calibri" w:hAnsi="Calibri" w:cs="Calibri"/>
          <w:sz w:val="18"/>
          <w:szCs w:val="18"/>
        </w:rPr>
      </w:pPr>
      <w:hyperlink r:id="rId61" w:anchor="ITEM_15_EXHIBITS_FINANCIAL_STATEMENT_SCH" w:history="1">
        <w:r>
          <w:rPr>
            <w:rStyle w:val="a5"/>
            <w:rFonts w:ascii="Calibri" w:hAnsi="Calibri" w:cs="Calibri"/>
            <w:sz w:val="18"/>
            <w:szCs w:val="18"/>
          </w:rPr>
          <w:t>Index to Financial Statements</w:t>
        </w:r>
      </w:hyperlink>
    </w:p>
    <w:p w14:paraId="3973C998"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9C" w14:textId="77777777">
        <w:tc>
          <w:tcPr>
            <w:tcW w:w="262" w:type="pct"/>
            <w:shd w:val="clear" w:color="auto" w:fill="auto"/>
            <w:noWrap/>
          </w:tcPr>
          <w:p w14:paraId="3973C99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9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9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operating system competition among our Oracle Solaris and Lin</w:t>
            </w:r>
            <w:r>
              <w:rPr>
                <w:rFonts w:ascii="Calibri" w:hAnsi="Calibri" w:cs="Calibri"/>
                <w:color w:val="000000"/>
                <w:sz w:val="20"/>
                <w:szCs w:val="20"/>
              </w:rPr>
              <w:t>ux operating systems, with alternatives including Microsoft’s Windows Server, and other UNIX and Linux operating systems;</w:t>
            </w:r>
          </w:p>
        </w:tc>
      </w:tr>
    </w:tbl>
    <w:p w14:paraId="3973C99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A1" w14:textId="77777777">
        <w:tc>
          <w:tcPr>
            <w:tcW w:w="262" w:type="pct"/>
            <w:shd w:val="clear" w:color="auto" w:fill="auto"/>
            <w:noWrap/>
          </w:tcPr>
          <w:p w14:paraId="3973C99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9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A0"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adoption of open source alternatives to commercial software by enterprise software customers;</w:t>
            </w:r>
          </w:p>
        </w:tc>
      </w:tr>
    </w:tbl>
    <w:p w14:paraId="3973C9A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A6" w14:textId="77777777">
        <w:tc>
          <w:tcPr>
            <w:tcW w:w="262" w:type="pct"/>
            <w:shd w:val="clear" w:color="auto" w:fill="auto"/>
            <w:noWrap/>
          </w:tcPr>
          <w:p w14:paraId="3973C9A3"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A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A5"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products, features and functionality developed internally by customers and their IT staff; </w:t>
            </w:r>
          </w:p>
        </w:tc>
      </w:tr>
    </w:tbl>
    <w:p w14:paraId="3973C9A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AB" w14:textId="77777777">
        <w:tc>
          <w:tcPr>
            <w:tcW w:w="262" w:type="pct"/>
            <w:shd w:val="clear" w:color="auto" w:fill="auto"/>
            <w:noWrap/>
          </w:tcPr>
          <w:p w14:paraId="3973C9A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A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AA"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products, features and functionality customized and implemented for customers by consultants, systems integrators or other third parties; and</w:t>
            </w:r>
          </w:p>
        </w:tc>
      </w:tr>
    </w:tbl>
    <w:p w14:paraId="3973C9A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B0" w14:textId="77777777">
        <w:tc>
          <w:tcPr>
            <w:tcW w:w="262" w:type="pct"/>
            <w:shd w:val="clear" w:color="auto" w:fill="auto"/>
            <w:noWrap/>
          </w:tcPr>
          <w:p w14:paraId="3973C9A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A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AF"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attrac</w:t>
            </w:r>
            <w:r>
              <w:rPr>
                <w:rFonts w:ascii="Calibri" w:hAnsi="Calibri" w:cs="Calibri"/>
                <w:color w:val="000000"/>
                <w:sz w:val="20"/>
                <w:szCs w:val="20"/>
              </w:rPr>
              <w:t>tiveness of offerings from business processing outsourcers.</w:t>
            </w:r>
          </w:p>
        </w:tc>
      </w:tr>
    </w:tbl>
    <w:p w14:paraId="3973C9B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more information about the competitive risks we face, refer to Item 1A Risk Factors included elsewhere in this Annual Report. </w:t>
      </w:r>
    </w:p>
    <w:p w14:paraId="3973C9B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Governmental Regulation</w:t>
      </w:r>
    </w:p>
    <w:p w14:paraId="3973C9B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operate globally and are subject to numerous U.S. federal, state, and foreign laws and regulations</w:t>
      </w:r>
      <w:r>
        <w:rPr>
          <w:rFonts w:ascii="Calibri" w:hAnsi="Calibri" w:cs="Calibri"/>
          <w:sz w:val="20"/>
          <w:szCs w:val="20"/>
        </w:rPr>
        <w:t xml:space="preserve"> covering a wide variety of subject matters. For information about governmental regulations applicable to our business, refer to Item 1A Risk Factors included elsewhere in this Annual Report.</w:t>
      </w:r>
    </w:p>
    <w:p w14:paraId="3973C9B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Available Information</w:t>
      </w:r>
    </w:p>
    <w:p w14:paraId="3973C9B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Annual Report on Form 10-K, Quarterly </w:t>
      </w:r>
      <w:r>
        <w:rPr>
          <w:rFonts w:ascii="Calibri" w:hAnsi="Calibri" w:cs="Calibri"/>
          <w:sz w:val="20"/>
          <w:szCs w:val="20"/>
        </w:rPr>
        <w:t>Reports on Form 10-Q, Current Reports on Form 8-K and amendments to those reports filed pursuant to Sections 13(a) and 15(d) of the Exchange Act are available, free of charge, on the SEC website at www.sec.gov and our Investor Relations website at www.orac</w:t>
      </w:r>
      <w:r>
        <w:rPr>
          <w:rFonts w:ascii="Calibri" w:hAnsi="Calibri" w:cs="Calibri"/>
          <w:sz w:val="20"/>
          <w:szCs w:val="20"/>
        </w:rPr>
        <w:t>le.com/investor as soon as reasonably practicable after we electronically file such materials with, or furnish them to, the SEC. We use our Investor Relations website as a means of disclosing material non-public information. Accordingly, investors should m</w:t>
      </w:r>
      <w:r>
        <w:rPr>
          <w:rFonts w:ascii="Calibri" w:hAnsi="Calibri" w:cs="Calibri"/>
          <w:sz w:val="20"/>
          <w:szCs w:val="20"/>
        </w:rPr>
        <w:t>onitor our Investor Relations website, in addition to following our press releases, SEC filings and public conference calls and webcasts. In addition, information regarding our environmental policy and global sustainability initiatives and solutions are al</w:t>
      </w:r>
      <w:r>
        <w:rPr>
          <w:rFonts w:ascii="Calibri" w:hAnsi="Calibri" w:cs="Calibri"/>
          <w:sz w:val="20"/>
          <w:szCs w:val="20"/>
        </w:rPr>
        <w:t>so available on our website at www.oracle.com/corporate/citizenship. The information posted on or accessible through our website is not incorporated into this Annual Report. The references to our websites are intended to be inactive textual references only</w:t>
      </w:r>
      <w:r>
        <w:rPr>
          <w:rFonts w:ascii="Calibri" w:hAnsi="Calibri" w:cs="Calibri"/>
          <w:sz w:val="20"/>
          <w:szCs w:val="20"/>
        </w:rPr>
        <w:t>.</w:t>
      </w:r>
    </w:p>
    <w:p w14:paraId="3973C9B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Information About Our Executive Officers</w:t>
      </w:r>
    </w:p>
    <w:p w14:paraId="3973C9B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executive officers are listed below.</w:t>
      </w:r>
    </w:p>
    <w:p w14:paraId="3973C9B8"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409"/>
        <w:gridCol w:w="83"/>
        <w:gridCol w:w="5814"/>
      </w:tblGrid>
      <w:tr w:rsidR="007B027D" w14:paraId="3973C9BC" w14:textId="77777777">
        <w:tc>
          <w:tcPr>
            <w:tcW w:w="1450" w:type="pct"/>
            <w:tcBorders>
              <w:bottom w:val="single" w:sz="6" w:space="0" w:color="000000"/>
            </w:tcBorders>
            <w:shd w:val="clear" w:color="auto" w:fill="auto"/>
          </w:tcPr>
          <w:p w14:paraId="3973C9B9" w14:textId="77777777" w:rsidR="007B027D" w:rsidRDefault="008E0125">
            <w:pPr>
              <w:pStyle w:val="a3"/>
              <w:spacing w:beforeAutospacing="0" w:afterAutospacing="0"/>
              <w:jc w:val="both"/>
              <w:rPr>
                <w:rFonts w:ascii="Calibri" w:hAnsi="Calibri" w:cs="Calibri"/>
                <w:b/>
                <w:bCs/>
                <w:sz w:val="16"/>
                <w:szCs w:val="16"/>
              </w:rPr>
            </w:pPr>
            <w:r>
              <w:rPr>
                <w:rFonts w:ascii="Calibri" w:hAnsi="Calibri" w:cs="Calibri"/>
                <w:b/>
                <w:bCs/>
                <w:sz w:val="16"/>
                <w:szCs w:val="16"/>
              </w:rPr>
              <w:t>Name</w:t>
            </w:r>
          </w:p>
        </w:tc>
        <w:tc>
          <w:tcPr>
            <w:tcW w:w="50" w:type="pct"/>
            <w:shd w:val="clear" w:color="auto" w:fill="auto"/>
          </w:tcPr>
          <w:p w14:paraId="3973C9BA" w14:textId="77777777" w:rsidR="007B027D" w:rsidRDefault="008E012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c>
        <w:tc>
          <w:tcPr>
            <w:tcW w:w="3500" w:type="pct"/>
            <w:tcBorders>
              <w:bottom w:val="single" w:sz="6" w:space="0" w:color="000000"/>
            </w:tcBorders>
            <w:shd w:val="clear" w:color="auto" w:fill="auto"/>
          </w:tcPr>
          <w:p w14:paraId="3973C9BB" w14:textId="77777777" w:rsidR="007B027D" w:rsidRDefault="008E0125">
            <w:pPr>
              <w:pStyle w:val="a3"/>
              <w:spacing w:beforeAutospacing="0" w:afterAutospacing="0"/>
              <w:jc w:val="both"/>
              <w:rPr>
                <w:rFonts w:ascii="Calibri" w:hAnsi="Calibri" w:cs="Calibri"/>
                <w:b/>
                <w:bCs/>
                <w:sz w:val="16"/>
                <w:szCs w:val="16"/>
              </w:rPr>
            </w:pPr>
            <w:r>
              <w:rPr>
                <w:rFonts w:ascii="Calibri" w:hAnsi="Calibri" w:cs="Calibri"/>
                <w:b/>
                <w:bCs/>
                <w:sz w:val="16"/>
                <w:szCs w:val="16"/>
              </w:rPr>
              <w:t>Office(s)</w:t>
            </w:r>
          </w:p>
        </w:tc>
      </w:tr>
      <w:tr w:rsidR="007B027D" w14:paraId="3973C9C0" w14:textId="77777777">
        <w:tc>
          <w:tcPr>
            <w:tcW w:w="1450" w:type="pct"/>
            <w:tcBorders>
              <w:top w:val="single" w:sz="6" w:space="0" w:color="000000"/>
            </w:tcBorders>
            <w:shd w:val="clear" w:color="auto" w:fill="CFF0FC"/>
            <w:vAlign w:val="bottom"/>
          </w:tcPr>
          <w:p w14:paraId="3973C9BD"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Lawrence J. Ellison</w:t>
            </w:r>
          </w:p>
        </w:tc>
        <w:tc>
          <w:tcPr>
            <w:tcW w:w="50" w:type="pct"/>
            <w:shd w:val="clear" w:color="auto" w:fill="CFF0FC"/>
          </w:tcPr>
          <w:p w14:paraId="3973C9B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tcBorders>
              <w:top w:val="single" w:sz="6" w:space="0" w:color="000000"/>
            </w:tcBorders>
            <w:shd w:val="clear" w:color="auto" w:fill="CFF0FC"/>
            <w:vAlign w:val="bottom"/>
          </w:tcPr>
          <w:p w14:paraId="3973C9BF"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Chairman of the Board of Directors and Chief Technology Officer</w:t>
            </w:r>
          </w:p>
        </w:tc>
      </w:tr>
      <w:tr w:rsidR="007B027D" w14:paraId="3973C9C4" w14:textId="77777777">
        <w:tc>
          <w:tcPr>
            <w:tcW w:w="1450" w:type="pct"/>
            <w:shd w:val="clear" w:color="auto" w:fill="auto"/>
            <w:vAlign w:val="bottom"/>
          </w:tcPr>
          <w:p w14:paraId="3973C9C1"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Safra A. Catz</w:t>
            </w:r>
          </w:p>
        </w:tc>
        <w:tc>
          <w:tcPr>
            <w:tcW w:w="50" w:type="pct"/>
            <w:shd w:val="clear" w:color="auto" w:fill="auto"/>
          </w:tcPr>
          <w:p w14:paraId="3973C9C2"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3973C9C3"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Chief Executive Officer and Director</w:t>
            </w:r>
          </w:p>
        </w:tc>
      </w:tr>
      <w:tr w:rsidR="007B027D" w14:paraId="3973C9C8" w14:textId="77777777">
        <w:tc>
          <w:tcPr>
            <w:tcW w:w="1450" w:type="pct"/>
            <w:shd w:val="clear" w:color="auto" w:fill="CFF0FC"/>
            <w:vAlign w:val="bottom"/>
          </w:tcPr>
          <w:p w14:paraId="3973C9C5"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Jeffrey O. Henley</w:t>
            </w:r>
          </w:p>
        </w:tc>
        <w:tc>
          <w:tcPr>
            <w:tcW w:w="50" w:type="pct"/>
            <w:shd w:val="clear" w:color="auto" w:fill="CFF0FC"/>
          </w:tcPr>
          <w:p w14:paraId="3973C9C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CFF0FC"/>
            <w:vAlign w:val="bottom"/>
          </w:tcPr>
          <w:p w14:paraId="3973C9C7"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Vice Chairman of the Board of Directors</w:t>
            </w:r>
          </w:p>
        </w:tc>
      </w:tr>
      <w:tr w:rsidR="007B027D" w14:paraId="3973C9CC" w14:textId="77777777">
        <w:tc>
          <w:tcPr>
            <w:tcW w:w="1450" w:type="pct"/>
            <w:shd w:val="clear" w:color="auto" w:fill="auto"/>
            <w:vAlign w:val="bottom"/>
          </w:tcPr>
          <w:p w14:paraId="3973C9C9"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Edward Screven</w:t>
            </w:r>
          </w:p>
        </w:tc>
        <w:tc>
          <w:tcPr>
            <w:tcW w:w="50" w:type="pct"/>
            <w:shd w:val="clear" w:color="auto" w:fill="auto"/>
          </w:tcPr>
          <w:p w14:paraId="3973C9CA"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3973C9CB"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Executive Vice President, Chief Corporate Architect</w:t>
            </w:r>
          </w:p>
        </w:tc>
      </w:tr>
      <w:tr w:rsidR="007B027D" w14:paraId="3973C9D0" w14:textId="77777777">
        <w:tc>
          <w:tcPr>
            <w:tcW w:w="1450" w:type="pct"/>
            <w:shd w:val="clear" w:color="auto" w:fill="CFF0FC"/>
            <w:vAlign w:val="bottom"/>
          </w:tcPr>
          <w:p w14:paraId="3973C9CD"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Dorian E. Daley</w:t>
            </w:r>
          </w:p>
        </w:tc>
        <w:tc>
          <w:tcPr>
            <w:tcW w:w="50" w:type="pct"/>
            <w:shd w:val="clear" w:color="auto" w:fill="CFF0FC"/>
          </w:tcPr>
          <w:p w14:paraId="3973C9C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CFF0FC"/>
            <w:vAlign w:val="bottom"/>
          </w:tcPr>
          <w:p w14:paraId="3973C9CF"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Executive Vice President and General Counsel</w:t>
            </w:r>
          </w:p>
        </w:tc>
      </w:tr>
      <w:tr w:rsidR="007B027D" w14:paraId="3973C9D4" w14:textId="77777777">
        <w:tc>
          <w:tcPr>
            <w:tcW w:w="1450" w:type="pct"/>
            <w:shd w:val="clear" w:color="auto" w:fill="auto"/>
            <w:vAlign w:val="bottom"/>
          </w:tcPr>
          <w:p w14:paraId="3973C9D1"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William Corey West</w:t>
            </w:r>
          </w:p>
        </w:tc>
        <w:tc>
          <w:tcPr>
            <w:tcW w:w="50" w:type="pct"/>
            <w:shd w:val="clear" w:color="auto" w:fill="auto"/>
          </w:tcPr>
          <w:p w14:paraId="3973C9D2"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3973C9D3"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Executive Vice President, Chief </w:t>
            </w:r>
            <w:r>
              <w:rPr>
                <w:rFonts w:ascii="Calibri" w:hAnsi="Calibri" w:cs="Calibri"/>
                <w:sz w:val="20"/>
                <w:szCs w:val="20"/>
              </w:rPr>
              <w:t>Accounting Officer</w:t>
            </w:r>
          </w:p>
        </w:tc>
      </w:tr>
    </w:tbl>
    <w:p w14:paraId="3973C9D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Mr. Ellison, 77, has been our Chairman of the Board and Chief Technology Officer since September 2014. He served as our Chief Executive Officer from June 1977, when he founded Oracle, until September 2014. He has served as a Director si</w:t>
      </w:r>
      <w:r>
        <w:rPr>
          <w:rFonts w:ascii="Calibri" w:hAnsi="Calibri" w:cs="Calibri"/>
          <w:sz w:val="20"/>
          <w:szCs w:val="20"/>
        </w:rPr>
        <w:t>nce June 1977. He previously served as our Chairman of the Board from May 1995 to January 2004. He currently serves as a director of Tesla, Inc.</w:t>
      </w:r>
    </w:p>
    <w:p w14:paraId="3973C9D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Ms. Catz, 60, has been our Chief Executive Officer since September 2014. She served as our President from Janua</w:t>
      </w:r>
      <w:r>
        <w:rPr>
          <w:rFonts w:ascii="Calibri" w:hAnsi="Calibri" w:cs="Calibri"/>
          <w:sz w:val="20"/>
          <w:szCs w:val="20"/>
        </w:rPr>
        <w:t>ry 2004 to September 2014, our Chief Financial Officer most recently from April 2011 until September 2014 and a Director since October 2001. She was previously our Chief Financial Officer from November 2005 until September 2008 and our Interim Chief Financ</w:t>
      </w:r>
      <w:r>
        <w:rPr>
          <w:rFonts w:ascii="Calibri" w:hAnsi="Calibri" w:cs="Calibri"/>
          <w:sz w:val="20"/>
          <w:szCs w:val="20"/>
        </w:rPr>
        <w:t>ial Officer from April 2005 until July 2005. Prior to being named our President, she held various other positions with us since joining Oracle in 1999. She currently serves as a director of The Walt Disney Company. She also serves on the U.S. Homeland Secu</w:t>
      </w:r>
      <w:r>
        <w:rPr>
          <w:rFonts w:ascii="Calibri" w:hAnsi="Calibri" w:cs="Calibri"/>
          <w:sz w:val="20"/>
          <w:szCs w:val="20"/>
        </w:rPr>
        <w:t>rity Advisory Council.</w:t>
      </w:r>
    </w:p>
    <w:p w14:paraId="3973C9D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3973C9D8" w14:textId="77777777" w:rsidR="007B027D" w:rsidRDefault="008E0125">
      <w:r>
        <w:rPr>
          <w:rFonts w:ascii="Calibri" w:hAnsi="Calibri" w:cs="Calibri"/>
          <w:sz w:val="20"/>
          <w:szCs w:val="20"/>
        </w:rPr>
        <w:pict w14:anchorId="3974004A">
          <v:rect id="_x0000_i1043" style="width:415.3pt;height:1.5pt" o:hralign="center" o:hrstd="t" o:hr="t" fillcolor="#a0a0a0" stroked="f"/>
        </w:pict>
      </w:r>
    </w:p>
    <w:p w14:paraId="3973C9D9" w14:textId="77777777" w:rsidR="007B027D" w:rsidRDefault="008E0125">
      <w:pPr>
        <w:pStyle w:val="a3"/>
        <w:spacing w:beforeAutospacing="0" w:after="120" w:afterAutospacing="0"/>
        <w:rPr>
          <w:rFonts w:ascii="Calibri" w:hAnsi="Calibri" w:cs="Calibri"/>
          <w:sz w:val="18"/>
          <w:szCs w:val="18"/>
        </w:rPr>
      </w:pPr>
      <w:hyperlink r:id="rId62" w:anchor="TABLE_OF_CONTENTS" w:history="1">
        <w:r>
          <w:rPr>
            <w:rStyle w:val="a5"/>
            <w:rFonts w:ascii="Calibri" w:hAnsi="Calibri" w:cs="Calibri"/>
            <w:sz w:val="18"/>
            <w:szCs w:val="18"/>
          </w:rPr>
          <w:t>Table of Contents</w:t>
        </w:r>
      </w:hyperlink>
    </w:p>
    <w:p w14:paraId="3973C9DA" w14:textId="77777777" w:rsidR="007B027D" w:rsidRDefault="008E0125">
      <w:pPr>
        <w:pStyle w:val="a3"/>
        <w:spacing w:beforeAutospacing="0" w:afterAutospacing="0"/>
        <w:rPr>
          <w:rFonts w:ascii="Calibri" w:hAnsi="Calibri" w:cs="Calibri"/>
          <w:sz w:val="18"/>
          <w:szCs w:val="18"/>
        </w:rPr>
      </w:pPr>
      <w:hyperlink r:id="rId63" w:anchor="ITEM_15_EXHIBITS_FINANCIAL_STATEMENT_SCH" w:history="1">
        <w:r>
          <w:rPr>
            <w:rStyle w:val="a5"/>
            <w:rFonts w:ascii="Calibri" w:hAnsi="Calibri" w:cs="Calibri"/>
            <w:sz w:val="18"/>
            <w:szCs w:val="18"/>
          </w:rPr>
          <w:t>Index to Financial Statements</w:t>
        </w:r>
      </w:hyperlink>
    </w:p>
    <w:p w14:paraId="3973C9DB"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9D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Mr. Henley, 77, has served as our Vice Chairman of the Board since September 2014. He previously served as our Chairman of the Board </w:t>
      </w:r>
      <w:r>
        <w:rPr>
          <w:rFonts w:ascii="Calibri" w:hAnsi="Calibri" w:cs="Calibri"/>
          <w:sz w:val="20"/>
          <w:szCs w:val="20"/>
        </w:rPr>
        <w:t>from January 2004 to September 2014 and has served as a Director since June 1995. He served as our Executive Vice President and Chief Financial Officer from March 1991 to July 2004.</w:t>
      </w:r>
    </w:p>
    <w:p w14:paraId="3973C9D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Mr. Screven, 57, has been Executive Vice President, Chief Corporate Archit</w:t>
      </w:r>
      <w:r>
        <w:rPr>
          <w:rFonts w:ascii="Calibri" w:hAnsi="Calibri" w:cs="Calibri"/>
          <w:sz w:val="20"/>
          <w:szCs w:val="20"/>
        </w:rPr>
        <w:t>ect since May 2015. He served as our Senior Vice President, Chief Corporate Architect from November 2006 to April 2015 and as Vice President, Chief Corporate Architect from January 2003 to November 2006. He held various other positions with us since joinin</w:t>
      </w:r>
      <w:r>
        <w:rPr>
          <w:rFonts w:ascii="Calibri" w:hAnsi="Calibri" w:cs="Calibri"/>
          <w:sz w:val="20"/>
          <w:szCs w:val="20"/>
        </w:rPr>
        <w:t>g Oracle in 1986.</w:t>
      </w:r>
    </w:p>
    <w:p w14:paraId="3973C9D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Ms. Daley, 63, has been our Executive Vice President and General Counsel since April 2015. She served as our Secretary from October 2007 until October 2017 and she was our Senior Vice President, General Counsel from October 2007 to April </w:t>
      </w:r>
      <w:r>
        <w:rPr>
          <w:rFonts w:ascii="Calibri" w:hAnsi="Calibri" w:cs="Calibri"/>
          <w:sz w:val="20"/>
          <w:szCs w:val="20"/>
        </w:rPr>
        <w:t>2015. She served as our Vice President, Legal, Associate General Counsel and Assistant Secretary from June 2004 to October 2007, as Associate General Counsel and Assistant Secretary from October 2001 to June 2004 and as Associate General Counsel from Febru</w:t>
      </w:r>
      <w:r>
        <w:rPr>
          <w:rFonts w:ascii="Calibri" w:hAnsi="Calibri" w:cs="Calibri"/>
          <w:sz w:val="20"/>
          <w:szCs w:val="20"/>
        </w:rPr>
        <w:t>ary 2001 to October 2001. She held various other positions with us since joining Oracle’s Legal Department in 1992.</w:t>
      </w:r>
    </w:p>
    <w:p w14:paraId="3973C9D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Mr. West, 60, has been our Executive Vice President, Chief Accounting Officer since April 2015. He served as our Senior Vice President, Corp</w:t>
      </w:r>
      <w:r>
        <w:rPr>
          <w:rFonts w:ascii="Calibri" w:hAnsi="Calibri" w:cs="Calibri"/>
          <w:sz w:val="20"/>
          <w:szCs w:val="20"/>
        </w:rPr>
        <w:t>orate Controller and Chief Accounting Officer from February 2008 to April 2015 and served as our Vice President, Corporate Controller and Chief Accounting Officer from April 2007 to February 2008.</w:t>
      </w:r>
    </w:p>
    <w:tbl>
      <w:tblPr>
        <w:tblW w:w="5000" w:type="pct"/>
        <w:tblCellMar>
          <w:left w:w="0" w:type="dxa"/>
          <w:right w:w="0" w:type="dxa"/>
        </w:tblCellMar>
        <w:tblLook w:val="04A0" w:firstRow="1" w:lastRow="0" w:firstColumn="1" w:lastColumn="0" w:noHBand="0" w:noVBand="1"/>
      </w:tblPr>
      <w:tblGrid>
        <w:gridCol w:w="708"/>
        <w:gridCol w:w="7598"/>
      </w:tblGrid>
      <w:tr w:rsidR="007B027D" w14:paraId="3973C9E2" w14:textId="77777777">
        <w:tc>
          <w:tcPr>
            <w:tcW w:w="215" w:type="pct"/>
            <w:shd w:val="clear" w:color="auto" w:fill="auto"/>
            <w:noWrap/>
          </w:tcPr>
          <w:p w14:paraId="3973C9E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3973C9E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Risk Factors</w:t>
            </w:r>
          </w:p>
        </w:tc>
      </w:tr>
    </w:tbl>
    <w:p w14:paraId="3973C9E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operate in rapidly </w:t>
      </w:r>
      <w:r>
        <w:rPr>
          <w:rFonts w:ascii="Calibri" w:hAnsi="Calibri" w:cs="Calibri"/>
          <w:sz w:val="20"/>
          <w:szCs w:val="20"/>
        </w:rPr>
        <w:t xml:space="preserve">changing economic and technological environments that present numerous risks, many of which are driven by factors that we cannot control or predict. The following discussion, as well as our “Critical Accounting Policies and Estimates” discussion in Item 7 </w:t>
      </w:r>
      <w:r>
        <w:rPr>
          <w:rFonts w:ascii="Calibri" w:hAnsi="Calibri" w:cs="Calibri"/>
          <w:sz w:val="20"/>
          <w:szCs w:val="20"/>
        </w:rPr>
        <w:t>Management’s Discussion and Analysis of Financial Condition and Results of Operations, highlights some of these risks. The risks described below are not exhaustive and you should carefully consider these risks and uncertainties before investing in our secu</w:t>
      </w:r>
      <w:r>
        <w:rPr>
          <w:rFonts w:ascii="Calibri" w:hAnsi="Calibri" w:cs="Calibri"/>
          <w:sz w:val="20"/>
          <w:szCs w:val="20"/>
        </w:rPr>
        <w:t>rities.</w:t>
      </w:r>
    </w:p>
    <w:p w14:paraId="3973C9E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and Operational Risks</w:t>
      </w:r>
    </w:p>
    <w:p w14:paraId="3973C9E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success depends upon our ability to develop and sell new products and services, integrate acquired products and services and enhance our existing products and services.</w:t>
      </w:r>
      <w:r>
        <w:rPr>
          <w:rFonts w:ascii="Calibri" w:hAnsi="Calibri" w:cs="Calibri"/>
          <w:sz w:val="20"/>
          <w:szCs w:val="20"/>
        </w:rPr>
        <w:t xml:space="preserve">   Rapid technological advances, intense comp</w:t>
      </w:r>
      <w:r>
        <w:rPr>
          <w:rFonts w:ascii="Calibri" w:hAnsi="Calibri" w:cs="Calibri"/>
          <w:sz w:val="20"/>
          <w:szCs w:val="20"/>
        </w:rPr>
        <w:t>etition, changing delivery models and evolving standards in computer hardware and software development and communications infrastructure, changing and increasingly sophisticated customer needs and frequent new product introductions and enhancements charact</w:t>
      </w:r>
      <w:r>
        <w:rPr>
          <w:rFonts w:ascii="Calibri" w:hAnsi="Calibri" w:cs="Calibri"/>
          <w:sz w:val="20"/>
          <w:szCs w:val="20"/>
        </w:rPr>
        <w:t>erize the industries in which we compete. If we are unable to develop new or sufficiently differentiated products and services, enhance and improve our product offerings and support services in a timely manner or position and price our products and service</w:t>
      </w:r>
      <w:r>
        <w:rPr>
          <w:rFonts w:ascii="Calibri" w:hAnsi="Calibri" w:cs="Calibri"/>
          <w:sz w:val="20"/>
          <w:szCs w:val="20"/>
        </w:rPr>
        <w:t>s to meet demand, customers may not purchase or subscribe to our license, hardware or cloud offerings or renew license support, hardware support or cloud subscriptions contracts. Renewals of these contracts are important to the growth of our business. In a</w:t>
      </w:r>
      <w:r>
        <w:rPr>
          <w:rFonts w:ascii="Calibri" w:hAnsi="Calibri" w:cs="Calibri"/>
          <w:sz w:val="20"/>
          <w:szCs w:val="20"/>
        </w:rPr>
        <w:t>ddition, we cannot provide any assurance that the standards on which we choose to develop new products will allow us to compete effectively for business opportunities in emerging areas.</w:t>
      </w:r>
    </w:p>
    <w:p w14:paraId="3973C9E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continued to refresh and release new offerings of our cloud pr</w:t>
      </w:r>
      <w:r>
        <w:rPr>
          <w:rFonts w:ascii="Calibri" w:hAnsi="Calibri" w:cs="Calibri"/>
          <w:sz w:val="20"/>
          <w:szCs w:val="20"/>
        </w:rPr>
        <w:t>oducts and services. Machine learning and artificial intelligence are increasingly driving innovations in technology, but if they fail to operate as anticipated or our other products do not perform as promised, our business and reputation may be harmed.</w:t>
      </w:r>
    </w:p>
    <w:p w14:paraId="3973C9E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Du</w:t>
      </w:r>
      <w:r>
        <w:rPr>
          <w:rFonts w:ascii="Calibri" w:hAnsi="Calibri" w:cs="Calibri"/>
          <w:sz w:val="20"/>
          <w:szCs w:val="20"/>
        </w:rPr>
        <w:t>ring fiscal 2022, we held many of our major customer events in a virtual format. Our shift to virtual customer events may not be successful, and we may not be able to showcase our products as well as we have historically done through in-person events or ge</w:t>
      </w:r>
      <w:r>
        <w:rPr>
          <w:rFonts w:ascii="Calibri" w:hAnsi="Calibri" w:cs="Calibri"/>
          <w:sz w:val="20"/>
          <w:szCs w:val="20"/>
        </w:rPr>
        <w:t>nerate the same customer interest, opportunities and leads through these virtual events. We currently plan to reintroduce large in-person events during fiscal 2023 but we may not be able to do so successfully and our customers may not be able or willing to</w:t>
      </w:r>
      <w:r>
        <w:rPr>
          <w:rFonts w:ascii="Calibri" w:hAnsi="Calibri" w:cs="Calibri"/>
          <w:sz w:val="20"/>
          <w:szCs w:val="20"/>
        </w:rPr>
        <w:t xml:space="preserve"> attend them, which could adversely impact our ability to market and sell our products and services.</w:t>
      </w:r>
    </w:p>
    <w:p w14:paraId="3973C9E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our business may be adversely affected if:</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EC" w14:textId="77777777">
        <w:tc>
          <w:tcPr>
            <w:tcW w:w="262" w:type="pct"/>
            <w:shd w:val="clear" w:color="auto" w:fill="auto"/>
            <w:noWrap/>
          </w:tcPr>
          <w:p w14:paraId="3973C9E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E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E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we do not continue to develop and release new or enhanced products and services within the </w:t>
            </w:r>
            <w:r>
              <w:rPr>
                <w:rFonts w:ascii="Calibri" w:hAnsi="Calibri" w:cs="Calibri"/>
                <w:color w:val="000000"/>
                <w:sz w:val="20"/>
                <w:szCs w:val="20"/>
              </w:rPr>
              <w:t>anticipated time frames;</w:t>
            </w:r>
          </w:p>
        </w:tc>
      </w:tr>
    </w:tbl>
    <w:p w14:paraId="3973C9E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3973C9EE" w14:textId="77777777" w:rsidR="007B027D" w:rsidRDefault="008E0125">
      <w:r>
        <w:rPr>
          <w:rFonts w:ascii="Calibri" w:hAnsi="Calibri" w:cs="Calibri"/>
          <w:sz w:val="20"/>
          <w:szCs w:val="20"/>
        </w:rPr>
        <w:pict w14:anchorId="3974004B">
          <v:rect id="_x0000_i1044" style="width:415.3pt;height:1.5pt" o:hralign="center" o:hrstd="t" o:hr="t" fillcolor="#a0a0a0" stroked="f"/>
        </w:pict>
      </w:r>
    </w:p>
    <w:p w14:paraId="3973C9EF" w14:textId="77777777" w:rsidR="007B027D" w:rsidRDefault="008E0125">
      <w:pPr>
        <w:pStyle w:val="a3"/>
        <w:spacing w:beforeAutospacing="0" w:after="120" w:afterAutospacing="0"/>
        <w:rPr>
          <w:rFonts w:ascii="Calibri" w:hAnsi="Calibri" w:cs="Calibri"/>
          <w:sz w:val="18"/>
          <w:szCs w:val="18"/>
        </w:rPr>
      </w:pPr>
      <w:hyperlink r:id="rId64" w:anchor="TABLE_OF_CONTENTS" w:history="1">
        <w:r>
          <w:rPr>
            <w:rStyle w:val="a5"/>
            <w:rFonts w:ascii="Calibri" w:hAnsi="Calibri" w:cs="Calibri"/>
            <w:sz w:val="18"/>
            <w:szCs w:val="18"/>
          </w:rPr>
          <w:t>Table of Contents</w:t>
        </w:r>
      </w:hyperlink>
    </w:p>
    <w:p w14:paraId="3973C9F0" w14:textId="77777777" w:rsidR="007B027D" w:rsidRDefault="008E0125">
      <w:pPr>
        <w:pStyle w:val="a3"/>
        <w:spacing w:beforeAutospacing="0" w:afterAutospacing="0"/>
        <w:rPr>
          <w:rFonts w:ascii="Calibri" w:hAnsi="Calibri" w:cs="Calibri"/>
          <w:sz w:val="18"/>
          <w:szCs w:val="18"/>
        </w:rPr>
      </w:pPr>
      <w:hyperlink r:id="rId65" w:anchor="ITEM_15_EXHIBITS_FINANCIAL_STATEMENT_SCH" w:history="1">
        <w:r>
          <w:rPr>
            <w:rStyle w:val="a5"/>
            <w:rFonts w:ascii="Calibri" w:hAnsi="Calibri" w:cs="Calibri"/>
            <w:sz w:val="18"/>
            <w:szCs w:val="18"/>
          </w:rPr>
          <w:t>Index to Financial Statements</w:t>
        </w:r>
      </w:hyperlink>
    </w:p>
    <w:p w14:paraId="3973C9F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F5" w14:textId="77777777">
        <w:tc>
          <w:tcPr>
            <w:tcW w:w="262" w:type="pct"/>
            <w:shd w:val="clear" w:color="auto" w:fill="auto"/>
            <w:noWrap/>
          </w:tcPr>
          <w:p w14:paraId="3973C9F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F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F4"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infrastructure costs to deliver new or enhanced products and services take longer or result in greater costs than anticipated; </w:t>
            </w:r>
          </w:p>
        </w:tc>
      </w:tr>
    </w:tbl>
    <w:p w14:paraId="3973C9F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FA" w14:textId="77777777">
        <w:tc>
          <w:tcPr>
            <w:tcW w:w="262" w:type="pct"/>
            <w:shd w:val="clear" w:color="auto" w:fill="auto"/>
            <w:noWrap/>
          </w:tcPr>
          <w:p w14:paraId="3973C9F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F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F9"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are unable to increase our existing data center capacity or establish data centers in new geographic locations in a tim</w:t>
            </w:r>
            <w:r>
              <w:rPr>
                <w:rFonts w:ascii="Calibri" w:hAnsi="Calibri" w:cs="Calibri"/>
                <w:color w:val="000000"/>
                <w:sz w:val="20"/>
                <w:szCs w:val="20"/>
              </w:rPr>
              <w:t>ely manner to meet current or expected customer demand;</w:t>
            </w:r>
          </w:p>
        </w:tc>
      </w:tr>
    </w:tbl>
    <w:p w14:paraId="3973C9F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9FF" w14:textId="77777777">
        <w:tc>
          <w:tcPr>
            <w:tcW w:w="262" w:type="pct"/>
            <w:shd w:val="clear" w:color="auto" w:fill="auto"/>
            <w:noWrap/>
          </w:tcPr>
          <w:p w14:paraId="3973C9F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9F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9FE"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there is a delay in market acceptance of and difficulty in transitioning new and existing customers to new, enhanced or acquired product lines or services;</w:t>
            </w:r>
          </w:p>
        </w:tc>
      </w:tr>
    </w:tbl>
    <w:p w14:paraId="3973CA0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04" w14:textId="77777777">
        <w:tc>
          <w:tcPr>
            <w:tcW w:w="262" w:type="pct"/>
            <w:shd w:val="clear" w:color="auto" w:fill="auto"/>
            <w:noWrap/>
          </w:tcPr>
          <w:p w14:paraId="3973CA0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0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03"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there are changes in </w:t>
            </w:r>
            <w:r>
              <w:rPr>
                <w:rFonts w:ascii="Calibri" w:hAnsi="Calibri" w:cs="Calibri"/>
                <w:color w:val="000000"/>
                <w:sz w:val="20"/>
                <w:szCs w:val="20"/>
              </w:rPr>
              <w:t>information technology (IT) trends that we do not adequately anticipate or address with our product development efforts;</w:t>
            </w:r>
          </w:p>
        </w:tc>
      </w:tr>
    </w:tbl>
    <w:p w14:paraId="3973CA0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09" w14:textId="77777777">
        <w:tc>
          <w:tcPr>
            <w:tcW w:w="262" w:type="pct"/>
            <w:shd w:val="clear" w:color="auto" w:fill="auto"/>
            <w:noWrap/>
          </w:tcPr>
          <w:p w14:paraId="3973CA0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0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0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do not optimize complementary product lines and services in a timely manner; or</w:t>
            </w:r>
          </w:p>
        </w:tc>
      </w:tr>
    </w:tbl>
    <w:p w14:paraId="3973CA0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0E" w14:textId="77777777">
        <w:tc>
          <w:tcPr>
            <w:tcW w:w="262" w:type="pct"/>
            <w:shd w:val="clear" w:color="auto" w:fill="auto"/>
            <w:noWrap/>
          </w:tcPr>
          <w:p w14:paraId="3973CA0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0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0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fail to adequately integrate, support</w:t>
            </w:r>
            <w:r>
              <w:rPr>
                <w:rFonts w:ascii="Calibri" w:hAnsi="Calibri" w:cs="Calibri"/>
                <w:color w:val="000000"/>
                <w:sz w:val="20"/>
                <w:szCs w:val="20"/>
              </w:rPr>
              <w:t xml:space="preserve"> or enhance acquired product lines or services.</w:t>
            </w:r>
          </w:p>
        </w:tc>
      </w:tr>
    </w:tbl>
    <w:p w14:paraId="3973CA0F"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Oracle Cloud strategy, including our Oracle Cloud Software-as-a-Service and Oracle Cloud Infrastructure (SaaS and OCI, respectively, and collectively, Oracle Cloud Services) offerings, may </w:t>
      </w:r>
      <w:r>
        <w:rPr>
          <w:rFonts w:ascii="Calibri" w:hAnsi="Calibri" w:cs="Calibri"/>
          <w:b/>
          <w:bCs/>
          <w:i/>
          <w:iCs/>
          <w:sz w:val="20"/>
          <w:szCs w:val="20"/>
        </w:rPr>
        <w:t>adversely affect our revenues and profitability.</w:t>
      </w:r>
      <w:r>
        <w:rPr>
          <w:rFonts w:ascii="Calibri" w:hAnsi="Calibri" w:cs="Calibri"/>
          <w:sz w:val="20"/>
          <w:szCs w:val="20"/>
        </w:rPr>
        <w:t xml:space="preserve">   We provide our cloud and other offerings to customers worldwide via a variety of deployment models, including via our cloud-based SaaS and OCI offerings. As these business models continue to evolve, we may</w:t>
      </w:r>
      <w:r>
        <w:rPr>
          <w:rFonts w:ascii="Calibri" w:hAnsi="Calibri" w:cs="Calibri"/>
          <w:sz w:val="20"/>
          <w:szCs w:val="20"/>
        </w:rPr>
        <w:t xml:space="preserve"> not be able to compete effectively, generate significant revenues or maintain the profitability of our cloud offerings. Additionally, the increasing prevalence of cloud and SaaS delivery models offered by us and our competitors may unfavorably impact the </w:t>
      </w:r>
      <w:r>
        <w:rPr>
          <w:rFonts w:ascii="Calibri" w:hAnsi="Calibri" w:cs="Calibri"/>
          <w:sz w:val="20"/>
          <w:szCs w:val="20"/>
        </w:rPr>
        <w:t>pricing of our cloud and license offerings. If we do not successfully execute our cloud computing strategy or anticipate the cloud computing needs of our customers, our reputation as a cloud services provider could be harmed and our revenues and profitabil</w:t>
      </w:r>
      <w:r>
        <w:rPr>
          <w:rFonts w:ascii="Calibri" w:hAnsi="Calibri" w:cs="Calibri"/>
          <w:sz w:val="20"/>
          <w:szCs w:val="20"/>
        </w:rPr>
        <w:t>ity could decline.</w:t>
      </w:r>
    </w:p>
    <w:p w14:paraId="3973CA1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customer demand for our cloud offerings increases, we experience volatility in our reported revenues and operating results due to the differences in timing of revenue recognition between our cloud license and on-premise license, and h</w:t>
      </w:r>
      <w:r>
        <w:rPr>
          <w:rFonts w:ascii="Calibri" w:hAnsi="Calibri" w:cs="Calibri"/>
          <w:sz w:val="20"/>
          <w:szCs w:val="20"/>
        </w:rPr>
        <w:t>ardware product arrangements relative to our cloud offering arrangements. Customers predominantly purchase our cloud offerings on a subscription basis and revenues from these offerings are generally recognized ratably or as services are consumed over the t</w:t>
      </w:r>
      <w:r>
        <w:rPr>
          <w:rFonts w:ascii="Calibri" w:hAnsi="Calibri" w:cs="Calibri"/>
          <w:sz w:val="20"/>
          <w:szCs w:val="20"/>
        </w:rPr>
        <w:t xml:space="preserve">erms of the subscriptions. Consequently, any deterioration in sales activity associated with our cloud offerings may not be immediately observable in our consolidated statement of operations. This is in contrast to revenues associated with our license and </w:t>
      </w:r>
      <w:r>
        <w:rPr>
          <w:rFonts w:ascii="Calibri" w:hAnsi="Calibri" w:cs="Calibri"/>
          <w:sz w:val="20"/>
          <w:szCs w:val="20"/>
        </w:rPr>
        <w:t>hardware product arrangements, which are generally recognized in full at the time of delivery of the related licenses and hardware products. In addition, we may not be able to accurately anticipate customer transitions from or be able to sufficiently backf</w:t>
      </w:r>
      <w:r>
        <w:rPr>
          <w:rFonts w:ascii="Calibri" w:hAnsi="Calibri" w:cs="Calibri"/>
          <w:sz w:val="20"/>
          <w:szCs w:val="20"/>
        </w:rPr>
        <w:t>ill reduced customer demand for our license, hardware and support offerings relative to the expected increase in customer adoption of and demand for our Oracle Cloud Services, which could adversely affect our revenues and profitability</w:t>
      </w:r>
      <w:r>
        <w:rPr>
          <w:rFonts w:ascii="Calibri" w:hAnsi="Calibri" w:cs="Calibri"/>
          <w:color w:val="000000"/>
          <w:sz w:val="20"/>
          <w:szCs w:val="20"/>
        </w:rPr>
        <w:t>.</w:t>
      </w:r>
    </w:p>
    <w:p w14:paraId="3973CA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a part of our Or</w:t>
      </w:r>
      <w:r>
        <w:rPr>
          <w:rFonts w:ascii="Calibri" w:hAnsi="Calibri" w:cs="Calibri"/>
          <w:sz w:val="20"/>
          <w:szCs w:val="20"/>
        </w:rPr>
        <w:t>acle Cloud strategy, we plan our investment levels based on estimates of future revenues and future anticipated rates of growth. In recent periods, our cloud services and license support expenses have grown to meet current and expected demand for our cloud</w:t>
      </w:r>
      <w:r>
        <w:rPr>
          <w:rFonts w:ascii="Calibri" w:hAnsi="Calibri" w:cs="Calibri"/>
          <w:sz w:val="20"/>
          <w:szCs w:val="20"/>
        </w:rPr>
        <w:t xml:space="preserve"> offerings, including investments to increase our existing data center capacity and to establish data centers in new geographic locations. In connection with these investments, we entered, and expect to continue to enter, into long-term operating lease com</w:t>
      </w:r>
      <w:r>
        <w:rPr>
          <w:rFonts w:ascii="Calibri" w:hAnsi="Calibri" w:cs="Calibri"/>
          <w:sz w:val="20"/>
          <w:szCs w:val="20"/>
        </w:rPr>
        <w:t>mitments with third party data center providers that generally require us to pay fees to early exit such obligations should our strategies change, which could adversely impact our profitability and cash flows. In addition, we outfit these data centers with</w:t>
      </w:r>
      <w:r>
        <w:rPr>
          <w:rFonts w:ascii="Calibri" w:hAnsi="Calibri" w:cs="Calibri"/>
          <w:sz w:val="20"/>
          <w:szCs w:val="20"/>
        </w:rPr>
        <w:t xml:space="preserve"> equipment and improvements that we typically depreciate over their estimated useful lives, which could be shortened should our cloud strategies change, which could adversely affect our profitability.</w:t>
      </w:r>
    </w:p>
    <w:p w14:paraId="3973CA12"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might experience significant coding, manufacturing o</w:t>
      </w:r>
      <w:r>
        <w:rPr>
          <w:rFonts w:ascii="Calibri" w:hAnsi="Calibri" w:cs="Calibri"/>
          <w:b/>
          <w:bCs/>
          <w:i/>
          <w:iCs/>
          <w:sz w:val="20"/>
          <w:szCs w:val="20"/>
        </w:rPr>
        <w:t>r configuration errors in our cloud, license and hardware offerings.</w:t>
      </w:r>
      <w:r>
        <w:rPr>
          <w:rFonts w:ascii="Calibri" w:hAnsi="Calibri" w:cs="Calibri"/>
          <w:b/>
          <w:bCs/>
          <w:sz w:val="20"/>
          <w:szCs w:val="20"/>
        </w:rPr>
        <w:t xml:space="preserve">   </w:t>
      </w:r>
      <w:r>
        <w:rPr>
          <w:rFonts w:ascii="Calibri" w:hAnsi="Calibri" w:cs="Calibri"/>
          <w:sz w:val="20"/>
          <w:szCs w:val="20"/>
        </w:rPr>
        <w:t>Despite testing prior to the release and throughout the lifecycle of a product or service, our cloud, license and hardware offerings sometimes contain coding, manufacturing or configura</w:t>
      </w:r>
      <w:r>
        <w:rPr>
          <w:rFonts w:ascii="Calibri" w:hAnsi="Calibri" w:cs="Calibri"/>
          <w:sz w:val="20"/>
          <w:szCs w:val="20"/>
        </w:rPr>
        <w:t>tion errors that can impact their function, performance and security, and result in other negative consequences. The detection and correction of any errors in released cloud, license or hardware offerings can be time consuming and costly. Errors in our clo</w:t>
      </w:r>
      <w:r>
        <w:rPr>
          <w:rFonts w:ascii="Calibri" w:hAnsi="Calibri" w:cs="Calibri"/>
          <w:sz w:val="20"/>
          <w:szCs w:val="20"/>
        </w:rPr>
        <w:t xml:space="preserve">ud, license or hardware offerings could affect their ability to properly function, integrate or operate with other cloud, license or hardware offerings, could result in service interruptions, delays or outages of our cloud offerings, could create security </w:t>
      </w:r>
      <w:r>
        <w:rPr>
          <w:rFonts w:ascii="Calibri" w:hAnsi="Calibri" w:cs="Calibri"/>
          <w:sz w:val="20"/>
          <w:szCs w:val="20"/>
        </w:rPr>
        <w:t xml:space="preserve">vulnerabilities in our products or services, could delay the development or release of new products or services or new versions of products or services, and could adversely affect market acceptance </w:t>
      </w:r>
    </w:p>
    <w:p w14:paraId="3973CA1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3973CA14" w14:textId="77777777" w:rsidR="007B027D" w:rsidRDefault="008E0125">
      <w:r>
        <w:rPr>
          <w:rFonts w:ascii="Calibri" w:hAnsi="Calibri" w:cs="Calibri"/>
          <w:sz w:val="20"/>
          <w:szCs w:val="20"/>
        </w:rPr>
        <w:pict w14:anchorId="3974004C">
          <v:rect id="_x0000_i1045" style="width:415.3pt;height:1.5pt" o:hralign="center" o:hrstd="t" o:hr="t" fillcolor="#a0a0a0" stroked="f"/>
        </w:pict>
      </w:r>
    </w:p>
    <w:p w14:paraId="3973CA15" w14:textId="77777777" w:rsidR="007B027D" w:rsidRDefault="008E0125">
      <w:pPr>
        <w:pStyle w:val="a3"/>
        <w:spacing w:beforeAutospacing="0" w:after="120" w:afterAutospacing="0"/>
        <w:rPr>
          <w:rFonts w:ascii="Calibri" w:hAnsi="Calibri" w:cs="Calibri"/>
          <w:sz w:val="18"/>
          <w:szCs w:val="18"/>
        </w:rPr>
      </w:pPr>
      <w:hyperlink r:id="rId66" w:anchor="TABLE_OF_CONTENTS" w:history="1">
        <w:r>
          <w:rPr>
            <w:rStyle w:val="a5"/>
            <w:rFonts w:ascii="Calibri" w:hAnsi="Calibri" w:cs="Calibri"/>
            <w:sz w:val="18"/>
            <w:szCs w:val="18"/>
          </w:rPr>
          <w:t>Table of Contents</w:t>
        </w:r>
      </w:hyperlink>
    </w:p>
    <w:p w14:paraId="3973CA16" w14:textId="77777777" w:rsidR="007B027D" w:rsidRDefault="008E0125">
      <w:pPr>
        <w:pStyle w:val="a3"/>
        <w:spacing w:beforeAutospacing="0" w:afterAutospacing="0"/>
        <w:rPr>
          <w:rFonts w:ascii="Calibri" w:hAnsi="Calibri" w:cs="Calibri"/>
          <w:sz w:val="18"/>
          <w:szCs w:val="18"/>
        </w:rPr>
      </w:pPr>
      <w:hyperlink r:id="rId67" w:anchor="ITEM_15_EXHIBITS_FINANCIAL_STATEMENT_SCH" w:history="1">
        <w:r>
          <w:rPr>
            <w:rStyle w:val="a5"/>
            <w:rFonts w:ascii="Calibri" w:hAnsi="Calibri" w:cs="Calibri"/>
            <w:sz w:val="18"/>
            <w:szCs w:val="18"/>
          </w:rPr>
          <w:t>Index to Financial Statements</w:t>
        </w:r>
      </w:hyperlink>
    </w:p>
    <w:p w14:paraId="3973CA17"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18"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of our products or services. This includes third-party software p</w:t>
      </w:r>
      <w:r>
        <w:rPr>
          <w:rFonts w:ascii="Calibri" w:hAnsi="Calibri" w:cs="Calibri"/>
          <w:sz w:val="20"/>
          <w:szCs w:val="20"/>
        </w:rPr>
        <w:t>roducts or services incorporated into our own. If we experience any of these errors, or if there are delays in releasing our cloud, license or hardware offerings or new versions of these offerings, our sales could be affected and revenues could decline. In</w:t>
      </w:r>
      <w:r>
        <w:rPr>
          <w:rFonts w:ascii="Calibri" w:hAnsi="Calibri" w:cs="Calibri"/>
          <w:sz w:val="20"/>
          <w:szCs w:val="20"/>
        </w:rPr>
        <w:t xml:space="preserve"> addition, we run Oracle’s business operations as well as cloud and other services that we offer to our customers on our products and networks. Therefore, any flaws could affect our and our customers’ abilities to conduct business operations and to ensure </w:t>
      </w:r>
      <w:r>
        <w:rPr>
          <w:rFonts w:ascii="Calibri" w:hAnsi="Calibri" w:cs="Calibri"/>
          <w:sz w:val="20"/>
          <w:szCs w:val="20"/>
        </w:rPr>
        <w:t>accuracy in financial processes and reporting, and may result in unanticipated costs. Enterprise customers rely on our cloud, license and hardware offerings and related services to run their businesses, and errors in our cloud, license and hardware offerin</w:t>
      </w:r>
      <w:r>
        <w:rPr>
          <w:rFonts w:ascii="Calibri" w:hAnsi="Calibri" w:cs="Calibri"/>
          <w:sz w:val="20"/>
          <w:szCs w:val="20"/>
        </w:rPr>
        <w:t>gs and related services could expose us to product liability, performance and warranty claims as well as significant harm to our brand and reputation, which could impact our future sales.</w:t>
      </w:r>
    </w:p>
    <w:p w14:paraId="3973CA19"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If we are unable to compete effectively, the results of operations a</w:t>
      </w:r>
      <w:r>
        <w:rPr>
          <w:rFonts w:ascii="Calibri" w:hAnsi="Calibri" w:cs="Calibri"/>
          <w:b/>
          <w:bCs/>
          <w:i/>
          <w:iCs/>
          <w:sz w:val="20"/>
          <w:szCs w:val="20"/>
        </w:rPr>
        <w:t>nd prospects for our business could be harmed.</w:t>
      </w:r>
      <w:r>
        <w:rPr>
          <w:rFonts w:ascii="Calibri" w:hAnsi="Calibri" w:cs="Calibri"/>
          <w:sz w:val="20"/>
          <w:szCs w:val="20"/>
        </w:rPr>
        <w:t xml:space="preserve">   We face intense competition in all aspects of our business. The nature of the IT industry creates a competitive landscape that is constantly evolving as firms emerge, expand or are acquired, as technology ev</w:t>
      </w:r>
      <w:r>
        <w:rPr>
          <w:rFonts w:ascii="Calibri" w:hAnsi="Calibri" w:cs="Calibri"/>
          <w:sz w:val="20"/>
          <w:szCs w:val="20"/>
        </w:rPr>
        <w:t>olves and as delivery models change. Many vendors spend amounts in excess of what Oracle spends to develop and market applications and infrastructure technologies including databases, middleware products, application development tools, business application</w:t>
      </w:r>
      <w:r>
        <w:rPr>
          <w:rFonts w:ascii="Calibri" w:hAnsi="Calibri" w:cs="Calibri"/>
          <w:sz w:val="20"/>
          <w:szCs w:val="20"/>
        </w:rPr>
        <w:t>s, collaboration products and business intelligence, compute, storage and networking products, among others, which compete with Oracle applications and infrastructure offerings. Use of our competitors’ technologies influences a customer’s purchasing decisi</w:t>
      </w:r>
      <w:r>
        <w:rPr>
          <w:rFonts w:ascii="Calibri" w:hAnsi="Calibri" w:cs="Calibri"/>
          <w:sz w:val="20"/>
          <w:szCs w:val="20"/>
        </w:rPr>
        <w:t>on or creates an environment that makes it less efficient to utilize or migrate to Oracle products and services. Our competitors may also adopt business practices that provide customers access to competing products and services on terms that we may not gen</w:t>
      </w:r>
      <w:r>
        <w:rPr>
          <w:rFonts w:ascii="Calibri" w:hAnsi="Calibri" w:cs="Calibri"/>
          <w:sz w:val="20"/>
          <w:szCs w:val="20"/>
        </w:rPr>
        <w:t>erally find acceptable, which may convince customers to purchase competitor products and services. We could lose customers if our competitors introduce new competitive products, add new functionality, acquire competitive products, reduce prices, better exe</w:t>
      </w:r>
      <w:r>
        <w:rPr>
          <w:rFonts w:ascii="Calibri" w:hAnsi="Calibri" w:cs="Calibri"/>
          <w:sz w:val="20"/>
          <w:szCs w:val="20"/>
        </w:rPr>
        <w:t>cute on their sales and marketing strategies, offer more flexible business practices, provide debt or equity financing to customers or form strategic alliances with other companies. Mergers, consolidations or alliances among our competitors, or acquisition</w:t>
      </w:r>
      <w:r>
        <w:rPr>
          <w:rFonts w:ascii="Calibri" w:hAnsi="Calibri" w:cs="Calibri"/>
          <w:sz w:val="20"/>
          <w:szCs w:val="20"/>
        </w:rPr>
        <w:t>s of our competitors by large companies may result in increased competition. We may also face increasing competition from open source software initiatives in which competitors may provide software and intellectual property for free. Existing or new competi</w:t>
      </w:r>
      <w:r>
        <w:rPr>
          <w:rFonts w:ascii="Calibri" w:hAnsi="Calibri" w:cs="Calibri"/>
          <w:sz w:val="20"/>
          <w:szCs w:val="20"/>
        </w:rPr>
        <w:t>tors could gain sales opportunities or customers at our expense.</w:t>
      </w:r>
    </w:p>
    <w:p w14:paraId="3973CA1A"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need to change our pricing models to compete successfully.</w:t>
      </w:r>
      <w:r>
        <w:rPr>
          <w:rFonts w:ascii="Calibri" w:hAnsi="Calibri" w:cs="Calibri"/>
          <w:sz w:val="20"/>
          <w:szCs w:val="20"/>
        </w:rPr>
        <w:t xml:space="preserve">   The intense competition we face in the sales of our products and services and general economic and business conditions coul</w:t>
      </w:r>
      <w:r>
        <w:rPr>
          <w:rFonts w:ascii="Calibri" w:hAnsi="Calibri" w:cs="Calibri"/>
          <w:sz w:val="20"/>
          <w:szCs w:val="20"/>
        </w:rPr>
        <w:t>d put pressure on us to change our prices. If our competitors offer deep discounts on certain products or services or develop products that the marketplace considers more valuable, we may need to lower prices, introduce pricing models and offerings that ar</w:t>
      </w:r>
      <w:r>
        <w:rPr>
          <w:rFonts w:ascii="Calibri" w:hAnsi="Calibri" w:cs="Calibri"/>
          <w:sz w:val="20"/>
          <w:szCs w:val="20"/>
        </w:rPr>
        <w:t>e less favorable to us, or offer other favorable terms in order to compete successfully. Any such changes may reduce revenues and margins and could adversely affect operating results. Additionally, the increasing prevalence of cloud delivery models offered</w:t>
      </w:r>
      <w:r>
        <w:rPr>
          <w:rFonts w:ascii="Calibri" w:hAnsi="Calibri" w:cs="Calibri"/>
          <w:sz w:val="20"/>
          <w:szCs w:val="20"/>
        </w:rPr>
        <w:t xml:space="preserve"> by us and our competitors may unfavorably impact the pricing of our other cloud and license, hardware and services offerings, and we may also incur increased cloud delivery expenses as we expand our cloud operations and update our infrastructure, all of w</w:t>
      </w:r>
      <w:r>
        <w:rPr>
          <w:rFonts w:ascii="Calibri" w:hAnsi="Calibri" w:cs="Calibri"/>
          <w:sz w:val="20"/>
          <w:szCs w:val="20"/>
        </w:rPr>
        <w:t>hich could reduce our revenues and/or profitability. Our license support fees and hardware support fees are generally priced as a percentage of our net license fees and net new hardware products fees, respectively. Our competitors may offer lower pricing o</w:t>
      </w:r>
      <w:r>
        <w:rPr>
          <w:rFonts w:ascii="Calibri" w:hAnsi="Calibri" w:cs="Calibri"/>
          <w:sz w:val="20"/>
          <w:szCs w:val="20"/>
        </w:rPr>
        <w:t xml:space="preserve">n their support offerings, which could put pressure on us to further discount our offerings. </w:t>
      </w:r>
    </w:p>
    <w:p w14:paraId="3973CA1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Changes to our prices and pricing policies could cause our revenues to decline or be delayed as our sales force implements and our customers adjust to the new pri</w:t>
      </w:r>
      <w:r>
        <w:rPr>
          <w:rFonts w:ascii="Calibri" w:hAnsi="Calibri" w:cs="Calibri"/>
          <w:sz w:val="20"/>
          <w:szCs w:val="20"/>
        </w:rPr>
        <w:t>cing policies. Some of our competitors may bundle products for promotional purposes or as a long-term pricing strategy, commit to large customer deployments at prices that are unprofitable, or provide guarantees of prices and product implementations. These</w:t>
      </w:r>
      <w:r>
        <w:rPr>
          <w:rFonts w:ascii="Calibri" w:hAnsi="Calibri" w:cs="Calibri"/>
          <w:sz w:val="20"/>
          <w:szCs w:val="20"/>
        </w:rPr>
        <w:t xml:space="preserve"> practices could, over time, significantly constrain the prices that we can charge for certain of our products. If we do not adapt our pricing models to reflect changes in customer use of our products or changes in customer demand, our revenues could decre</w:t>
      </w:r>
      <w:r>
        <w:rPr>
          <w:rFonts w:ascii="Calibri" w:hAnsi="Calibri" w:cs="Calibri"/>
          <w:sz w:val="20"/>
          <w:szCs w:val="20"/>
        </w:rPr>
        <w:t>ase. The increase in open source software distribution may also cause us to change our pricing models.</w:t>
      </w:r>
    </w:p>
    <w:p w14:paraId="3973CA1C"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Any failure to offer high-quality technical support services may adversely affect our relationships with our customers and our financial results</w:t>
      </w:r>
      <w:r>
        <w:rPr>
          <w:rFonts w:ascii="Calibri" w:hAnsi="Calibri" w:cs="Calibri"/>
          <w:sz w:val="20"/>
          <w:szCs w:val="20"/>
        </w:rPr>
        <w:t>.   Our c</w:t>
      </w:r>
      <w:r>
        <w:rPr>
          <w:rFonts w:ascii="Calibri" w:hAnsi="Calibri" w:cs="Calibri"/>
          <w:sz w:val="20"/>
          <w:szCs w:val="20"/>
        </w:rPr>
        <w:t>ustomers depend on our support organization to resolve technical issues relating to our applications and infrastructure offerings. We may be unable to respond quickly enough to accommodate short-term increases in customer demand for support services or may</w:t>
      </w:r>
      <w:r>
        <w:rPr>
          <w:rFonts w:ascii="Calibri" w:hAnsi="Calibri" w:cs="Calibri"/>
          <w:sz w:val="20"/>
          <w:szCs w:val="20"/>
        </w:rPr>
        <w:t xml:space="preserve"> be inefficient in our </w:t>
      </w:r>
    </w:p>
    <w:p w14:paraId="3973CA1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3973CA1E" w14:textId="77777777" w:rsidR="007B027D" w:rsidRDefault="008E0125">
      <w:r>
        <w:rPr>
          <w:rFonts w:ascii="Calibri" w:hAnsi="Calibri" w:cs="Calibri"/>
          <w:sz w:val="20"/>
          <w:szCs w:val="20"/>
        </w:rPr>
        <w:pict w14:anchorId="3974004D">
          <v:rect id="_x0000_i1046" style="width:415.3pt;height:1.5pt" o:hralign="center" o:hrstd="t" o:hr="t" fillcolor="#a0a0a0" stroked="f"/>
        </w:pict>
      </w:r>
    </w:p>
    <w:p w14:paraId="3973CA1F" w14:textId="77777777" w:rsidR="007B027D" w:rsidRDefault="008E0125">
      <w:pPr>
        <w:pStyle w:val="a3"/>
        <w:spacing w:beforeAutospacing="0" w:after="120" w:afterAutospacing="0"/>
        <w:rPr>
          <w:rFonts w:ascii="Calibri" w:hAnsi="Calibri" w:cs="Calibri"/>
          <w:sz w:val="18"/>
          <w:szCs w:val="18"/>
        </w:rPr>
      </w:pPr>
      <w:hyperlink r:id="rId68" w:anchor="TABLE_OF_CONTENTS" w:history="1">
        <w:r>
          <w:rPr>
            <w:rStyle w:val="a5"/>
            <w:rFonts w:ascii="Calibri" w:hAnsi="Calibri" w:cs="Calibri"/>
            <w:sz w:val="18"/>
            <w:szCs w:val="18"/>
          </w:rPr>
          <w:t>Table of Contents</w:t>
        </w:r>
      </w:hyperlink>
    </w:p>
    <w:p w14:paraId="3973CA20" w14:textId="77777777" w:rsidR="007B027D" w:rsidRDefault="008E0125">
      <w:pPr>
        <w:pStyle w:val="a3"/>
        <w:spacing w:beforeAutospacing="0" w:afterAutospacing="0"/>
        <w:rPr>
          <w:rFonts w:ascii="Calibri" w:hAnsi="Calibri" w:cs="Calibri"/>
          <w:sz w:val="18"/>
          <w:szCs w:val="18"/>
        </w:rPr>
      </w:pPr>
      <w:hyperlink r:id="rId69" w:anchor="ITEM_15_EXHIBITS_FINANCIAL_STATEMENT_SCH" w:history="1">
        <w:r>
          <w:rPr>
            <w:rStyle w:val="a5"/>
            <w:rFonts w:ascii="Calibri" w:hAnsi="Calibri" w:cs="Calibri"/>
            <w:sz w:val="18"/>
            <w:szCs w:val="18"/>
          </w:rPr>
          <w:t>Index to Financial Statements</w:t>
        </w:r>
      </w:hyperlink>
    </w:p>
    <w:p w14:paraId="3973CA2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22"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 xml:space="preserve">resolution of customer support issues. Increased customer demand </w:t>
      </w:r>
      <w:r>
        <w:rPr>
          <w:rFonts w:ascii="Calibri" w:hAnsi="Calibri" w:cs="Calibri"/>
          <w:sz w:val="20"/>
          <w:szCs w:val="20"/>
        </w:rPr>
        <w:t>for these services, without corresponding revenues, could increase costs and adversely affect our operating results. Any failure to maintain high-quality technical support, or a market perception that we do not maintain high-quality technical support, coul</w:t>
      </w:r>
      <w:r>
        <w:rPr>
          <w:rFonts w:ascii="Calibri" w:hAnsi="Calibri" w:cs="Calibri"/>
          <w:sz w:val="20"/>
          <w:szCs w:val="20"/>
        </w:rPr>
        <w:t>d adversely affect our reputation, our ability to sell and renew our applications and infrastructure offerings to existing and prospective customers, and our business, operating results, and financial position.</w:t>
      </w:r>
    </w:p>
    <w:p w14:paraId="3973CA23"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cloud offerings and hardware offerings ar</w:t>
      </w:r>
      <w:r>
        <w:rPr>
          <w:rFonts w:ascii="Calibri" w:hAnsi="Calibri" w:cs="Calibri"/>
          <w:b/>
          <w:bCs/>
          <w:i/>
          <w:iCs/>
          <w:sz w:val="20"/>
          <w:szCs w:val="20"/>
        </w:rPr>
        <w:t>e complex, and if we cannot successfully manage this complexity, including the sourcing of technologies and components, the results of these businesses will suffer.</w:t>
      </w:r>
      <w:r>
        <w:rPr>
          <w:rFonts w:ascii="Calibri" w:hAnsi="Calibri" w:cs="Calibri"/>
          <w:b/>
          <w:bCs/>
          <w:sz w:val="20"/>
          <w:szCs w:val="20"/>
        </w:rPr>
        <w:t xml:space="preserve"> </w:t>
      </w:r>
      <w:r>
        <w:rPr>
          <w:rFonts w:ascii="Calibri" w:hAnsi="Calibri" w:cs="Calibri"/>
          <w:sz w:val="20"/>
          <w:szCs w:val="20"/>
        </w:rPr>
        <w:t xml:space="preserve">We depend on suppliers to develop, manufacture and deliver on a timely basis the necessary </w:t>
      </w:r>
      <w:r>
        <w:rPr>
          <w:rFonts w:ascii="Calibri" w:hAnsi="Calibri" w:cs="Calibri"/>
          <w:sz w:val="20"/>
          <w:szCs w:val="20"/>
        </w:rPr>
        <w:t>technologies and components for our hardware products that we market and sell to our customers and that we use as a part of our cloud infrastructure to deliver our cloud offerings, and there are some technologies and components that can only be purchased f</w:t>
      </w:r>
      <w:r>
        <w:rPr>
          <w:rFonts w:ascii="Calibri" w:hAnsi="Calibri" w:cs="Calibri"/>
          <w:sz w:val="20"/>
          <w:szCs w:val="20"/>
        </w:rPr>
        <w:t>rom a single vendor due to price, quality, technology, availability or other business constraints. Our supply chain operations have been, and likely will continue to be, negatively impacted by the COVID-19 pandemic and could also be disrupted by industry c</w:t>
      </w:r>
      <w:r>
        <w:rPr>
          <w:rFonts w:ascii="Calibri" w:hAnsi="Calibri" w:cs="Calibri"/>
          <w:sz w:val="20"/>
          <w:szCs w:val="20"/>
        </w:rPr>
        <w:t>onsolidation and component constraints or shortages, natural disasters, political unrest, other public health crises, changes to trade policies, port stoppages or other transportation disruptions or slowdowns, or other factors affecting the countries or re</w:t>
      </w:r>
      <w:r>
        <w:rPr>
          <w:rFonts w:ascii="Calibri" w:hAnsi="Calibri" w:cs="Calibri"/>
          <w:sz w:val="20"/>
          <w:szCs w:val="20"/>
        </w:rPr>
        <w:t>gions where these single source component vendors are located or where the products are being shipped. If one or more of the risks described above occurs, our cloud and license business and hardware business and related operating results could be materiall</w:t>
      </w:r>
      <w:r>
        <w:rPr>
          <w:rFonts w:ascii="Calibri" w:hAnsi="Calibri" w:cs="Calibri"/>
          <w:sz w:val="20"/>
          <w:szCs w:val="20"/>
        </w:rPr>
        <w:t>y and adversely affected.</w:t>
      </w:r>
    </w:p>
    <w:p w14:paraId="3973CA24"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are susceptible to third-party manufacturing and logistics delays, which could result in the loss of sales and customers.</w:t>
      </w:r>
      <w:r>
        <w:rPr>
          <w:rFonts w:ascii="Calibri" w:hAnsi="Calibri" w:cs="Calibri"/>
          <w:sz w:val="20"/>
          <w:szCs w:val="20"/>
        </w:rPr>
        <w:t xml:space="preserve">   We outsource a majority of our manufacturing, assembly, delivery and technology of, and certain compone</w:t>
      </w:r>
      <w:r>
        <w:rPr>
          <w:rFonts w:ascii="Calibri" w:hAnsi="Calibri" w:cs="Calibri"/>
          <w:sz w:val="20"/>
          <w:szCs w:val="20"/>
        </w:rPr>
        <w:t>nt designs for, our hardware products to a variety of companies, many of which are located outside the U.S. From time to time, these partners experience production problems, delays or cannot meet our demand for products. The conditions caused by the COVID-</w:t>
      </w:r>
      <w:r>
        <w:rPr>
          <w:rFonts w:ascii="Calibri" w:hAnsi="Calibri" w:cs="Calibri"/>
          <w:sz w:val="20"/>
          <w:szCs w:val="20"/>
        </w:rPr>
        <w:t xml:space="preserve">19 pandemic created, and likely will continue to create, delays in our supply chain. Third-party manufacturing and logistics delays attributable to the effects of COVID-19 caused delays in the manufacturing and fulfilment of certain customer orders during </w:t>
      </w:r>
      <w:r>
        <w:rPr>
          <w:rFonts w:ascii="Calibri" w:hAnsi="Calibri" w:cs="Calibri"/>
          <w:sz w:val="20"/>
          <w:szCs w:val="20"/>
        </w:rPr>
        <w:t>fiscal 2022. Ongoing or future delays in manufacturing could cause the loss of additional sales, delayed revenue recognition or an increase in our hardware products expenses, all of which could adversely affect the margins of our cloud and license business</w:t>
      </w:r>
      <w:r>
        <w:rPr>
          <w:rFonts w:ascii="Calibri" w:hAnsi="Calibri" w:cs="Calibri"/>
          <w:sz w:val="20"/>
          <w:szCs w:val="20"/>
        </w:rPr>
        <w:t xml:space="preserve"> and hardware business. These challenges could arise if we alter our manufacturing strategies, suppliers, or locations.</w:t>
      </w:r>
    </w:p>
    <w:p w14:paraId="3973CA2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hardware revenues and profitability have declined and could continue to decline.</w:t>
      </w:r>
      <w:r>
        <w:rPr>
          <w:rFonts w:ascii="Calibri" w:hAnsi="Calibri" w:cs="Calibri"/>
          <w:sz w:val="20"/>
          <w:szCs w:val="20"/>
        </w:rPr>
        <w:t xml:space="preserve">   Our hardware business may adversely affect our to</w:t>
      </w:r>
      <w:r>
        <w:rPr>
          <w:rFonts w:ascii="Calibri" w:hAnsi="Calibri" w:cs="Calibri"/>
          <w:sz w:val="20"/>
          <w:szCs w:val="20"/>
        </w:rPr>
        <w:t>tal revenues and overall profitability and related growth rates. We may not achieve our estimated revenue, profit or other financial projections with respect to our hardware business in a timely manner or at all due to a number of factors, including:</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29" w14:textId="77777777">
        <w:tc>
          <w:tcPr>
            <w:tcW w:w="262" w:type="pct"/>
            <w:shd w:val="clear" w:color="auto" w:fill="auto"/>
            <w:noWrap/>
          </w:tcPr>
          <w:p w14:paraId="3973CA2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2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2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focus on certain of our more profitable Oracle Engineered Systems and certain other hardware products we consider strategic and the de-emphasis of certain of our lower profit margin commodity hardware products;</w:t>
            </w:r>
          </w:p>
        </w:tc>
      </w:tr>
    </w:tbl>
    <w:p w14:paraId="3973CA2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2E" w14:textId="77777777">
        <w:tc>
          <w:tcPr>
            <w:tcW w:w="262" w:type="pct"/>
            <w:shd w:val="clear" w:color="auto" w:fill="auto"/>
            <w:noWrap/>
          </w:tcPr>
          <w:p w14:paraId="3973CA2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2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2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changes in strategies and frequency</w:t>
            </w:r>
            <w:r>
              <w:rPr>
                <w:rFonts w:ascii="Calibri" w:hAnsi="Calibri" w:cs="Calibri"/>
                <w:color w:val="000000"/>
                <w:sz w:val="20"/>
                <w:szCs w:val="20"/>
              </w:rPr>
              <w:t xml:space="preserve"> for the development and introduction of new versions or next generations of our hardware products;</w:t>
            </w:r>
          </w:p>
        </w:tc>
      </w:tr>
    </w:tbl>
    <w:p w14:paraId="3973CA2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33" w14:textId="77777777">
        <w:tc>
          <w:tcPr>
            <w:tcW w:w="262" w:type="pct"/>
            <w:shd w:val="clear" w:color="auto" w:fill="auto"/>
            <w:noWrap/>
          </w:tcPr>
          <w:p w14:paraId="3973CA3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3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3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decreased customer demand for related hardware support as hardware products approach the end of their useful lives; and</w:t>
            </w:r>
          </w:p>
        </w:tc>
      </w:tr>
    </w:tbl>
    <w:p w14:paraId="3973CA3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38" w14:textId="77777777">
        <w:tc>
          <w:tcPr>
            <w:tcW w:w="262" w:type="pct"/>
            <w:shd w:val="clear" w:color="auto" w:fill="auto"/>
            <w:noWrap/>
          </w:tcPr>
          <w:p w14:paraId="3973CA3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3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3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general supply chain mat</w:t>
            </w:r>
            <w:r>
              <w:rPr>
                <w:rFonts w:ascii="Calibri" w:hAnsi="Calibri" w:cs="Calibri"/>
                <w:color w:val="000000"/>
                <w:sz w:val="20"/>
                <w:szCs w:val="20"/>
              </w:rPr>
              <w:t>erial shortages worldwide, which were further exacerbated globally as a result of the COVID-19 pandemic.</w:t>
            </w:r>
          </w:p>
        </w:tc>
      </w:tr>
    </w:tbl>
    <w:p w14:paraId="3973CA3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Supply chain shortages have in some instances resulted in increases to the costs of production of our hardware products that we may not be able to </w:t>
      </w:r>
      <w:r>
        <w:rPr>
          <w:rFonts w:ascii="Calibri" w:hAnsi="Calibri" w:cs="Calibri"/>
          <w:sz w:val="20"/>
          <w:szCs w:val="20"/>
        </w:rPr>
        <w:t>pass on to our customers. In addition, we have in some instances responded to such shortages by committing to higher inventory purchases and balances relative to our historical positions in order to secure manufacturing capacity, which has in some instance</w:t>
      </w:r>
      <w:r>
        <w:rPr>
          <w:rFonts w:ascii="Calibri" w:hAnsi="Calibri" w:cs="Calibri"/>
          <w:sz w:val="20"/>
          <w:szCs w:val="20"/>
        </w:rPr>
        <w:t>s increased inventory excess and obsolescence risk and adversely impacted our operating cash flows.</w:t>
      </w:r>
    </w:p>
    <w:p w14:paraId="3973CA3A"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periodic workforce restructurings and reorganizations can be disruptive.</w:t>
      </w:r>
      <w:r>
        <w:rPr>
          <w:rFonts w:ascii="Calibri" w:hAnsi="Calibri" w:cs="Calibri"/>
          <w:sz w:val="20"/>
          <w:szCs w:val="20"/>
        </w:rPr>
        <w:t xml:space="preserve">   We are currently restructuring our workforce and in the past we have restructured or made other adjustments to our workforce in response to management changes, product changes, performance issues, changes in strategies, acquisitions and other internal </w:t>
      </w:r>
    </w:p>
    <w:p w14:paraId="3973CA3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3973CA3C" w14:textId="77777777" w:rsidR="007B027D" w:rsidRDefault="008E0125">
      <w:r>
        <w:rPr>
          <w:rFonts w:ascii="Calibri" w:hAnsi="Calibri" w:cs="Calibri"/>
          <w:sz w:val="20"/>
          <w:szCs w:val="20"/>
        </w:rPr>
        <w:pict w14:anchorId="3974004E">
          <v:rect id="_x0000_i1047" style="width:415.3pt;height:1.5pt" o:hralign="center" o:hrstd="t" o:hr="t" fillcolor="#a0a0a0" stroked="f"/>
        </w:pict>
      </w:r>
    </w:p>
    <w:p w14:paraId="3973CA3D" w14:textId="77777777" w:rsidR="007B027D" w:rsidRDefault="008E0125">
      <w:pPr>
        <w:pStyle w:val="a3"/>
        <w:spacing w:beforeAutospacing="0" w:after="120" w:afterAutospacing="0"/>
        <w:rPr>
          <w:rFonts w:ascii="Calibri" w:hAnsi="Calibri" w:cs="Calibri"/>
          <w:sz w:val="18"/>
          <w:szCs w:val="18"/>
        </w:rPr>
      </w:pPr>
      <w:hyperlink r:id="rId70" w:anchor="TABLE_OF_CONTENTS" w:history="1">
        <w:r>
          <w:rPr>
            <w:rStyle w:val="a5"/>
            <w:rFonts w:ascii="Calibri" w:hAnsi="Calibri" w:cs="Calibri"/>
            <w:sz w:val="18"/>
            <w:szCs w:val="18"/>
          </w:rPr>
          <w:t>Table of Contents</w:t>
        </w:r>
      </w:hyperlink>
    </w:p>
    <w:p w14:paraId="3973CA3E" w14:textId="77777777" w:rsidR="007B027D" w:rsidRDefault="008E0125">
      <w:pPr>
        <w:pStyle w:val="a3"/>
        <w:spacing w:beforeAutospacing="0" w:afterAutospacing="0"/>
        <w:rPr>
          <w:rFonts w:ascii="Calibri" w:hAnsi="Calibri" w:cs="Calibri"/>
          <w:sz w:val="18"/>
          <w:szCs w:val="18"/>
        </w:rPr>
      </w:pPr>
      <w:hyperlink r:id="rId71" w:anchor="ITEM_15_EXHIBITS_FINANCIAL_STATEMENT_SCH" w:history="1">
        <w:r>
          <w:rPr>
            <w:rStyle w:val="a5"/>
            <w:rFonts w:ascii="Calibri" w:hAnsi="Calibri" w:cs="Calibri"/>
            <w:sz w:val="18"/>
            <w:szCs w:val="18"/>
          </w:rPr>
          <w:t>Index to Financial Statements</w:t>
        </w:r>
      </w:hyperlink>
    </w:p>
    <w:p w14:paraId="3973CA3F"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40"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and external considerations. These types of restructurings have resulted, and may in the future result, in increased restructuring costs and temporary reduced pro</w:t>
      </w:r>
      <w:r>
        <w:rPr>
          <w:rFonts w:ascii="Calibri" w:hAnsi="Calibri" w:cs="Calibri"/>
          <w:sz w:val="20"/>
          <w:szCs w:val="20"/>
        </w:rPr>
        <w:t>ductivity while the employees adjusted to their new roles and responsibilities. In addition, we may not achieve or sustain the expected growth, resource redeployment or cost savings benefits of these restructurings, or may not do so within the expected tim</w:t>
      </w:r>
      <w:r>
        <w:rPr>
          <w:rFonts w:ascii="Calibri" w:hAnsi="Calibri" w:cs="Calibri"/>
          <w:sz w:val="20"/>
          <w:szCs w:val="20"/>
        </w:rPr>
        <w:t>eframe. These effects could recur in connection with future acquisitions and other restructurings, and our revenues and other results of operations could be negatively affected.</w:t>
      </w:r>
    </w:p>
    <w:p w14:paraId="3973CA41"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lose key employees or may be unable to hire enough qualified employees.</w:t>
      </w:r>
      <w:r>
        <w:rPr>
          <w:rFonts w:ascii="Calibri" w:hAnsi="Calibri" w:cs="Calibri"/>
          <w:sz w:val="20"/>
          <w:szCs w:val="20"/>
        </w:rPr>
        <w:t xml:space="preserve">   We rely on hiring qualified employees and the continued service of our senior management, including our Chairman of the Board of Directors, Chief Technology Officer and founder; our Chief Executive Officer; other members of our executive team; and other</w:t>
      </w:r>
      <w:r>
        <w:rPr>
          <w:rFonts w:ascii="Calibri" w:hAnsi="Calibri" w:cs="Calibri"/>
          <w:sz w:val="20"/>
          <w:szCs w:val="20"/>
        </w:rPr>
        <w:t xml:space="preserve"> key employees. In the technology industry, there is substantial and continuous competition for highly skilled business, product development, technical and other personnel. We recently reopened certain of our offices around the globe and we intend to reope</w:t>
      </w:r>
      <w:r>
        <w:rPr>
          <w:rFonts w:ascii="Calibri" w:hAnsi="Calibri" w:cs="Calibri"/>
          <w:sz w:val="20"/>
          <w:szCs w:val="20"/>
        </w:rPr>
        <w:t>n other offices when it is safe to do so and local requirements allow. Our employees continue to have flexibility to choose where and how to work. Depending on their role, this means that many employees can choose their office location, as well as continue</w:t>
      </w:r>
      <w:r>
        <w:rPr>
          <w:rFonts w:ascii="Calibri" w:hAnsi="Calibri" w:cs="Calibri"/>
          <w:sz w:val="20"/>
          <w:szCs w:val="20"/>
        </w:rPr>
        <w:t xml:space="preserve"> to work from home some or all of the time. While we believe this may help us engage with a wider pool of talent and may help to retain employees who want or need more flexibility, it may fail to yield these desired benefits and could also lead to increase</w:t>
      </w:r>
      <w:r>
        <w:rPr>
          <w:rFonts w:ascii="Calibri" w:hAnsi="Calibri" w:cs="Calibri"/>
          <w:sz w:val="20"/>
          <w:szCs w:val="20"/>
        </w:rPr>
        <w:t xml:space="preserve">d employee burnout or negatively impact employee productivity, and it may present cybersecurity risks and additional risks for our real estate portfolio and strategy. Despite our efforts to reopen our offices in a safe manner, our employees who have opted </w:t>
      </w:r>
      <w:r>
        <w:rPr>
          <w:rFonts w:ascii="Calibri" w:hAnsi="Calibri" w:cs="Calibri"/>
          <w:sz w:val="20"/>
          <w:szCs w:val="20"/>
        </w:rPr>
        <w:t xml:space="preserve">to return to the office may nevertheless be exposed to health risks, which may expose us to potential liability. </w:t>
      </w:r>
    </w:p>
    <w:p w14:paraId="3973CA4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may also experience increased compensation costs that are not offset by either improved productivity or higher sales. We may not be success</w:t>
      </w:r>
      <w:r>
        <w:rPr>
          <w:rFonts w:ascii="Calibri" w:hAnsi="Calibri" w:cs="Calibri"/>
          <w:sz w:val="20"/>
          <w:szCs w:val="20"/>
        </w:rPr>
        <w:t xml:space="preserve">ful in recruiting new personnel and in retaining and motivating existing personnel. With rare exceptions, we do not have long-term employment or non-competition agreements with our employees. Members of our senior management team have left Oracle over the </w:t>
      </w:r>
      <w:r>
        <w:rPr>
          <w:rFonts w:ascii="Calibri" w:hAnsi="Calibri" w:cs="Calibri"/>
          <w:sz w:val="20"/>
          <w:szCs w:val="20"/>
        </w:rPr>
        <w:t>years for a variety of reasons, and we cannot guarantee that there will not be additional departures, which may be disruptive to our operations.</w:t>
      </w:r>
    </w:p>
    <w:p w14:paraId="3973CA4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continually focus on improving our cost structure by hiring personnel in countries where advanced technical </w:t>
      </w:r>
      <w:r>
        <w:rPr>
          <w:rFonts w:ascii="Calibri" w:hAnsi="Calibri" w:cs="Calibri"/>
          <w:sz w:val="20"/>
          <w:szCs w:val="20"/>
        </w:rPr>
        <w:t xml:space="preserve">expertise and other expertise are available at lower costs. When we make adjustments to our workforce, we may incur expenses associated with workforce reductions that delay the benefit of a more efficient workforce structure. We are experiencing increased </w:t>
      </w:r>
      <w:r>
        <w:rPr>
          <w:rFonts w:ascii="Calibri" w:hAnsi="Calibri" w:cs="Calibri"/>
          <w:sz w:val="20"/>
          <w:szCs w:val="20"/>
        </w:rPr>
        <w:t>competition for employees in these countries as the trend toward globalization continues, which has affected our employee retention efforts and increased our expenses in an effort to offer a competitive compensation program. In addition, changes to immigra</w:t>
      </w:r>
      <w:r>
        <w:rPr>
          <w:rFonts w:ascii="Calibri" w:hAnsi="Calibri" w:cs="Calibri"/>
          <w:sz w:val="20"/>
          <w:szCs w:val="20"/>
        </w:rPr>
        <w:t>tion and labor law policies may adversely impact our access to technical and professional talent.</w:t>
      </w:r>
    </w:p>
    <w:p w14:paraId="3973CA4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general compensation program includes restricted stock units and performance-based equity, which are important tools in attracting and retaining </w:t>
      </w:r>
      <w:r>
        <w:rPr>
          <w:rFonts w:ascii="Calibri" w:hAnsi="Calibri" w:cs="Calibri"/>
          <w:sz w:val="20"/>
          <w:szCs w:val="20"/>
        </w:rPr>
        <w:t>employees in our industry. If our stock price performs poorly, it may adversely affect our ability to retain or attract employees. We continually evaluate our compensation practices and consider changes from time to time, such as reducing the number of emp</w:t>
      </w:r>
      <w:r>
        <w:rPr>
          <w:rFonts w:ascii="Calibri" w:hAnsi="Calibri" w:cs="Calibri"/>
          <w:sz w:val="20"/>
          <w:szCs w:val="20"/>
        </w:rPr>
        <w:t>loyees granted equity awards or the number of equity awards granted per employee and granting alternative forms of stock-based compensation, which may have an impact on our ability to retain employees and the amount of stock-based compensation expense that</w:t>
      </w:r>
      <w:r>
        <w:rPr>
          <w:rFonts w:ascii="Calibri" w:hAnsi="Calibri" w:cs="Calibri"/>
          <w:sz w:val="20"/>
          <w:szCs w:val="20"/>
        </w:rPr>
        <w:t xml:space="preserve"> we record. Any changes in our compensation practices or those of our competitors could affect our ability to retain and motivate existing personnel and recruit new personnel.</w:t>
      </w:r>
    </w:p>
    <w:p w14:paraId="3973CA4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cloud and license, and hardware indirect sales channels could affect our fut</w:t>
      </w:r>
      <w:r>
        <w:rPr>
          <w:rFonts w:ascii="Calibri" w:hAnsi="Calibri" w:cs="Calibri"/>
          <w:b/>
          <w:bCs/>
          <w:i/>
          <w:iCs/>
          <w:sz w:val="20"/>
          <w:szCs w:val="20"/>
        </w:rPr>
        <w:t>ure operating results.</w:t>
      </w:r>
      <w:r>
        <w:rPr>
          <w:rFonts w:ascii="Calibri" w:hAnsi="Calibri" w:cs="Calibri"/>
          <w:sz w:val="20"/>
          <w:szCs w:val="20"/>
        </w:rPr>
        <w:t xml:space="preserve">   Our cloud and license, and hardware indirect channel network is comprised primarily of resellers, system integrators/implementers, consultants, education providers, internet service providers, network integrators and independent so</w:t>
      </w:r>
      <w:r>
        <w:rPr>
          <w:rFonts w:ascii="Calibri" w:hAnsi="Calibri" w:cs="Calibri"/>
          <w:sz w:val="20"/>
          <w:szCs w:val="20"/>
        </w:rPr>
        <w:t xml:space="preserve">ftware vendors. Our relationships with these channel participants are important elements of our cloud, software and hardware marketing and sales efforts. Our financial results could be adversely affected if: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49" w14:textId="77777777">
        <w:tc>
          <w:tcPr>
            <w:tcW w:w="262" w:type="pct"/>
            <w:shd w:val="clear" w:color="auto" w:fill="auto"/>
            <w:noWrap/>
          </w:tcPr>
          <w:p w14:paraId="3973CA4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4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4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contracts with channel participants wer</w:t>
            </w:r>
            <w:r>
              <w:rPr>
                <w:rFonts w:ascii="Calibri" w:hAnsi="Calibri" w:cs="Calibri"/>
                <w:color w:val="000000"/>
                <w:sz w:val="20"/>
                <w:szCs w:val="20"/>
              </w:rPr>
              <w:t>e terminated or our relationships with channel participants were to deteriorate;</w:t>
            </w:r>
          </w:p>
        </w:tc>
      </w:tr>
    </w:tbl>
    <w:p w14:paraId="3973CA4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4E" w14:textId="77777777">
        <w:tc>
          <w:tcPr>
            <w:tcW w:w="262" w:type="pct"/>
            <w:shd w:val="clear" w:color="auto" w:fill="auto"/>
            <w:noWrap/>
          </w:tcPr>
          <w:p w14:paraId="3973CA4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4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4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any of our competitors enter into strategic relationships with or acquire a significant channel participant; </w:t>
            </w:r>
          </w:p>
        </w:tc>
      </w:tr>
    </w:tbl>
    <w:p w14:paraId="3973CA4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53" w14:textId="77777777">
        <w:tc>
          <w:tcPr>
            <w:tcW w:w="262" w:type="pct"/>
            <w:shd w:val="clear" w:color="auto" w:fill="auto"/>
            <w:noWrap/>
          </w:tcPr>
          <w:p w14:paraId="3973CA5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5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5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 financial condition or operations of our channel participants were to weaken; or </w:t>
            </w:r>
          </w:p>
        </w:tc>
      </w:tr>
    </w:tbl>
    <w:p w14:paraId="3973CA5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3973CA55" w14:textId="77777777" w:rsidR="007B027D" w:rsidRDefault="008E0125">
      <w:r>
        <w:rPr>
          <w:rFonts w:ascii="Calibri" w:hAnsi="Calibri" w:cs="Calibri"/>
          <w:sz w:val="20"/>
          <w:szCs w:val="20"/>
        </w:rPr>
        <w:pict w14:anchorId="3974004F">
          <v:rect id="_x0000_i1048" style="width:415.3pt;height:1.5pt" o:hralign="center" o:hrstd="t" o:hr="t" fillcolor="#a0a0a0" stroked="f"/>
        </w:pict>
      </w:r>
    </w:p>
    <w:p w14:paraId="3973CA56" w14:textId="77777777" w:rsidR="007B027D" w:rsidRDefault="008E0125">
      <w:pPr>
        <w:pStyle w:val="a3"/>
        <w:spacing w:beforeAutospacing="0" w:after="120" w:afterAutospacing="0"/>
        <w:rPr>
          <w:rFonts w:ascii="Calibri" w:hAnsi="Calibri" w:cs="Calibri"/>
          <w:sz w:val="18"/>
          <w:szCs w:val="18"/>
        </w:rPr>
      </w:pPr>
      <w:hyperlink r:id="rId72" w:anchor="TABLE_OF_CONTENTS" w:history="1">
        <w:r>
          <w:rPr>
            <w:rStyle w:val="a5"/>
            <w:rFonts w:ascii="Calibri" w:hAnsi="Calibri" w:cs="Calibri"/>
            <w:sz w:val="18"/>
            <w:szCs w:val="18"/>
          </w:rPr>
          <w:t>Table of Contents</w:t>
        </w:r>
      </w:hyperlink>
    </w:p>
    <w:p w14:paraId="3973CA57" w14:textId="77777777" w:rsidR="007B027D" w:rsidRDefault="008E0125">
      <w:pPr>
        <w:pStyle w:val="a3"/>
        <w:spacing w:beforeAutospacing="0" w:afterAutospacing="0"/>
        <w:rPr>
          <w:rFonts w:ascii="Calibri" w:hAnsi="Calibri" w:cs="Calibri"/>
          <w:sz w:val="18"/>
          <w:szCs w:val="18"/>
        </w:rPr>
      </w:pPr>
      <w:hyperlink r:id="rId73" w:anchor="ITEM_15_EXHIBITS_FINANCIAL_STATEMENT_SCH" w:history="1">
        <w:r>
          <w:rPr>
            <w:rStyle w:val="a5"/>
            <w:rFonts w:ascii="Calibri" w:hAnsi="Calibri" w:cs="Calibri"/>
            <w:sz w:val="18"/>
            <w:szCs w:val="18"/>
          </w:rPr>
          <w:t>Index to Financial Statements</w:t>
        </w:r>
      </w:hyperlink>
    </w:p>
    <w:p w14:paraId="3973CA58"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5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5D" w14:textId="77777777">
        <w:tc>
          <w:tcPr>
            <w:tcW w:w="262" w:type="pct"/>
            <w:shd w:val="clear" w:color="auto" w:fill="auto"/>
            <w:noWrap/>
          </w:tcPr>
          <w:p w14:paraId="3973CA5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5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5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 level of demand for our channel participants’ products and services were to decrease. </w:t>
            </w:r>
          </w:p>
        </w:tc>
      </w:tr>
    </w:tbl>
    <w:p w14:paraId="3973CA5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can be no assurance that we will be successful in maintaining, expanding or developing our relationships with channel participants. If we are not </w:t>
      </w:r>
      <w:r>
        <w:rPr>
          <w:rFonts w:ascii="Calibri" w:hAnsi="Calibri" w:cs="Calibri"/>
          <w:sz w:val="20"/>
          <w:szCs w:val="20"/>
        </w:rPr>
        <w:t>successful, we may lose sales opportunities, customers and revenues.</w:t>
      </w:r>
    </w:p>
    <w:p w14:paraId="3973CA5F"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Acquisitions present many risks and we may not achieve the financial and strategic goals that were contemplated at the time of a transaction.</w:t>
      </w:r>
      <w:r>
        <w:rPr>
          <w:rFonts w:ascii="Calibri" w:hAnsi="Calibri" w:cs="Calibri"/>
          <w:sz w:val="20"/>
          <w:szCs w:val="20"/>
        </w:rPr>
        <w:t xml:space="preserve">   On June 8, 2022, we closed the acquisition </w:t>
      </w:r>
      <w:r>
        <w:rPr>
          <w:rFonts w:ascii="Calibri" w:hAnsi="Calibri" w:cs="Calibri"/>
          <w:sz w:val="20"/>
          <w:szCs w:val="20"/>
        </w:rPr>
        <w:t>of Cerner Corporation (“Cerner”). We continue to review and consider strategic acquisitions of companies, products, services and technologies. We have a selective and active acquisition program and we expect to continue to make acquisitions in the future b</w:t>
      </w:r>
      <w:r>
        <w:rPr>
          <w:rFonts w:ascii="Calibri" w:hAnsi="Calibri" w:cs="Calibri"/>
          <w:sz w:val="20"/>
          <w:szCs w:val="20"/>
        </w:rPr>
        <w:t>ecause acquisitions have been an important element of our overall corporate strategy. Risks we may face in connection with our acquisition program, such as our recent acquisition of Cerner,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63" w14:textId="77777777">
        <w:tc>
          <w:tcPr>
            <w:tcW w:w="262" w:type="pct"/>
            <w:shd w:val="clear" w:color="auto" w:fill="auto"/>
            <w:noWrap/>
          </w:tcPr>
          <w:p w14:paraId="3973CA6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6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6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our ongoing business may be disrupted and our managem</w:t>
            </w:r>
            <w:r>
              <w:rPr>
                <w:rFonts w:ascii="Calibri" w:hAnsi="Calibri" w:cs="Calibri"/>
                <w:color w:val="000000"/>
                <w:sz w:val="20"/>
                <w:szCs w:val="20"/>
              </w:rPr>
              <w:t>ent’s attention may be diverted by acquisition, transition or integration activities;</w:t>
            </w:r>
          </w:p>
        </w:tc>
      </w:tr>
    </w:tbl>
    <w:p w14:paraId="3973CA6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68" w14:textId="77777777">
        <w:tc>
          <w:tcPr>
            <w:tcW w:w="262" w:type="pct"/>
            <w:shd w:val="clear" w:color="auto" w:fill="auto"/>
            <w:noWrap/>
          </w:tcPr>
          <w:p w14:paraId="3973CA6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6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6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have difficulties (1) managing an acquired company’s technologies or lines of business; (2) entering new markets where we have no, or limited, direct prior e</w:t>
            </w:r>
            <w:r>
              <w:rPr>
                <w:rFonts w:ascii="Calibri" w:hAnsi="Calibri" w:cs="Calibri"/>
                <w:color w:val="000000"/>
                <w:sz w:val="20"/>
                <w:szCs w:val="20"/>
              </w:rPr>
              <w:t>xperience or where competitors may have stronger market positions; or (3) retaining key personnel from the acquired companies;</w:t>
            </w:r>
          </w:p>
        </w:tc>
      </w:tr>
    </w:tbl>
    <w:p w14:paraId="3973CA6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6D" w14:textId="77777777">
        <w:tc>
          <w:tcPr>
            <w:tcW w:w="262" w:type="pct"/>
            <w:shd w:val="clear" w:color="auto" w:fill="auto"/>
            <w:noWrap/>
          </w:tcPr>
          <w:p w14:paraId="3973CA6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6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6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an acquisition may not further our business strategy as we expected, we may not integrate an acquired company or </w:t>
            </w:r>
            <w:r>
              <w:rPr>
                <w:rFonts w:ascii="Calibri" w:hAnsi="Calibri" w:cs="Calibri"/>
                <w:color w:val="000000"/>
                <w:sz w:val="20"/>
                <w:szCs w:val="20"/>
              </w:rPr>
              <w:t>technology as successfully as we expected, we may impose our business practices or alter go-to-market strategies that adversely impact the acquired business or we may overpay for, or otherwise not realize the expected return on our investments, each or all</w:t>
            </w:r>
            <w:r>
              <w:rPr>
                <w:rFonts w:ascii="Calibri" w:hAnsi="Calibri" w:cs="Calibri"/>
                <w:color w:val="000000"/>
                <w:sz w:val="20"/>
                <w:szCs w:val="20"/>
              </w:rPr>
              <w:t xml:space="preserve"> of which could adversely affect our business or operating results and potentially cause impairment to assets that we recorded as a part of an acquisition, including intangible assets and goodwill;</w:t>
            </w:r>
          </w:p>
        </w:tc>
      </w:tr>
    </w:tbl>
    <w:p w14:paraId="3973CA6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72" w14:textId="77777777">
        <w:tc>
          <w:tcPr>
            <w:tcW w:w="262" w:type="pct"/>
            <w:shd w:val="clear" w:color="auto" w:fill="auto"/>
            <w:noWrap/>
          </w:tcPr>
          <w:p w14:paraId="3973CA6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7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71"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operating results or financial </w:t>
            </w:r>
            <w:r>
              <w:rPr>
                <w:rFonts w:ascii="Calibri" w:hAnsi="Calibri" w:cs="Calibri"/>
                <w:color w:val="000000"/>
                <w:sz w:val="20"/>
                <w:szCs w:val="20"/>
              </w:rPr>
              <w:t xml:space="preserve">condition may be adversely impacted by (1) claims or liabilities that we assume from an acquired company or technology or that are otherwise related to an acquisition; (2) pre-existing contractual relationships that we assume from an acquired company, the </w:t>
            </w:r>
            <w:r>
              <w:rPr>
                <w:rFonts w:ascii="Calibri" w:hAnsi="Calibri" w:cs="Calibri"/>
                <w:color w:val="000000"/>
                <w:sz w:val="20"/>
                <w:szCs w:val="20"/>
              </w:rPr>
              <w:t>termination or modification of which may be costly or disruptive to our business; and (3) unfavorable revenue recognition or other accounting treatment as a result of an acquired company’s business practices;</w:t>
            </w:r>
          </w:p>
        </w:tc>
      </w:tr>
    </w:tbl>
    <w:p w14:paraId="3973CA7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77" w14:textId="77777777">
        <w:tc>
          <w:tcPr>
            <w:tcW w:w="262" w:type="pct"/>
            <w:shd w:val="clear" w:color="auto" w:fill="auto"/>
            <w:noWrap/>
          </w:tcPr>
          <w:p w14:paraId="3973CA7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7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76"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fail to identify or assess the mag</w:t>
            </w:r>
            <w:r>
              <w:rPr>
                <w:rFonts w:ascii="Calibri" w:hAnsi="Calibri" w:cs="Calibri"/>
                <w:color w:val="000000"/>
                <w:sz w:val="20"/>
                <w:szCs w:val="20"/>
              </w:rPr>
              <w:t>nitude of certain liabilities, shortcomings or other circumstances prior to acquiring a company or technology;</w:t>
            </w:r>
          </w:p>
        </w:tc>
      </w:tr>
    </w:tbl>
    <w:p w14:paraId="3973CA7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7C" w14:textId="77777777">
        <w:tc>
          <w:tcPr>
            <w:tcW w:w="262" w:type="pct"/>
            <w:shd w:val="clear" w:color="auto" w:fill="auto"/>
            <w:noWrap/>
          </w:tcPr>
          <w:p w14:paraId="3973CA7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7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7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not realize any anticipated increase in our revenues from an acquisition for a number of reasons, including (1) if a larger than pre</w:t>
            </w:r>
            <w:r>
              <w:rPr>
                <w:rFonts w:ascii="Calibri" w:hAnsi="Calibri" w:cs="Calibri"/>
                <w:color w:val="000000"/>
                <w:sz w:val="20"/>
                <w:szCs w:val="20"/>
              </w:rPr>
              <w:t xml:space="preserve">dicted number of customers decline to renew their contracts with the acquired company; (2) if we are unable to sell the acquired products or service offerings to our customer base; (3) if acquired customers do not elect to purchase our technologies due to </w:t>
            </w:r>
            <w:r>
              <w:rPr>
                <w:rFonts w:ascii="Calibri" w:hAnsi="Calibri" w:cs="Calibri"/>
                <w:color w:val="000000"/>
                <w:sz w:val="20"/>
                <w:szCs w:val="20"/>
              </w:rPr>
              <w:t>differing business practices; or (4) if contract models utilized by an acquired company do not allow us to recognize revenues in a manner that is consistent with our current accounting practices;</w:t>
            </w:r>
          </w:p>
        </w:tc>
      </w:tr>
    </w:tbl>
    <w:p w14:paraId="3973CA7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81" w14:textId="77777777">
        <w:tc>
          <w:tcPr>
            <w:tcW w:w="262" w:type="pct"/>
            <w:shd w:val="clear" w:color="auto" w:fill="auto"/>
            <w:noWrap/>
          </w:tcPr>
          <w:p w14:paraId="3973CA7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7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80"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we may have difficulty integrating acquired </w:t>
            </w:r>
            <w:r>
              <w:rPr>
                <w:rFonts w:ascii="Calibri" w:hAnsi="Calibri" w:cs="Calibri"/>
                <w:color w:val="000000"/>
                <w:sz w:val="20"/>
                <w:szCs w:val="20"/>
              </w:rPr>
              <w:t>technologies, products, services and their related supply chain operations with our existing lines of business and related infrastructures;</w:t>
            </w:r>
          </w:p>
        </w:tc>
      </w:tr>
    </w:tbl>
    <w:p w14:paraId="3973CA8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86" w14:textId="77777777">
        <w:tc>
          <w:tcPr>
            <w:tcW w:w="262" w:type="pct"/>
            <w:shd w:val="clear" w:color="auto" w:fill="auto"/>
            <w:noWrap/>
          </w:tcPr>
          <w:p w14:paraId="3973CA8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8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8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have multiple product lines or services offerings as a result of our acquisitions that are offered, pri</w:t>
            </w:r>
            <w:r>
              <w:rPr>
                <w:rFonts w:ascii="Calibri" w:hAnsi="Calibri" w:cs="Calibri"/>
                <w:color w:val="000000"/>
                <w:sz w:val="20"/>
                <w:szCs w:val="20"/>
              </w:rPr>
              <w:t>ced, delivered and supported differently, which could cause customer confusion and delays;</w:t>
            </w:r>
          </w:p>
        </w:tc>
      </w:tr>
    </w:tbl>
    <w:p w14:paraId="3973CA8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8B" w14:textId="77777777">
        <w:tc>
          <w:tcPr>
            <w:tcW w:w="262" w:type="pct"/>
            <w:shd w:val="clear" w:color="auto" w:fill="auto"/>
            <w:noWrap/>
          </w:tcPr>
          <w:p w14:paraId="3973CA8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8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8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incur higher than anticipated costs (1) to support, develop and deliver acquired products or services; (2) for general and administrative functions that</w:t>
            </w:r>
            <w:r>
              <w:rPr>
                <w:rFonts w:ascii="Calibri" w:hAnsi="Calibri" w:cs="Calibri"/>
                <w:color w:val="000000"/>
                <w:sz w:val="20"/>
                <w:szCs w:val="20"/>
              </w:rPr>
              <w:t xml:space="preserve"> support new business models; or (3) to comply with regulations applicable to an acquired business that are more complicated than we had anticipated;</w:t>
            </w:r>
          </w:p>
        </w:tc>
      </w:tr>
    </w:tbl>
    <w:p w14:paraId="3973CA8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90" w14:textId="77777777">
        <w:tc>
          <w:tcPr>
            <w:tcW w:w="262" w:type="pct"/>
            <w:shd w:val="clear" w:color="auto" w:fill="auto"/>
            <w:noWrap/>
          </w:tcPr>
          <w:p w14:paraId="3973CA8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8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8F"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may be unable to obtain timely approvals from, or may otherwise have certain limitations, restric</w:t>
            </w:r>
            <w:r>
              <w:rPr>
                <w:rFonts w:ascii="Calibri" w:hAnsi="Calibri" w:cs="Calibri"/>
                <w:color w:val="000000"/>
                <w:sz w:val="20"/>
                <w:szCs w:val="20"/>
              </w:rPr>
              <w:t>tions, penalties or other sanctions imposed on us by worker councils or similar bodies under applicable employment laws as a result of an acquisition;</w:t>
            </w:r>
          </w:p>
        </w:tc>
      </w:tr>
    </w:tbl>
    <w:p w14:paraId="3973CA9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95" w14:textId="77777777">
        <w:tc>
          <w:tcPr>
            <w:tcW w:w="262" w:type="pct"/>
            <w:shd w:val="clear" w:color="auto" w:fill="auto"/>
            <w:noWrap/>
          </w:tcPr>
          <w:p w14:paraId="3973CA9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9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94"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we may be unable to obtain required approvals from governmental authorities under </w:t>
            </w:r>
            <w:r>
              <w:rPr>
                <w:rFonts w:ascii="Calibri" w:hAnsi="Calibri" w:cs="Calibri"/>
                <w:color w:val="000000"/>
                <w:sz w:val="20"/>
                <w:szCs w:val="20"/>
              </w:rPr>
              <w:t>competition and antitrust laws on a timely basis, if at all, and we may need to divest or dispose of assets or businesses or take other actions in order to obtain such approvals;</w:t>
            </w:r>
          </w:p>
        </w:tc>
      </w:tr>
    </w:tbl>
    <w:p w14:paraId="3973CA9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9A" w14:textId="77777777">
        <w:tc>
          <w:tcPr>
            <w:tcW w:w="262" w:type="pct"/>
            <w:shd w:val="clear" w:color="auto" w:fill="auto"/>
            <w:noWrap/>
          </w:tcPr>
          <w:p w14:paraId="3973CA9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9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99"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our use of cash to pay for acquisitions may limit other </w:t>
            </w:r>
            <w:r>
              <w:rPr>
                <w:rFonts w:ascii="Calibri" w:hAnsi="Calibri" w:cs="Calibri"/>
                <w:color w:val="000000"/>
                <w:sz w:val="20"/>
                <w:szCs w:val="20"/>
              </w:rPr>
              <w:t>potential uses of our cash;</w:t>
            </w:r>
          </w:p>
        </w:tc>
      </w:tr>
    </w:tbl>
    <w:p w14:paraId="3973CA9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9F" w14:textId="77777777">
        <w:tc>
          <w:tcPr>
            <w:tcW w:w="262" w:type="pct"/>
            <w:shd w:val="clear" w:color="auto" w:fill="auto"/>
            <w:noWrap/>
          </w:tcPr>
          <w:p w14:paraId="3973CA9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9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9E"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recently incurred additional debt to finance our acquisition of Cerner and in the future, we may have to incur additional debt to pay for other acquisitions or have to delay or not proceed with a substantial acquisition</w:t>
            </w:r>
            <w:r>
              <w:rPr>
                <w:rFonts w:ascii="Calibri" w:hAnsi="Calibri" w:cs="Calibri"/>
                <w:color w:val="000000"/>
                <w:sz w:val="20"/>
                <w:szCs w:val="20"/>
              </w:rPr>
              <w:t xml:space="preserve"> if we cannot obtain the necessary funding to complete the acquisition in a timely manner or on favorable terms; and</w:t>
            </w:r>
          </w:p>
        </w:tc>
      </w:tr>
    </w:tbl>
    <w:p w14:paraId="3973CAA0"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3973CAA1" w14:textId="77777777" w:rsidR="007B027D" w:rsidRDefault="008E0125">
      <w:r>
        <w:rPr>
          <w:rFonts w:ascii="Calibri" w:hAnsi="Calibri" w:cs="Calibri"/>
          <w:sz w:val="20"/>
          <w:szCs w:val="20"/>
        </w:rPr>
        <w:pict w14:anchorId="39740050">
          <v:rect id="_x0000_i1049" style="width:415.3pt;height:1.5pt" o:hralign="center" o:hrstd="t" o:hr="t" fillcolor="#a0a0a0" stroked="f"/>
        </w:pict>
      </w:r>
    </w:p>
    <w:p w14:paraId="3973CAA2" w14:textId="77777777" w:rsidR="007B027D" w:rsidRDefault="008E0125">
      <w:pPr>
        <w:pStyle w:val="a3"/>
        <w:spacing w:beforeAutospacing="0" w:after="120" w:afterAutospacing="0"/>
        <w:rPr>
          <w:rFonts w:ascii="Calibri" w:hAnsi="Calibri" w:cs="Calibri"/>
          <w:sz w:val="18"/>
          <w:szCs w:val="18"/>
        </w:rPr>
      </w:pPr>
      <w:hyperlink r:id="rId74" w:anchor="TABLE_OF_CONTENTS" w:history="1">
        <w:r>
          <w:rPr>
            <w:rStyle w:val="a5"/>
            <w:rFonts w:ascii="Calibri" w:hAnsi="Calibri" w:cs="Calibri"/>
            <w:sz w:val="18"/>
            <w:szCs w:val="18"/>
          </w:rPr>
          <w:t>Table of Contents</w:t>
        </w:r>
      </w:hyperlink>
    </w:p>
    <w:p w14:paraId="3973CAA3" w14:textId="77777777" w:rsidR="007B027D" w:rsidRDefault="008E0125">
      <w:pPr>
        <w:pStyle w:val="a3"/>
        <w:spacing w:beforeAutospacing="0" w:afterAutospacing="0"/>
        <w:rPr>
          <w:rFonts w:ascii="Calibri" w:hAnsi="Calibri" w:cs="Calibri"/>
          <w:sz w:val="18"/>
          <w:szCs w:val="18"/>
        </w:rPr>
      </w:pPr>
      <w:hyperlink r:id="rId75" w:anchor="ITEM_15_EXHIBITS_FINANCIAL_STATEMENT_SCH" w:history="1">
        <w:r>
          <w:rPr>
            <w:rStyle w:val="a5"/>
            <w:rFonts w:ascii="Calibri" w:hAnsi="Calibri" w:cs="Calibri"/>
            <w:sz w:val="18"/>
            <w:szCs w:val="18"/>
          </w:rPr>
          <w:t>Index to Financial Statements</w:t>
        </w:r>
      </w:hyperlink>
    </w:p>
    <w:p w14:paraId="3973CAA4"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A8" w14:textId="77777777">
        <w:tc>
          <w:tcPr>
            <w:tcW w:w="262" w:type="pct"/>
            <w:shd w:val="clear" w:color="auto" w:fill="auto"/>
            <w:noWrap/>
          </w:tcPr>
          <w:p w14:paraId="3973CAA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A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A7"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we may experience additional or unexpected changes in how we </w:t>
            </w:r>
            <w:r>
              <w:rPr>
                <w:rFonts w:ascii="Calibri" w:hAnsi="Calibri" w:cs="Calibri"/>
                <w:color w:val="000000"/>
                <w:sz w:val="20"/>
                <w:szCs w:val="20"/>
              </w:rPr>
              <w:t>are required to account for our acquisitions pursuant to U.S. generally accepted accounting principles, including arrangements that we may assume in an acquisition.</w:t>
            </w:r>
          </w:p>
        </w:tc>
      </w:tr>
    </w:tbl>
    <w:p w14:paraId="3973CAA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occurrence of any of these risks could have a material adverse effect on our business,</w:t>
      </w:r>
      <w:r>
        <w:rPr>
          <w:rFonts w:ascii="Calibri" w:hAnsi="Calibri" w:cs="Calibri"/>
          <w:sz w:val="20"/>
          <w:szCs w:val="20"/>
        </w:rPr>
        <w:t xml:space="preserve"> results of operations, financial condition or cash flows, particularly in the case of a larger acquisition or several concurrent acquisitions.</w:t>
      </w:r>
    </w:p>
    <w:p w14:paraId="3973CAAA"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The COVID-19 pandemic has affected how we and our customers are operating our respective businesses, and the </w:t>
      </w:r>
      <w:r>
        <w:rPr>
          <w:rFonts w:ascii="Calibri" w:hAnsi="Calibri" w:cs="Calibri"/>
          <w:b/>
          <w:bCs/>
          <w:i/>
          <w:iCs/>
          <w:sz w:val="20"/>
          <w:szCs w:val="20"/>
        </w:rPr>
        <w:t>duration and extent to which this will impact our future results of operations remains uncertain.</w:t>
      </w:r>
      <w:r>
        <w:rPr>
          <w:rFonts w:ascii="Calibri" w:hAnsi="Calibri" w:cs="Calibri"/>
          <w:b/>
          <w:bCs/>
          <w:sz w:val="20"/>
          <w:szCs w:val="20"/>
        </w:rPr>
        <w:t xml:space="preserve">   </w:t>
      </w:r>
      <w:r>
        <w:rPr>
          <w:rFonts w:ascii="Calibri" w:hAnsi="Calibri" w:cs="Calibri"/>
          <w:sz w:val="20"/>
          <w:szCs w:val="20"/>
        </w:rPr>
        <w:t>The COVID-19 pandemic and efforts to control its spread have affected how we and our customers, partners and suppliers are operating our businesses. Our ope</w:t>
      </w:r>
      <w:r>
        <w:rPr>
          <w:rFonts w:ascii="Calibri" w:hAnsi="Calibri" w:cs="Calibri"/>
          <w:sz w:val="20"/>
          <w:szCs w:val="20"/>
        </w:rPr>
        <w:t>rations have been and may in the future be negatively affected by a range of external factors related to the COVID-19 pandemic that are not within our control. For example, the COVID-19 pandemic has led governments to implement preventative measures to con</w:t>
      </w:r>
      <w:r>
        <w:rPr>
          <w:rFonts w:ascii="Calibri" w:hAnsi="Calibri" w:cs="Calibri"/>
          <w:sz w:val="20"/>
          <w:szCs w:val="20"/>
        </w:rPr>
        <w:t>tain or control further spread of the virus, such as travel restrictions, prohibitions of non-essential activities, quarantines, work-from-home directives and shelter-in-place/social distancing orders. These preventative measures led to sharp reductions in</w:t>
      </w:r>
      <w:r>
        <w:rPr>
          <w:rFonts w:ascii="Calibri" w:hAnsi="Calibri" w:cs="Calibri"/>
          <w:sz w:val="20"/>
          <w:szCs w:val="20"/>
        </w:rPr>
        <w:t xml:space="preserve"> demand in certain industries in which our customers operate. It is not clear what long-term effects the COVID-19 pandemic will have on our business, including the effects on our customers, partners, suppliers and prospects. If we are not able to respond t</w:t>
      </w:r>
      <w:r>
        <w:rPr>
          <w:rFonts w:ascii="Calibri" w:hAnsi="Calibri" w:cs="Calibri"/>
          <w:sz w:val="20"/>
          <w:szCs w:val="20"/>
        </w:rPr>
        <w:t>o and manage the impact of the COVID-19 pandemic effectively, our business will be harmed.</w:t>
      </w:r>
    </w:p>
    <w:p w14:paraId="3973CAA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are a U.S. federal government contractor and are therefore subject to a federal executive order requiring our U.S.-based employees to be vaccinated unless they qu</w:t>
      </w:r>
      <w:r>
        <w:rPr>
          <w:rFonts w:ascii="Calibri" w:hAnsi="Calibri" w:cs="Calibri"/>
          <w:sz w:val="20"/>
          <w:szCs w:val="20"/>
        </w:rPr>
        <w:t>alify for medical or religious exemptions. The executive order has been challenged in court and has been enjoined from enforcement, but its ultimate status, and the impact on our business, is uncertain. However, this requirement or other future vaccine man</w:t>
      </w:r>
      <w:r>
        <w:rPr>
          <w:rFonts w:ascii="Calibri" w:hAnsi="Calibri" w:cs="Calibri"/>
          <w:sz w:val="20"/>
          <w:szCs w:val="20"/>
        </w:rPr>
        <w:t>dates could adversely affect our workforce retention and hiring. In addition, customer vaccination requirements, as well as certain state and local vaccination mandates, may impact our staffing abilities.</w:t>
      </w:r>
    </w:p>
    <w:p w14:paraId="3973CAA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negative impacts of the global COVID-19 pandemi</w:t>
      </w:r>
      <w:r>
        <w:rPr>
          <w:rFonts w:ascii="Calibri" w:hAnsi="Calibri" w:cs="Calibri"/>
          <w:sz w:val="20"/>
          <w:szCs w:val="20"/>
        </w:rPr>
        <w:t>c on the broader global economy and related impacts on our customers’ business operations and their demand for our products will depend on future developments, which are highly uncertain and cannot be predicted. Additional impacts and risks that we are not</w:t>
      </w:r>
      <w:r>
        <w:rPr>
          <w:rFonts w:ascii="Calibri" w:hAnsi="Calibri" w:cs="Calibri"/>
          <w:sz w:val="20"/>
          <w:szCs w:val="20"/>
        </w:rPr>
        <w:t xml:space="preserve"> currently aware of may arise. We are similarly unable to predict the extent of the impact of the pandemic on our customers, partners, suppliers and other partners, but a material effect on these parties could also materially and adversely affect us. In ad</w:t>
      </w:r>
      <w:r>
        <w:rPr>
          <w:rFonts w:ascii="Calibri" w:hAnsi="Calibri" w:cs="Calibri"/>
          <w:sz w:val="20"/>
          <w:szCs w:val="20"/>
        </w:rPr>
        <w:t>dition, we have curtailed travel expenses since the beginning of the COVID-19 pandemic, and it may become necessary for us to increase such travel expenses prospectively in furtherance of our business initiatives. The COVID-19 pandemic may also heighten ot</w:t>
      </w:r>
      <w:r>
        <w:rPr>
          <w:rFonts w:ascii="Calibri" w:hAnsi="Calibri" w:cs="Calibri"/>
          <w:sz w:val="20"/>
          <w:szCs w:val="20"/>
        </w:rPr>
        <w:t>her risks described in this Risk Factors section.</w:t>
      </w:r>
    </w:p>
    <w:p w14:paraId="3973CAA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Data Privacy, Cybersecurity and Intellectual Property Risks</w:t>
      </w:r>
    </w:p>
    <w:p w14:paraId="3973CAAE"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If our security measures for our products and services are compromised and as a result, our data, our customers’ data or our IT systems are access</w:t>
      </w:r>
      <w:r>
        <w:rPr>
          <w:rFonts w:ascii="Calibri" w:hAnsi="Calibri" w:cs="Calibri"/>
          <w:b/>
          <w:bCs/>
          <w:i/>
          <w:iCs/>
          <w:sz w:val="20"/>
          <w:szCs w:val="20"/>
        </w:rPr>
        <w:t>ed improperly, made unavailable, or improperly modified, our products and services may be perceived as vulnerable, our brand and reputation could be damaged, the IT services we provide to our customers could be disrupted, and customers may stop using our p</w:t>
      </w:r>
      <w:r>
        <w:rPr>
          <w:rFonts w:ascii="Calibri" w:hAnsi="Calibri" w:cs="Calibri"/>
          <w:b/>
          <w:bCs/>
          <w:i/>
          <w:iCs/>
          <w:sz w:val="20"/>
          <w:szCs w:val="20"/>
        </w:rPr>
        <w:t>roducts and services, any of which could reduce our revenue and earnings, increase our expenses and expose us to legal claims and regulatory actions.</w:t>
      </w:r>
      <w:r>
        <w:rPr>
          <w:rFonts w:ascii="Calibri" w:hAnsi="Calibri" w:cs="Calibri"/>
          <w:sz w:val="20"/>
          <w:szCs w:val="20"/>
        </w:rPr>
        <w:t xml:space="preserve">   Our products and services, including Oracle Cloud Services, store, retrieve, manipulate and manage third</w:t>
      </w:r>
      <w:r>
        <w:rPr>
          <w:rFonts w:ascii="Calibri" w:hAnsi="Calibri" w:cs="Calibri"/>
          <w:sz w:val="20"/>
          <w:szCs w:val="20"/>
        </w:rPr>
        <w:t>-party data, such as our customers’ information and data, as well as our own data. We believe that Oracle in particular is a target for computer hackers and other bad actors because Oracle stores and processes large amounts of data, including in customer s</w:t>
      </w:r>
      <w:r>
        <w:rPr>
          <w:rFonts w:ascii="Calibri" w:hAnsi="Calibri" w:cs="Calibri"/>
          <w:sz w:val="20"/>
          <w:szCs w:val="20"/>
        </w:rPr>
        <w:t xml:space="preserve">ectors involving particularly sensitive data such as health sciences, financial services, retail, hospitality and the government. We and our third-party vendors are regularly subject to attempts by third parties (which may include individuals or groups of </w:t>
      </w:r>
      <w:r>
        <w:rPr>
          <w:rFonts w:ascii="Calibri" w:hAnsi="Calibri" w:cs="Calibri"/>
          <w:sz w:val="20"/>
          <w:szCs w:val="20"/>
        </w:rPr>
        <w:t>hackers and sophisticated organizations, such as state-sponsored organizations, nation-states and individuals sponsored by them) to identify and exploit product and service vulnerabilities, penetrate or bypass our security measures, and gain unauthorized a</w:t>
      </w:r>
      <w:r>
        <w:rPr>
          <w:rFonts w:ascii="Calibri" w:hAnsi="Calibri" w:cs="Calibri"/>
          <w:sz w:val="20"/>
          <w:szCs w:val="20"/>
        </w:rPr>
        <w:t>ccess to our or our customers’, partners’ and suppliers’ software, hardware and cloud offerings, networks and systems. Successful attempts by one of these malicious actors can lead to the compromise of personal information or the confidential information o</w:t>
      </w:r>
      <w:r>
        <w:rPr>
          <w:rFonts w:ascii="Calibri" w:hAnsi="Calibri" w:cs="Calibri"/>
          <w:sz w:val="20"/>
          <w:szCs w:val="20"/>
        </w:rPr>
        <w:t xml:space="preserve">r data of Oracle or our customers. Attempts of this nature typically involve IT-related viruses, worms, and other malicious software programs that attack networks, systems, products and services, exploit potential </w:t>
      </w:r>
    </w:p>
    <w:p w14:paraId="3973CAA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3973CAB0" w14:textId="77777777" w:rsidR="007B027D" w:rsidRDefault="008E0125">
      <w:r>
        <w:rPr>
          <w:rFonts w:ascii="Calibri" w:hAnsi="Calibri" w:cs="Calibri"/>
          <w:sz w:val="20"/>
          <w:szCs w:val="20"/>
        </w:rPr>
        <w:pict w14:anchorId="39740051">
          <v:rect id="_x0000_i1050" style="width:415.3pt;height:1.5pt" o:hralign="center" o:hrstd="t" o:hr="t" fillcolor="#a0a0a0" stroked="f"/>
        </w:pict>
      </w:r>
    </w:p>
    <w:p w14:paraId="3973CAB1" w14:textId="77777777" w:rsidR="007B027D" w:rsidRDefault="008E0125">
      <w:pPr>
        <w:pStyle w:val="a3"/>
        <w:spacing w:beforeAutospacing="0" w:after="120" w:afterAutospacing="0"/>
        <w:rPr>
          <w:rFonts w:ascii="Calibri" w:hAnsi="Calibri" w:cs="Calibri"/>
          <w:sz w:val="18"/>
          <w:szCs w:val="18"/>
        </w:rPr>
      </w:pPr>
      <w:hyperlink r:id="rId76" w:anchor="TABLE_OF_CONTENTS" w:history="1">
        <w:r>
          <w:rPr>
            <w:rStyle w:val="a5"/>
            <w:rFonts w:ascii="Calibri" w:hAnsi="Calibri" w:cs="Calibri"/>
            <w:sz w:val="18"/>
            <w:szCs w:val="18"/>
          </w:rPr>
          <w:t>Table of Contents</w:t>
        </w:r>
      </w:hyperlink>
    </w:p>
    <w:p w14:paraId="3973CAB2" w14:textId="77777777" w:rsidR="007B027D" w:rsidRDefault="008E0125">
      <w:pPr>
        <w:pStyle w:val="a3"/>
        <w:spacing w:beforeAutospacing="0" w:afterAutospacing="0"/>
        <w:rPr>
          <w:rFonts w:ascii="Calibri" w:hAnsi="Calibri" w:cs="Calibri"/>
          <w:sz w:val="18"/>
          <w:szCs w:val="18"/>
        </w:rPr>
      </w:pPr>
      <w:hyperlink r:id="rId77" w:anchor="ITEM_15_EXHIBITS_FINANCIAL_STATEMENT_SCH" w:history="1">
        <w:r>
          <w:rPr>
            <w:rStyle w:val="a5"/>
            <w:rFonts w:ascii="Calibri" w:hAnsi="Calibri" w:cs="Calibri"/>
            <w:sz w:val="18"/>
            <w:szCs w:val="18"/>
          </w:rPr>
          <w:t>Index to Financial Statements</w:t>
        </w:r>
      </w:hyperlink>
    </w:p>
    <w:p w14:paraId="3973CAB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B4"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security vulnerabilities of networks, systems, products and servi</w:t>
      </w:r>
      <w:r>
        <w:rPr>
          <w:rFonts w:ascii="Calibri" w:hAnsi="Calibri" w:cs="Calibri"/>
          <w:sz w:val="20"/>
          <w:szCs w:val="20"/>
        </w:rPr>
        <w:t xml:space="preserve">ces, create system disruptions and cause shutdowns or denials of service. Third parties may attempt to fraudulently induce customers, partners, employees or suppliers into disclosing sensitive information such as user names, passwords or other information </w:t>
      </w:r>
      <w:r>
        <w:rPr>
          <w:rFonts w:ascii="Calibri" w:hAnsi="Calibri" w:cs="Calibri"/>
          <w:sz w:val="20"/>
          <w:szCs w:val="20"/>
        </w:rPr>
        <w:t>in order to gain access to our data, our customers’, suppliers’ or partners’ data or the IT systems of Oracle, our customers, suppliers or partners. Our products and services, including our Oracle Cloud Services, may also be accessed or modified improperly</w:t>
      </w:r>
      <w:r>
        <w:rPr>
          <w:rFonts w:ascii="Calibri" w:hAnsi="Calibri" w:cs="Calibri"/>
          <w:sz w:val="20"/>
          <w:szCs w:val="20"/>
        </w:rPr>
        <w:t xml:space="preserve"> as a result of customer, partner, employee, contractor or supplier error or malfeasance.</w:t>
      </w:r>
    </w:p>
    <w:p w14:paraId="3973CAB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If a cyber-attack or other security incident results in unauthorized access to or modification of our customers’ or suppliers’ data, other external data, our own data</w:t>
      </w:r>
      <w:r>
        <w:rPr>
          <w:rFonts w:ascii="Calibri" w:hAnsi="Calibri" w:cs="Calibri"/>
          <w:sz w:val="20"/>
          <w:szCs w:val="20"/>
        </w:rPr>
        <w:t xml:space="preserve"> or our IT systems, or if the services we provide to our customers are disrupted, or if our products or services are reported to have or are perceived as having security vulnerabilities, we could incur significant expenses and suffer significant damage to </w:t>
      </w:r>
      <w:r>
        <w:rPr>
          <w:rFonts w:ascii="Calibri" w:hAnsi="Calibri" w:cs="Calibri"/>
          <w:sz w:val="20"/>
          <w:szCs w:val="20"/>
        </w:rPr>
        <w:t>our brand and reputation. If our customers lose confidence in the security and reliability of our products and services, including our cloud offerings, and perceive them to not be secure, they may decide to reduce or terminate their spend with us. In addit</w:t>
      </w:r>
      <w:r>
        <w:rPr>
          <w:rFonts w:ascii="Calibri" w:hAnsi="Calibri" w:cs="Calibri"/>
          <w:sz w:val="20"/>
          <w:szCs w:val="20"/>
        </w:rPr>
        <w:t>ion, cyber-attacks and other security incidents could lead to significant investigation and remediation costs, loss or destruction of information, interruption of our operations, inappropriate use of proprietary and sensitive data, lawsuits, indemnity obli</w:t>
      </w:r>
      <w:r>
        <w:rPr>
          <w:rFonts w:ascii="Calibri" w:hAnsi="Calibri" w:cs="Calibri"/>
          <w:sz w:val="20"/>
          <w:szCs w:val="20"/>
        </w:rPr>
        <w:t>gations, regulatory investigations and financial penalties, and claims and increased legal liability, including in some cases contractual costs related to customer notification and fraud monitoring. Our remediation efforts may not be successful. Because th</w:t>
      </w:r>
      <w:r>
        <w:rPr>
          <w:rFonts w:ascii="Calibri" w:hAnsi="Calibri" w:cs="Calibri"/>
          <w:sz w:val="20"/>
          <w:szCs w:val="20"/>
        </w:rPr>
        <w:t>e techniques used to obtain unauthorized access to, or sabotage IT systems, change frequently, grow more complex over time, and often are not recognized until launched against a target, we may be unable to anticipate or implement adequate measures to preve</w:t>
      </w:r>
      <w:r>
        <w:rPr>
          <w:rFonts w:ascii="Calibri" w:hAnsi="Calibri" w:cs="Calibri"/>
          <w:sz w:val="20"/>
          <w:szCs w:val="20"/>
        </w:rPr>
        <w:t>nt such techniques. Our internal IT systems continue to evolve and we are often early adopters of new technologies. However, our business policies and internal security controls may not keep pace with these changes as new threats emerge. In addition, we of</w:t>
      </w:r>
      <w:r>
        <w:rPr>
          <w:rFonts w:ascii="Calibri" w:hAnsi="Calibri" w:cs="Calibri"/>
          <w:sz w:val="20"/>
          <w:szCs w:val="20"/>
        </w:rPr>
        <w:t>ten experience increased activity of this nature during times of instability, including during our office closures related to the COVID-19 pandemic when most of our employees were working solely from home, and our operations may be more susceptible to malf</w:t>
      </w:r>
      <w:r>
        <w:rPr>
          <w:rFonts w:ascii="Calibri" w:hAnsi="Calibri" w:cs="Calibri"/>
          <w:sz w:val="20"/>
          <w:szCs w:val="20"/>
        </w:rPr>
        <w:t>easance due to operational changes instituted to comply with safety, health and regulatory requirements, among others. We may not discover any security breach and loss of information for a significant period of time after the security breach.</w:t>
      </w:r>
    </w:p>
    <w:p w14:paraId="3973CAB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products </w:t>
      </w:r>
      <w:r>
        <w:rPr>
          <w:rFonts w:ascii="Calibri" w:hAnsi="Calibri" w:cs="Calibri"/>
          <w:sz w:val="20"/>
          <w:szCs w:val="20"/>
        </w:rPr>
        <w:t>operate in conjunction with and are dependent on a wide variety of third-party products, components and services. If there is a security vulnerability in one of these components, and if there is a security exploit targeting it, we could face increased cost</w:t>
      </w:r>
      <w:r>
        <w:rPr>
          <w:rFonts w:ascii="Calibri" w:hAnsi="Calibri" w:cs="Calibri"/>
          <w:sz w:val="20"/>
          <w:szCs w:val="20"/>
        </w:rPr>
        <w:t>s, liability claims, customer dissatisfaction, reduced revenue, or harm to our reputation or competitive position. We also have an active acquisition program and have acquired a number of companies, products, services and technologies over the years. While</w:t>
      </w:r>
      <w:r>
        <w:rPr>
          <w:rFonts w:ascii="Calibri" w:hAnsi="Calibri" w:cs="Calibri"/>
          <w:sz w:val="20"/>
          <w:szCs w:val="20"/>
        </w:rPr>
        <w:t xml:space="preserve"> we make significant efforts to address any IT security issues with respect to our acquired companies, we may still inherit such risks when we integrate these companies within Oracle.</w:t>
      </w:r>
    </w:p>
    <w:p w14:paraId="3973CAB7"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business practices with respect to data could give rise to operation</w:t>
      </w:r>
      <w:r>
        <w:rPr>
          <w:rFonts w:ascii="Calibri" w:hAnsi="Calibri" w:cs="Calibri"/>
          <w:b/>
          <w:bCs/>
          <w:i/>
          <w:iCs/>
          <w:sz w:val="20"/>
          <w:szCs w:val="20"/>
        </w:rPr>
        <w:t>al interruption, liabilities or reputational harm as a result of governmental regulation, legal requirements or industry standards relating to privacy and data protection.</w:t>
      </w:r>
      <w:r>
        <w:rPr>
          <w:rFonts w:ascii="Calibri" w:hAnsi="Calibri" w:cs="Calibri"/>
          <w:sz w:val="20"/>
          <w:szCs w:val="20"/>
        </w:rPr>
        <w:t xml:space="preserve">   As regulatory focus on privacy issues continues to increase and worldwide laws and</w:t>
      </w:r>
      <w:r>
        <w:rPr>
          <w:rFonts w:ascii="Calibri" w:hAnsi="Calibri" w:cs="Calibri"/>
          <w:sz w:val="20"/>
          <w:szCs w:val="20"/>
        </w:rPr>
        <w:t xml:space="preserve"> regulations concerning the handling of personal information expand and become more complex, potential risks related to data collection and use within our business will intensify. In addition, U.S. and foreign governments have enacted or are considering en</w:t>
      </w:r>
      <w:r>
        <w:rPr>
          <w:rFonts w:ascii="Calibri" w:hAnsi="Calibri" w:cs="Calibri"/>
          <w:sz w:val="20"/>
          <w:szCs w:val="20"/>
        </w:rPr>
        <w:t xml:space="preserve">acting legislation or regulations, or may in the near future interpret existing legislation or regulations, in a manner that could significantly impact our ability, as well as the ability of our customers, partners and data providers, to collect, augment, </w:t>
      </w:r>
      <w:r>
        <w:rPr>
          <w:rFonts w:ascii="Calibri" w:hAnsi="Calibri" w:cs="Calibri"/>
          <w:sz w:val="20"/>
          <w:szCs w:val="20"/>
        </w:rPr>
        <w:t>analyze, use, transfer and share personal and other information that is integral to certain services we provide. Our recent acquisition of Cerner also subjects us to additional data privacy and other related regulations governing the healthcare industry an</w:t>
      </w:r>
      <w:r>
        <w:rPr>
          <w:rFonts w:ascii="Calibri" w:hAnsi="Calibri" w:cs="Calibri"/>
          <w:sz w:val="20"/>
          <w:szCs w:val="20"/>
        </w:rPr>
        <w:t>d patient information, including but not limited to regulations governing electronic health data transmissions, the treatment of patient information, healthcare fraud and healthcare information sharing.</w:t>
      </w:r>
    </w:p>
    <w:p w14:paraId="3973CAB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the wake of the European Union (EU) General Data P</w:t>
      </w:r>
      <w:r>
        <w:rPr>
          <w:rFonts w:ascii="Calibri" w:hAnsi="Calibri" w:cs="Calibri"/>
          <w:sz w:val="20"/>
          <w:szCs w:val="20"/>
        </w:rPr>
        <w:t>rotection Regulation (GDPR), the rate of global consideration and adoption of privacy laws has increased, giving rise to more global jurisdictions in which regulatory inquiries and audits may be requested of Oracle, and if we are not deemed to be in compli</w:t>
      </w:r>
      <w:r>
        <w:rPr>
          <w:rFonts w:ascii="Calibri" w:hAnsi="Calibri" w:cs="Calibri"/>
          <w:sz w:val="20"/>
          <w:szCs w:val="20"/>
        </w:rPr>
        <w:t xml:space="preserve">ance, could result in enforcement actions and/or fines. This is true in the U.S. where, for example, California, Colorado, Connecticut, Utah and Virginia have enacted privacy laws, the U.S. Congress is considering several privacy bills at </w:t>
      </w:r>
    </w:p>
    <w:p w14:paraId="3973CAB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3973CABA" w14:textId="77777777" w:rsidR="007B027D" w:rsidRDefault="008E0125">
      <w:r>
        <w:rPr>
          <w:rFonts w:ascii="Calibri" w:hAnsi="Calibri" w:cs="Calibri"/>
          <w:sz w:val="20"/>
          <w:szCs w:val="20"/>
        </w:rPr>
        <w:pict w14:anchorId="39740052">
          <v:rect id="_x0000_i1051" style="width:415.3pt;height:1.5pt" o:hralign="center" o:hrstd="t" o:hr="t" fillcolor="#a0a0a0" stroked="f"/>
        </w:pict>
      </w:r>
    </w:p>
    <w:p w14:paraId="3973CABB" w14:textId="77777777" w:rsidR="007B027D" w:rsidRDefault="008E0125">
      <w:pPr>
        <w:pStyle w:val="a3"/>
        <w:spacing w:beforeAutospacing="0" w:after="120" w:afterAutospacing="0"/>
        <w:rPr>
          <w:rFonts w:ascii="Calibri" w:hAnsi="Calibri" w:cs="Calibri"/>
          <w:sz w:val="18"/>
          <w:szCs w:val="18"/>
        </w:rPr>
      </w:pPr>
      <w:hyperlink r:id="rId78" w:anchor="TABLE_OF_CONTENTS" w:history="1">
        <w:r>
          <w:rPr>
            <w:rStyle w:val="a5"/>
            <w:rFonts w:ascii="Calibri" w:hAnsi="Calibri" w:cs="Calibri"/>
            <w:sz w:val="18"/>
            <w:szCs w:val="18"/>
          </w:rPr>
          <w:t>Table of Contents</w:t>
        </w:r>
      </w:hyperlink>
    </w:p>
    <w:p w14:paraId="3973CABC" w14:textId="77777777" w:rsidR="007B027D" w:rsidRDefault="008E0125">
      <w:pPr>
        <w:pStyle w:val="a3"/>
        <w:spacing w:beforeAutospacing="0" w:afterAutospacing="0"/>
        <w:rPr>
          <w:rFonts w:ascii="Calibri" w:hAnsi="Calibri" w:cs="Calibri"/>
          <w:sz w:val="18"/>
          <w:szCs w:val="18"/>
        </w:rPr>
      </w:pPr>
      <w:hyperlink r:id="rId79" w:anchor="ITEM_15_EXHIBITS_FINANCIAL_STATEMENT_SCH" w:history="1">
        <w:r>
          <w:rPr>
            <w:rStyle w:val="a5"/>
            <w:rFonts w:ascii="Calibri" w:hAnsi="Calibri" w:cs="Calibri"/>
            <w:sz w:val="18"/>
            <w:szCs w:val="18"/>
          </w:rPr>
          <w:t>Index to Financial Statements</w:t>
        </w:r>
      </w:hyperlink>
    </w:p>
    <w:p w14:paraId="3973CABD"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AB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federal level, and a number of other state legislatures are c</w:t>
      </w:r>
      <w:r>
        <w:rPr>
          <w:rFonts w:ascii="Calibri" w:hAnsi="Calibri" w:cs="Calibri"/>
          <w:sz w:val="20"/>
          <w:szCs w:val="20"/>
        </w:rPr>
        <w:t xml:space="preserve">onsidering privacy laws. Regulators globally are also imposing greater monetary fines for privacy violations. The GDPR, which became effective in May 2018, provides for monetary penalties of up to 4% of an organization’s worldwide revenue. These penalties </w:t>
      </w:r>
      <w:r>
        <w:rPr>
          <w:rFonts w:ascii="Calibri" w:hAnsi="Calibri" w:cs="Calibri"/>
          <w:sz w:val="20"/>
          <w:szCs w:val="20"/>
        </w:rPr>
        <w:t>can be significant. For example, one European data protection regulator has fined a major U.S. technology company €225 million for its data handling practices. The U.S. Federal Trade Commission continues to fine companies for unfair and deceptive data prot</w:t>
      </w:r>
      <w:r>
        <w:rPr>
          <w:rFonts w:ascii="Calibri" w:hAnsi="Calibri" w:cs="Calibri"/>
          <w:sz w:val="20"/>
          <w:szCs w:val="20"/>
        </w:rPr>
        <w:t>ection practices, and these fines may increase in size. Taken together, the changes in laws or regulations associated with the enhanced protection of personal and other types of data could greatly increase the size of potential fines related to data protec</w:t>
      </w:r>
      <w:r>
        <w:rPr>
          <w:rFonts w:ascii="Calibri" w:hAnsi="Calibri" w:cs="Calibri"/>
          <w:sz w:val="20"/>
          <w:szCs w:val="20"/>
        </w:rPr>
        <w:t xml:space="preserve">tion, and our cost of providing our products and services could result in changes to our business practices or even prevent us from offering certain services in jurisdictions in which we operate. Although we have implemented contracts, diligence programs, </w:t>
      </w:r>
      <w:r>
        <w:rPr>
          <w:rFonts w:ascii="Calibri" w:hAnsi="Calibri" w:cs="Calibri"/>
          <w:sz w:val="20"/>
          <w:szCs w:val="20"/>
        </w:rPr>
        <w:t>policies and procedures designed to ensure compliance with applicable laws and regulations, there can be no assurance that our employees, contractors, partners, suppliers, data providers or agents will not violate such laws and regulations or our contracts</w:t>
      </w:r>
      <w:r>
        <w:rPr>
          <w:rFonts w:ascii="Calibri" w:hAnsi="Calibri" w:cs="Calibri"/>
          <w:sz w:val="20"/>
          <w:szCs w:val="20"/>
        </w:rPr>
        <w:t>, policies and procedures. Additionally, public perception and standards related to the privacy of personal information can shift rapidly, in ways that may affect our reputation or influence regulators to enact regulations and laws that may limit our abili</w:t>
      </w:r>
      <w:r>
        <w:rPr>
          <w:rFonts w:ascii="Calibri" w:hAnsi="Calibri" w:cs="Calibri"/>
          <w:sz w:val="20"/>
          <w:szCs w:val="20"/>
        </w:rPr>
        <w:t>ty to provide certain products and services.</w:t>
      </w:r>
    </w:p>
    <w:p w14:paraId="3973CAB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make statements about our use and disclosure of personal information through our privacy policy, information provided on our website and press statements. Any failure, or perceived failure, by us to comply wi</w:t>
      </w:r>
      <w:r>
        <w:rPr>
          <w:rFonts w:ascii="Calibri" w:hAnsi="Calibri" w:cs="Calibri"/>
          <w:sz w:val="20"/>
          <w:szCs w:val="20"/>
        </w:rPr>
        <w:t>th these public statements or with U.S. federal, state, or foreign laws and regulations, including laws and regulations regulating privacy, data security, or consumer protection, public perception, standards, self-regulatory requirements or legal obligatio</w:t>
      </w:r>
      <w:r>
        <w:rPr>
          <w:rFonts w:ascii="Calibri" w:hAnsi="Calibri" w:cs="Calibri"/>
          <w:sz w:val="20"/>
          <w:szCs w:val="20"/>
        </w:rPr>
        <w:t>ns, could result in lost or restricted business, proceedings, actions or fines brought against us or levied by governmental entities or others, or could adversely affect our business and harm our reputation.</w:t>
      </w:r>
    </w:p>
    <w:p w14:paraId="3973CAC0"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Third parties have claimed, and in the future ma</w:t>
      </w:r>
      <w:r>
        <w:rPr>
          <w:rFonts w:ascii="Calibri" w:hAnsi="Calibri" w:cs="Calibri"/>
          <w:b/>
          <w:bCs/>
          <w:i/>
          <w:iCs/>
          <w:sz w:val="20"/>
          <w:szCs w:val="20"/>
        </w:rPr>
        <w:t>y claim, infringement or misuse of intellectual property rights and/or breach of license agreement provisions.</w:t>
      </w:r>
      <w:r>
        <w:rPr>
          <w:rFonts w:ascii="Calibri" w:hAnsi="Calibri" w:cs="Calibri"/>
          <w:sz w:val="20"/>
          <w:szCs w:val="20"/>
        </w:rPr>
        <w:t xml:space="preserve">   We periodically receive notices from, or have lawsuits filed against us by, others claiming infringement or other misuse of their intellectual </w:t>
      </w:r>
      <w:r>
        <w:rPr>
          <w:rFonts w:ascii="Calibri" w:hAnsi="Calibri" w:cs="Calibri"/>
          <w:sz w:val="20"/>
          <w:szCs w:val="20"/>
        </w:rPr>
        <w:t>property rights and/or breach of our agreements with them. These third parties include entities that do not design, manufacture, or distribute products or services or that acquire intellectual property for the sole purpose of monetization through infringem</w:t>
      </w:r>
      <w:r>
        <w:rPr>
          <w:rFonts w:ascii="Calibri" w:hAnsi="Calibri" w:cs="Calibri"/>
          <w:sz w:val="20"/>
          <w:szCs w:val="20"/>
        </w:rPr>
        <w:t>ent assertions. We expect to continue to receive such claims as: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C4" w14:textId="77777777">
        <w:tc>
          <w:tcPr>
            <w:tcW w:w="262" w:type="pct"/>
            <w:shd w:val="clear" w:color="auto" w:fill="auto"/>
            <w:noWrap/>
          </w:tcPr>
          <w:p w14:paraId="3973CAC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C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C3"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we continue to expand into new businesses and acquire companies;</w:t>
            </w:r>
          </w:p>
        </w:tc>
      </w:tr>
    </w:tbl>
    <w:p w14:paraId="3973CAC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C9" w14:textId="77777777">
        <w:tc>
          <w:tcPr>
            <w:tcW w:w="262" w:type="pct"/>
            <w:shd w:val="clear" w:color="auto" w:fill="auto"/>
            <w:noWrap/>
          </w:tcPr>
          <w:p w14:paraId="3973CAC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C7"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C8"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number of products and competitors in our industry segments grows;</w:t>
            </w:r>
          </w:p>
        </w:tc>
      </w:tr>
    </w:tbl>
    <w:p w14:paraId="3973CAC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CE" w14:textId="77777777">
        <w:tc>
          <w:tcPr>
            <w:tcW w:w="262" w:type="pct"/>
            <w:shd w:val="clear" w:color="auto" w:fill="auto"/>
            <w:noWrap/>
          </w:tcPr>
          <w:p w14:paraId="3973CAC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C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C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the use and support of </w:t>
            </w:r>
            <w:r>
              <w:rPr>
                <w:rFonts w:ascii="Calibri" w:hAnsi="Calibri" w:cs="Calibri"/>
                <w:color w:val="000000"/>
                <w:sz w:val="20"/>
                <w:szCs w:val="20"/>
              </w:rPr>
              <w:t>third-party code (including open source code) becomes more prevalent in the industry;</w:t>
            </w:r>
          </w:p>
        </w:tc>
      </w:tr>
    </w:tbl>
    <w:p w14:paraId="3973CAC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D3" w14:textId="77777777">
        <w:tc>
          <w:tcPr>
            <w:tcW w:w="262" w:type="pct"/>
            <w:shd w:val="clear" w:color="auto" w:fill="auto"/>
            <w:noWrap/>
          </w:tcPr>
          <w:p w14:paraId="3973CAD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D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D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volume of issued patents continues to increase; and</w:t>
            </w:r>
          </w:p>
        </w:tc>
      </w:tr>
    </w:tbl>
    <w:p w14:paraId="3973CAD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D8" w14:textId="77777777">
        <w:tc>
          <w:tcPr>
            <w:tcW w:w="262" w:type="pct"/>
            <w:shd w:val="clear" w:color="auto" w:fill="auto"/>
            <w:noWrap/>
          </w:tcPr>
          <w:p w14:paraId="3973CAD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D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D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non-practicing entities continue to assert intellectual property infringement in our industry </w:t>
            </w:r>
            <w:r>
              <w:rPr>
                <w:rFonts w:ascii="Calibri" w:hAnsi="Calibri" w:cs="Calibri"/>
                <w:color w:val="000000"/>
                <w:sz w:val="20"/>
                <w:szCs w:val="20"/>
              </w:rPr>
              <w:t>segments.</w:t>
            </w:r>
          </w:p>
        </w:tc>
      </w:tr>
    </w:tbl>
    <w:p w14:paraId="3973CAD9" w14:textId="77777777" w:rsidR="007B027D" w:rsidRDefault="008E0125">
      <w:pPr>
        <w:pStyle w:val="a3"/>
        <w:spacing w:before="80" w:beforeAutospacing="0" w:afterAutospacing="0"/>
        <w:jc w:val="both"/>
        <w:rPr>
          <w:rFonts w:ascii="Calibri" w:hAnsi="Calibri" w:cs="Calibri"/>
          <w:sz w:val="20"/>
          <w:szCs w:val="20"/>
        </w:rPr>
      </w:pPr>
      <w:r>
        <w:rPr>
          <w:rFonts w:ascii="Calibri" w:hAnsi="Calibri" w:cs="Calibri"/>
          <w:sz w:val="20"/>
          <w:szCs w:val="20"/>
        </w:rPr>
        <w:t xml:space="preserve">Responding to any such claim, regardless of its validity, could: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DD" w14:textId="77777777">
        <w:tc>
          <w:tcPr>
            <w:tcW w:w="262" w:type="pct"/>
            <w:shd w:val="clear" w:color="auto" w:fill="auto"/>
            <w:noWrap/>
          </w:tcPr>
          <w:p w14:paraId="3973CAD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D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D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be time consuming, costly and result in litigation;</w:t>
            </w:r>
          </w:p>
        </w:tc>
      </w:tr>
    </w:tbl>
    <w:p w14:paraId="3973CAD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E2" w14:textId="77777777">
        <w:tc>
          <w:tcPr>
            <w:tcW w:w="262" w:type="pct"/>
            <w:shd w:val="clear" w:color="auto" w:fill="auto"/>
            <w:noWrap/>
          </w:tcPr>
          <w:p w14:paraId="3973CAD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E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E1"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divert management’s time and attention from developing our business;</w:t>
            </w:r>
          </w:p>
        </w:tc>
      </w:tr>
    </w:tbl>
    <w:p w14:paraId="3973CAE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E7" w14:textId="77777777">
        <w:tc>
          <w:tcPr>
            <w:tcW w:w="262" w:type="pct"/>
            <w:shd w:val="clear" w:color="auto" w:fill="auto"/>
            <w:noWrap/>
          </w:tcPr>
          <w:p w14:paraId="3973CAE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E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E6"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require us to pay monetary damages or </w:t>
            </w:r>
            <w:r>
              <w:rPr>
                <w:rFonts w:ascii="Calibri" w:hAnsi="Calibri" w:cs="Calibri"/>
                <w:color w:val="000000"/>
                <w:sz w:val="20"/>
                <w:szCs w:val="20"/>
              </w:rPr>
              <w:t>enter into royalty and licensing agreements that we would not normally find acceptable;</w:t>
            </w:r>
          </w:p>
        </w:tc>
      </w:tr>
    </w:tbl>
    <w:p w14:paraId="3973CAE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EC" w14:textId="77777777">
        <w:tc>
          <w:tcPr>
            <w:tcW w:w="262" w:type="pct"/>
            <w:shd w:val="clear" w:color="auto" w:fill="auto"/>
            <w:noWrap/>
          </w:tcPr>
          <w:p w14:paraId="3973CAE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E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E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require us to stop selling or to redesign certain of our products;</w:t>
            </w:r>
          </w:p>
        </w:tc>
      </w:tr>
    </w:tbl>
    <w:p w14:paraId="3973CAE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F1" w14:textId="77777777">
        <w:tc>
          <w:tcPr>
            <w:tcW w:w="262" w:type="pct"/>
            <w:shd w:val="clear" w:color="auto" w:fill="auto"/>
            <w:noWrap/>
          </w:tcPr>
          <w:p w14:paraId="3973CAE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E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F0"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require us to release source code to third parties, possibly under open source </w:t>
            </w:r>
            <w:r>
              <w:rPr>
                <w:rFonts w:ascii="Calibri" w:hAnsi="Calibri" w:cs="Calibri"/>
                <w:color w:val="000000"/>
                <w:sz w:val="20"/>
                <w:szCs w:val="20"/>
              </w:rPr>
              <w:t>license terms;</w:t>
            </w:r>
          </w:p>
        </w:tc>
      </w:tr>
    </w:tbl>
    <w:p w14:paraId="3973CAF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F6" w14:textId="77777777">
        <w:tc>
          <w:tcPr>
            <w:tcW w:w="262" w:type="pct"/>
            <w:shd w:val="clear" w:color="auto" w:fill="auto"/>
            <w:noWrap/>
          </w:tcPr>
          <w:p w14:paraId="3973CAF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F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F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require us to satisfy indemnification obligations to our customers; or</w:t>
            </w:r>
          </w:p>
        </w:tc>
      </w:tr>
    </w:tbl>
    <w:p w14:paraId="3973CAF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AFB" w14:textId="77777777">
        <w:tc>
          <w:tcPr>
            <w:tcW w:w="262" w:type="pct"/>
            <w:shd w:val="clear" w:color="auto" w:fill="auto"/>
            <w:noWrap/>
          </w:tcPr>
          <w:p w14:paraId="3973CAF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AF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AF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otherwise adversely affect our business, results of operations, financial condition or cash flows.</w:t>
            </w:r>
          </w:p>
        </w:tc>
      </w:tr>
    </w:tbl>
    <w:p w14:paraId="3973CAFC"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We may not be able to protect our intellectual </w:t>
      </w:r>
      <w:r>
        <w:rPr>
          <w:rFonts w:ascii="Calibri" w:hAnsi="Calibri" w:cs="Calibri"/>
          <w:b/>
          <w:bCs/>
          <w:i/>
          <w:iCs/>
          <w:sz w:val="20"/>
          <w:szCs w:val="20"/>
        </w:rPr>
        <w:t>property rights.</w:t>
      </w:r>
      <w:r>
        <w:rPr>
          <w:rFonts w:ascii="Calibri" w:hAnsi="Calibri" w:cs="Calibri"/>
          <w:sz w:val="20"/>
          <w:szCs w:val="20"/>
        </w:rPr>
        <w:t xml:space="preserve">   We rely on copyright, trademark, patent and trade secret laws, confidentiality procedures, controls and contractual commitments to protect our intellectual property. Despite our efforts, these protections may be limited. Unauthorized thi</w:t>
      </w:r>
      <w:r>
        <w:rPr>
          <w:rFonts w:ascii="Calibri" w:hAnsi="Calibri" w:cs="Calibri"/>
          <w:sz w:val="20"/>
          <w:szCs w:val="20"/>
        </w:rPr>
        <w:t>rd parties may try to copy or reverse engineer our products or otherwise use our intellectual property. Our patents may be invalidated or circumvented. Any of our pending or future patent applications may not be issued with the claim scope we seek, if at a</w:t>
      </w:r>
      <w:r>
        <w:rPr>
          <w:rFonts w:ascii="Calibri" w:hAnsi="Calibri" w:cs="Calibri"/>
          <w:sz w:val="20"/>
          <w:szCs w:val="20"/>
        </w:rPr>
        <w:t xml:space="preserve">ll. In addition, the laws of some countries do not provide the same level of intellectual property protection as </w:t>
      </w:r>
    </w:p>
    <w:p w14:paraId="3973CAF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3973CAFE" w14:textId="77777777" w:rsidR="007B027D" w:rsidRDefault="008E0125">
      <w:r>
        <w:rPr>
          <w:rFonts w:ascii="Calibri" w:hAnsi="Calibri" w:cs="Calibri"/>
          <w:sz w:val="20"/>
          <w:szCs w:val="20"/>
        </w:rPr>
        <w:pict w14:anchorId="39740053">
          <v:rect id="_x0000_i1052" style="width:415.3pt;height:1.5pt" o:hralign="center" o:hrstd="t" o:hr="t" fillcolor="#a0a0a0" stroked="f"/>
        </w:pict>
      </w:r>
    </w:p>
    <w:p w14:paraId="3973CAFF" w14:textId="77777777" w:rsidR="007B027D" w:rsidRDefault="008E0125">
      <w:pPr>
        <w:pStyle w:val="a3"/>
        <w:spacing w:beforeAutospacing="0" w:after="120" w:afterAutospacing="0"/>
        <w:rPr>
          <w:rFonts w:ascii="Calibri" w:hAnsi="Calibri" w:cs="Calibri"/>
          <w:sz w:val="18"/>
          <w:szCs w:val="18"/>
        </w:rPr>
      </w:pPr>
      <w:hyperlink r:id="rId80" w:anchor="TABLE_OF_CONTENTS" w:history="1">
        <w:r>
          <w:rPr>
            <w:rStyle w:val="a5"/>
            <w:rFonts w:ascii="Calibri" w:hAnsi="Calibri" w:cs="Calibri"/>
            <w:sz w:val="18"/>
            <w:szCs w:val="18"/>
          </w:rPr>
          <w:t>Table of Contents</w:t>
        </w:r>
      </w:hyperlink>
    </w:p>
    <w:p w14:paraId="3973CB00" w14:textId="77777777" w:rsidR="007B027D" w:rsidRDefault="008E0125">
      <w:pPr>
        <w:pStyle w:val="a3"/>
        <w:spacing w:beforeAutospacing="0" w:afterAutospacing="0"/>
        <w:rPr>
          <w:rFonts w:ascii="Calibri" w:hAnsi="Calibri" w:cs="Calibri"/>
          <w:sz w:val="18"/>
          <w:szCs w:val="18"/>
        </w:rPr>
      </w:pPr>
      <w:hyperlink r:id="rId81" w:anchor="ITEM_15_EXHIBITS_FINANCIAL_STATEMENT_SCH" w:history="1">
        <w:r>
          <w:rPr>
            <w:rStyle w:val="a5"/>
            <w:rFonts w:ascii="Calibri" w:hAnsi="Calibri" w:cs="Calibri"/>
            <w:sz w:val="18"/>
            <w:szCs w:val="18"/>
          </w:rPr>
          <w:t>Index to Financial Statements</w:t>
        </w:r>
      </w:hyperlink>
    </w:p>
    <w:p w14:paraId="3973CB0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02"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U.S. laws and courts. If we cannot protect our intellectual property against unauthorized copying or use, or other misappropriation, we may not remain competitive.</w:t>
      </w:r>
    </w:p>
    <w:p w14:paraId="3973CB03"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We </w:t>
      </w:r>
      <w:r>
        <w:rPr>
          <w:rFonts w:ascii="Calibri" w:hAnsi="Calibri" w:cs="Calibri"/>
          <w:b/>
          <w:bCs/>
          <w:i/>
          <w:iCs/>
          <w:sz w:val="20"/>
          <w:szCs w:val="20"/>
        </w:rPr>
        <w:t>may not receive significant revenues from our current research and development efforts for several years, if at all.</w:t>
      </w:r>
      <w:r>
        <w:rPr>
          <w:rFonts w:ascii="Calibri" w:hAnsi="Calibri" w:cs="Calibri"/>
          <w:sz w:val="20"/>
          <w:szCs w:val="20"/>
        </w:rPr>
        <w:t xml:space="preserve">   Developing our various product offerings is expensive and the investment in the development of these offerings often involves a long retu</w:t>
      </w:r>
      <w:r>
        <w:rPr>
          <w:rFonts w:ascii="Calibri" w:hAnsi="Calibri" w:cs="Calibri"/>
          <w:sz w:val="20"/>
          <w:szCs w:val="20"/>
        </w:rPr>
        <w:t>rn on investment cycle. An important element of our corporate strategy is to continue to dedicate a significant amount of resources to research and development and related product and service opportunities, both through internal investments and the acquisi</w:t>
      </w:r>
      <w:r>
        <w:rPr>
          <w:rFonts w:ascii="Calibri" w:hAnsi="Calibri" w:cs="Calibri"/>
          <w:sz w:val="20"/>
          <w:szCs w:val="20"/>
        </w:rPr>
        <w:t>tion of intellectual property from acquired companies. Accelerated product and service introductions and short lifecycles require high levels of expenditures for research and development that could adversely affect our operating results if not offset by re</w:t>
      </w:r>
      <w:r>
        <w:rPr>
          <w:rFonts w:ascii="Calibri" w:hAnsi="Calibri" w:cs="Calibri"/>
          <w:sz w:val="20"/>
          <w:szCs w:val="20"/>
        </w:rPr>
        <w:t>venue increases. We believe that we must continue to dedicate a significant amount of resources to our research and development efforts to maintain our competitive position. However, we do not expect to receive significant revenues from these investments f</w:t>
      </w:r>
      <w:r>
        <w:rPr>
          <w:rFonts w:ascii="Calibri" w:hAnsi="Calibri" w:cs="Calibri"/>
          <w:sz w:val="20"/>
          <w:szCs w:val="20"/>
        </w:rPr>
        <w:t>or several years, if at all.</w:t>
      </w:r>
    </w:p>
    <w:p w14:paraId="3973CB0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Legal and Regulatory Risks</w:t>
      </w:r>
    </w:p>
    <w:p w14:paraId="3973CB0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Adverse litigation results could affect our business.</w:t>
      </w:r>
      <w:r>
        <w:rPr>
          <w:rFonts w:ascii="Calibri" w:hAnsi="Calibri" w:cs="Calibri"/>
          <w:sz w:val="20"/>
          <w:szCs w:val="20"/>
        </w:rPr>
        <w:t xml:space="preserve">   We are subject to various legal proceedings. Litigation can be lengthy, expensive and disruptive to our operations, and can divert our management’s attention away from running our core business. The results of our litigation also cannot be predicted wit</w:t>
      </w:r>
      <w:r>
        <w:rPr>
          <w:rFonts w:ascii="Calibri" w:hAnsi="Calibri" w:cs="Calibri"/>
          <w:sz w:val="20"/>
          <w:szCs w:val="20"/>
        </w:rPr>
        <w:t>h certainty. Even a favorable judgment may be subject to appeals leading to protracted litigation, additional costs and the prospect that our desired outcome will be overturned. An adverse decision could result in monetary damages or injunctive relief that</w:t>
      </w:r>
      <w:r>
        <w:rPr>
          <w:rFonts w:ascii="Calibri" w:hAnsi="Calibri" w:cs="Calibri"/>
          <w:sz w:val="20"/>
          <w:szCs w:val="20"/>
        </w:rPr>
        <w:t xml:space="preserve"> could affect our business, operating results or financial condition. Additional information regarding certain of the lawsuits we are involved in is discussed under Note 16 of Notes to Consolidated Financial Statements included elsewhere in this Annual Rep</w:t>
      </w:r>
      <w:r>
        <w:rPr>
          <w:rFonts w:ascii="Calibri" w:hAnsi="Calibri" w:cs="Calibri"/>
          <w:sz w:val="20"/>
          <w:szCs w:val="20"/>
        </w:rPr>
        <w:t>ort.</w:t>
      </w:r>
    </w:p>
    <w:p w14:paraId="3973CB06"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be subjected to increased taxes due to changes in U.S. or international tax laws or from adverse resolutions of tax audits and controversies.</w:t>
      </w:r>
      <w:r>
        <w:rPr>
          <w:rFonts w:ascii="Calibri" w:hAnsi="Calibri" w:cs="Calibri"/>
          <w:sz w:val="20"/>
          <w:szCs w:val="20"/>
        </w:rPr>
        <w:t xml:space="preserve">   As a multinational corporation, we incur income taxes as well as non-income based taxes (such as pay</w:t>
      </w:r>
      <w:r>
        <w:rPr>
          <w:rFonts w:ascii="Calibri" w:hAnsi="Calibri" w:cs="Calibri"/>
          <w:sz w:val="20"/>
          <w:szCs w:val="20"/>
        </w:rPr>
        <w:t>roll, sales, use, property and value-added taxes) in both the U.S. and various foreign jurisdictions. Significant uncertainties exist with respect to the application of the various taxes to the businesses in which we engage, often requiring that we make ju</w:t>
      </w:r>
      <w:r>
        <w:rPr>
          <w:rFonts w:ascii="Calibri" w:hAnsi="Calibri" w:cs="Calibri"/>
          <w:sz w:val="20"/>
          <w:szCs w:val="20"/>
        </w:rPr>
        <w:t>dgments in determining our tax liabilities and worldwide provision for income taxes. We are regularly under audit by tax authorities in the U.S. and internationally, which can lead to disagreements such as regarding our intercompany transfer prices and cal</w:t>
      </w:r>
      <w:r>
        <w:rPr>
          <w:rFonts w:ascii="Calibri" w:hAnsi="Calibri" w:cs="Calibri"/>
          <w:sz w:val="20"/>
          <w:szCs w:val="20"/>
        </w:rPr>
        <w:t>culations and on the applicability of withholding taxes to our cross-border transactions. Any unfavorable resolution of these tax audits and controversies could cause our tax liabilities to increase and may have a material and adverse impact on our provisi</w:t>
      </w:r>
      <w:r>
        <w:rPr>
          <w:rFonts w:ascii="Calibri" w:hAnsi="Calibri" w:cs="Calibri"/>
          <w:sz w:val="20"/>
          <w:szCs w:val="20"/>
        </w:rPr>
        <w:t xml:space="preserve">on for income taxes and effective tax rate. Although we believe that our income and non-income based tax estimates are reasonable, there is no assurance that the final determination of tax audits or disputes will not be different from what is reflected in </w:t>
      </w:r>
      <w:r>
        <w:rPr>
          <w:rFonts w:ascii="Calibri" w:hAnsi="Calibri" w:cs="Calibri"/>
          <w:sz w:val="20"/>
          <w:szCs w:val="20"/>
        </w:rPr>
        <w:t>our historical income tax provisions and tax accruals.</w:t>
      </w:r>
    </w:p>
    <w:p w14:paraId="3973CB0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Countries around the world continually consider and make changes to relevant tax, accounting and other laws, treaties, regulations, guidance and interpretations. In the U.S., various legislative propos</w:t>
      </w:r>
      <w:r>
        <w:rPr>
          <w:rFonts w:ascii="Calibri" w:hAnsi="Calibri" w:cs="Calibri"/>
          <w:sz w:val="20"/>
          <w:szCs w:val="20"/>
        </w:rPr>
        <w:t>als, if enacted, would substantially raise U.S. income taxes on our domestic and international profits. Such unfavorable tax legislation resulting from the shifting U.S. political landscape and economic environment create the potential for added volatility</w:t>
      </w:r>
      <w:r>
        <w:rPr>
          <w:rFonts w:ascii="Calibri" w:hAnsi="Calibri" w:cs="Calibri"/>
          <w:sz w:val="20"/>
          <w:szCs w:val="20"/>
        </w:rPr>
        <w:t xml:space="preserve"> in our quarterly provision for income taxes and could have a material adverse impact on our future income tax provisions and effective tax rate. For example, in November 2021, the U.S. House of Representatives passed a bill titled the “Build Back Better A</w:t>
      </w:r>
      <w:r>
        <w:rPr>
          <w:rFonts w:ascii="Calibri" w:hAnsi="Calibri" w:cs="Calibri"/>
          <w:sz w:val="20"/>
          <w:szCs w:val="20"/>
        </w:rPr>
        <w:t>ct” under budget reconciliation procedures. While that bill, to date, has failed to advance in the Senate, it is possible that a modified version of the bill containing similar revenue provisions will be enacted, which, depending on the specific provisions</w:t>
      </w:r>
      <w:r>
        <w:rPr>
          <w:rFonts w:ascii="Calibri" w:hAnsi="Calibri" w:cs="Calibri"/>
          <w:sz w:val="20"/>
          <w:szCs w:val="20"/>
        </w:rPr>
        <w:t xml:space="preserve"> included, could materially increase our future tax liabilities and effective tax rate.</w:t>
      </w:r>
    </w:p>
    <w:p w14:paraId="3973CB0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Other countries also continue to consider changes to their tax laws that could negatively affect us by increasing taxes imposed on our international revenue streams, op</w:t>
      </w:r>
      <w:r>
        <w:rPr>
          <w:rFonts w:ascii="Calibri" w:hAnsi="Calibri" w:cs="Calibri"/>
          <w:sz w:val="20"/>
          <w:szCs w:val="20"/>
        </w:rPr>
        <w:t xml:space="preserve">erations and cross-border transactions, including the imposition of taxes targeted at digital technology businesses and changes in withholding tax rules. More fundamentally, 137 countries, including the U.S., in a global effort led by the Organization for </w:t>
      </w:r>
      <w:r>
        <w:rPr>
          <w:rFonts w:ascii="Calibri" w:hAnsi="Calibri" w:cs="Calibri"/>
          <w:sz w:val="20"/>
          <w:szCs w:val="20"/>
        </w:rPr>
        <w:t xml:space="preserve">Economic Cooperation and Development, have politically committed to implementing tax changes that would provide </w:t>
      </w:r>
    </w:p>
    <w:p w14:paraId="3973CB0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3973CB0A" w14:textId="77777777" w:rsidR="007B027D" w:rsidRDefault="008E0125">
      <w:r>
        <w:rPr>
          <w:rFonts w:ascii="Calibri" w:hAnsi="Calibri" w:cs="Calibri"/>
          <w:sz w:val="20"/>
          <w:szCs w:val="20"/>
        </w:rPr>
        <w:pict w14:anchorId="39740054">
          <v:rect id="_x0000_i1053" style="width:415.3pt;height:1.5pt" o:hralign="center" o:hrstd="t" o:hr="t" fillcolor="#a0a0a0" stroked="f"/>
        </w:pict>
      </w:r>
    </w:p>
    <w:p w14:paraId="3973CB0B" w14:textId="77777777" w:rsidR="007B027D" w:rsidRDefault="008E0125">
      <w:pPr>
        <w:pStyle w:val="a3"/>
        <w:spacing w:beforeAutospacing="0" w:after="120" w:afterAutospacing="0"/>
        <w:rPr>
          <w:rFonts w:ascii="Calibri" w:hAnsi="Calibri" w:cs="Calibri"/>
          <w:sz w:val="18"/>
          <w:szCs w:val="18"/>
        </w:rPr>
      </w:pPr>
      <w:hyperlink r:id="rId82" w:anchor="TABLE_OF_CONTENTS" w:history="1">
        <w:r>
          <w:rPr>
            <w:rStyle w:val="a5"/>
            <w:rFonts w:ascii="Calibri" w:hAnsi="Calibri" w:cs="Calibri"/>
            <w:sz w:val="18"/>
            <w:szCs w:val="18"/>
          </w:rPr>
          <w:t>Table</w:t>
        </w:r>
        <w:r>
          <w:rPr>
            <w:rStyle w:val="a5"/>
            <w:rFonts w:ascii="Calibri" w:hAnsi="Calibri" w:cs="Calibri"/>
            <w:sz w:val="18"/>
            <w:szCs w:val="18"/>
          </w:rPr>
          <w:t xml:space="preserve"> of Contents</w:t>
        </w:r>
      </w:hyperlink>
    </w:p>
    <w:p w14:paraId="3973CB0C" w14:textId="77777777" w:rsidR="007B027D" w:rsidRDefault="008E0125">
      <w:pPr>
        <w:pStyle w:val="a3"/>
        <w:spacing w:beforeAutospacing="0" w:afterAutospacing="0"/>
        <w:rPr>
          <w:rFonts w:ascii="Calibri" w:hAnsi="Calibri" w:cs="Calibri"/>
          <w:sz w:val="18"/>
          <w:szCs w:val="18"/>
        </w:rPr>
      </w:pPr>
      <w:hyperlink r:id="rId83" w:anchor="ITEM_15_EXHIBITS_FINANCIAL_STATEMENT_SCH" w:history="1">
        <w:r>
          <w:rPr>
            <w:rStyle w:val="a5"/>
            <w:rFonts w:ascii="Calibri" w:hAnsi="Calibri" w:cs="Calibri"/>
            <w:sz w:val="18"/>
            <w:szCs w:val="18"/>
          </w:rPr>
          <w:t>Index to Financial Statements</w:t>
        </w:r>
      </w:hyperlink>
    </w:p>
    <w:p w14:paraId="3973CB0D"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0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greater taxing rights to market </w:t>
      </w:r>
      <w:r>
        <w:rPr>
          <w:rFonts w:ascii="Calibri" w:hAnsi="Calibri" w:cs="Calibri"/>
          <w:sz w:val="20"/>
          <w:szCs w:val="20"/>
        </w:rPr>
        <w:t>jurisdictions where customers or users are located and impose minimum taxes on corporate profits. If enacted, these proposals would materially increase the level of income tax on our international profits.</w:t>
      </w:r>
    </w:p>
    <w:p w14:paraId="3973CB0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future income tax provisions and effective tax</w:t>
      </w:r>
      <w:r>
        <w:rPr>
          <w:rFonts w:ascii="Calibri" w:hAnsi="Calibri" w:cs="Calibri"/>
          <w:sz w:val="20"/>
          <w:szCs w:val="20"/>
        </w:rPr>
        <w:t xml:space="preserve"> rate could materially increase if any of the foregoing potential tax changes are implemented or if other changes are made to applicable tax laws and rules in the U.S. or in other countries in which we do business. Our provision for income taxes also could</w:t>
      </w:r>
      <w:r>
        <w:rPr>
          <w:rFonts w:ascii="Calibri" w:hAnsi="Calibri" w:cs="Calibri"/>
          <w:sz w:val="20"/>
          <w:szCs w:val="20"/>
        </w:rPr>
        <w:t xml:space="preserve"> be adversely affected by changes in the mix of income earned or losses incurred in jurisdictions with differing statutory tax rates, fluctuations in our stock price and level of stock-based compensation expense, changes in the valuation of our deferred ta</w:t>
      </w:r>
      <w:r>
        <w:rPr>
          <w:rFonts w:ascii="Calibri" w:hAnsi="Calibri" w:cs="Calibri"/>
          <w:sz w:val="20"/>
          <w:szCs w:val="20"/>
        </w:rPr>
        <w:t>x assets or liabilities and by other factors.</w:t>
      </w:r>
    </w:p>
    <w:p w14:paraId="3973CB10"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international sales and operations subject us to additional risks that can adversely affect our operating results.</w:t>
      </w:r>
      <w:r>
        <w:rPr>
          <w:rFonts w:ascii="Calibri" w:hAnsi="Calibri" w:cs="Calibri"/>
          <w:sz w:val="20"/>
          <w:szCs w:val="20"/>
        </w:rPr>
        <w:t xml:space="preserve">   We derive a substantial portion of our revenues from, and have significant operations, ou</w:t>
      </w:r>
      <w:r>
        <w:rPr>
          <w:rFonts w:ascii="Calibri" w:hAnsi="Calibri" w:cs="Calibri"/>
          <w:sz w:val="20"/>
          <w:szCs w:val="20"/>
        </w:rPr>
        <w:t>tside of the U.S. Compliance with international and U.S. laws and regulations that apply to our international operations increases our cost of doing business in foreign jurisdictions. These laws and regulations include data privacy requirements, labor rela</w:t>
      </w:r>
      <w:r>
        <w:rPr>
          <w:rFonts w:ascii="Calibri" w:hAnsi="Calibri" w:cs="Calibri"/>
          <w:sz w:val="20"/>
          <w:szCs w:val="20"/>
        </w:rPr>
        <w:t xml:space="preserve">tions laws, tax laws, foreign currency-related regulations, competition regulations, anti-bribery laws and other laws prohibiting payments to governmental officials such as the U.S. Foreign Corrupt Practices Act (FCPA), market access regulations, tariffs, </w:t>
      </w:r>
      <w:r>
        <w:rPr>
          <w:rFonts w:ascii="Calibri" w:hAnsi="Calibri" w:cs="Calibri"/>
          <w:sz w:val="20"/>
          <w:szCs w:val="20"/>
        </w:rPr>
        <w:t xml:space="preserve">and import, export and general trade regulations, including but not limited to economic sanctions and embargos. Violations of these laws and regulations could result in fines and penalties, criminal sanctions against us, our officers or our employees, and </w:t>
      </w:r>
      <w:r>
        <w:rPr>
          <w:rFonts w:ascii="Calibri" w:hAnsi="Calibri" w:cs="Calibri"/>
          <w:sz w:val="20"/>
          <w:szCs w:val="20"/>
        </w:rPr>
        <w:t xml:space="preserve">prohibitions on the conduct of our business, including the loss of trade privileges. Any such violations could result in prohibitions on our ability to offer our products and services in one or more countries, could delay or prevent potential acquisitions </w:t>
      </w:r>
      <w:r>
        <w:rPr>
          <w:rFonts w:ascii="Calibri" w:hAnsi="Calibri" w:cs="Calibri"/>
          <w:sz w:val="20"/>
          <w:szCs w:val="20"/>
        </w:rPr>
        <w:t>and could also materially damage our reputation, our brand, our international expansion efforts, our ability to attract and retain employees, our business and our operating results. These laws can require suspension or termination of business, including fi</w:t>
      </w:r>
      <w:r>
        <w:rPr>
          <w:rFonts w:ascii="Calibri" w:hAnsi="Calibri" w:cs="Calibri"/>
          <w:sz w:val="20"/>
          <w:szCs w:val="20"/>
        </w:rPr>
        <w:t>nancial transactions, in certain countries, territories or with certain customers and any such action in the future could adversely affect our business, financial condition and results of operations. For example, in response to the current Russia-Ukraine c</w:t>
      </w:r>
      <w:r>
        <w:rPr>
          <w:rFonts w:ascii="Calibri" w:hAnsi="Calibri" w:cs="Calibri"/>
          <w:sz w:val="20"/>
          <w:szCs w:val="20"/>
        </w:rPr>
        <w:t>onflict, the U.S. and other countries have announced extensive sanctions against Russia and could impose broader sanctions or take other actions should the conflict further escalate. Oracle withdrew its operations from the Russian Federation and the Republ</w:t>
      </w:r>
      <w:r>
        <w:rPr>
          <w:rFonts w:ascii="Calibri" w:hAnsi="Calibri" w:cs="Calibri"/>
          <w:sz w:val="20"/>
          <w:szCs w:val="20"/>
        </w:rPr>
        <w:t>ic of Belarus in March 2022. Oracle recorded fiscal 2022 revenues of $248 million from these two countries, a reduction of $118 million relative to fiscal 2021. No revenues are expected to be recognized from these two countries prospectively. Compliance wi</w:t>
      </w:r>
      <w:r>
        <w:rPr>
          <w:rFonts w:ascii="Calibri" w:hAnsi="Calibri" w:cs="Calibri"/>
          <w:sz w:val="20"/>
          <w:szCs w:val="20"/>
        </w:rPr>
        <w:t>th these laws also requires a significant amount of management attention and effort, which may divert management’s attention from running our business operations and could harm our ability to grow our business, or may increase our expenses as we engage spe</w:t>
      </w:r>
      <w:r>
        <w:rPr>
          <w:rFonts w:ascii="Calibri" w:hAnsi="Calibri" w:cs="Calibri"/>
          <w:sz w:val="20"/>
          <w:szCs w:val="20"/>
        </w:rPr>
        <w:t xml:space="preserve">cialized or other additional resources to assist us with our compliance efforts. </w:t>
      </w:r>
    </w:p>
    <w:p w14:paraId="3973CB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success depends, in part, on our ability to anticipate these risks and manage these difficulties. We monitor our operations and investigate allegations of improprieties r</w:t>
      </w:r>
      <w:r>
        <w:rPr>
          <w:rFonts w:ascii="Calibri" w:hAnsi="Calibri" w:cs="Calibri"/>
          <w:sz w:val="20"/>
          <w:szCs w:val="20"/>
        </w:rPr>
        <w:t xml:space="preserve">elating to transactions and the way in which such transactions are recorded. Where circumstances warrant, we provide information and report our findings to government authorities, and in some circumstances such authorities conduct their own investigations </w:t>
      </w:r>
      <w:r>
        <w:rPr>
          <w:rFonts w:ascii="Calibri" w:hAnsi="Calibri" w:cs="Calibri"/>
          <w:sz w:val="20"/>
          <w:szCs w:val="20"/>
        </w:rPr>
        <w:t>and we respond to their requests or demands for information. No assurance can be given that action will not be taken by such authorities or that our compliance program will prove effective.</w:t>
      </w:r>
    </w:p>
    <w:p w14:paraId="3973CB1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also subject to a variety of other risks and challenges in </w:t>
      </w:r>
      <w:r>
        <w:rPr>
          <w:rFonts w:ascii="Calibri" w:hAnsi="Calibri" w:cs="Calibri"/>
          <w:sz w:val="20"/>
          <w:szCs w:val="20"/>
        </w:rPr>
        <w:t xml:space="preserve">managing an organization operating globally, including those related to: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16" w14:textId="77777777">
        <w:tc>
          <w:tcPr>
            <w:tcW w:w="262" w:type="pct"/>
            <w:shd w:val="clear" w:color="auto" w:fill="auto"/>
            <w:noWrap/>
          </w:tcPr>
          <w:p w14:paraId="3973CB1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1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1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general economic conditions in each country or region;</w:t>
            </w:r>
          </w:p>
        </w:tc>
      </w:tr>
    </w:tbl>
    <w:p w14:paraId="3973CB1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1B" w14:textId="77777777">
        <w:tc>
          <w:tcPr>
            <w:tcW w:w="262" w:type="pct"/>
            <w:shd w:val="clear" w:color="auto" w:fill="auto"/>
            <w:noWrap/>
          </w:tcPr>
          <w:p w14:paraId="3973CB1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1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1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political unrest, terrorism, war and the potential for other hostilities, including but not limited to, the current Russia-Ukraine conflict, the economic impact thereof </w:t>
            </w:r>
            <w:r>
              <w:rPr>
                <w:rFonts w:ascii="Calibri" w:hAnsi="Calibri" w:cs="Calibri"/>
                <w:color w:val="000000"/>
                <w:sz w:val="20"/>
                <w:szCs w:val="20"/>
                <w:shd w:val="clear" w:color="auto" w:fill="FFFFFF"/>
              </w:rPr>
              <w:t>and the potential to subject our business to materially adverse consequences should the</w:t>
            </w:r>
            <w:r>
              <w:rPr>
                <w:rFonts w:ascii="Calibri" w:hAnsi="Calibri" w:cs="Calibri"/>
                <w:color w:val="000000"/>
                <w:sz w:val="20"/>
                <w:szCs w:val="20"/>
                <w:shd w:val="clear" w:color="auto" w:fill="FFFFFF"/>
              </w:rPr>
              <w:t xml:space="preserve"> situation escalate beyond its current scope, including, among other potential impacts, the geographic proximity of the situation relative to the rest of Europe, where a material portion of our business is carried out</w:t>
            </w:r>
            <w:r>
              <w:rPr>
                <w:rFonts w:ascii="Calibri" w:hAnsi="Calibri" w:cs="Calibri"/>
                <w:color w:val="000000"/>
                <w:sz w:val="20"/>
                <w:szCs w:val="20"/>
              </w:rPr>
              <w:t>;</w:t>
            </w:r>
          </w:p>
        </w:tc>
      </w:tr>
    </w:tbl>
    <w:p w14:paraId="3973CB1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20" w14:textId="77777777">
        <w:tc>
          <w:tcPr>
            <w:tcW w:w="262" w:type="pct"/>
            <w:shd w:val="clear" w:color="auto" w:fill="auto"/>
            <w:noWrap/>
          </w:tcPr>
          <w:p w14:paraId="3973CB1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1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1F"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public health risks, social ris</w:t>
            </w:r>
            <w:r>
              <w:rPr>
                <w:rFonts w:ascii="Calibri" w:hAnsi="Calibri" w:cs="Calibri"/>
                <w:color w:val="000000"/>
                <w:sz w:val="20"/>
                <w:szCs w:val="20"/>
              </w:rPr>
              <w:t>ks and supporting infrastructure stability risks, particularly in areas in which we have significant operations;</w:t>
            </w:r>
          </w:p>
        </w:tc>
      </w:tr>
    </w:tbl>
    <w:p w14:paraId="3973CB2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3973CB22" w14:textId="77777777" w:rsidR="007B027D" w:rsidRDefault="008E0125">
      <w:r>
        <w:rPr>
          <w:rFonts w:ascii="Calibri" w:hAnsi="Calibri" w:cs="Calibri"/>
          <w:sz w:val="20"/>
          <w:szCs w:val="20"/>
        </w:rPr>
        <w:pict w14:anchorId="39740055">
          <v:rect id="_x0000_i1054" style="width:415.3pt;height:1.5pt" o:hralign="center" o:hrstd="t" o:hr="t" fillcolor="#a0a0a0" stroked="f"/>
        </w:pict>
      </w:r>
    </w:p>
    <w:p w14:paraId="3973CB23" w14:textId="77777777" w:rsidR="007B027D" w:rsidRDefault="008E0125">
      <w:pPr>
        <w:pStyle w:val="a3"/>
        <w:spacing w:beforeAutospacing="0" w:after="120" w:afterAutospacing="0"/>
        <w:rPr>
          <w:rFonts w:ascii="Calibri" w:hAnsi="Calibri" w:cs="Calibri"/>
          <w:sz w:val="18"/>
          <w:szCs w:val="18"/>
        </w:rPr>
      </w:pPr>
      <w:hyperlink r:id="rId84" w:anchor="TABLE_OF_CONTENTS" w:history="1">
        <w:r>
          <w:rPr>
            <w:rStyle w:val="a5"/>
            <w:rFonts w:ascii="Calibri" w:hAnsi="Calibri" w:cs="Calibri"/>
            <w:sz w:val="18"/>
            <w:szCs w:val="18"/>
          </w:rPr>
          <w:t>Table of Contents</w:t>
        </w:r>
      </w:hyperlink>
    </w:p>
    <w:p w14:paraId="3973CB24" w14:textId="77777777" w:rsidR="007B027D" w:rsidRDefault="008E0125">
      <w:pPr>
        <w:pStyle w:val="a3"/>
        <w:spacing w:beforeAutospacing="0" w:afterAutospacing="0"/>
        <w:rPr>
          <w:rFonts w:ascii="Calibri" w:hAnsi="Calibri" w:cs="Calibri"/>
          <w:sz w:val="18"/>
          <w:szCs w:val="18"/>
        </w:rPr>
      </w:pPr>
      <w:hyperlink r:id="rId85" w:anchor="ITEM_15_EXHIBITS_FINANCIAL_STATEMENT_SCH" w:history="1">
        <w:r>
          <w:rPr>
            <w:rStyle w:val="a5"/>
            <w:rFonts w:ascii="Calibri" w:hAnsi="Calibri" w:cs="Calibri"/>
            <w:sz w:val="18"/>
            <w:szCs w:val="18"/>
          </w:rPr>
          <w:t>Index to Financial Statements</w:t>
        </w:r>
      </w:hyperlink>
    </w:p>
    <w:p w14:paraId="3973CB2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29" w14:textId="77777777">
        <w:tc>
          <w:tcPr>
            <w:tcW w:w="262" w:type="pct"/>
            <w:shd w:val="clear" w:color="auto" w:fill="auto"/>
            <w:noWrap/>
          </w:tcPr>
          <w:p w14:paraId="3973CB2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27" w14:textId="77777777" w:rsidR="007B027D" w:rsidRDefault="007B027D">
            <w:pPr>
              <w:rPr>
                <w:rFonts w:ascii="宋体"/>
              </w:rPr>
            </w:pPr>
          </w:p>
        </w:tc>
        <w:tc>
          <w:tcPr>
            <w:tcW w:w="0" w:type="auto"/>
            <w:shd w:val="clear" w:color="auto" w:fill="auto"/>
          </w:tcPr>
          <w:p w14:paraId="3973CB28" w14:textId="77777777" w:rsidR="007B027D" w:rsidRDefault="007B027D">
            <w:pPr>
              <w:rPr>
                <w:rFonts w:ascii="宋体"/>
              </w:rPr>
            </w:pPr>
          </w:p>
        </w:tc>
      </w:tr>
    </w:tbl>
    <w:p w14:paraId="3973CB2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2E" w14:textId="77777777">
        <w:tc>
          <w:tcPr>
            <w:tcW w:w="262" w:type="pct"/>
            <w:shd w:val="clear" w:color="auto" w:fill="auto"/>
            <w:noWrap/>
          </w:tcPr>
          <w:p w14:paraId="3973CB2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2C"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2D"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fluctuations in currency exchange rates and related imp</w:t>
            </w:r>
            <w:r>
              <w:rPr>
                <w:rFonts w:ascii="Calibri" w:hAnsi="Calibri" w:cs="Calibri"/>
                <w:color w:val="000000"/>
                <w:sz w:val="20"/>
                <w:szCs w:val="20"/>
              </w:rPr>
              <w:t>acts on customer demand and our operating results;</w:t>
            </w:r>
          </w:p>
        </w:tc>
      </w:tr>
    </w:tbl>
    <w:p w14:paraId="3973CB2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33" w14:textId="77777777">
        <w:tc>
          <w:tcPr>
            <w:tcW w:w="262" w:type="pct"/>
            <w:shd w:val="clear" w:color="auto" w:fill="auto"/>
            <w:noWrap/>
          </w:tcPr>
          <w:p w14:paraId="3973CB3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31"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32"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difficulties in transferring funds from or converting currencies in certain countries that could lead to a devaluation of our net assets, in particular our cash assets, in that country’s </w:t>
            </w:r>
            <w:r>
              <w:rPr>
                <w:rFonts w:ascii="Calibri" w:hAnsi="Calibri" w:cs="Calibri"/>
                <w:color w:val="000000"/>
                <w:sz w:val="20"/>
                <w:szCs w:val="20"/>
              </w:rPr>
              <w:t>currency;</w:t>
            </w:r>
          </w:p>
        </w:tc>
      </w:tr>
    </w:tbl>
    <w:p w14:paraId="3973CB3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38" w14:textId="77777777">
        <w:tc>
          <w:tcPr>
            <w:tcW w:w="262" w:type="pct"/>
            <w:shd w:val="clear" w:color="auto" w:fill="auto"/>
            <w:noWrap/>
          </w:tcPr>
          <w:p w14:paraId="3973CB3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36"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37"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regulatory changes, including government austerity measures in certain countries that we may not be able to sufficiently plan for or avoid that may unexpectedly impair bank deposits or other cash assets that we hold in these </w:t>
            </w:r>
            <w:r>
              <w:rPr>
                <w:rFonts w:ascii="Calibri" w:hAnsi="Calibri" w:cs="Calibri"/>
                <w:color w:val="000000"/>
                <w:sz w:val="20"/>
                <w:szCs w:val="20"/>
              </w:rPr>
              <w:t>countries or that impose additional taxes that we may be required to pay in these countries;</w:t>
            </w:r>
          </w:p>
        </w:tc>
      </w:tr>
    </w:tbl>
    <w:p w14:paraId="3973CB3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3D" w14:textId="77777777">
        <w:tc>
          <w:tcPr>
            <w:tcW w:w="262" w:type="pct"/>
            <w:shd w:val="clear" w:color="auto" w:fill="auto"/>
            <w:noWrap/>
          </w:tcPr>
          <w:p w14:paraId="3973CB3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3B"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3C"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common local business behaviors that are in direct conflict with our business ethics, practices and conduct policies;</w:t>
            </w:r>
          </w:p>
        </w:tc>
      </w:tr>
    </w:tbl>
    <w:p w14:paraId="3973CB3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42" w14:textId="77777777">
        <w:tc>
          <w:tcPr>
            <w:tcW w:w="262" w:type="pct"/>
            <w:shd w:val="clear" w:color="auto" w:fill="auto"/>
            <w:noWrap/>
          </w:tcPr>
          <w:p w14:paraId="3973CB3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40"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41"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natural disasters;</w:t>
            </w:r>
          </w:p>
        </w:tc>
      </w:tr>
    </w:tbl>
    <w:p w14:paraId="3973CB4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47" w14:textId="77777777">
        <w:tc>
          <w:tcPr>
            <w:tcW w:w="262" w:type="pct"/>
            <w:shd w:val="clear" w:color="auto" w:fill="auto"/>
            <w:noWrap/>
          </w:tcPr>
          <w:p w14:paraId="3973CB4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45"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46"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the effe</w:t>
            </w:r>
            <w:r>
              <w:rPr>
                <w:rFonts w:ascii="Calibri" w:hAnsi="Calibri" w:cs="Calibri"/>
                <w:color w:val="000000"/>
                <w:sz w:val="20"/>
                <w:szCs w:val="20"/>
              </w:rPr>
              <w:t>cts of climate change (such as sea level rise, drought, flooding, wildfires and increased storm sensitivity);</w:t>
            </w:r>
          </w:p>
        </w:tc>
      </w:tr>
    </w:tbl>
    <w:p w14:paraId="3973CB4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4C" w14:textId="77777777">
        <w:tc>
          <w:tcPr>
            <w:tcW w:w="262" w:type="pct"/>
            <w:shd w:val="clear" w:color="auto" w:fill="auto"/>
            <w:noWrap/>
          </w:tcPr>
          <w:p w14:paraId="3973CB4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4A"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4B"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longer payment cycles and difficulties in collecting accounts receivable;</w:t>
            </w:r>
          </w:p>
        </w:tc>
      </w:tr>
    </w:tbl>
    <w:p w14:paraId="3973CB4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51" w14:textId="77777777">
        <w:tc>
          <w:tcPr>
            <w:tcW w:w="262" w:type="pct"/>
            <w:shd w:val="clear" w:color="auto" w:fill="auto"/>
            <w:noWrap/>
          </w:tcPr>
          <w:p w14:paraId="3973CB4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4F"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50"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overlapping tax regimes; and</w:t>
            </w:r>
          </w:p>
        </w:tc>
      </w:tr>
    </w:tbl>
    <w:p w14:paraId="3973CB5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56" w14:textId="77777777">
        <w:tc>
          <w:tcPr>
            <w:tcW w:w="262" w:type="pct"/>
            <w:shd w:val="clear" w:color="auto" w:fill="auto"/>
            <w:noWrap/>
          </w:tcPr>
          <w:p w14:paraId="3973CB5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5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5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 xml:space="preserve">reduced </w:t>
            </w:r>
            <w:r>
              <w:rPr>
                <w:rFonts w:ascii="Calibri" w:hAnsi="Calibri" w:cs="Calibri"/>
                <w:color w:val="000000"/>
                <w:sz w:val="20"/>
                <w:szCs w:val="20"/>
              </w:rPr>
              <w:t>protection for intellectual property rights in some countries.</w:t>
            </w:r>
          </w:p>
        </w:tc>
      </w:tr>
    </w:tbl>
    <w:p w14:paraId="3973CB5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variety of risks and challenges listed above could also disrupt or otherwise negatively impact our supply chain operations and sales of our products and services in affected </w:t>
      </w:r>
      <w:r>
        <w:rPr>
          <w:rFonts w:ascii="Calibri" w:hAnsi="Calibri" w:cs="Calibri"/>
          <w:sz w:val="20"/>
          <w:szCs w:val="20"/>
        </w:rPr>
        <w:t>countries or regions.</w:t>
      </w:r>
    </w:p>
    <w:p w14:paraId="3973CB5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the majority shareholder of Oracle Financial Services Software Limited, a publicly traded company in India, and Oracle Corporation Japan, a publicly traded company in Japan, we are faced with several additional risks, including bei</w:t>
      </w:r>
      <w:r>
        <w:rPr>
          <w:rFonts w:ascii="Calibri" w:hAnsi="Calibri" w:cs="Calibri"/>
          <w:sz w:val="20"/>
          <w:szCs w:val="20"/>
        </w:rPr>
        <w:t>ng subject to local securities regulations and being unable to exert full control that we would otherwise have if these entities were wholly-owned subsidiaries.</w:t>
      </w:r>
    </w:p>
    <w:p w14:paraId="3973CB59"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sales to government clients expose us to business volatility and risks, including </w:t>
      </w:r>
      <w:r>
        <w:rPr>
          <w:rFonts w:ascii="Calibri" w:hAnsi="Calibri" w:cs="Calibri"/>
          <w:b/>
          <w:bCs/>
          <w:i/>
          <w:iCs/>
          <w:sz w:val="20"/>
          <w:szCs w:val="20"/>
        </w:rPr>
        <w:t>government budgeting cycles and appropriations, procurement regulations, governmental policy shifts, early termination of contracts, audits, investigations, sanctions and penalties.</w:t>
      </w:r>
      <w:r>
        <w:rPr>
          <w:rFonts w:ascii="Calibri" w:hAnsi="Calibri" w:cs="Calibri"/>
          <w:sz w:val="20"/>
          <w:szCs w:val="20"/>
        </w:rPr>
        <w:t xml:space="preserve">   We derive revenues from contracts with the U.S. government, state and lo</w:t>
      </w:r>
      <w:r>
        <w:rPr>
          <w:rFonts w:ascii="Calibri" w:hAnsi="Calibri" w:cs="Calibri"/>
          <w:sz w:val="20"/>
          <w:szCs w:val="20"/>
        </w:rPr>
        <w:t>cal governments, and foreign governments and are subject to procurement laws relating to the award, administration and performance of those contracts.</w:t>
      </w:r>
    </w:p>
    <w:p w14:paraId="3973CB5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Governmental entities are variously pursuing policies that affect our ability to sell our products and se</w:t>
      </w:r>
      <w:r>
        <w:rPr>
          <w:rFonts w:ascii="Calibri" w:hAnsi="Calibri" w:cs="Calibri"/>
          <w:sz w:val="20"/>
          <w:szCs w:val="20"/>
        </w:rPr>
        <w:t>rvices. Changes in government procurement policy, priorities, regulations, technology initiatives and/or requirements may negatively impact our potential for growth in the government sector. For example, the U.S. government imposes evolving cybersecurity r</w:t>
      </w:r>
      <w:r>
        <w:rPr>
          <w:rFonts w:ascii="Calibri" w:hAnsi="Calibri" w:cs="Calibri"/>
          <w:sz w:val="20"/>
          <w:szCs w:val="20"/>
        </w:rPr>
        <w:t>equirements, including, for example, the FedRAMP authorization process and the Department of Defense (DoD) Cybersecurity Maturity Model Certification. These requirements may impact our lines of business in the U.S. federal government market. Compliance wit</w:t>
      </w:r>
      <w:r>
        <w:rPr>
          <w:rFonts w:ascii="Calibri" w:hAnsi="Calibri" w:cs="Calibri"/>
          <w:sz w:val="20"/>
          <w:szCs w:val="20"/>
        </w:rPr>
        <w:t>h these cybersecurity requirements is complex and costly, and failure to meet, or delays in meeting, the required security controls could limit our ability to sell products and services, directly or indirectly, to the DoD and other federal and state govern</w:t>
      </w:r>
      <w:r>
        <w:rPr>
          <w:rFonts w:ascii="Calibri" w:hAnsi="Calibri" w:cs="Calibri"/>
          <w:sz w:val="20"/>
          <w:szCs w:val="20"/>
        </w:rPr>
        <w:t>ment entities that implement similar cybersecurity requirements.</w:t>
      </w:r>
    </w:p>
    <w:p w14:paraId="3973CB5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are also subject to early termination of our contracts. Many governmental entities have the right to terminate contracts at any time, without cause. For example, the U.S. federal governmen</w:t>
      </w:r>
      <w:r>
        <w:rPr>
          <w:rFonts w:ascii="Calibri" w:hAnsi="Calibri" w:cs="Calibri"/>
          <w:sz w:val="20"/>
          <w:szCs w:val="20"/>
        </w:rPr>
        <w:t>t may terminate any of our government contracts and subcontracts at its convenience, or for default based on our performance.</w:t>
      </w:r>
    </w:p>
    <w:p w14:paraId="3973CB5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U.S. federal, state and local government and foreign government contracts are generally subject to government funding authorizatio</w:t>
      </w:r>
      <w:r>
        <w:rPr>
          <w:rFonts w:ascii="Calibri" w:hAnsi="Calibri" w:cs="Calibri"/>
          <w:sz w:val="20"/>
          <w:szCs w:val="20"/>
        </w:rPr>
        <w:t>ns/appropriations. Contracts may be terminated based upon a lack of government funds.</w:t>
      </w:r>
    </w:p>
    <w:p w14:paraId="3973CB5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There is increased pressure on governments and their agencies, both domestically and internationally, to reduce spending as governments continue to face significant defic</w:t>
      </w:r>
      <w:r>
        <w:rPr>
          <w:rFonts w:ascii="Calibri" w:hAnsi="Calibri" w:cs="Calibri"/>
          <w:sz w:val="20"/>
          <w:szCs w:val="20"/>
        </w:rPr>
        <w:t>it reduction pressures. This may adversely impact spending on government programs.</w:t>
      </w:r>
    </w:p>
    <w:p w14:paraId="3973CB5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Government contracts laws and regulations impose certain risks, and contracts are generally subject to audits and investigations. If violations of law are found, they could </w:t>
      </w:r>
      <w:r>
        <w:rPr>
          <w:rFonts w:ascii="Calibri" w:hAnsi="Calibri" w:cs="Calibri"/>
          <w:sz w:val="20"/>
          <w:szCs w:val="20"/>
        </w:rPr>
        <w:t xml:space="preserve">result in civil and criminal penalties and administrative </w:t>
      </w:r>
    </w:p>
    <w:p w14:paraId="3973CB5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3973CB60" w14:textId="77777777" w:rsidR="007B027D" w:rsidRDefault="008E0125">
      <w:r>
        <w:rPr>
          <w:rFonts w:ascii="Calibri" w:hAnsi="Calibri" w:cs="Calibri"/>
          <w:sz w:val="20"/>
          <w:szCs w:val="20"/>
        </w:rPr>
        <w:pict w14:anchorId="39740056">
          <v:rect id="_x0000_i1055" style="width:415.3pt;height:1.5pt" o:hralign="center" o:hrstd="t" o:hr="t" fillcolor="#a0a0a0" stroked="f"/>
        </w:pict>
      </w:r>
    </w:p>
    <w:p w14:paraId="3973CB61" w14:textId="77777777" w:rsidR="007B027D" w:rsidRDefault="008E0125">
      <w:pPr>
        <w:pStyle w:val="a3"/>
        <w:spacing w:beforeAutospacing="0" w:after="120" w:afterAutospacing="0"/>
        <w:rPr>
          <w:rFonts w:ascii="Calibri" w:hAnsi="Calibri" w:cs="Calibri"/>
          <w:sz w:val="18"/>
          <w:szCs w:val="18"/>
        </w:rPr>
      </w:pPr>
      <w:hyperlink r:id="rId86" w:anchor="TABLE_OF_CONTENTS" w:history="1">
        <w:r>
          <w:rPr>
            <w:rStyle w:val="a5"/>
            <w:rFonts w:ascii="Calibri" w:hAnsi="Calibri" w:cs="Calibri"/>
            <w:sz w:val="18"/>
            <w:szCs w:val="18"/>
          </w:rPr>
          <w:t>Table of Contents</w:t>
        </w:r>
      </w:hyperlink>
    </w:p>
    <w:p w14:paraId="3973CB62" w14:textId="77777777" w:rsidR="007B027D" w:rsidRDefault="008E0125">
      <w:pPr>
        <w:pStyle w:val="a3"/>
        <w:spacing w:beforeAutospacing="0" w:afterAutospacing="0"/>
        <w:rPr>
          <w:rFonts w:ascii="Calibri" w:hAnsi="Calibri" w:cs="Calibri"/>
          <w:sz w:val="18"/>
          <w:szCs w:val="18"/>
        </w:rPr>
      </w:pPr>
      <w:hyperlink r:id="rId87" w:anchor="ITEM_15_EXHIBITS_FINANCIAL_STATEMENT_SCH" w:history="1">
        <w:r>
          <w:rPr>
            <w:rStyle w:val="a5"/>
            <w:rFonts w:ascii="Calibri" w:hAnsi="Calibri" w:cs="Calibri"/>
            <w:sz w:val="18"/>
            <w:szCs w:val="18"/>
          </w:rPr>
          <w:t>Index to Financial Statements</w:t>
        </w:r>
      </w:hyperlink>
    </w:p>
    <w:p w14:paraId="3973CB6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6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sanctions, including termination of contracts, refund of a portion of fees received, </w:t>
      </w:r>
      <w:r>
        <w:rPr>
          <w:rFonts w:ascii="Calibri" w:hAnsi="Calibri" w:cs="Calibri"/>
          <w:sz w:val="20"/>
          <w:szCs w:val="20"/>
        </w:rPr>
        <w:t>forfeiture of profits, suspension of payments, fines and suspensions or debarment from future government business.</w:t>
      </w:r>
    </w:p>
    <w:p w14:paraId="3973CB6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Environmental and other related laws and regulations subject us to a number of risks and could result in significant liabilities and costs.</w:t>
      </w:r>
      <w:r>
        <w:rPr>
          <w:rFonts w:ascii="Calibri" w:hAnsi="Calibri" w:cs="Calibri"/>
          <w:sz w:val="20"/>
          <w:szCs w:val="20"/>
        </w:rPr>
        <w:t xml:space="preserve">  </w:t>
      </w:r>
      <w:r>
        <w:rPr>
          <w:rFonts w:ascii="Calibri" w:hAnsi="Calibri" w:cs="Calibri"/>
          <w:sz w:val="20"/>
          <w:szCs w:val="20"/>
        </w:rPr>
        <w:t> Our cloud and hardware operations are subject to state, federal and international laws governing protection of the environment, proper handling and disposal of materials used for these products, human health and safety, the use of certain chemical substan</w:t>
      </w:r>
      <w:r>
        <w:rPr>
          <w:rFonts w:ascii="Calibri" w:hAnsi="Calibri" w:cs="Calibri"/>
          <w:sz w:val="20"/>
          <w:szCs w:val="20"/>
        </w:rPr>
        <w:t>ces and the labor practices of suppliers, as well as local testing and labeling requirements. Compliance with these ever-changing environmental and other laws in a timely manner could increase our product design, development, procurement, manufacturing, de</w:t>
      </w:r>
      <w:r>
        <w:rPr>
          <w:rFonts w:ascii="Calibri" w:hAnsi="Calibri" w:cs="Calibri"/>
          <w:sz w:val="20"/>
          <w:szCs w:val="20"/>
        </w:rPr>
        <w:t>livery, cloud operations and administration costs, limit our ability to manage excess and obsolete non-compliant inventory, change our sales activities, or otherwise impact future financial results of our cloud and hardware businesses. Any violation of the</w:t>
      </w:r>
      <w:r>
        <w:rPr>
          <w:rFonts w:ascii="Calibri" w:hAnsi="Calibri" w:cs="Calibri"/>
          <w:sz w:val="20"/>
          <w:szCs w:val="20"/>
        </w:rPr>
        <w:t>se laws can subject us to significant liability, including fines, penalties and possible prohibition of sales of our products and services into one or more states or countries and result in a material adverse effect on the financial condition or results of</w:t>
      </w:r>
      <w:r>
        <w:rPr>
          <w:rFonts w:ascii="Calibri" w:hAnsi="Calibri" w:cs="Calibri"/>
          <w:sz w:val="20"/>
          <w:szCs w:val="20"/>
        </w:rPr>
        <w:t xml:space="preserve"> operations of our cloud and hardware businesses. Regulatory, market, and competitive pressures regarding the greenhouse gas emissions and energy mix for our data center operations may also grow.</w:t>
      </w:r>
    </w:p>
    <w:p w14:paraId="3973CB6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 significant portion of our hardware revenues come from int</w:t>
      </w:r>
      <w:r>
        <w:rPr>
          <w:rFonts w:ascii="Calibri" w:hAnsi="Calibri" w:cs="Calibri"/>
          <w:sz w:val="20"/>
          <w:szCs w:val="20"/>
        </w:rPr>
        <w:t>ernational sales. Environmental legislation, such as the EU Directive on Restriction of Hazardous Substances (RoHS), the EU Waste Electrical and Electronic Equipment Directive (WEEE Directive) and China’s regulation on Management Methods for Controlling Po</w:t>
      </w:r>
      <w:r>
        <w:rPr>
          <w:rFonts w:ascii="Calibri" w:hAnsi="Calibri" w:cs="Calibri"/>
          <w:sz w:val="20"/>
          <w:szCs w:val="20"/>
        </w:rPr>
        <w:t>llution Caused by Electronic Information Products, among others, may increase our cost of doing business internationally and impact our hardware revenues from the EU, China and other countries with similar environmental legislation as we endeavor to comply</w:t>
      </w:r>
      <w:r>
        <w:rPr>
          <w:rFonts w:ascii="Calibri" w:hAnsi="Calibri" w:cs="Calibri"/>
          <w:sz w:val="20"/>
          <w:szCs w:val="20"/>
        </w:rPr>
        <w:t xml:space="preserve"> with and implement these requirements. </w:t>
      </w:r>
    </w:p>
    <w:p w14:paraId="3973CB6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an Environmental Steering Committee (ESC) comprised of senior individuals from a wide range of Oracle business units, including our Chief Sustainability Officer who oversees our overall sustainability strate</w:t>
      </w:r>
      <w:r>
        <w:rPr>
          <w:rFonts w:ascii="Calibri" w:hAnsi="Calibri" w:cs="Calibri"/>
          <w:sz w:val="20"/>
          <w:szCs w:val="20"/>
        </w:rPr>
        <w:t>gy, including climate related risk mitigation. The ESC evaluates if climate or environmental risks have the potential for significant chronic or acute impact on our core and/or strategic business functions, including service delivery and support, product d</w:t>
      </w:r>
      <w:r>
        <w:rPr>
          <w:rFonts w:ascii="Calibri" w:hAnsi="Calibri" w:cs="Calibri"/>
          <w:sz w:val="20"/>
          <w:szCs w:val="20"/>
        </w:rPr>
        <w:t>evelopment and deployment, supply chain management, facility operations, employee recruitment and retention, or brand reputation. A failure by the ESC to identify and assess these risks could adversely affect our reputation, business, financial performance</w:t>
      </w:r>
      <w:r>
        <w:rPr>
          <w:rFonts w:ascii="Calibri" w:hAnsi="Calibri" w:cs="Calibri"/>
          <w:sz w:val="20"/>
          <w:szCs w:val="20"/>
        </w:rPr>
        <w:t xml:space="preserve"> and growth. </w:t>
      </w:r>
    </w:p>
    <w:p w14:paraId="3973CB6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publish an annual Corporate Citizenship Report, which includes disclosure of our Environmental, Social and Governance (ESG) matters and goals. Our disclosures on these matters, and standards we set for ourselves or a failure to meet these </w:t>
      </w:r>
      <w:r>
        <w:rPr>
          <w:rFonts w:ascii="Calibri" w:hAnsi="Calibri" w:cs="Calibri"/>
          <w:sz w:val="20"/>
          <w:szCs w:val="20"/>
        </w:rPr>
        <w:t>standards, may potentially harm our reputation and brand. By electing to set and share publicly these corporate ESG standards, our business may also face increased scrutiny related to ESG activities.</w:t>
      </w:r>
    </w:p>
    <w:p w14:paraId="3973CB6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Financial Risks</w:t>
      </w:r>
    </w:p>
    <w:p w14:paraId="3973CB6A"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quarterly results of operations may </w:t>
      </w:r>
      <w:r>
        <w:rPr>
          <w:rFonts w:ascii="Calibri" w:hAnsi="Calibri" w:cs="Calibri"/>
          <w:b/>
          <w:bCs/>
          <w:i/>
          <w:iCs/>
          <w:sz w:val="20"/>
          <w:szCs w:val="20"/>
        </w:rPr>
        <w:t>fluctuate significantly based on a number of factors that make our results of operations difficult for us to predict.</w:t>
      </w:r>
      <w:r>
        <w:rPr>
          <w:rFonts w:ascii="Calibri" w:hAnsi="Calibri" w:cs="Calibri"/>
          <w:sz w:val="20"/>
          <w:szCs w:val="20"/>
        </w:rPr>
        <w:t xml:space="preserve">   Our revenues, particularly certain of our cloud license and on-premise license revenues and hardware revenues, can be difficult to forec</w:t>
      </w:r>
      <w:r>
        <w:rPr>
          <w:rFonts w:ascii="Calibri" w:hAnsi="Calibri" w:cs="Calibri"/>
          <w:sz w:val="20"/>
          <w:szCs w:val="20"/>
        </w:rPr>
        <w:t>ast. A substantial portion of our cloud license, on-premise license and hardware contracts is completed in the latter part of a quarter. Because a significant portion of our cost structure is largely fixed in the short term, sales and revenue shortfalls te</w:t>
      </w:r>
      <w:r>
        <w:rPr>
          <w:rFonts w:ascii="Calibri" w:hAnsi="Calibri" w:cs="Calibri"/>
          <w:sz w:val="20"/>
          <w:szCs w:val="20"/>
        </w:rPr>
        <w:t>nd to have a disproportionately negative impact on our profitability. The number of large license transactions and, to a lesser extent, hardware products transactions increases the risk of fluctuations in our quarterly results because a delay in even a sma</w:t>
      </w:r>
      <w:r>
        <w:rPr>
          <w:rFonts w:ascii="Calibri" w:hAnsi="Calibri" w:cs="Calibri"/>
          <w:sz w:val="20"/>
          <w:szCs w:val="20"/>
        </w:rPr>
        <w:t xml:space="preserve">ll number of these transactions could cause our quarterly sales, revenues and profitability to fall significantly short of our predictions. In addition, sudden shifts in regional or global economic or political activity may cause our sales forecasts to be </w:t>
      </w:r>
      <w:r>
        <w:rPr>
          <w:rFonts w:ascii="Calibri" w:hAnsi="Calibri" w:cs="Calibri"/>
          <w:sz w:val="20"/>
          <w:szCs w:val="20"/>
        </w:rPr>
        <w:t>inaccurate.</w:t>
      </w:r>
    </w:p>
    <w:p w14:paraId="3973CB6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we hold a portfolio of publicly traded and privately held equity investments. Changes in the fair values of these investments are recorded as unrealized gains or losses as a component of consolidated net income in each period. The </w:t>
      </w:r>
      <w:r>
        <w:rPr>
          <w:rFonts w:ascii="Calibri" w:hAnsi="Calibri" w:cs="Calibri"/>
          <w:sz w:val="20"/>
          <w:szCs w:val="20"/>
        </w:rPr>
        <w:t>timing and amount of changes in fair value, if any, of these investments depends on factors beyond our control, including the perceived and actual performance of the companies or funds in which we invest, and are subject to the general conditions of public</w:t>
      </w:r>
      <w:r>
        <w:rPr>
          <w:rFonts w:ascii="Calibri" w:hAnsi="Calibri" w:cs="Calibri"/>
          <w:sz w:val="20"/>
          <w:szCs w:val="20"/>
        </w:rPr>
        <w:t xml:space="preserve"> and private equity markets, which are uncertain and have in the past </w:t>
      </w:r>
    </w:p>
    <w:p w14:paraId="3973CB6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3973CB6D" w14:textId="77777777" w:rsidR="007B027D" w:rsidRDefault="008E0125">
      <w:r>
        <w:rPr>
          <w:rFonts w:ascii="Calibri" w:hAnsi="Calibri" w:cs="Calibri"/>
          <w:sz w:val="20"/>
          <w:szCs w:val="20"/>
        </w:rPr>
        <w:pict w14:anchorId="39740057">
          <v:rect id="_x0000_i1056" style="width:415.3pt;height:1.5pt" o:hralign="center" o:hrstd="t" o:hr="t" fillcolor="#a0a0a0" stroked="f"/>
        </w:pict>
      </w:r>
    </w:p>
    <w:p w14:paraId="3973CB6E" w14:textId="77777777" w:rsidR="007B027D" w:rsidRDefault="008E0125">
      <w:pPr>
        <w:pStyle w:val="a3"/>
        <w:spacing w:beforeAutospacing="0" w:after="120" w:afterAutospacing="0"/>
        <w:rPr>
          <w:rFonts w:ascii="Calibri" w:hAnsi="Calibri" w:cs="Calibri"/>
          <w:sz w:val="18"/>
          <w:szCs w:val="18"/>
        </w:rPr>
      </w:pPr>
      <w:hyperlink r:id="rId88" w:anchor="TABLE_OF_CONTENTS" w:history="1">
        <w:r>
          <w:rPr>
            <w:rStyle w:val="a5"/>
            <w:rFonts w:ascii="Calibri" w:hAnsi="Calibri" w:cs="Calibri"/>
            <w:sz w:val="18"/>
            <w:szCs w:val="18"/>
          </w:rPr>
          <w:t>Table of Contents</w:t>
        </w:r>
      </w:hyperlink>
    </w:p>
    <w:p w14:paraId="3973CB6F" w14:textId="77777777" w:rsidR="007B027D" w:rsidRDefault="008E0125">
      <w:pPr>
        <w:pStyle w:val="a3"/>
        <w:spacing w:beforeAutospacing="0" w:afterAutospacing="0"/>
        <w:rPr>
          <w:rFonts w:ascii="Calibri" w:hAnsi="Calibri" w:cs="Calibri"/>
          <w:sz w:val="18"/>
          <w:szCs w:val="18"/>
        </w:rPr>
      </w:pPr>
      <w:hyperlink r:id="rId89" w:anchor="ITEM_15_EXHIBITS_FINANCIAL_STATEMENT_SCH" w:history="1">
        <w:r>
          <w:rPr>
            <w:rStyle w:val="a5"/>
            <w:rFonts w:ascii="Calibri" w:hAnsi="Calibri" w:cs="Calibri"/>
            <w:sz w:val="18"/>
            <w:szCs w:val="18"/>
          </w:rPr>
          <w:t>Index to Financial Statements</w:t>
        </w:r>
      </w:hyperlink>
    </w:p>
    <w:p w14:paraId="3973CB70"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7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varied, and may in the future vary, materially by period and </w:t>
      </w:r>
      <w:r>
        <w:rPr>
          <w:rFonts w:ascii="Calibri" w:hAnsi="Calibri" w:cs="Calibri"/>
          <w:sz w:val="20"/>
          <w:szCs w:val="20"/>
        </w:rPr>
        <w:t>may create volatility in our net income that is not reflective of our core businesses.</w:t>
      </w:r>
    </w:p>
    <w:p w14:paraId="3973CB72"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Changes in currency exchange rates can adversely affect customer demand and our revenue and profitability.</w:t>
      </w:r>
      <w:r>
        <w:rPr>
          <w:rFonts w:ascii="Calibri" w:hAnsi="Calibri" w:cs="Calibri"/>
          <w:b/>
          <w:bCs/>
          <w:sz w:val="20"/>
          <w:szCs w:val="20"/>
        </w:rPr>
        <w:t>   </w:t>
      </w:r>
      <w:r>
        <w:rPr>
          <w:rFonts w:ascii="Calibri" w:hAnsi="Calibri" w:cs="Calibri"/>
          <w:sz w:val="20"/>
          <w:szCs w:val="20"/>
        </w:rPr>
        <w:t>We conduct a significant number of transactions and hold cas</w:t>
      </w:r>
      <w:r>
        <w:rPr>
          <w:rFonts w:ascii="Calibri" w:hAnsi="Calibri" w:cs="Calibri"/>
          <w:sz w:val="20"/>
          <w:szCs w:val="20"/>
        </w:rPr>
        <w:t xml:space="preserve">h in currencies other than the U.S. Dollar. Changes in the values of major foreign currencies, particularly the Euro, Japanese Yen, Saudi Arabian Riyal, Indian Rupee and British Pound, relative to the U.S. Dollar can significantly affect our total assets, </w:t>
      </w:r>
      <w:r>
        <w:rPr>
          <w:rFonts w:ascii="Calibri" w:hAnsi="Calibri" w:cs="Calibri"/>
          <w:sz w:val="20"/>
          <w:szCs w:val="20"/>
        </w:rPr>
        <w:t>revenues, operating results and cash flows, which are reported in U.S. Dollars. Fluctuations in foreign currency rates, including the strengthening of the U.S. Dollar against the Euro and most other major international currencies, adversely affects our rev</w:t>
      </w:r>
      <w:r>
        <w:rPr>
          <w:rFonts w:ascii="Calibri" w:hAnsi="Calibri" w:cs="Calibri"/>
          <w:sz w:val="20"/>
          <w:szCs w:val="20"/>
        </w:rPr>
        <w:t>enue growth in terms of the amounts that we report in U.S. Dollars after converting our foreign currency results into U.S. Dollars and in terms of actual demand for our products and services as certain of these products may become relatively more expensive</w:t>
      </w:r>
      <w:r>
        <w:rPr>
          <w:rFonts w:ascii="Calibri" w:hAnsi="Calibri" w:cs="Calibri"/>
          <w:sz w:val="20"/>
          <w:szCs w:val="20"/>
        </w:rPr>
        <w:t xml:space="preserve"> for foreign currency-based enterprises to purchase. In addition, currency variations can adversely affect margins on sales of our products in countries outside of the U.S. Generally, our reported revenues and operating results are adversely affected when </w:t>
      </w:r>
      <w:r>
        <w:rPr>
          <w:rFonts w:ascii="Calibri" w:hAnsi="Calibri" w:cs="Calibri"/>
          <w:sz w:val="20"/>
          <w:szCs w:val="20"/>
        </w:rPr>
        <w:t>the dollar strengthens relative to other currencies and are positively affected when the dollar weakens. In addition, our reported assets generally are adversely affected when the dollar strengthens relative to other currencies as a portion of our consolid</w:t>
      </w:r>
      <w:r>
        <w:rPr>
          <w:rFonts w:ascii="Calibri" w:hAnsi="Calibri" w:cs="Calibri"/>
          <w:sz w:val="20"/>
          <w:szCs w:val="20"/>
        </w:rPr>
        <w:t>ated cash and bank deposits, among other assets, are held in foreign currencies and reported in U.S. Dollars.</w:t>
      </w:r>
    </w:p>
    <w:p w14:paraId="3973CB7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we incur foreign currency transaction gains and losses, primarily related to sublicense fees and other intercompany agreements among </w:t>
      </w:r>
      <w:r>
        <w:rPr>
          <w:rFonts w:ascii="Calibri" w:hAnsi="Calibri" w:cs="Calibri"/>
          <w:sz w:val="20"/>
          <w:szCs w:val="20"/>
        </w:rPr>
        <w:t>us and our subsidiaries that we expect to cash settle in the near term, which are charged to earnings in the period incurred. We have a program which primarily utilizes foreign currency forward contracts designed to offset the risks associated with certain</w:t>
      </w:r>
      <w:r>
        <w:rPr>
          <w:rFonts w:ascii="Calibri" w:hAnsi="Calibri" w:cs="Calibri"/>
          <w:sz w:val="20"/>
          <w:szCs w:val="20"/>
        </w:rPr>
        <w:t xml:space="preserve"> foreign currency exposures. We may suspend the program from time to time. As part of this program, we enter into foreign currency forward contracts so that increases or decreases in our foreign currency exposures are offset at least in part by gains or lo</w:t>
      </w:r>
      <w:r>
        <w:rPr>
          <w:rFonts w:ascii="Calibri" w:hAnsi="Calibri" w:cs="Calibri"/>
          <w:sz w:val="20"/>
          <w:szCs w:val="20"/>
        </w:rPr>
        <w:t xml:space="preserve">sses on the foreign currency forward contracts in an effort to mitigate the risks and volatility associated with our foreign currency transaction gains or losses. A large portion of our consolidated operations are international, and we expect that we will </w:t>
      </w:r>
      <w:r>
        <w:rPr>
          <w:rFonts w:ascii="Calibri" w:hAnsi="Calibri" w:cs="Calibri"/>
          <w:sz w:val="20"/>
          <w:szCs w:val="20"/>
        </w:rPr>
        <w:t xml:space="preserve">continue to realize gains or losses with respect to our foreign currency exposures, net of gains or losses from our foreign currency forward contracts, including the cost to obtain such contracts. For example, we will experience foreign currency gains and </w:t>
      </w:r>
      <w:r>
        <w:rPr>
          <w:rFonts w:ascii="Calibri" w:hAnsi="Calibri" w:cs="Calibri"/>
          <w:sz w:val="20"/>
          <w:szCs w:val="20"/>
        </w:rPr>
        <w:t>losses in certain instances if it is not possible or cost-effective to hedge our foreign currency exposures, if our hedging efforts are ineffective, or should we suspend our foreign currency forward contract program. Our ultimate realized loss or gain with</w:t>
      </w:r>
      <w:r>
        <w:rPr>
          <w:rFonts w:ascii="Calibri" w:hAnsi="Calibri" w:cs="Calibri"/>
          <w:sz w:val="20"/>
          <w:szCs w:val="20"/>
        </w:rPr>
        <w:t xml:space="preserve"> respect to currency fluctuations will generally depend on the size and type of cross-currency exposures that we enter into, the currency exchange rates associated with these exposures and changes in those rates, whether we have entered into foreign curren</w:t>
      </w:r>
      <w:r>
        <w:rPr>
          <w:rFonts w:ascii="Calibri" w:hAnsi="Calibri" w:cs="Calibri"/>
          <w:sz w:val="20"/>
          <w:szCs w:val="20"/>
        </w:rPr>
        <w:t>cy forward contracts to offset these exposures and any related fees paid to purchase such contracts, and other factors. All of these factors could materially impact our results of operations, financial position and cash flows.</w:t>
      </w:r>
    </w:p>
    <w:p w14:paraId="3973CB7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incurred foreign curr</w:t>
      </w:r>
      <w:r>
        <w:rPr>
          <w:rFonts w:ascii="Calibri" w:hAnsi="Calibri" w:cs="Calibri"/>
          <w:sz w:val="20"/>
          <w:szCs w:val="20"/>
        </w:rPr>
        <w:t>ency losses associated with the devaluation of currencies in certain highly inflationary economies relative to the U.S. Dollar. We could incur future losses in emerging market countries and other countries where we do business should their currencies becom</w:t>
      </w:r>
      <w:r>
        <w:rPr>
          <w:rFonts w:ascii="Calibri" w:hAnsi="Calibri" w:cs="Calibri"/>
          <w:sz w:val="20"/>
          <w:szCs w:val="20"/>
        </w:rPr>
        <w:t xml:space="preserve">e designated as highly inflationary. </w:t>
      </w:r>
    </w:p>
    <w:p w14:paraId="3973CB7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There are risks associated with our outstanding and future indebtedness.</w:t>
      </w:r>
      <w:r>
        <w:rPr>
          <w:rFonts w:ascii="Calibri" w:hAnsi="Calibri" w:cs="Calibri"/>
          <w:sz w:val="20"/>
          <w:szCs w:val="20"/>
        </w:rPr>
        <w:t xml:space="preserve">   As of May 31, 2022, we had an aggregate of $75.9 billion of outstanding indebtedness that will mature between calendar year 2022 and calendar y</w:t>
      </w:r>
      <w:r>
        <w:rPr>
          <w:rFonts w:ascii="Calibri" w:hAnsi="Calibri" w:cs="Calibri"/>
          <w:sz w:val="20"/>
          <w:szCs w:val="20"/>
        </w:rPr>
        <w:t>ear 2061, we incurred additional indebtedness to finance our acquisition of Cerner in June 2022, and we intend to incur additional indebtedness in the future. Our ability to pay interest and repay the principal for our indebtedness is dependent upon our ab</w:t>
      </w:r>
      <w:r>
        <w:rPr>
          <w:rFonts w:ascii="Calibri" w:hAnsi="Calibri" w:cs="Calibri"/>
          <w:sz w:val="20"/>
          <w:szCs w:val="20"/>
        </w:rPr>
        <w:t>ility to manage our business operations, generate sufficient cash flows to service such debt and the other factors discussed in this section. There can be no assurance that we will be able to manage any of these risks successfully.</w:t>
      </w:r>
    </w:p>
    <w:p w14:paraId="3973CB7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may also need to refi</w:t>
      </w:r>
      <w:r>
        <w:rPr>
          <w:rFonts w:ascii="Calibri" w:hAnsi="Calibri" w:cs="Calibri"/>
          <w:sz w:val="20"/>
          <w:szCs w:val="20"/>
        </w:rPr>
        <w:t>nance a portion of our outstanding debt as it matures. There is a risk that we may not be able to refinance existing debt or that the terms of any refinancing may not be as favorable as the terms of our existing debt. Furthermore, if prevailing interest ra</w:t>
      </w:r>
      <w:r>
        <w:rPr>
          <w:rFonts w:ascii="Calibri" w:hAnsi="Calibri" w:cs="Calibri"/>
          <w:sz w:val="20"/>
          <w:szCs w:val="20"/>
        </w:rPr>
        <w:t>tes or other factors at the time of refinancing result in higher interest rates upon refinancing, then the interest expense relating to that refinanced indebtedness would increase.</w:t>
      </w:r>
    </w:p>
    <w:p w14:paraId="3973CB7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Should we incur future increases in interest expense, our ability to utilize certain of our foreign tax credits to reduce our U.S. federal income tax could be limited, which could unfavorably affect our provision for income taxes </w:t>
      </w:r>
    </w:p>
    <w:p w14:paraId="3973CB7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3973CB79" w14:textId="77777777" w:rsidR="007B027D" w:rsidRDefault="008E0125">
      <w:r>
        <w:rPr>
          <w:rFonts w:ascii="Calibri" w:hAnsi="Calibri" w:cs="Calibri"/>
          <w:sz w:val="20"/>
          <w:szCs w:val="20"/>
        </w:rPr>
        <w:pict w14:anchorId="39740058">
          <v:rect id="_x0000_i1057" style="width:415.3pt;height:1.5pt" o:hralign="center" o:hrstd="t" o:hr="t" fillcolor="#a0a0a0" stroked="f"/>
        </w:pict>
      </w:r>
    </w:p>
    <w:p w14:paraId="3973CB7A" w14:textId="77777777" w:rsidR="007B027D" w:rsidRDefault="008E0125">
      <w:pPr>
        <w:pStyle w:val="a3"/>
        <w:spacing w:beforeAutospacing="0" w:after="120" w:afterAutospacing="0"/>
        <w:rPr>
          <w:rFonts w:ascii="Calibri" w:hAnsi="Calibri" w:cs="Calibri"/>
          <w:sz w:val="18"/>
          <w:szCs w:val="18"/>
        </w:rPr>
      </w:pPr>
      <w:hyperlink r:id="rId90" w:anchor="TABLE_OF_CONTENTS" w:history="1">
        <w:r>
          <w:rPr>
            <w:rStyle w:val="a5"/>
            <w:rFonts w:ascii="Calibri" w:hAnsi="Calibri" w:cs="Calibri"/>
            <w:sz w:val="18"/>
            <w:szCs w:val="18"/>
          </w:rPr>
          <w:t>Table of Contents</w:t>
        </w:r>
      </w:hyperlink>
    </w:p>
    <w:p w14:paraId="3973CB7B" w14:textId="77777777" w:rsidR="007B027D" w:rsidRDefault="008E0125">
      <w:pPr>
        <w:pStyle w:val="a3"/>
        <w:spacing w:beforeAutospacing="0" w:afterAutospacing="0"/>
        <w:rPr>
          <w:rFonts w:ascii="Calibri" w:hAnsi="Calibri" w:cs="Calibri"/>
          <w:sz w:val="18"/>
          <w:szCs w:val="18"/>
        </w:rPr>
      </w:pPr>
      <w:hyperlink r:id="rId91" w:anchor="ITEM_15_EXHIBITS_FINANCIAL_STATEMENT_SCH" w:history="1">
        <w:r>
          <w:rPr>
            <w:rStyle w:val="a5"/>
            <w:rFonts w:ascii="Calibri" w:hAnsi="Calibri" w:cs="Calibri"/>
            <w:sz w:val="18"/>
            <w:szCs w:val="18"/>
          </w:rPr>
          <w:t>Index to Financial Statements</w:t>
        </w:r>
      </w:hyperlink>
    </w:p>
    <w:p w14:paraId="3973CB7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7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and effective tax rate. In addition, changes to our outlook or credit rating or a withdrawal by any rating agency could negatively affect the value of both our debt and equity securities </w:t>
      </w:r>
      <w:r>
        <w:rPr>
          <w:rFonts w:ascii="Calibri" w:hAnsi="Calibri" w:cs="Calibri"/>
          <w:sz w:val="20"/>
          <w:szCs w:val="20"/>
        </w:rPr>
        <w:t>and increase the interest amounts we pay on certain outstanding or future debt. These risks could adversely affect our financial condition and results of operations.</w:t>
      </w:r>
    </w:p>
    <w:p w14:paraId="3973CB7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Risks Related to Our Common Stock</w:t>
      </w:r>
    </w:p>
    <w:p w14:paraId="3973CB7F"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stock price could become more volatile and your </w:t>
      </w:r>
      <w:r>
        <w:rPr>
          <w:rFonts w:ascii="Calibri" w:hAnsi="Calibri" w:cs="Calibri"/>
          <w:b/>
          <w:bCs/>
          <w:i/>
          <w:iCs/>
          <w:sz w:val="20"/>
          <w:szCs w:val="20"/>
        </w:rPr>
        <w:t>investment could lose value.</w:t>
      </w:r>
      <w:r>
        <w:rPr>
          <w:rFonts w:ascii="Calibri" w:hAnsi="Calibri" w:cs="Calibri"/>
          <w:b/>
          <w:bCs/>
          <w:sz w:val="20"/>
          <w:szCs w:val="20"/>
        </w:rPr>
        <w:t xml:space="preserve">   </w:t>
      </w:r>
      <w:r>
        <w:rPr>
          <w:rFonts w:ascii="Calibri" w:hAnsi="Calibri" w:cs="Calibri"/>
          <w:sz w:val="20"/>
          <w:szCs w:val="20"/>
        </w:rPr>
        <w:t>All of the factors discussed within this Risk Factors section could affect our stock price. The timing of announcements in the public market by us or by our competitors regarding new cloud services, products, product enhancem</w:t>
      </w:r>
      <w:r>
        <w:rPr>
          <w:rFonts w:ascii="Calibri" w:hAnsi="Calibri" w:cs="Calibri"/>
          <w:sz w:val="20"/>
          <w:szCs w:val="20"/>
        </w:rPr>
        <w:t>ents, technological advances, acquisitions or major transactions could also affect our stock price. Changes in the amounts and frequency of share repurchases or dividends could affect our stock price. Our stock price could also be affected by factors, some</w:t>
      </w:r>
      <w:r>
        <w:rPr>
          <w:rFonts w:ascii="Calibri" w:hAnsi="Calibri" w:cs="Calibri"/>
          <w:sz w:val="20"/>
          <w:szCs w:val="20"/>
        </w:rPr>
        <w:t xml:space="preserve"> of which are beyond our control, including, among others: speculation in the press, social media and the analyst community; changes in recommendations or earnings related estimates by financial analysts; changes in investors’ or analysts’ valuation measur</w:t>
      </w:r>
      <w:r>
        <w:rPr>
          <w:rFonts w:ascii="Calibri" w:hAnsi="Calibri" w:cs="Calibri"/>
          <w:sz w:val="20"/>
          <w:szCs w:val="20"/>
        </w:rPr>
        <w:t>es for our stock; negative analyst surveys or channel check surveys; earnings announcements where our financial results differ from our guidance or investors’ expectations; our credit ratings and market trends unrelated to our performance. The stock market</w:t>
      </w:r>
      <w:r>
        <w:rPr>
          <w:rFonts w:ascii="Calibri" w:hAnsi="Calibri" w:cs="Calibri"/>
          <w:sz w:val="20"/>
          <w:szCs w:val="20"/>
        </w:rPr>
        <w:t xml:space="preserve"> in general, and the market for technology companies in particular, has experienced extreme price and volume fluctuations that have often been unrelated or disproportionate to the operating performance of those companies. A significant drop in our stock pr</w:t>
      </w:r>
      <w:r>
        <w:rPr>
          <w:rFonts w:ascii="Calibri" w:hAnsi="Calibri" w:cs="Calibri"/>
          <w:sz w:val="20"/>
          <w:szCs w:val="20"/>
        </w:rPr>
        <w:t>ice could also expose us to the risk of securities class action lawsuits, which could result in substantial costs and divert management’s attention and resources, which could adversely affect our business.</w:t>
      </w:r>
    </w:p>
    <w:p w14:paraId="3973CB80"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cannot guarantee that our stock repurchase prog</w:t>
      </w:r>
      <w:r>
        <w:rPr>
          <w:rFonts w:ascii="Calibri" w:hAnsi="Calibri" w:cs="Calibri"/>
          <w:b/>
          <w:bCs/>
          <w:i/>
          <w:iCs/>
          <w:sz w:val="20"/>
          <w:szCs w:val="20"/>
        </w:rPr>
        <w:t>ram will be fully implemented or that it will enhance long-term stockholder value.</w:t>
      </w:r>
      <w:r>
        <w:rPr>
          <w:rFonts w:ascii="Calibri" w:hAnsi="Calibri" w:cs="Calibri"/>
          <w:sz w:val="20"/>
          <w:szCs w:val="20"/>
        </w:rPr>
        <w:t xml:space="preserve">   In fiscal 2022, our Board of Directors approved expansions of our stock repurchase program totaling $10.0 billion. The repurchase program does not have an expiration date </w:t>
      </w:r>
      <w:r>
        <w:rPr>
          <w:rFonts w:ascii="Calibri" w:hAnsi="Calibri" w:cs="Calibri"/>
          <w:sz w:val="20"/>
          <w:szCs w:val="20"/>
        </w:rPr>
        <w:t>and we are not obligated to repurchase a specified number or dollar value of shares. Our repurchase program may be suspended or terminated at any time and, even if fully implemented, may not enhance long-term stockholder value.</w:t>
      </w:r>
    </w:p>
    <w:p w14:paraId="3973CB8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General Risks</w:t>
      </w:r>
    </w:p>
    <w:p w14:paraId="3973CB82"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Economic, poli</w:t>
      </w:r>
      <w:r>
        <w:rPr>
          <w:rFonts w:ascii="Calibri" w:hAnsi="Calibri" w:cs="Calibri"/>
          <w:b/>
          <w:bCs/>
          <w:i/>
          <w:iCs/>
          <w:sz w:val="20"/>
          <w:szCs w:val="20"/>
        </w:rPr>
        <w:t>tical and market conditions can adversely affect our business, results of operations and financial condition, including our revenue growth and profitability, which in turn could adversely affect our stock price.</w:t>
      </w:r>
      <w:r>
        <w:rPr>
          <w:rFonts w:ascii="Calibri" w:hAnsi="Calibri" w:cs="Calibri"/>
          <w:sz w:val="20"/>
          <w:szCs w:val="20"/>
        </w:rPr>
        <w:t>   Our business is influenced by a range of f</w:t>
      </w:r>
      <w:r>
        <w:rPr>
          <w:rFonts w:ascii="Calibri" w:hAnsi="Calibri" w:cs="Calibri"/>
          <w:sz w:val="20"/>
          <w:szCs w:val="20"/>
        </w:rPr>
        <w:t xml:space="preserve">actors that are beyond our control and that we have no comparative advantage in forecasting. These include: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86" w14:textId="77777777">
        <w:tc>
          <w:tcPr>
            <w:tcW w:w="262" w:type="pct"/>
            <w:shd w:val="clear" w:color="auto" w:fill="auto"/>
            <w:noWrap/>
          </w:tcPr>
          <w:p w14:paraId="3973CB8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84"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85"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general economic and business conditions;</w:t>
            </w:r>
          </w:p>
        </w:tc>
      </w:tr>
    </w:tbl>
    <w:p w14:paraId="3973CB8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8B" w14:textId="77777777">
        <w:tc>
          <w:tcPr>
            <w:tcW w:w="262" w:type="pct"/>
            <w:shd w:val="clear" w:color="auto" w:fill="auto"/>
            <w:noWrap/>
          </w:tcPr>
          <w:p w14:paraId="3973CB88"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89"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8A"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overall demand for enterprise cloud, license and hardware products and services;</w:t>
            </w:r>
          </w:p>
        </w:tc>
      </w:tr>
    </w:tbl>
    <w:p w14:paraId="3973CB8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90" w14:textId="77777777">
        <w:tc>
          <w:tcPr>
            <w:tcW w:w="262" w:type="pct"/>
            <w:shd w:val="clear" w:color="auto" w:fill="auto"/>
            <w:noWrap/>
          </w:tcPr>
          <w:p w14:paraId="3973CB8D"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8E"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8F"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governmental budgetary constraints or shifts in government spending priorities; and</w:t>
            </w:r>
          </w:p>
        </w:tc>
      </w:tr>
    </w:tbl>
    <w:p w14:paraId="3973CB9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B95" w14:textId="77777777">
        <w:tc>
          <w:tcPr>
            <w:tcW w:w="262" w:type="pct"/>
            <w:shd w:val="clear" w:color="auto" w:fill="auto"/>
            <w:noWrap/>
          </w:tcPr>
          <w:p w14:paraId="3973CB92"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B93" w14:textId="77777777" w:rsidR="007B027D" w:rsidRDefault="008E0125">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B94" w14:textId="77777777" w:rsidR="007B027D" w:rsidRDefault="008E0125">
            <w:pPr>
              <w:pStyle w:val="a3"/>
              <w:spacing w:before="80" w:beforeAutospacing="0" w:afterAutospacing="0"/>
              <w:jc w:val="both"/>
              <w:rPr>
                <w:rFonts w:ascii="Times New Roman" w:hAnsi="Times New Roman"/>
                <w:sz w:val="20"/>
                <w:szCs w:val="20"/>
              </w:rPr>
            </w:pPr>
            <w:r>
              <w:rPr>
                <w:rFonts w:ascii="Calibri" w:hAnsi="Calibri" w:cs="Calibri"/>
                <w:color w:val="000000"/>
                <w:sz w:val="20"/>
                <w:szCs w:val="20"/>
              </w:rPr>
              <w:t>general legal, regulatory and political developments.</w:t>
            </w:r>
          </w:p>
        </w:tc>
      </w:tr>
    </w:tbl>
    <w:p w14:paraId="3973CB9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Macroeconomic developments such as the global or regional economic effects resulting from the current Russia-Uk</w:t>
      </w:r>
      <w:r>
        <w:rPr>
          <w:rFonts w:ascii="Calibri" w:hAnsi="Calibri" w:cs="Calibri"/>
          <w:sz w:val="20"/>
          <w:szCs w:val="20"/>
        </w:rPr>
        <w:t>raine conflict, increasing inflation rates and related economic curtailment initiatives, the COVID-19 pandemic, the United Kingdom leaving the EU (Brexit), evolving trade policies between the U.S. and international trade partners, or the occurrence of simi</w:t>
      </w:r>
      <w:r>
        <w:rPr>
          <w:rFonts w:ascii="Calibri" w:hAnsi="Calibri" w:cs="Calibri"/>
          <w:sz w:val="20"/>
          <w:szCs w:val="20"/>
        </w:rPr>
        <w:t>lar events in other countries that lead to uncertainty or instability in economic, political or market conditions could negatively affect our business, operating results, financial condition and outlook, which, in turn, could adversely affect our stock pri</w:t>
      </w:r>
      <w:r>
        <w:rPr>
          <w:rFonts w:ascii="Calibri" w:hAnsi="Calibri" w:cs="Calibri"/>
          <w:sz w:val="20"/>
          <w:szCs w:val="20"/>
        </w:rPr>
        <w:t>ce. Any general weakening of, and related declining corporate confidence in, the global economy or the curtailment of government or corporate spending could cause current or potential customers to reduce or eliminate their IT budgets and spending, which co</w:t>
      </w:r>
      <w:r>
        <w:rPr>
          <w:rFonts w:ascii="Calibri" w:hAnsi="Calibri" w:cs="Calibri"/>
          <w:sz w:val="20"/>
          <w:szCs w:val="20"/>
        </w:rPr>
        <w:t>uld cause customers to delay, decrease or cancel purchases of our products and services or cause customers not to pay us or to delay paying us for previously purchased products and services.</w:t>
      </w:r>
    </w:p>
    <w:p w14:paraId="3973CB9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international, regional or domestic political unrest and the related potential impact on global stability, terrorist attacks and the potential for other hostilities in various parts of the world, public health crises such as the COVID-19 pande</w:t>
      </w:r>
      <w:r>
        <w:rPr>
          <w:rFonts w:ascii="Calibri" w:hAnsi="Calibri" w:cs="Calibri"/>
          <w:sz w:val="20"/>
          <w:szCs w:val="20"/>
        </w:rPr>
        <w:t xml:space="preserve">mic, and natural disasters continue to contribute to a climate of economic and political </w:t>
      </w:r>
    </w:p>
    <w:p w14:paraId="3973CB9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3973CB99" w14:textId="77777777" w:rsidR="007B027D" w:rsidRDefault="008E0125">
      <w:r>
        <w:rPr>
          <w:rFonts w:ascii="Calibri" w:hAnsi="Calibri" w:cs="Calibri"/>
          <w:sz w:val="20"/>
          <w:szCs w:val="20"/>
        </w:rPr>
        <w:pict w14:anchorId="39740059">
          <v:rect id="_x0000_i1058" style="width:415.3pt;height:1.5pt" o:hralign="center" o:hrstd="t" o:hr="t" fillcolor="#a0a0a0" stroked="f"/>
        </w:pict>
      </w:r>
    </w:p>
    <w:p w14:paraId="3973CB9A" w14:textId="77777777" w:rsidR="007B027D" w:rsidRDefault="008E0125">
      <w:pPr>
        <w:pStyle w:val="a3"/>
        <w:spacing w:beforeAutospacing="0" w:after="120" w:afterAutospacing="0"/>
        <w:rPr>
          <w:rFonts w:ascii="Calibri" w:hAnsi="Calibri" w:cs="Calibri"/>
          <w:sz w:val="18"/>
          <w:szCs w:val="18"/>
        </w:rPr>
      </w:pPr>
      <w:hyperlink r:id="rId92" w:anchor="TABLE_OF_CONTENTS" w:history="1">
        <w:r>
          <w:rPr>
            <w:rStyle w:val="a5"/>
            <w:rFonts w:ascii="Calibri" w:hAnsi="Calibri" w:cs="Calibri"/>
            <w:sz w:val="18"/>
            <w:szCs w:val="18"/>
          </w:rPr>
          <w:t>Table of Contents</w:t>
        </w:r>
      </w:hyperlink>
    </w:p>
    <w:p w14:paraId="3973CB9B" w14:textId="77777777" w:rsidR="007B027D" w:rsidRDefault="008E0125">
      <w:pPr>
        <w:pStyle w:val="a3"/>
        <w:spacing w:beforeAutospacing="0" w:afterAutospacing="0"/>
        <w:rPr>
          <w:rFonts w:ascii="Calibri" w:hAnsi="Calibri" w:cs="Calibri"/>
          <w:sz w:val="18"/>
          <w:szCs w:val="18"/>
        </w:rPr>
      </w:pPr>
      <w:hyperlink r:id="rId93" w:anchor="ITEM_15_EXHIBITS_FINANCIAL_STATEMENT_SCH" w:history="1">
        <w:r>
          <w:rPr>
            <w:rStyle w:val="a5"/>
            <w:rFonts w:ascii="Calibri" w:hAnsi="Calibri" w:cs="Calibri"/>
            <w:sz w:val="18"/>
            <w:szCs w:val="18"/>
          </w:rPr>
          <w:t>Index to Financial Statements</w:t>
        </w:r>
      </w:hyperlink>
    </w:p>
    <w:p w14:paraId="3973CB9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9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uncertainty that could adversely affect our results of operations</w:t>
      </w:r>
      <w:r>
        <w:rPr>
          <w:rFonts w:ascii="Calibri" w:hAnsi="Calibri" w:cs="Calibri"/>
          <w:sz w:val="20"/>
          <w:szCs w:val="20"/>
        </w:rPr>
        <w:t xml:space="preserve"> and financial condition, including our revenue growth and profitability. These factors generally have the strongest effect on our sales of cloud license and on-premise license, hardware and related services and, to a lesser extent, also may affect our ren</w:t>
      </w:r>
      <w:r>
        <w:rPr>
          <w:rFonts w:ascii="Calibri" w:hAnsi="Calibri" w:cs="Calibri"/>
          <w:sz w:val="20"/>
          <w:szCs w:val="20"/>
        </w:rPr>
        <w:t>ewal rates for license support and our subscription-based cloud offerings.</w:t>
      </w:r>
    </w:p>
    <w:p w14:paraId="3973CB9E"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Business disruptions could adversely affect our operating results.</w:t>
      </w:r>
      <w:r>
        <w:rPr>
          <w:rFonts w:ascii="Calibri" w:hAnsi="Calibri" w:cs="Calibri"/>
          <w:b/>
          <w:bCs/>
          <w:sz w:val="20"/>
          <w:szCs w:val="20"/>
        </w:rPr>
        <w:t xml:space="preserve">   </w:t>
      </w:r>
      <w:r>
        <w:rPr>
          <w:rFonts w:ascii="Calibri" w:hAnsi="Calibri" w:cs="Calibri"/>
          <w:sz w:val="20"/>
          <w:szCs w:val="20"/>
        </w:rPr>
        <w:t>A significant portion of our critical business operations are concentrated in a few geographic areas, some of wh</w:t>
      </w:r>
      <w:r>
        <w:rPr>
          <w:rFonts w:ascii="Calibri" w:hAnsi="Calibri" w:cs="Calibri"/>
          <w:sz w:val="20"/>
          <w:szCs w:val="20"/>
        </w:rPr>
        <w:t>ich include emerging market international locations that may be less stable relative to running such business operations solely within the U.S. We are a highly automated business and a disruption or failure of our systems, supply chains and processes could</w:t>
      </w:r>
      <w:r>
        <w:rPr>
          <w:rFonts w:ascii="Calibri" w:hAnsi="Calibri" w:cs="Calibri"/>
          <w:sz w:val="20"/>
          <w:szCs w:val="20"/>
        </w:rPr>
        <w:t xml:space="preserve"> cause delays in completing sales, providing services, including some of our cloud offerings, and enabling a seamless customer experience with respect to our customer facing back office processes. A major earthquake or fire, political, social or other disr</w:t>
      </w:r>
      <w:r>
        <w:rPr>
          <w:rFonts w:ascii="Calibri" w:hAnsi="Calibri" w:cs="Calibri"/>
          <w:sz w:val="20"/>
          <w:szCs w:val="20"/>
        </w:rPr>
        <w:t>uption to infrastructure that supports our operations or other catastrophic event or the effects of climate change (such as increased storm severity, drought and pandemics) that results in the destruction or disruption of any of our critical business opera</w:t>
      </w:r>
      <w:r>
        <w:rPr>
          <w:rFonts w:ascii="Calibri" w:hAnsi="Calibri" w:cs="Calibri"/>
          <w:sz w:val="20"/>
          <w:szCs w:val="20"/>
        </w:rPr>
        <w:t>tions, supply chains or IT systems could severely affect our ability to conduct normal business operations and, as a result, our future operating results could be materially and adversely affected.</w:t>
      </w:r>
    </w:p>
    <w:tbl>
      <w:tblPr>
        <w:tblW w:w="5000" w:type="pct"/>
        <w:tblCellMar>
          <w:left w:w="0" w:type="dxa"/>
          <w:right w:w="0" w:type="dxa"/>
        </w:tblCellMar>
        <w:tblLook w:val="04A0" w:firstRow="1" w:lastRow="0" w:firstColumn="1" w:lastColumn="0" w:noHBand="0" w:noVBand="1"/>
      </w:tblPr>
      <w:tblGrid>
        <w:gridCol w:w="699"/>
        <w:gridCol w:w="7607"/>
      </w:tblGrid>
      <w:tr w:rsidR="007B027D" w14:paraId="3973CBA1" w14:textId="77777777">
        <w:tc>
          <w:tcPr>
            <w:tcW w:w="213" w:type="pct"/>
            <w:shd w:val="clear" w:color="auto" w:fill="auto"/>
            <w:noWrap/>
          </w:tcPr>
          <w:p w14:paraId="3973CB9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1B.</w:t>
            </w:r>
          </w:p>
        </w:tc>
        <w:tc>
          <w:tcPr>
            <w:tcW w:w="0" w:type="auto"/>
            <w:shd w:val="clear" w:color="auto" w:fill="auto"/>
          </w:tcPr>
          <w:p w14:paraId="3973CBA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Unresolved Staff Comments</w:t>
            </w:r>
          </w:p>
        </w:tc>
      </w:tr>
    </w:tbl>
    <w:p w14:paraId="3973CBA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None. </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BA5" w14:textId="77777777">
        <w:tc>
          <w:tcPr>
            <w:tcW w:w="213" w:type="pct"/>
            <w:shd w:val="clear" w:color="auto" w:fill="auto"/>
            <w:noWrap/>
          </w:tcPr>
          <w:p w14:paraId="3973CBA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3973CBA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Properties</w:t>
            </w:r>
          </w:p>
        </w:tc>
      </w:tr>
    </w:tbl>
    <w:p w14:paraId="3973CBA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properties consist of owned and leased office facilities for sales, support, research and development, services, manufacturing, cloud operations and administrative and other functions. Our headquarters facility consists of approximately 0.9 million squ</w:t>
      </w:r>
      <w:r>
        <w:rPr>
          <w:rFonts w:ascii="Calibri" w:hAnsi="Calibri" w:cs="Calibri"/>
          <w:sz w:val="20"/>
          <w:szCs w:val="20"/>
        </w:rPr>
        <w:t xml:space="preserve">are feet in Austin, Texas, all of which we own. We also own or lease other facilities for current use consisting of approximately 23.1 million square feet in various other locations in the U.S. and abroad. Approximately 4.7 million square feet, or 20%, of </w:t>
      </w:r>
      <w:r>
        <w:rPr>
          <w:rFonts w:ascii="Calibri" w:hAnsi="Calibri" w:cs="Calibri"/>
          <w:sz w:val="20"/>
          <w:szCs w:val="20"/>
        </w:rPr>
        <w:t>our total owned and leased space is sublet or is being actively marketed for sublease or disposition. We lease our principal internal manufacturing facility for our hardware products in Hillsboro, Oregon. Our cloud operations deliver our Oracle Cloud Servi</w:t>
      </w:r>
      <w:r>
        <w:rPr>
          <w:rFonts w:ascii="Calibri" w:hAnsi="Calibri" w:cs="Calibri"/>
          <w:sz w:val="20"/>
          <w:szCs w:val="20"/>
        </w:rPr>
        <w:t xml:space="preserve">ces through the use of global data centers, substantially all of which were leased through colocation suppliers. We believe that our facilities are in good condition and suitable for the conduct of our business. </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BA9" w14:textId="77777777">
        <w:tc>
          <w:tcPr>
            <w:tcW w:w="213" w:type="pct"/>
            <w:shd w:val="clear" w:color="auto" w:fill="auto"/>
            <w:noWrap/>
          </w:tcPr>
          <w:p w14:paraId="3973CBA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3973CBA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3973CBA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material set</w:t>
      </w:r>
      <w:r>
        <w:rPr>
          <w:rFonts w:ascii="Calibri" w:hAnsi="Calibri" w:cs="Calibri"/>
          <w:sz w:val="20"/>
          <w:szCs w:val="20"/>
        </w:rPr>
        <w:t xml:space="preserve"> forth in Note 13 (pertaining to information regarding contingencies related to our income taxes) and Note 16 (pertaining to information regarding legal contingencies) of Notes to Consolidated Financial Statements in Item 15 of this Annual Report on Form 1</w:t>
      </w:r>
      <w:r>
        <w:rPr>
          <w:rFonts w:ascii="Calibri" w:hAnsi="Calibri" w:cs="Calibri"/>
          <w:sz w:val="20"/>
          <w:szCs w:val="20"/>
        </w:rPr>
        <w:t>0-K is incorporated herein by reference.</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BAD" w14:textId="77777777">
        <w:tc>
          <w:tcPr>
            <w:tcW w:w="213" w:type="pct"/>
            <w:shd w:val="clear" w:color="auto" w:fill="auto"/>
            <w:noWrap/>
          </w:tcPr>
          <w:p w14:paraId="3973CBA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3973CBA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Mine Safety Disclosures</w:t>
            </w:r>
          </w:p>
        </w:tc>
      </w:tr>
    </w:tbl>
    <w:p w14:paraId="3973CBA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Not applicable. </w:t>
      </w:r>
    </w:p>
    <w:p w14:paraId="3973CBA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p w14:paraId="3973CBB0"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3973CBB1" w14:textId="77777777" w:rsidR="007B027D" w:rsidRDefault="008E0125">
      <w:r>
        <w:rPr>
          <w:rFonts w:ascii="Calibri" w:hAnsi="Calibri" w:cs="Calibri"/>
          <w:sz w:val="20"/>
          <w:szCs w:val="20"/>
        </w:rPr>
        <w:pict w14:anchorId="3974005A">
          <v:rect id="_x0000_i1059" style="width:415.3pt;height:1.5pt" o:hralign="center" o:hrstd="t" o:hr="t" fillcolor="#a0a0a0" stroked="f"/>
        </w:pict>
      </w:r>
    </w:p>
    <w:p w14:paraId="3973CBB2" w14:textId="77777777" w:rsidR="007B027D" w:rsidRDefault="008E0125">
      <w:pPr>
        <w:pStyle w:val="a3"/>
        <w:spacing w:beforeAutospacing="0" w:after="120" w:afterAutospacing="0"/>
        <w:rPr>
          <w:rFonts w:ascii="Calibri" w:hAnsi="Calibri" w:cs="Calibri"/>
          <w:sz w:val="18"/>
          <w:szCs w:val="18"/>
        </w:rPr>
      </w:pPr>
      <w:hyperlink r:id="rId94" w:anchor="TABLE_OF_CONTENTS" w:history="1">
        <w:r>
          <w:rPr>
            <w:rStyle w:val="a5"/>
            <w:rFonts w:ascii="Calibri" w:hAnsi="Calibri" w:cs="Calibri"/>
            <w:sz w:val="18"/>
            <w:szCs w:val="18"/>
          </w:rPr>
          <w:t>Table of Contents</w:t>
        </w:r>
      </w:hyperlink>
    </w:p>
    <w:p w14:paraId="3973CBB3" w14:textId="77777777" w:rsidR="007B027D" w:rsidRDefault="008E0125">
      <w:pPr>
        <w:pStyle w:val="a3"/>
        <w:spacing w:beforeAutospacing="0" w:afterAutospacing="0"/>
        <w:rPr>
          <w:rFonts w:ascii="Calibri" w:hAnsi="Calibri" w:cs="Calibri"/>
          <w:sz w:val="18"/>
          <w:szCs w:val="18"/>
        </w:rPr>
      </w:pPr>
      <w:hyperlink r:id="rId95" w:anchor="ITEM_15_EXHIBITS_FINANCIAL_STATEMENT_SCH" w:history="1">
        <w:r>
          <w:rPr>
            <w:rStyle w:val="a5"/>
            <w:rFonts w:ascii="Calibri" w:hAnsi="Calibri" w:cs="Calibri"/>
            <w:sz w:val="18"/>
            <w:szCs w:val="18"/>
          </w:rPr>
          <w:t>Index to Financial Statements</w:t>
        </w:r>
      </w:hyperlink>
    </w:p>
    <w:p w14:paraId="3973CBB4"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BB5"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BB6"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PART II</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BB9" w14:textId="77777777">
        <w:tc>
          <w:tcPr>
            <w:tcW w:w="213" w:type="pct"/>
            <w:shd w:val="clear" w:color="auto" w:fill="auto"/>
            <w:noWrap/>
          </w:tcPr>
          <w:p w14:paraId="3973CBB7"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5.</w:t>
            </w:r>
          </w:p>
        </w:tc>
        <w:tc>
          <w:tcPr>
            <w:tcW w:w="0" w:type="auto"/>
            <w:shd w:val="clear" w:color="auto" w:fill="auto"/>
          </w:tcPr>
          <w:p w14:paraId="3973CBB8"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Market for Registrant’s Common Equity, </w:t>
            </w:r>
            <w:r>
              <w:rPr>
                <w:rFonts w:ascii="Calibri" w:hAnsi="Calibri" w:cs="Calibri"/>
                <w:b/>
                <w:bCs/>
                <w:sz w:val="20"/>
                <w:szCs w:val="20"/>
              </w:rPr>
              <w:t>Related Stockholder</w:t>
            </w:r>
            <w:r>
              <w:rPr>
                <w:rFonts w:ascii="Calibri" w:hAnsi="Calibri" w:cs="Calibri"/>
                <w:sz w:val="20"/>
                <w:szCs w:val="20"/>
              </w:rPr>
              <w:t xml:space="preserve"> </w:t>
            </w:r>
            <w:r>
              <w:rPr>
                <w:rFonts w:ascii="Calibri" w:hAnsi="Calibri" w:cs="Calibri"/>
                <w:b/>
                <w:bCs/>
                <w:sz w:val="20"/>
                <w:szCs w:val="20"/>
              </w:rPr>
              <w:t>Matters and Issuer Purchases of Equity Securities</w:t>
            </w:r>
          </w:p>
        </w:tc>
      </w:tr>
    </w:tbl>
    <w:p w14:paraId="3973CBB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common stock is traded on the New York Stock Exchange under the symbol “ORCL.” According to the records of our transfer agent, we had 7,706 stockholders of record as of May 31, 2022</w:t>
      </w:r>
      <w:r>
        <w:rPr>
          <w:rFonts w:ascii="Calibri" w:hAnsi="Calibri" w:cs="Calibri"/>
          <w:sz w:val="20"/>
          <w:szCs w:val="20"/>
        </w:rPr>
        <w:t xml:space="preserve">. </w:t>
      </w:r>
    </w:p>
    <w:p w14:paraId="3973CBB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equity compensation plan information, please refer to Item 12 in Part III of this Annual Report.</w:t>
      </w:r>
    </w:p>
    <w:p w14:paraId="3973CBB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Stock Repurchase Program</w:t>
      </w:r>
    </w:p>
    <w:p w14:paraId="3973CBB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On December 9, 2021, we announced that our Board of Directors approved an expansion of our stock repurchase program by an additional $10.0 billion. As of May 31,</w:t>
      </w:r>
      <w:r>
        <w:rPr>
          <w:rFonts w:ascii="Calibri" w:hAnsi="Calibri" w:cs="Calibri"/>
          <w:sz w:val="20"/>
          <w:szCs w:val="20"/>
        </w:rPr>
        <w:t xml:space="preserve"> 2022, approximately $9.4 billion remained available for stock repurchases pursuant to our stock repurchase program. </w:t>
      </w:r>
    </w:p>
    <w:p w14:paraId="3973CBB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w:t>
      </w:r>
      <w:r>
        <w:rPr>
          <w:rFonts w:ascii="Calibri" w:hAnsi="Calibri" w:cs="Calibri"/>
          <w:sz w:val="20"/>
          <w:szCs w:val="20"/>
        </w:rPr>
        <w:t xml:space="preserve"> our working capital needs, our cash requirements for acquisitions and dividend payments, our debt repayment obligations or repurchases of our debt, our stock price, and economic and market conditions. Our stock repurchases may be effected from time to tim</w:t>
      </w:r>
      <w:r>
        <w:rPr>
          <w:rFonts w:ascii="Calibri" w:hAnsi="Calibri" w:cs="Calibri"/>
          <w:sz w:val="20"/>
          <w:szCs w:val="20"/>
        </w:rPr>
        <w:t>e through open market purchases or pursuant to a Rule 10b5-1 plan. Our stock repurchase program may be accelerated, suspended, delayed or discontinued at any time.</w:t>
      </w:r>
    </w:p>
    <w:p w14:paraId="3973CBB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summarizes the stock repurchase activity for the three months ended May </w:t>
      </w:r>
      <w:r>
        <w:rPr>
          <w:rFonts w:ascii="Calibri" w:hAnsi="Calibri" w:cs="Calibri"/>
          <w:sz w:val="20"/>
          <w:szCs w:val="20"/>
        </w:rPr>
        <w:t>31, 2022 and the approximate dollar value of shares that may yet be purchased pursuant to our stock repurchase program:</w:t>
      </w:r>
    </w:p>
    <w:p w14:paraId="3973CBC0"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23"/>
        <w:gridCol w:w="94"/>
        <w:gridCol w:w="73"/>
        <w:gridCol w:w="1091"/>
        <w:gridCol w:w="65"/>
        <w:gridCol w:w="94"/>
        <w:gridCol w:w="118"/>
        <w:gridCol w:w="1099"/>
        <w:gridCol w:w="65"/>
        <w:gridCol w:w="94"/>
        <w:gridCol w:w="89"/>
        <w:gridCol w:w="1189"/>
        <w:gridCol w:w="65"/>
        <w:gridCol w:w="94"/>
        <w:gridCol w:w="118"/>
        <w:gridCol w:w="1185"/>
        <w:gridCol w:w="65"/>
      </w:tblGrid>
      <w:tr w:rsidR="007B027D" w14:paraId="3973CBDA" w14:textId="77777777">
        <w:tc>
          <w:tcPr>
            <w:tcW w:w="1644" w:type="pct"/>
            <w:tcBorders>
              <w:bottom w:val="single" w:sz="6" w:space="0" w:color="000000"/>
            </w:tcBorders>
            <w:shd w:val="clear" w:color="auto" w:fill="FFFFFF"/>
            <w:tcMar>
              <w:top w:w="15" w:type="dxa"/>
              <w:right w:w="15" w:type="dxa"/>
            </w:tcMar>
            <w:vAlign w:val="bottom"/>
          </w:tcPr>
          <w:p w14:paraId="3973CBC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67" w:type="pct"/>
            <w:shd w:val="clear" w:color="auto" w:fill="FFFFFF"/>
            <w:tcMar>
              <w:top w:w="15" w:type="dxa"/>
              <w:right w:w="15" w:type="dxa"/>
            </w:tcMar>
            <w:vAlign w:val="bottom"/>
          </w:tcPr>
          <w:p w14:paraId="3973CBC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2"/>
            <w:tcBorders>
              <w:bottom w:val="single" w:sz="6" w:space="0" w:color="000000"/>
            </w:tcBorders>
            <w:shd w:val="clear" w:color="auto" w:fill="FFFFFF"/>
            <w:tcMar>
              <w:top w:w="15" w:type="dxa"/>
              <w:right w:w="15" w:type="dxa"/>
            </w:tcMar>
            <w:vAlign w:val="bottom"/>
          </w:tcPr>
          <w:p w14:paraId="3973CBC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3973CBC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3973CBC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3973CBC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3973CBC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2"/>
            <w:tcBorders>
              <w:bottom w:val="single" w:sz="6" w:space="0" w:color="000000"/>
            </w:tcBorders>
            <w:shd w:val="clear" w:color="auto" w:fill="FFFFFF"/>
            <w:tcMar>
              <w:top w:w="15" w:type="dxa"/>
              <w:right w:w="15" w:type="dxa"/>
            </w:tcMar>
            <w:vAlign w:val="bottom"/>
          </w:tcPr>
          <w:p w14:paraId="3973CBC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3973CBC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3973CB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3973CBC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3973CBC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2"/>
            <w:tcBorders>
              <w:bottom w:val="single" w:sz="6" w:space="0" w:color="000000"/>
            </w:tcBorders>
            <w:shd w:val="clear" w:color="auto" w:fill="FFFFFF"/>
            <w:tcMar>
              <w:top w:w="15" w:type="dxa"/>
              <w:right w:w="15" w:type="dxa"/>
            </w:tcMar>
            <w:vAlign w:val="bottom"/>
          </w:tcPr>
          <w:p w14:paraId="3973CBC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3973CBC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3973CBC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3973CBD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3973CBD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3973CBD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3973CBD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2"/>
            <w:tcBorders>
              <w:bottom w:val="single" w:sz="6" w:space="0" w:color="000000"/>
            </w:tcBorders>
            <w:shd w:val="clear" w:color="auto" w:fill="FFFFFF"/>
            <w:tcMar>
              <w:top w:w="15" w:type="dxa"/>
              <w:right w:w="15" w:type="dxa"/>
            </w:tcMar>
            <w:vAlign w:val="bottom"/>
          </w:tcPr>
          <w:p w14:paraId="3973CBD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3973CBD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3973CBD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3973CBD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3973CBD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3973CBD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BEC" w14:textId="77777777">
        <w:tc>
          <w:tcPr>
            <w:tcW w:w="1644" w:type="pct"/>
            <w:tcBorders>
              <w:top w:val="single" w:sz="6" w:space="0" w:color="000000"/>
            </w:tcBorders>
            <w:shd w:val="clear" w:color="auto" w:fill="CFF0FC"/>
            <w:tcMar>
              <w:top w:w="15" w:type="dxa"/>
              <w:right w:w="15" w:type="dxa"/>
            </w:tcMar>
          </w:tcPr>
          <w:p w14:paraId="3973CB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March 1, 2022—March 31, 2022</w:t>
            </w:r>
          </w:p>
        </w:tc>
        <w:tc>
          <w:tcPr>
            <w:tcW w:w="67" w:type="pct"/>
            <w:shd w:val="clear" w:color="auto" w:fill="CFF0FC"/>
            <w:tcMar>
              <w:top w:w="15" w:type="dxa"/>
              <w:right w:w="15" w:type="dxa"/>
            </w:tcMar>
            <w:vAlign w:val="bottom"/>
          </w:tcPr>
          <w:p w14:paraId="3973CBD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CB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top w:val="single" w:sz="6" w:space="0" w:color="000000"/>
            </w:tcBorders>
            <w:shd w:val="clear" w:color="auto" w:fill="CFF0FC"/>
            <w:noWrap/>
            <w:tcMar>
              <w:top w:w="15" w:type="dxa"/>
              <w:right w:w="15" w:type="dxa"/>
            </w:tcMar>
            <w:vAlign w:val="bottom"/>
          </w:tcPr>
          <w:p w14:paraId="3973CBD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3973CB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BE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CB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tcBorders>
              <w:top w:val="single" w:sz="6" w:space="0" w:color="000000"/>
            </w:tcBorders>
            <w:shd w:val="clear" w:color="auto" w:fill="CFF0FC"/>
            <w:noWrap/>
            <w:tcMar>
              <w:top w:w="15" w:type="dxa"/>
              <w:right w:w="15" w:type="dxa"/>
            </w:tcMar>
            <w:vAlign w:val="bottom"/>
          </w:tcPr>
          <w:p w14:paraId="3973CBE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79.24</w:t>
            </w:r>
          </w:p>
        </w:tc>
        <w:tc>
          <w:tcPr>
            <w:tcW w:w="50" w:type="pct"/>
            <w:shd w:val="clear" w:color="auto" w:fill="CFF0FC"/>
            <w:noWrap/>
            <w:tcMar>
              <w:top w:w="15" w:type="dxa"/>
              <w:right w:w="15" w:type="dxa"/>
            </w:tcMar>
            <w:vAlign w:val="bottom"/>
          </w:tcPr>
          <w:p w14:paraId="3973CB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B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CB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top w:val="single" w:sz="6" w:space="0" w:color="000000"/>
            </w:tcBorders>
            <w:shd w:val="clear" w:color="auto" w:fill="CFF0FC"/>
            <w:noWrap/>
            <w:tcMar>
              <w:top w:w="15" w:type="dxa"/>
              <w:right w:w="15" w:type="dxa"/>
            </w:tcMar>
            <w:vAlign w:val="bottom"/>
          </w:tcPr>
          <w:p w14:paraId="3973CB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3973CB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B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CB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tcBorders>
              <w:top w:val="single" w:sz="6" w:space="0" w:color="000000"/>
            </w:tcBorders>
            <w:shd w:val="clear" w:color="auto" w:fill="CFF0FC"/>
            <w:noWrap/>
            <w:tcMar>
              <w:top w:w="15" w:type="dxa"/>
              <w:right w:w="15" w:type="dxa"/>
            </w:tcMar>
            <w:vAlign w:val="bottom"/>
          </w:tcPr>
          <w:p w14:paraId="3973CBE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9,831.4</w:t>
            </w:r>
          </w:p>
        </w:tc>
        <w:tc>
          <w:tcPr>
            <w:tcW w:w="50" w:type="pct"/>
            <w:shd w:val="clear" w:color="auto" w:fill="CFF0FC"/>
            <w:noWrap/>
            <w:tcMar>
              <w:top w:w="15" w:type="dxa"/>
              <w:right w:w="15" w:type="dxa"/>
            </w:tcMar>
            <w:vAlign w:val="bottom"/>
          </w:tcPr>
          <w:p w14:paraId="3973CB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BFE" w14:textId="77777777">
        <w:tc>
          <w:tcPr>
            <w:tcW w:w="1644" w:type="pct"/>
            <w:shd w:val="clear" w:color="auto" w:fill="FFFFFF"/>
            <w:tcMar>
              <w:top w:w="15" w:type="dxa"/>
              <w:right w:w="15" w:type="dxa"/>
            </w:tcMar>
          </w:tcPr>
          <w:p w14:paraId="3973CB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April 1, 2022—April 30, 2022</w:t>
            </w:r>
          </w:p>
        </w:tc>
        <w:tc>
          <w:tcPr>
            <w:tcW w:w="67" w:type="pct"/>
            <w:shd w:val="clear" w:color="auto" w:fill="FFFFFF"/>
            <w:tcMar>
              <w:top w:w="15" w:type="dxa"/>
              <w:right w:w="15" w:type="dxa"/>
            </w:tcMar>
            <w:vAlign w:val="bottom"/>
          </w:tcPr>
          <w:p w14:paraId="3973CB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B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shd w:val="clear" w:color="auto" w:fill="FFFFFF"/>
            <w:noWrap/>
            <w:tcMar>
              <w:top w:w="15" w:type="dxa"/>
              <w:right w:w="15" w:type="dxa"/>
            </w:tcMar>
            <w:vAlign w:val="bottom"/>
          </w:tcPr>
          <w:p w14:paraId="3973CBF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3973CB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BF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B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shd w:val="clear" w:color="auto" w:fill="FFFFFF"/>
            <w:noWrap/>
            <w:tcMar>
              <w:top w:w="15" w:type="dxa"/>
              <w:right w:w="15" w:type="dxa"/>
            </w:tcMar>
            <w:vAlign w:val="bottom"/>
          </w:tcPr>
          <w:p w14:paraId="3973CBF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79.28</w:t>
            </w:r>
          </w:p>
        </w:tc>
        <w:tc>
          <w:tcPr>
            <w:tcW w:w="50" w:type="pct"/>
            <w:shd w:val="clear" w:color="auto" w:fill="FFFFFF"/>
            <w:noWrap/>
            <w:tcMar>
              <w:top w:w="15" w:type="dxa"/>
              <w:right w:w="15" w:type="dxa"/>
            </w:tcMar>
            <w:vAlign w:val="bottom"/>
          </w:tcPr>
          <w:p w14:paraId="3973CB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B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B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shd w:val="clear" w:color="auto" w:fill="FFFFFF"/>
            <w:noWrap/>
            <w:tcMar>
              <w:top w:w="15" w:type="dxa"/>
              <w:right w:w="15" w:type="dxa"/>
            </w:tcMar>
            <w:vAlign w:val="bottom"/>
          </w:tcPr>
          <w:p w14:paraId="3973CBF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3973CB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B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B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shd w:val="clear" w:color="auto" w:fill="FFFFFF"/>
            <w:noWrap/>
            <w:tcMar>
              <w:top w:w="15" w:type="dxa"/>
              <w:right w:w="15" w:type="dxa"/>
            </w:tcMar>
            <w:vAlign w:val="bottom"/>
          </w:tcPr>
          <w:p w14:paraId="3973CBF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9,642.4</w:t>
            </w:r>
          </w:p>
        </w:tc>
        <w:tc>
          <w:tcPr>
            <w:tcW w:w="50" w:type="pct"/>
            <w:shd w:val="clear" w:color="auto" w:fill="FFFFFF"/>
            <w:noWrap/>
            <w:tcMar>
              <w:top w:w="15" w:type="dxa"/>
              <w:right w:w="15" w:type="dxa"/>
            </w:tcMar>
            <w:vAlign w:val="bottom"/>
          </w:tcPr>
          <w:p w14:paraId="3973CB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C10" w14:textId="77777777">
        <w:tc>
          <w:tcPr>
            <w:tcW w:w="1644" w:type="pct"/>
            <w:shd w:val="clear" w:color="auto" w:fill="CFF0FC"/>
            <w:tcMar>
              <w:top w:w="15" w:type="dxa"/>
              <w:right w:w="15" w:type="dxa"/>
            </w:tcMar>
          </w:tcPr>
          <w:p w14:paraId="3973CB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May 1, 2022—May 31, 2022</w:t>
            </w:r>
          </w:p>
        </w:tc>
        <w:tc>
          <w:tcPr>
            <w:tcW w:w="67" w:type="pct"/>
            <w:shd w:val="clear" w:color="auto" w:fill="CFF0FC"/>
            <w:tcMar>
              <w:top w:w="15" w:type="dxa"/>
              <w:right w:w="15" w:type="dxa"/>
            </w:tcMar>
            <w:vAlign w:val="bottom"/>
          </w:tcPr>
          <w:p w14:paraId="3973CC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CC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bottom w:val="single" w:sz="6" w:space="0" w:color="000000"/>
            </w:tcBorders>
            <w:shd w:val="clear" w:color="auto" w:fill="CFF0FC"/>
            <w:noWrap/>
            <w:tcMar>
              <w:top w:w="15" w:type="dxa"/>
              <w:right w:w="15" w:type="dxa"/>
            </w:tcMar>
            <w:vAlign w:val="bottom"/>
          </w:tcPr>
          <w:p w14:paraId="3973CC0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noWrap/>
            <w:tcMar>
              <w:top w:w="15" w:type="dxa"/>
              <w:right w:w="15" w:type="dxa"/>
            </w:tcMar>
            <w:vAlign w:val="bottom"/>
          </w:tcPr>
          <w:p w14:paraId="3973CC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C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CC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shd w:val="clear" w:color="auto" w:fill="CFF0FC"/>
            <w:noWrap/>
            <w:tcMar>
              <w:top w:w="15" w:type="dxa"/>
              <w:right w:w="15" w:type="dxa"/>
            </w:tcMar>
            <w:vAlign w:val="bottom"/>
          </w:tcPr>
          <w:p w14:paraId="3973CC0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71.06</w:t>
            </w:r>
          </w:p>
        </w:tc>
        <w:tc>
          <w:tcPr>
            <w:tcW w:w="50" w:type="pct"/>
            <w:shd w:val="clear" w:color="auto" w:fill="CFF0FC"/>
            <w:noWrap/>
            <w:tcMar>
              <w:top w:w="15" w:type="dxa"/>
              <w:right w:w="15" w:type="dxa"/>
            </w:tcMar>
            <w:vAlign w:val="bottom"/>
          </w:tcPr>
          <w:p w14:paraId="3973CC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C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CC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bottom w:val="single" w:sz="6" w:space="0" w:color="000000"/>
            </w:tcBorders>
            <w:shd w:val="clear" w:color="auto" w:fill="CFF0FC"/>
            <w:noWrap/>
            <w:tcMar>
              <w:top w:w="15" w:type="dxa"/>
              <w:right w:w="15" w:type="dxa"/>
            </w:tcMar>
            <w:vAlign w:val="bottom"/>
          </w:tcPr>
          <w:p w14:paraId="3973CC0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noWrap/>
            <w:tcMar>
              <w:top w:w="15" w:type="dxa"/>
              <w:right w:w="15" w:type="dxa"/>
            </w:tcMar>
            <w:vAlign w:val="bottom"/>
          </w:tcPr>
          <w:p w14:paraId="3973CC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3973CC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CC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shd w:val="clear" w:color="auto" w:fill="CFF0FC"/>
            <w:noWrap/>
            <w:tcMar>
              <w:top w:w="15" w:type="dxa"/>
              <w:right w:w="15" w:type="dxa"/>
            </w:tcMar>
            <w:vAlign w:val="bottom"/>
          </w:tcPr>
          <w:p w14:paraId="3973CC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9,448.5</w:t>
            </w:r>
          </w:p>
        </w:tc>
        <w:tc>
          <w:tcPr>
            <w:tcW w:w="50" w:type="pct"/>
            <w:shd w:val="clear" w:color="auto" w:fill="CFF0FC"/>
            <w:noWrap/>
            <w:tcMar>
              <w:top w:w="15" w:type="dxa"/>
              <w:right w:w="15" w:type="dxa"/>
            </w:tcMar>
            <w:vAlign w:val="bottom"/>
          </w:tcPr>
          <w:p w14:paraId="3973CC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C22" w14:textId="77777777">
        <w:tc>
          <w:tcPr>
            <w:tcW w:w="1644" w:type="pct"/>
            <w:shd w:val="clear" w:color="auto" w:fill="FFFFFF"/>
            <w:tcMar>
              <w:top w:w="15" w:type="dxa"/>
              <w:right w:w="15" w:type="dxa"/>
            </w:tcMar>
          </w:tcPr>
          <w:p w14:paraId="3973CC11"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w:t>
            </w:r>
            <w:r>
              <w:rPr>
                <w:rFonts w:ascii="Calibri" w:hAnsi="Calibri" w:cs="Calibri"/>
                <w:color w:val="000000"/>
                <w:sz w:val="20"/>
                <w:szCs w:val="20"/>
              </w:rPr>
              <w:t>otal</w:t>
            </w:r>
          </w:p>
        </w:tc>
        <w:tc>
          <w:tcPr>
            <w:tcW w:w="67" w:type="pct"/>
            <w:shd w:val="clear" w:color="auto" w:fill="FFFFFF"/>
            <w:tcMar>
              <w:top w:w="15" w:type="dxa"/>
              <w:right w:w="15" w:type="dxa"/>
            </w:tcMar>
            <w:vAlign w:val="bottom"/>
          </w:tcPr>
          <w:p w14:paraId="3973CC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C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top w:val="single" w:sz="6" w:space="0" w:color="000000"/>
              <w:bottom w:val="double" w:sz="6" w:space="0" w:color="000000"/>
            </w:tcBorders>
            <w:shd w:val="clear" w:color="auto" w:fill="FFFFFF"/>
            <w:noWrap/>
            <w:tcMar>
              <w:top w:w="15" w:type="dxa"/>
              <w:right w:w="15" w:type="dxa"/>
            </w:tcMar>
            <w:vAlign w:val="bottom"/>
          </w:tcPr>
          <w:p w14:paraId="3973CC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FFFFFF"/>
            <w:noWrap/>
            <w:tcMar>
              <w:top w:w="15" w:type="dxa"/>
              <w:right w:w="15" w:type="dxa"/>
            </w:tcMar>
            <w:vAlign w:val="bottom"/>
          </w:tcPr>
          <w:p w14:paraId="3973CC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C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C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0" w:type="pct"/>
            <w:shd w:val="clear" w:color="auto" w:fill="FFFFFF"/>
            <w:noWrap/>
            <w:tcMar>
              <w:top w:w="15" w:type="dxa"/>
              <w:right w:w="15" w:type="dxa"/>
            </w:tcMar>
            <w:vAlign w:val="bottom"/>
          </w:tcPr>
          <w:p w14:paraId="3973CC1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76.41</w:t>
            </w:r>
          </w:p>
        </w:tc>
        <w:tc>
          <w:tcPr>
            <w:tcW w:w="50" w:type="pct"/>
            <w:shd w:val="clear" w:color="auto" w:fill="FFFFFF"/>
            <w:noWrap/>
            <w:tcMar>
              <w:top w:w="15" w:type="dxa"/>
              <w:right w:w="15" w:type="dxa"/>
            </w:tcMar>
            <w:vAlign w:val="bottom"/>
          </w:tcPr>
          <w:p w14:paraId="3973CC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C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C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tcBorders>
              <w:top w:val="single" w:sz="6" w:space="0" w:color="000000"/>
              <w:bottom w:val="double" w:sz="6" w:space="0" w:color="000000"/>
            </w:tcBorders>
            <w:shd w:val="clear" w:color="auto" w:fill="FFFFFF"/>
            <w:noWrap/>
            <w:tcMar>
              <w:top w:w="15" w:type="dxa"/>
              <w:right w:w="15" w:type="dxa"/>
            </w:tcMar>
            <w:vAlign w:val="bottom"/>
          </w:tcPr>
          <w:p w14:paraId="3973CC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FFFFFF"/>
            <w:noWrap/>
            <w:tcMar>
              <w:top w:w="15" w:type="dxa"/>
              <w:right w:w="15" w:type="dxa"/>
            </w:tcMar>
            <w:vAlign w:val="bottom"/>
          </w:tcPr>
          <w:p w14:paraId="3973CC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3973CC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C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0" w:type="pct"/>
            <w:shd w:val="clear" w:color="auto" w:fill="FFFFFF"/>
            <w:noWrap/>
            <w:tcMar>
              <w:top w:w="15" w:type="dxa"/>
              <w:right w:w="15" w:type="dxa"/>
            </w:tcMar>
            <w:vAlign w:val="bottom"/>
          </w:tcPr>
          <w:p w14:paraId="3973CC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CC2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C23" w14:textId="77777777" w:rsidR="007B027D" w:rsidRDefault="008E0125">
      <w:pPr>
        <w:pStyle w:val="a3"/>
        <w:spacing w:beforeAutospacing="0" w:afterAutospacing="0"/>
        <w:rPr>
          <w:sz w:val="12"/>
          <w:szCs w:val="12"/>
        </w:rPr>
      </w:pPr>
      <w:r>
        <w:rPr>
          <w:sz w:val="12"/>
          <w:szCs w:val="12"/>
        </w:rPr>
        <w:t> </w:t>
      </w:r>
    </w:p>
    <w:p w14:paraId="3973CC2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3973CC25" w14:textId="77777777" w:rsidR="007B027D" w:rsidRDefault="008E0125">
      <w:r>
        <w:rPr>
          <w:rFonts w:ascii="Calibri" w:hAnsi="Calibri" w:cs="Calibri"/>
          <w:sz w:val="20"/>
          <w:szCs w:val="20"/>
        </w:rPr>
        <w:pict w14:anchorId="3974005B">
          <v:rect id="_x0000_i1060" style="width:415.3pt;height:1.5pt" o:hralign="center" o:hrstd="t" o:hr="t" fillcolor="#a0a0a0" stroked="f"/>
        </w:pict>
      </w:r>
    </w:p>
    <w:p w14:paraId="3973CC26" w14:textId="77777777" w:rsidR="007B027D" w:rsidRDefault="008E0125">
      <w:pPr>
        <w:pStyle w:val="a3"/>
        <w:spacing w:beforeAutospacing="0" w:after="120" w:afterAutospacing="0"/>
        <w:rPr>
          <w:rFonts w:ascii="Calibri" w:hAnsi="Calibri" w:cs="Calibri"/>
          <w:sz w:val="18"/>
          <w:szCs w:val="18"/>
        </w:rPr>
      </w:pPr>
      <w:hyperlink r:id="rId96" w:anchor="TABLE_OF_CONTENTS" w:history="1">
        <w:r>
          <w:rPr>
            <w:rStyle w:val="a5"/>
            <w:rFonts w:ascii="Calibri" w:hAnsi="Calibri" w:cs="Calibri"/>
            <w:sz w:val="18"/>
            <w:szCs w:val="18"/>
          </w:rPr>
          <w:t>Table of Contents</w:t>
        </w:r>
      </w:hyperlink>
    </w:p>
    <w:p w14:paraId="3973CC27" w14:textId="77777777" w:rsidR="007B027D" w:rsidRDefault="008E0125">
      <w:pPr>
        <w:pStyle w:val="a3"/>
        <w:spacing w:beforeAutospacing="0" w:afterAutospacing="0"/>
        <w:rPr>
          <w:rFonts w:ascii="Calibri" w:hAnsi="Calibri" w:cs="Calibri"/>
          <w:sz w:val="18"/>
          <w:szCs w:val="18"/>
        </w:rPr>
      </w:pPr>
      <w:hyperlink r:id="rId97" w:anchor="ITEM_15_EXHIBITS_FINANCIAL_STATEMENT_SCH" w:history="1">
        <w:r>
          <w:rPr>
            <w:rStyle w:val="a5"/>
            <w:rFonts w:ascii="Calibri" w:hAnsi="Calibri" w:cs="Calibri"/>
            <w:sz w:val="18"/>
            <w:szCs w:val="18"/>
          </w:rPr>
          <w:t>Index to Financial Statements</w:t>
        </w:r>
      </w:hyperlink>
    </w:p>
    <w:p w14:paraId="3973CC28"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C2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CC2A"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Stock Performance Graph and Cumulative Total Return </w:t>
      </w:r>
    </w:p>
    <w:p w14:paraId="3973CC2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graph below compares the cumulative total stockholder return on our common stock </w:t>
      </w:r>
      <w:r>
        <w:rPr>
          <w:rFonts w:ascii="Calibri" w:hAnsi="Calibri" w:cs="Calibri"/>
          <w:sz w:val="20"/>
          <w:szCs w:val="20"/>
        </w:rPr>
        <w:t xml:space="preserve">with the cumulative total return of the S&amp;P 500 Index and the S&amp;P Information Technology Index for each of the last five fiscal years ended May 31, 2022, assuming an investment of $100 at the beginning of such period and the reinvestment of any dividends. </w:t>
      </w:r>
      <w:r>
        <w:rPr>
          <w:rFonts w:ascii="Calibri" w:hAnsi="Calibri" w:cs="Calibri"/>
          <w:sz w:val="20"/>
          <w:szCs w:val="20"/>
        </w:rPr>
        <w:t>The comparisons in the graphs below are based upon historical data and are not indicative of, nor intended to forecast, future performance of our common stock.</w:t>
      </w:r>
    </w:p>
    <w:p w14:paraId="3973CC2C" w14:textId="77777777" w:rsidR="007B027D" w:rsidRDefault="008E0125">
      <w:pPr>
        <w:pStyle w:val="a3"/>
        <w:spacing w:before="120" w:beforeAutospacing="0" w:afterAutospacing="0"/>
        <w:jc w:val="center"/>
        <w:rPr>
          <w:rFonts w:ascii="Calibri" w:hAnsi="Calibri" w:cs="Calibri"/>
          <w:sz w:val="20"/>
          <w:szCs w:val="20"/>
        </w:rPr>
      </w:pPr>
      <w:r>
        <w:rPr>
          <w:rFonts w:ascii="Calibri" w:hAnsi="Calibri" w:cs="Calibri"/>
          <w:sz w:val="20"/>
          <w:szCs w:val="20"/>
        </w:rPr>
        <w:fldChar w:fldCharType="begin"/>
      </w:r>
      <w:r>
        <w:rPr>
          <w:rFonts w:ascii="Calibri" w:hAnsi="Calibri" w:cs="Calibri"/>
          <w:sz w:val="20"/>
          <w:szCs w:val="20"/>
        </w:rPr>
        <w:instrText xml:space="preserve">INCLUDEPICTURE \d "/Users/xuxinrun/Document/04 msra/20230209 </w:instrText>
      </w:r>
      <w:r>
        <w:rPr>
          <w:rFonts w:ascii="Calibri" w:hAnsi="Calibri" w:cs="Calibri"/>
          <w:sz w:val="20"/>
          <w:szCs w:val="20"/>
        </w:rPr>
        <w:instrText>公司财报</w:instrText>
      </w:r>
      <w:r>
        <w:rPr>
          <w:rFonts w:ascii="Calibri" w:hAnsi="Calibri" w:cs="Calibri"/>
          <w:sz w:val="20"/>
          <w:szCs w:val="20"/>
        </w:rPr>
        <w:instrText>/Oracle/./Inline XBRL Viewer2_f</w:instrText>
      </w:r>
      <w:r>
        <w:rPr>
          <w:rFonts w:ascii="Calibri" w:hAnsi="Calibri" w:cs="Calibri"/>
          <w:sz w:val="20"/>
          <w:szCs w:val="20"/>
        </w:rPr>
        <w:instrText xml:space="preserve">iles/grswp5gorxhj000001.jpg" \* MERGEFORMATINET </w:instrText>
      </w:r>
      <w:r>
        <w:rPr>
          <w:rFonts w:ascii="Calibri" w:hAnsi="Calibri" w:cs="Calibri"/>
          <w:sz w:val="20"/>
          <w:szCs w:val="20"/>
        </w:rPr>
        <w:fldChar w:fldCharType="separate"/>
      </w:r>
      <w:r>
        <w:rPr>
          <w:rFonts w:ascii="Calibri" w:hAnsi="Calibri" w:cs="Calibri"/>
          <w:noProof/>
          <w:sz w:val="20"/>
          <w:szCs w:val="20"/>
        </w:rPr>
        <w:drawing>
          <wp:inline distT="0" distB="0" distL="114300" distR="114300" wp14:anchorId="3974005C" wp14:editId="3974005D">
            <wp:extent cx="304800" cy="304800"/>
            <wp:effectExtent l="0" t="0" r="0" b="0"/>
            <wp:docPr id="9"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IMG_256"/>
                    <pic:cNvPicPr>
                      <a:picLocks noChangeAspect="1"/>
                    </pic:cNvPicPr>
                  </pic:nvPicPr>
                  <pic:blipFill>
                    <a:blip r:embed="rId98"/>
                    <a:stretch>
                      <a:fillRect/>
                    </a:stretch>
                  </pic:blipFill>
                  <pic:spPr>
                    <a:xfrm>
                      <a:off x="0" y="0"/>
                      <a:ext cx="304800" cy="304800"/>
                    </a:xfrm>
                    <a:prstGeom prst="rect">
                      <a:avLst/>
                    </a:prstGeom>
                    <a:noFill/>
                    <a:ln w="9525">
                      <a:noFill/>
                    </a:ln>
                  </pic:spPr>
                </pic:pic>
              </a:graphicData>
            </a:graphic>
          </wp:inline>
        </w:drawing>
      </w:r>
      <w:r>
        <w:rPr>
          <w:rFonts w:ascii="Calibri" w:hAnsi="Calibri" w:cs="Calibri"/>
          <w:sz w:val="20"/>
          <w:szCs w:val="20"/>
        </w:rPr>
        <w:fldChar w:fldCharType="end"/>
      </w:r>
    </w:p>
    <w:p w14:paraId="3973CC2D"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*$100 INVESTED ON MAY 31, 2017 IN STOCK OR</w:t>
      </w:r>
    </w:p>
    <w:p w14:paraId="3973CC2E"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INDEX-INCLUDING REINVESTMENT OF DIVIDENDS</w:t>
      </w:r>
    </w:p>
    <w:p w14:paraId="3973CC2F"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98"/>
        <w:gridCol w:w="109"/>
        <w:gridCol w:w="84"/>
        <w:gridCol w:w="547"/>
        <w:gridCol w:w="83"/>
        <w:gridCol w:w="108"/>
        <w:gridCol w:w="83"/>
        <w:gridCol w:w="546"/>
        <w:gridCol w:w="83"/>
        <w:gridCol w:w="108"/>
        <w:gridCol w:w="83"/>
        <w:gridCol w:w="546"/>
        <w:gridCol w:w="83"/>
        <w:gridCol w:w="108"/>
        <w:gridCol w:w="83"/>
        <w:gridCol w:w="546"/>
        <w:gridCol w:w="83"/>
        <w:gridCol w:w="108"/>
        <w:gridCol w:w="83"/>
        <w:gridCol w:w="546"/>
        <w:gridCol w:w="83"/>
        <w:gridCol w:w="108"/>
        <w:gridCol w:w="83"/>
        <w:gridCol w:w="546"/>
        <w:gridCol w:w="83"/>
      </w:tblGrid>
      <w:tr w:rsidR="007B027D" w14:paraId="3973CC43" w14:textId="77777777">
        <w:tc>
          <w:tcPr>
            <w:tcW w:w="2037" w:type="pct"/>
            <w:shd w:val="clear" w:color="auto" w:fill="FFFFFF"/>
            <w:tcMar>
              <w:top w:w="15" w:type="dxa"/>
              <w:right w:w="15" w:type="dxa"/>
            </w:tcMar>
            <w:vAlign w:val="bottom"/>
          </w:tcPr>
          <w:p w14:paraId="3973CC30"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FFFFFF"/>
            <w:tcMar>
              <w:top w:w="15" w:type="dxa"/>
              <w:right w:w="15" w:type="dxa"/>
            </w:tcMar>
            <w:vAlign w:val="bottom"/>
          </w:tcPr>
          <w:p w14:paraId="3973CC3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3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5/17</w:t>
            </w:r>
          </w:p>
        </w:tc>
        <w:tc>
          <w:tcPr>
            <w:tcW w:w="50" w:type="pct"/>
            <w:shd w:val="clear" w:color="auto" w:fill="FFFFFF"/>
            <w:noWrap/>
            <w:tcMar>
              <w:top w:w="15" w:type="dxa"/>
              <w:right w:w="15" w:type="dxa"/>
            </w:tcMar>
            <w:vAlign w:val="bottom"/>
          </w:tcPr>
          <w:p w14:paraId="3973CC3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3973CC3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3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5/18</w:t>
            </w:r>
          </w:p>
        </w:tc>
        <w:tc>
          <w:tcPr>
            <w:tcW w:w="50" w:type="pct"/>
            <w:shd w:val="clear" w:color="auto" w:fill="FFFFFF"/>
            <w:noWrap/>
            <w:tcMar>
              <w:top w:w="15" w:type="dxa"/>
              <w:right w:w="15" w:type="dxa"/>
            </w:tcMar>
            <w:vAlign w:val="bottom"/>
          </w:tcPr>
          <w:p w14:paraId="3973CC3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3973CC3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3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5/19</w:t>
            </w:r>
          </w:p>
        </w:tc>
        <w:tc>
          <w:tcPr>
            <w:tcW w:w="50" w:type="pct"/>
            <w:shd w:val="clear" w:color="auto" w:fill="FFFFFF"/>
            <w:noWrap/>
            <w:tcMar>
              <w:top w:w="15" w:type="dxa"/>
              <w:right w:w="15" w:type="dxa"/>
            </w:tcMar>
            <w:vAlign w:val="bottom"/>
          </w:tcPr>
          <w:p w14:paraId="3973CC3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3973CC3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3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5/20</w:t>
            </w:r>
          </w:p>
        </w:tc>
        <w:tc>
          <w:tcPr>
            <w:tcW w:w="50" w:type="pct"/>
            <w:shd w:val="clear" w:color="auto" w:fill="FFFFFF"/>
            <w:noWrap/>
            <w:tcMar>
              <w:top w:w="15" w:type="dxa"/>
              <w:right w:w="15" w:type="dxa"/>
            </w:tcMar>
            <w:vAlign w:val="bottom"/>
          </w:tcPr>
          <w:p w14:paraId="3973CC3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3973CC3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3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5/21</w:t>
            </w:r>
          </w:p>
        </w:tc>
        <w:tc>
          <w:tcPr>
            <w:tcW w:w="50" w:type="pct"/>
            <w:shd w:val="clear" w:color="auto" w:fill="FFFFFF"/>
            <w:noWrap/>
            <w:tcMar>
              <w:top w:w="15" w:type="dxa"/>
              <w:right w:w="15" w:type="dxa"/>
            </w:tcMar>
            <w:vAlign w:val="bottom"/>
          </w:tcPr>
          <w:p w14:paraId="3973CC3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3973CC4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3973CC4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5/22</w:t>
            </w:r>
          </w:p>
        </w:tc>
        <w:tc>
          <w:tcPr>
            <w:tcW w:w="50" w:type="pct"/>
            <w:shd w:val="clear" w:color="auto" w:fill="FFFFFF"/>
            <w:noWrap/>
            <w:tcMar>
              <w:top w:w="15" w:type="dxa"/>
              <w:right w:w="15" w:type="dxa"/>
            </w:tcMar>
            <w:vAlign w:val="bottom"/>
          </w:tcPr>
          <w:p w14:paraId="3973CC4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C5D" w14:textId="77777777">
        <w:tc>
          <w:tcPr>
            <w:tcW w:w="2037" w:type="pct"/>
            <w:shd w:val="clear" w:color="auto" w:fill="CFF0FC"/>
            <w:tcMar>
              <w:top w:w="15" w:type="dxa"/>
              <w:right w:w="15" w:type="dxa"/>
            </w:tcMar>
          </w:tcPr>
          <w:p w14:paraId="3973CC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Oracle Corporation</w:t>
            </w:r>
          </w:p>
        </w:tc>
        <w:tc>
          <w:tcPr>
            <w:tcW w:w="65" w:type="pct"/>
            <w:shd w:val="clear" w:color="auto" w:fill="CFF0FC"/>
            <w:tcMar>
              <w:top w:w="15" w:type="dxa"/>
              <w:right w:w="15" w:type="dxa"/>
            </w:tcMar>
            <w:vAlign w:val="bottom"/>
          </w:tcPr>
          <w:p w14:paraId="3973CC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4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right w:w="15" w:type="dxa"/>
            </w:tcMar>
            <w:vAlign w:val="bottom"/>
          </w:tcPr>
          <w:p w14:paraId="3973CC4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4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104.6</w:t>
            </w:r>
          </w:p>
        </w:tc>
        <w:tc>
          <w:tcPr>
            <w:tcW w:w="50" w:type="pct"/>
            <w:shd w:val="clear" w:color="auto" w:fill="CFF0FC"/>
            <w:noWrap/>
            <w:tcMar>
              <w:top w:w="15" w:type="dxa"/>
              <w:right w:w="15" w:type="dxa"/>
            </w:tcMar>
            <w:vAlign w:val="bottom"/>
          </w:tcPr>
          <w:p w14:paraId="3973CC4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4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115.1</w:t>
            </w:r>
          </w:p>
        </w:tc>
        <w:tc>
          <w:tcPr>
            <w:tcW w:w="50" w:type="pct"/>
            <w:shd w:val="clear" w:color="auto" w:fill="CFF0FC"/>
            <w:noWrap/>
            <w:tcMar>
              <w:top w:w="15" w:type="dxa"/>
              <w:right w:w="15" w:type="dxa"/>
            </w:tcMar>
            <w:vAlign w:val="bottom"/>
          </w:tcPr>
          <w:p w14:paraId="3973CC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5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124.5</w:t>
            </w:r>
          </w:p>
        </w:tc>
        <w:tc>
          <w:tcPr>
            <w:tcW w:w="50" w:type="pct"/>
            <w:shd w:val="clear" w:color="auto" w:fill="CFF0FC"/>
            <w:noWrap/>
            <w:tcMar>
              <w:top w:w="15" w:type="dxa"/>
              <w:right w:w="15" w:type="dxa"/>
            </w:tcMar>
            <w:vAlign w:val="bottom"/>
          </w:tcPr>
          <w:p w14:paraId="3973CC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5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5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185.3</w:t>
            </w:r>
          </w:p>
        </w:tc>
        <w:tc>
          <w:tcPr>
            <w:tcW w:w="50" w:type="pct"/>
            <w:shd w:val="clear" w:color="auto" w:fill="CFF0FC"/>
            <w:noWrap/>
            <w:tcMar>
              <w:top w:w="15" w:type="dxa"/>
              <w:right w:w="15" w:type="dxa"/>
            </w:tcMar>
            <w:vAlign w:val="bottom"/>
          </w:tcPr>
          <w:p w14:paraId="3973CC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C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3973CC5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171.7</w:t>
            </w:r>
          </w:p>
        </w:tc>
        <w:tc>
          <w:tcPr>
            <w:tcW w:w="50" w:type="pct"/>
            <w:shd w:val="clear" w:color="auto" w:fill="CFF0FC"/>
            <w:noWrap/>
            <w:tcMar>
              <w:top w:w="15" w:type="dxa"/>
              <w:right w:w="15" w:type="dxa"/>
            </w:tcMar>
            <w:vAlign w:val="bottom"/>
          </w:tcPr>
          <w:p w14:paraId="3973CC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C77" w14:textId="77777777">
        <w:tc>
          <w:tcPr>
            <w:tcW w:w="2037" w:type="pct"/>
            <w:shd w:val="clear" w:color="auto" w:fill="FFFFFF"/>
            <w:tcMar>
              <w:top w:w="15" w:type="dxa"/>
              <w:right w:w="15" w:type="dxa"/>
            </w:tcMar>
          </w:tcPr>
          <w:p w14:paraId="3973CC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S&amp;P 500 Index</w:t>
            </w:r>
          </w:p>
        </w:tc>
        <w:tc>
          <w:tcPr>
            <w:tcW w:w="65" w:type="pct"/>
            <w:shd w:val="clear" w:color="auto" w:fill="FFFFFF"/>
            <w:tcMar>
              <w:top w:w="15" w:type="dxa"/>
              <w:right w:w="15" w:type="dxa"/>
            </w:tcMar>
            <w:vAlign w:val="bottom"/>
          </w:tcPr>
          <w:p w14:paraId="3973CC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6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FFFFFF"/>
            <w:noWrap/>
            <w:tcMar>
              <w:top w:w="15" w:type="dxa"/>
              <w:right w:w="15" w:type="dxa"/>
            </w:tcMar>
            <w:vAlign w:val="bottom"/>
          </w:tcPr>
          <w:p w14:paraId="3973CC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right w:w="15" w:type="dxa"/>
            </w:tcMar>
            <w:vAlign w:val="bottom"/>
          </w:tcPr>
          <w:p w14:paraId="3973CC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6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114.4</w:t>
            </w:r>
          </w:p>
        </w:tc>
        <w:tc>
          <w:tcPr>
            <w:tcW w:w="50" w:type="pct"/>
            <w:shd w:val="clear" w:color="auto" w:fill="FFFFFF"/>
            <w:noWrap/>
            <w:tcMar>
              <w:top w:w="15" w:type="dxa"/>
              <w:right w:w="15" w:type="dxa"/>
            </w:tcMar>
            <w:vAlign w:val="bottom"/>
          </w:tcPr>
          <w:p w14:paraId="3973CC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right w:w="15" w:type="dxa"/>
            </w:tcMar>
            <w:vAlign w:val="bottom"/>
          </w:tcPr>
          <w:p w14:paraId="3973CC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6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118.7</w:t>
            </w:r>
          </w:p>
        </w:tc>
        <w:tc>
          <w:tcPr>
            <w:tcW w:w="50" w:type="pct"/>
            <w:shd w:val="clear" w:color="auto" w:fill="FFFFFF"/>
            <w:noWrap/>
            <w:tcMar>
              <w:top w:w="15" w:type="dxa"/>
              <w:right w:w="15" w:type="dxa"/>
            </w:tcMar>
            <w:vAlign w:val="bottom"/>
          </w:tcPr>
          <w:p w14:paraId="3973CC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right w:w="15" w:type="dxa"/>
            </w:tcMar>
            <w:vAlign w:val="bottom"/>
          </w:tcPr>
          <w:p w14:paraId="3973CC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6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134.0</w:t>
            </w:r>
          </w:p>
        </w:tc>
        <w:tc>
          <w:tcPr>
            <w:tcW w:w="50" w:type="pct"/>
            <w:shd w:val="clear" w:color="auto" w:fill="FFFFFF"/>
            <w:noWrap/>
            <w:tcMar>
              <w:top w:w="15" w:type="dxa"/>
              <w:right w:w="15" w:type="dxa"/>
            </w:tcMar>
            <w:vAlign w:val="bottom"/>
          </w:tcPr>
          <w:p w14:paraId="3973CC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right w:w="15" w:type="dxa"/>
            </w:tcMar>
            <w:vAlign w:val="bottom"/>
          </w:tcPr>
          <w:p w14:paraId="3973CC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7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188.0</w:t>
            </w:r>
          </w:p>
        </w:tc>
        <w:tc>
          <w:tcPr>
            <w:tcW w:w="50" w:type="pct"/>
            <w:shd w:val="clear" w:color="auto" w:fill="FFFFFF"/>
            <w:noWrap/>
            <w:tcMar>
              <w:top w:w="15" w:type="dxa"/>
              <w:right w:w="15" w:type="dxa"/>
            </w:tcMar>
            <w:vAlign w:val="bottom"/>
          </w:tcPr>
          <w:p w14:paraId="3973CC7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right w:w="15" w:type="dxa"/>
            </w:tcMar>
            <w:vAlign w:val="bottom"/>
          </w:tcPr>
          <w:p w14:paraId="3973CC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C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3973CC7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187.4</w:t>
            </w:r>
          </w:p>
        </w:tc>
        <w:tc>
          <w:tcPr>
            <w:tcW w:w="50" w:type="pct"/>
            <w:shd w:val="clear" w:color="auto" w:fill="FFFFFF"/>
            <w:noWrap/>
            <w:tcMar>
              <w:top w:w="15" w:type="dxa"/>
              <w:right w:w="15" w:type="dxa"/>
            </w:tcMar>
            <w:vAlign w:val="bottom"/>
          </w:tcPr>
          <w:p w14:paraId="3973CC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C91" w14:textId="77777777">
        <w:tc>
          <w:tcPr>
            <w:tcW w:w="2037" w:type="pct"/>
            <w:shd w:val="clear" w:color="auto" w:fill="CFF0FC"/>
            <w:tcMar>
              <w:top w:w="15" w:type="dxa"/>
              <w:right w:w="15" w:type="dxa"/>
            </w:tcMar>
          </w:tcPr>
          <w:p w14:paraId="3973CC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S&amp;P Information Technology Index</w:t>
            </w:r>
          </w:p>
        </w:tc>
        <w:tc>
          <w:tcPr>
            <w:tcW w:w="65" w:type="pct"/>
            <w:shd w:val="clear" w:color="auto" w:fill="CFF0FC"/>
            <w:tcMar>
              <w:top w:w="15" w:type="dxa"/>
              <w:right w:w="15" w:type="dxa"/>
            </w:tcMar>
            <w:vAlign w:val="bottom"/>
          </w:tcPr>
          <w:p w14:paraId="3973CC7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7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right w:w="15" w:type="dxa"/>
            </w:tcMar>
            <w:vAlign w:val="bottom"/>
          </w:tcPr>
          <w:p w14:paraId="3973CC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7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7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128.2</w:t>
            </w:r>
          </w:p>
        </w:tc>
        <w:tc>
          <w:tcPr>
            <w:tcW w:w="50" w:type="pct"/>
            <w:shd w:val="clear" w:color="auto" w:fill="CFF0FC"/>
            <w:noWrap/>
            <w:tcMar>
              <w:top w:w="15" w:type="dxa"/>
              <w:right w:w="15" w:type="dxa"/>
            </w:tcMar>
            <w:vAlign w:val="bottom"/>
          </w:tcPr>
          <w:p w14:paraId="3973CC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8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133.8</w:t>
            </w:r>
          </w:p>
        </w:tc>
        <w:tc>
          <w:tcPr>
            <w:tcW w:w="50" w:type="pct"/>
            <w:shd w:val="clear" w:color="auto" w:fill="CFF0FC"/>
            <w:noWrap/>
            <w:tcMar>
              <w:top w:w="15" w:type="dxa"/>
              <w:right w:w="15" w:type="dxa"/>
            </w:tcMar>
            <w:vAlign w:val="bottom"/>
          </w:tcPr>
          <w:p w14:paraId="3973CC8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8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185.3</w:t>
            </w:r>
          </w:p>
        </w:tc>
        <w:tc>
          <w:tcPr>
            <w:tcW w:w="50" w:type="pct"/>
            <w:shd w:val="clear" w:color="auto" w:fill="CFF0FC"/>
            <w:noWrap/>
            <w:tcMar>
              <w:top w:w="15" w:type="dxa"/>
              <w:right w:w="15" w:type="dxa"/>
            </w:tcMar>
            <w:vAlign w:val="bottom"/>
          </w:tcPr>
          <w:p w14:paraId="3973CC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8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264.3</w:t>
            </w:r>
          </w:p>
        </w:tc>
        <w:tc>
          <w:tcPr>
            <w:tcW w:w="50" w:type="pct"/>
            <w:shd w:val="clear" w:color="auto" w:fill="CFF0FC"/>
            <w:noWrap/>
            <w:tcMar>
              <w:top w:w="15" w:type="dxa"/>
              <w:right w:w="15" w:type="dxa"/>
            </w:tcMar>
            <w:vAlign w:val="bottom"/>
          </w:tcPr>
          <w:p w14:paraId="3973CC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right w:w="15" w:type="dxa"/>
            </w:tcMar>
            <w:vAlign w:val="bottom"/>
          </w:tcPr>
          <w:p w14:paraId="3973CC8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C8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3973CC8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269.4</w:t>
            </w:r>
          </w:p>
        </w:tc>
        <w:tc>
          <w:tcPr>
            <w:tcW w:w="50" w:type="pct"/>
            <w:shd w:val="clear" w:color="auto" w:fill="CFF0FC"/>
            <w:noWrap/>
            <w:tcMar>
              <w:top w:w="15" w:type="dxa"/>
              <w:right w:w="15" w:type="dxa"/>
            </w:tcMar>
            <w:vAlign w:val="bottom"/>
          </w:tcPr>
          <w:p w14:paraId="3973CC90"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C92"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C95" w14:textId="77777777">
        <w:tc>
          <w:tcPr>
            <w:tcW w:w="213" w:type="pct"/>
            <w:shd w:val="clear" w:color="auto" w:fill="auto"/>
            <w:noWrap/>
          </w:tcPr>
          <w:p w14:paraId="3973CC93"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3973CC94"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[Reserved]</w:t>
            </w:r>
          </w:p>
        </w:tc>
      </w:tr>
    </w:tbl>
    <w:p w14:paraId="3973CC96" w14:textId="77777777" w:rsidR="007B027D" w:rsidRDefault="008E0125">
      <w:pPr>
        <w:pStyle w:val="a3"/>
        <w:spacing w:beforeAutospacing="0" w:afterAutospacing="0"/>
        <w:jc w:val="both"/>
        <w:rPr>
          <w:sz w:val="12"/>
          <w:szCs w:val="12"/>
        </w:rPr>
      </w:pPr>
      <w:r>
        <w:rPr>
          <w:sz w:val="12"/>
          <w:szCs w:val="12"/>
        </w:rPr>
        <w:t> </w:t>
      </w:r>
    </w:p>
    <w:p w14:paraId="3973CC97" w14:textId="77777777" w:rsidR="007B027D" w:rsidRDefault="008E0125">
      <w:pPr>
        <w:pStyle w:val="a3"/>
        <w:spacing w:before="120" w:beforeAutospacing="0" w:afterAutospacing="0"/>
        <w:rPr>
          <w:sz w:val="15"/>
          <w:szCs w:val="15"/>
        </w:rPr>
      </w:pPr>
      <w:r>
        <w:rPr>
          <w:sz w:val="15"/>
          <w:szCs w:val="15"/>
        </w:rPr>
        <w:t> </w:t>
      </w:r>
    </w:p>
    <w:p w14:paraId="3973CC9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3973CC99" w14:textId="77777777" w:rsidR="007B027D" w:rsidRDefault="008E0125">
      <w:r>
        <w:rPr>
          <w:rFonts w:ascii="Calibri" w:hAnsi="Calibri" w:cs="Calibri"/>
          <w:sz w:val="20"/>
          <w:szCs w:val="20"/>
        </w:rPr>
        <w:pict w14:anchorId="3974005E">
          <v:rect id="_x0000_i1061" style="width:415.3pt;height:1.5pt" o:hralign="center" o:hrstd="t" o:hr="t" fillcolor="#a0a0a0" stroked="f"/>
        </w:pict>
      </w:r>
    </w:p>
    <w:p w14:paraId="3973CC9A" w14:textId="77777777" w:rsidR="007B027D" w:rsidRDefault="008E0125">
      <w:pPr>
        <w:pStyle w:val="a3"/>
        <w:spacing w:beforeAutospacing="0" w:after="120" w:afterAutospacing="0"/>
        <w:rPr>
          <w:rFonts w:ascii="Calibri" w:hAnsi="Calibri" w:cs="Calibri"/>
          <w:sz w:val="18"/>
          <w:szCs w:val="18"/>
        </w:rPr>
      </w:pPr>
      <w:hyperlink r:id="rId99" w:anchor="TABLE_OF_CONTENTS" w:history="1">
        <w:r>
          <w:rPr>
            <w:rStyle w:val="a5"/>
            <w:rFonts w:ascii="Calibri" w:hAnsi="Calibri" w:cs="Calibri"/>
            <w:sz w:val="18"/>
            <w:szCs w:val="18"/>
          </w:rPr>
          <w:t>Table of Contents</w:t>
        </w:r>
      </w:hyperlink>
    </w:p>
    <w:p w14:paraId="3973CC9B" w14:textId="77777777" w:rsidR="007B027D" w:rsidRDefault="008E0125">
      <w:pPr>
        <w:pStyle w:val="a3"/>
        <w:spacing w:beforeAutospacing="0" w:afterAutospacing="0"/>
        <w:rPr>
          <w:rFonts w:ascii="Calibri" w:hAnsi="Calibri" w:cs="Calibri"/>
          <w:sz w:val="18"/>
          <w:szCs w:val="18"/>
        </w:rPr>
      </w:pPr>
      <w:hyperlink r:id="rId100" w:anchor="ITEM_15_EXHIBITS_FINANCIAL_STATEMENT_SCH" w:history="1">
        <w:r>
          <w:rPr>
            <w:rStyle w:val="a5"/>
            <w:rFonts w:ascii="Calibri" w:hAnsi="Calibri" w:cs="Calibri"/>
            <w:sz w:val="18"/>
            <w:szCs w:val="18"/>
          </w:rPr>
          <w:t>Index to Financial Statements</w:t>
        </w:r>
      </w:hyperlink>
    </w:p>
    <w:p w14:paraId="3973CC9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C9D"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CCA0" w14:textId="77777777">
        <w:tc>
          <w:tcPr>
            <w:tcW w:w="213" w:type="pct"/>
            <w:shd w:val="clear" w:color="auto" w:fill="auto"/>
            <w:noWrap/>
          </w:tcPr>
          <w:p w14:paraId="3973CC9E"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Item 7.</w:t>
            </w:r>
          </w:p>
        </w:tc>
        <w:tc>
          <w:tcPr>
            <w:tcW w:w="0" w:type="auto"/>
            <w:shd w:val="clear" w:color="auto" w:fill="auto"/>
          </w:tcPr>
          <w:p w14:paraId="3973CC9F"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w:t>
            </w:r>
            <w:r>
              <w:rPr>
                <w:rFonts w:ascii="Calibri" w:hAnsi="Calibri" w:cs="Calibri"/>
                <w:sz w:val="20"/>
                <w:szCs w:val="20"/>
              </w:rPr>
              <w:t xml:space="preserve"> </w:t>
            </w:r>
            <w:r>
              <w:rPr>
                <w:rFonts w:ascii="Calibri" w:hAnsi="Calibri" w:cs="Calibri"/>
                <w:b/>
                <w:bCs/>
                <w:sz w:val="20"/>
                <w:szCs w:val="20"/>
              </w:rPr>
              <w:t>Results of Operations</w:t>
            </w:r>
          </w:p>
        </w:tc>
      </w:tr>
    </w:tbl>
    <w:p w14:paraId="3973CCA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w:t>
      </w:r>
      <w:r>
        <w:rPr>
          <w:rFonts w:ascii="Calibri" w:hAnsi="Calibri" w:cs="Calibri"/>
          <w:sz w:val="20"/>
          <w:szCs w:val="20"/>
        </w:rPr>
        <w:t>Condition and Results of Operations with an overview of our businesses and significant trends. This overview is followed by a summary of our critical accounting policies and estimates that we believe are important to understanding the assumptions and judgm</w:t>
      </w:r>
      <w:r>
        <w:rPr>
          <w:rFonts w:ascii="Calibri" w:hAnsi="Calibri" w:cs="Calibri"/>
          <w:sz w:val="20"/>
          <w:szCs w:val="20"/>
        </w:rPr>
        <w:t>ents incorporated in our reported financial results. We then provide a more detailed analysis of our results of operations and financial condition for fiscal 2022 compared to fiscal 2021. A discussion regarding our financial condition and results of operat</w:t>
      </w:r>
      <w:r>
        <w:rPr>
          <w:rFonts w:ascii="Calibri" w:hAnsi="Calibri" w:cs="Calibri"/>
          <w:sz w:val="20"/>
          <w:szCs w:val="20"/>
        </w:rPr>
        <w:t>ions for fiscal 2021 compared to fiscal 2020 can be found in Management’s Discussion and Analysis of Financial Condition and Results of Operations in Part II, Item 7 of our Annual Report on Form 10-K for the fiscal year ended May 31, 2021, as filed with th</w:t>
      </w:r>
      <w:r>
        <w:rPr>
          <w:rFonts w:ascii="Calibri" w:hAnsi="Calibri" w:cs="Calibri"/>
          <w:sz w:val="20"/>
          <w:szCs w:val="20"/>
        </w:rPr>
        <w:t>e SEC on June 21, 2021, which is available free of charge on the SEC’s website at www.sec.gov and on our Investor Relations website at www.oracle.com/investor.</w:t>
      </w:r>
    </w:p>
    <w:p w14:paraId="3973CCA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3973CCA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w:t>
      </w:r>
      <w:r>
        <w:rPr>
          <w:rFonts w:ascii="Calibri" w:hAnsi="Calibri" w:cs="Calibri"/>
          <w:sz w:val="20"/>
          <w:szCs w:val="20"/>
        </w:rPr>
        <w:t>nology (IT) environments. Our products and services include enterprise applications and infrastructure offerings that are delivered worldwide through a variety of flexible and interoperable IT deployment models. These models include on-premise deployments,</w:t>
      </w:r>
      <w:r>
        <w:rPr>
          <w:rFonts w:ascii="Calibri" w:hAnsi="Calibri" w:cs="Calibri"/>
          <w:sz w:val="20"/>
          <w:szCs w:val="20"/>
        </w:rPr>
        <w:t xml:space="preserve"> cloud-based deployments, and hybrid deployments (an approach that combines both on-premise and cloud-based deployments). Accordingly, we offer choice and flexibility to our customers and facilitate the product, service and deployment combinations that bes</w:t>
      </w:r>
      <w:r>
        <w:rPr>
          <w:rFonts w:ascii="Calibri" w:hAnsi="Calibri" w:cs="Calibri"/>
          <w:sz w:val="20"/>
          <w:szCs w:val="20"/>
        </w:rPr>
        <w:t>t suit our customers’ needs. Through our worldwide sales force and Oracle Partner Network, we sell to customers all over the world including businesses of many sizes, government agencies, educational institutions and resellers.</w:t>
      </w:r>
    </w:p>
    <w:p w14:paraId="3973CCA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w:t>
      </w:r>
      <w:r>
        <w:rPr>
          <w:rFonts w:ascii="Calibri" w:hAnsi="Calibri" w:cs="Calibri"/>
          <w:sz w:val="20"/>
          <w:szCs w:val="20"/>
        </w:rPr>
        <w:t>oud and license; hardware; and services; each of which comprises a single operating segment. The descriptions set forth below as a part of this Item 7 Management’s Discussion and Analysis of Financial Condition and Results of Operations and the information</w:t>
      </w:r>
      <w:r>
        <w:rPr>
          <w:rFonts w:ascii="Calibri" w:hAnsi="Calibri" w:cs="Calibri"/>
          <w:sz w:val="20"/>
          <w:szCs w:val="20"/>
        </w:rPr>
        <w:t xml:space="preserve"> contained within Item 1 Business and Note 14 of Notes to Consolidated Financial Statements included elsewhere in this Annual Report provide additional information related to our businesses and operating segments and align to how our chief operating decisi</w:t>
      </w:r>
      <w:r>
        <w:rPr>
          <w:rFonts w:ascii="Calibri" w:hAnsi="Calibri" w:cs="Calibri"/>
          <w:sz w:val="20"/>
          <w:szCs w:val="20"/>
        </w:rPr>
        <w:t>on makers (CODMs), which include our Chief Executive Officer and Chief Technology Officer, view our operating results and allocate resources.</w:t>
      </w:r>
    </w:p>
    <w:p w14:paraId="3973CCA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3973CCA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which represented 85% and 84% of our total </w:t>
      </w:r>
      <w:r>
        <w:rPr>
          <w:rFonts w:ascii="Calibri" w:hAnsi="Calibri" w:cs="Calibri"/>
          <w:sz w:val="20"/>
          <w:szCs w:val="20"/>
        </w:rPr>
        <w:t>revenues in fiscal 2022 and 2021, respectively, markets, sells and delivers a broad spectrum of enterprise applications and infrastructure technologies through our cloud and license offerings. Revenue streams included in our cloud and license business are:</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AA" w14:textId="77777777">
        <w:tc>
          <w:tcPr>
            <w:tcW w:w="262" w:type="pct"/>
            <w:shd w:val="clear" w:color="auto" w:fill="auto"/>
            <w:noWrap/>
          </w:tcPr>
          <w:p w14:paraId="3973CCA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A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A9"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and license support revenues, which include:</w:t>
            </w:r>
          </w:p>
        </w:tc>
      </w:tr>
    </w:tbl>
    <w:p w14:paraId="3973CCA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7B027D" w14:paraId="3973CCAF" w14:textId="77777777">
        <w:tc>
          <w:tcPr>
            <w:tcW w:w="384" w:type="pct"/>
            <w:shd w:val="clear" w:color="auto" w:fill="auto"/>
            <w:noWrap/>
          </w:tcPr>
          <w:p w14:paraId="3973CCA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CAD" w14:textId="77777777" w:rsidR="007B027D" w:rsidRDefault="008E0125">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3973CCA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w:t>
            </w:r>
            <w:r>
              <w:rPr>
                <w:rFonts w:ascii="Calibri" w:hAnsi="Calibri" w:cs="Calibri"/>
                <w:color w:val="000000"/>
                <w:sz w:val="20"/>
                <w:szCs w:val="20"/>
              </w:rPr>
              <w:t>, on-premise and other IT environments. Substantially all license support customers renew their support contracts with us upon expiration in order to continue to benefit from technical support services and the periodic issuance of unspecified updates and e</w:t>
            </w:r>
            <w:r>
              <w:rPr>
                <w:rFonts w:ascii="Calibri" w:hAnsi="Calibri" w:cs="Calibri"/>
                <w:color w:val="000000"/>
                <w:sz w:val="20"/>
                <w:szCs w:val="20"/>
              </w:rPr>
              <w:t>nhancements, which current license support customers are entitled to receive. License support contracts are generally priced as a percentage of the net fees paid by the customer to purchase a cloud license and/or on-premise license; are generally billed in</w:t>
            </w:r>
            <w:r>
              <w:rPr>
                <w:rFonts w:ascii="Calibri" w:hAnsi="Calibri" w:cs="Calibri"/>
                <w:color w:val="000000"/>
                <w:sz w:val="20"/>
                <w:szCs w:val="20"/>
              </w:rPr>
              <w:t xml:space="preserve"> advance of the support services being performed; are generally renewed at the customer’s option; and are generally recognized as revenues ratably over the contractual period that the support services are provided, which is generally one year; and </w:t>
            </w:r>
          </w:p>
        </w:tc>
      </w:tr>
    </w:tbl>
    <w:p w14:paraId="3973CCB0"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7B027D" w14:paraId="3973CCB4" w14:textId="77777777">
        <w:tc>
          <w:tcPr>
            <w:tcW w:w="384" w:type="pct"/>
            <w:shd w:val="clear" w:color="auto" w:fill="auto"/>
            <w:noWrap/>
          </w:tcPr>
          <w:p w14:paraId="3973CCB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CB2" w14:textId="77777777" w:rsidR="007B027D" w:rsidRDefault="008E0125">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3973CCB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revenues, which provide customers access to Oracle Cloud applications and infrastructure technologies via cloud-based deployment models that Oracle develops, provides unspecified updates and enhancements for, deploys, hosts, manages and supp</w:t>
            </w:r>
            <w:r>
              <w:rPr>
                <w:rFonts w:ascii="Calibri" w:hAnsi="Calibri" w:cs="Calibri"/>
                <w:color w:val="000000"/>
                <w:sz w:val="20"/>
                <w:szCs w:val="20"/>
              </w:rPr>
              <w:t xml:space="preserve">orts and that </w:t>
            </w:r>
          </w:p>
        </w:tc>
      </w:tr>
    </w:tbl>
    <w:p w14:paraId="3973CCB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3973CCB6" w14:textId="77777777" w:rsidR="007B027D" w:rsidRDefault="008E0125">
      <w:r>
        <w:rPr>
          <w:rFonts w:ascii="Calibri" w:hAnsi="Calibri" w:cs="Calibri"/>
          <w:sz w:val="20"/>
          <w:szCs w:val="20"/>
        </w:rPr>
        <w:pict w14:anchorId="3974005F">
          <v:rect id="_x0000_i1062" style="width:415.3pt;height:1.5pt" o:hralign="center" o:hrstd="t" o:hr="t" fillcolor="#a0a0a0" stroked="f"/>
        </w:pict>
      </w:r>
    </w:p>
    <w:p w14:paraId="3973CCB7" w14:textId="77777777" w:rsidR="007B027D" w:rsidRDefault="008E0125">
      <w:pPr>
        <w:pStyle w:val="a3"/>
        <w:spacing w:beforeAutospacing="0" w:after="120" w:afterAutospacing="0"/>
        <w:rPr>
          <w:rFonts w:ascii="Calibri" w:hAnsi="Calibri" w:cs="Calibri"/>
          <w:sz w:val="18"/>
          <w:szCs w:val="18"/>
        </w:rPr>
      </w:pPr>
      <w:hyperlink r:id="rId101" w:anchor="TABLE_OF_CONTENTS" w:history="1">
        <w:r>
          <w:rPr>
            <w:rStyle w:val="a5"/>
            <w:rFonts w:ascii="Calibri" w:hAnsi="Calibri" w:cs="Calibri"/>
            <w:sz w:val="18"/>
            <w:szCs w:val="18"/>
          </w:rPr>
          <w:t>Table of Contents</w:t>
        </w:r>
      </w:hyperlink>
    </w:p>
    <w:p w14:paraId="3973CCB8" w14:textId="77777777" w:rsidR="007B027D" w:rsidRDefault="008E0125">
      <w:pPr>
        <w:pStyle w:val="a3"/>
        <w:spacing w:beforeAutospacing="0" w:afterAutospacing="0"/>
        <w:rPr>
          <w:rFonts w:ascii="Calibri" w:hAnsi="Calibri" w:cs="Calibri"/>
          <w:sz w:val="18"/>
          <w:szCs w:val="18"/>
        </w:rPr>
      </w:pPr>
      <w:hyperlink r:id="rId102" w:anchor="ITEM_15_EXHIBITS_FINANCIAL_STATEMENT_SCH" w:history="1">
        <w:r>
          <w:rPr>
            <w:rStyle w:val="a5"/>
            <w:rFonts w:ascii="Calibri" w:hAnsi="Calibri" w:cs="Calibri"/>
            <w:sz w:val="18"/>
            <w:szCs w:val="18"/>
          </w:rPr>
          <w:t>Index to Financial Statements</w:t>
        </w:r>
      </w:hyperlink>
    </w:p>
    <w:p w14:paraId="3973CCB9"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638"/>
        <w:gridCol w:w="319"/>
        <w:gridCol w:w="7349"/>
      </w:tblGrid>
      <w:tr w:rsidR="007B027D" w14:paraId="3973CCBD" w14:textId="77777777">
        <w:tc>
          <w:tcPr>
            <w:tcW w:w="384" w:type="pct"/>
            <w:shd w:val="clear" w:color="auto" w:fill="auto"/>
            <w:noWrap/>
          </w:tcPr>
          <w:p w14:paraId="3973CCB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3973CCBB" w14:textId="77777777" w:rsidR="007B027D" w:rsidRDefault="007B027D">
            <w:pPr>
              <w:rPr>
                <w:rFonts w:ascii="宋体"/>
              </w:rPr>
            </w:pPr>
          </w:p>
        </w:tc>
        <w:tc>
          <w:tcPr>
            <w:tcW w:w="0" w:type="auto"/>
            <w:shd w:val="clear" w:color="auto" w:fill="auto"/>
          </w:tcPr>
          <w:p w14:paraId="3973CCBC"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customers access by entering into a subscription agreement wit</w:t>
            </w:r>
            <w:r>
              <w:rPr>
                <w:rFonts w:ascii="Calibri" w:hAnsi="Calibri" w:cs="Calibri"/>
                <w:color w:val="000000"/>
                <w:sz w:val="20"/>
                <w:szCs w:val="20"/>
              </w:rPr>
              <w:t>h us for a stated period. Oracle Cloud Services arrangements are generally billed in advance of the cloud services being performed; generally have durations of one to three years; are generally renewed at the customer’s option; and are generally recognized</w:t>
            </w:r>
            <w:r>
              <w:rPr>
                <w:rFonts w:ascii="Calibri" w:hAnsi="Calibri" w:cs="Calibri"/>
                <w:color w:val="000000"/>
                <w:sz w:val="20"/>
                <w:szCs w:val="20"/>
              </w:rPr>
              <w:t xml:space="preserve"> as revenues ratably over the contractual period of the cloud contract or, in the case of usage model contracts, as the cloud services are consumed over time.</w:t>
            </w:r>
          </w:p>
        </w:tc>
      </w:tr>
    </w:tbl>
    <w:p w14:paraId="3973CCB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C2" w14:textId="77777777">
        <w:tc>
          <w:tcPr>
            <w:tcW w:w="262" w:type="pct"/>
            <w:shd w:val="clear" w:color="auto" w:fill="auto"/>
            <w:noWrap/>
          </w:tcPr>
          <w:p w14:paraId="3973CCB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C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C1"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license and on-premise license revenues, which include revenues from the </w:t>
            </w:r>
            <w:r>
              <w:rPr>
                <w:rFonts w:ascii="Calibri" w:hAnsi="Calibri" w:cs="Calibri"/>
                <w:color w:val="000000"/>
                <w:sz w:val="20"/>
                <w:szCs w:val="20"/>
              </w:rPr>
              <w:t>licensing of our software products including Oracle Applications, Oracle Database, Oracle Middleware and Java, among others, which our customers deploy within cloud-based, on-premise and other IT environments. Our cloud license and on-premise license trans</w:t>
            </w:r>
            <w:r>
              <w:rPr>
                <w:rFonts w:ascii="Calibri" w:hAnsi="Calibri" w:cs="Calibri"/>
                <w:color w:val="000000"/>
                <w:sz w:val="20"/>
                <w:szCs w:val="20"/>
              </w:rPr>
              <w:t>actions are generally perpetual in nature and are generally recognized as revenues up front at the point in time when the software is made available to the customer to download and use. Revenues from usage-based royalty arrangements for distinct cloud lice</w:t>
            </w:r>
            <w:r>
              <w:rPr>
                <w:rFonts w:ascii="Calibri" w:hAnsi="Calibri" w:cs="Calibri"/>
                <w:color w:val="000000"/>
                <w:sz w:val="20"/>
                <w:szCs w:val="20"/>
              </w:rPr>
              <w:t>nses and on-premise licenses are recognized at the point in time when the software end user usage occurs. The timing of a few large license transactions can substantially affect our quarterly license revenues due to the point-in-time nature of revenue reco</w:t>
            </w:r>
            <w:r>
              <w:rPr>
                <w:rFonts w:ascii="Calibri" w:hAnsi="Calibri" w:cs="Calibri"/>
                <w:color w:val="000000"/>
                <w:sz w:val="20"/>
                <w:szCs w:val="20"/>
              </w:rPr>
              <w:t>gnition for license transactions, which is different than the typical revenue recognition pattern for our cloud services and license support revenues in which revenues are generally recognized ratably over the contractual terms. Cloud license and on-premis</w:t>
            </w:r>
            <w:r>
              <w:rPr>
                <w:rFonts w:ascii="Calibri" w:hAnsi="Calibri" w:cs="Calibri"/>
                <w:color w:val="000000"/>
                <w:sz w:val="20"/>
                <w:szCs w:val="20"/>
              </w:rPr>
              <w:t>e license customers have the option to purchase and renew license support contracts, as further described above.</w:t>
            </w:r>
          </w:p>
        </w:tc>
      </w:tr>
    </w:tbl>
    <w:p w14:paraId="3973CCC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Oracle applications and infrastructure technologies are impor</w:t>
      </w:r>
      <w:r>
        <w:rPr>
          <w:rFonts w:ascii="Calibri" w:hAnsi="Calibri" w:cs="Calibri"/>
          <w:sz w:val="20"/>
          <w:szCs w:val="20"/>
        </w:rPr>
        <w:t>tant elements of our corporate strategy. In recent periods, customer demand for our applications and infrastructure technologies delivered through our Oracle Cloud Services has increased. To address customer demand and enable customer choice, we have intro</w:t>
      </w:r>
      <w:r>
        <w:rPr>
          <w:rFonts w:ascii="Calibri" w:hAnsi="Calibri" w:cs="Calibri"/>
          <w:sz w:val="20"/>
          <w:szCs w:val="20"/>
        </w:rPr>
        <w:t>duced certain programs for customers to pivot their applications and infrastructure licenses and the related license support to the Oracle Cloud for new deployments and to migrate to and expand with the Oracle Cloud for their existing workloads. The propor</w:t>
      </w:r>
      <w:r>
        <w:rPr>
          <w:rFonts w:ascii="Calibri" w:hAnsi="Calibri" w:cs="Calibri"/>
          <w:sz w:val="20"/>
          <w:szCs w:val="20"/>
        </w:rPr>
        <w:t>tion of our cloud services and license support revenues relative to our cloud license and on-premise license revenues, hardware revenues and services revenues has increased and we expect this trend to continue. Cloud services and license support revenues r</w:t>
      </w:r>
      <w:r>
        <w:rPr>
          <w:rFonts w:ascii="Calibri" w:hAnsi="Calibri" w:cs="Calibri"/>
          <w:sz w:val="20"/>
          <w:szCs w:val="20"/>
        </w:rPr>
        <w:t xml:space="preserve">epresented 71% of our total revenues during each of fiscal 2022 and 2021 and 70% of our total revenues during fiscal 2020. </w:t>
      </w:r>
    </w:p>
    <w:p w14:paraId="3973CCC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revenue growth is affected by many factors, including the strength of general economic and business </w:t>
      </w:r>
      <w:r>
        <w:rPr>
          <w:rFonts w:ascii="Calibri" w:hAnsi="Calibri" w:cs="Calibri"/>
          <w:sz w:val="20"/>
          <w:szCs w:val="20"/>
        </w:rPr>
        <w:t>conditions; governmental budgetary constraints; the strategy for and competitive position of our offerings; customer satisfaction with our offerings; the continued renewal of our cloud services and license support customer contracts by the customer contrac</w:t>
      </w:r>
      <w:r>
        <w:rPr>
          <w:rFonts w:ascii="Calibri" w:hAnsi="Calibri" w:cs="Calibri"/>
          <w:sz w:val="20"/>
          <w:szCs w:val="20"/>
        </w:rPr>
        <w:t>t base; substantially all customers continuing to purchase license support contracts in connection with their license purchases; the pricing of license support contracts sold in connection with the sales of licenses; the pricing, amounts and volumes of lic</w:t>
      </w:r>
      <w:r>
        <w:rPr>
          <w:rFonts w:ascii="Calibri" w:hAnsi="Calibri" w:cs="Calibri"/>
          <w:sz w:val="20"/>
          <w:szCs w:val="20"/>
        </w:rPr>
        <w:t>enses and cloud services sold; our ability to manage Oracle Cloud capacity requirements to meet existing and prospective customer demand; and foreign currency rate fluctuations.</w:t>
      </w:r>
    </w:p>
    <w:p w14:paraId="3973CCC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w:t>
      </w:r>
      <w:r>
        <w:rPr>
          <w:rFonts w:ascii="Calibri" w:hAnsi="Calibri" w:cs="Calibri"/>
          <w:sz w:val="20"/>
          <w:szCs w:val="20"/>
        </w:rPr>
        <w:t>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C9" w14:textId="77777777">
        <w:tc>
          <w:tcPr>
            <w:tcW w:w="262" w:type="pct"/>
            <w:shd w:val="clear" w:color="auto" w:fill="auto"/>
            <w:noWrap/>
          </w:tcPr>
          <w:p w14:paraId="3973CCC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C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C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expected growth in our cloud services and license support offerings; and</w:t>
            </w:r>
          </w:p>
        </w:tc>
      </w:tr>
    </w:tbl>
    <w:p w14:paraId="3973CCC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CE" w14:textId="77777777">
        <w:tc>
          <w:tcPr>
            <w:tcW w:w="262" w:type="pct"/>
            <w:shd w:val="clear" w:color="auto" w:fill="auto"/>
            <w:noWrap/>
          </w:tcPr>
          <w:p w14:paraId="3973CCC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C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CD"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license offerings.</w:t>
            </w:r>
          </w:p>
        </w:tc>
      </w:tr>
    </w:tbl>
    <w:p w14:paraId="3973CCC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these factors should contribute to futur</w:t>
      </w:r>
      <w:r>
        <w:rPr>
          <w:rFonts w:ascii="Calibri" w:hAnsi="Calibri" w:cs="Calibri"/>
          <w:sz w:val="20"/>
          <w:szCs w:val="20"/>
        </w:rPr>
        <w:t>e growth in our cloud and license business’ total revenues, which should enable us to continue to make investments in research and development and our cloud operations to develop, improve, increase the capacity of and expand the geographic footprint of our</w:t>
      </w:r>
      <w:r>
        <w:rPr>
          <w:rFonts w:ascii="Calibri" w:hAnsi="Calibri" w:cs="Calibri"/>
          <w:sz w:val="20"/>
          <w:szCs w:val="20"/>
        </w:rPr>
        <w:t xml:space="preserve"> cloud and license products and services.</w:t>
      </w:r>
    </w:p>
    <w:p w14:paraId="3973CCD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margin has historically trended upward over the course of the four quarters within a particular fiscal year due to the historical upward trend of our cloud and license business’ revenues over those quarterly periods and beca</w:t>
      </w:r>
      <w:r>
        <w:rPr>
          <w:rFonts w:ascii="Calibri" w:hAnsi="Calibri" w:cs="Calibri"/>
          <w:sz w:val="20"/>
          <w:szCs w:val="20"/>
        </w:rPr>
        <w:t>use the majority of our costs for this business are generally fixed in the short term. The historical upward trend of our cloud and license business’ revenues over the course of the four quarters within a particular fiscal year is primarily due to the addi</w:t>
      </w:r>
      <w:r>
        <w:rPr>
          <w:rFonts w:ascii="Calibri" w:hAnsi="Calibri" w:cs="Calibri"/>
          <w:sz w:val="20"/>
          <w:szCs w:val="20"/>
        </w:rPr>
        <w:t xml:space="preserve">tion of new cloud services and license support contracts to the </w:t>
      </w:r>
    </w:p>
    <w:p w14:paraId="3973CCD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3973CCD2" w14:textId="77777777" w:rsidR="007B027D" w:rsidRDefault="008E0125">
      <w:r>
        <w:rPr>
          <w:rFonts w:ascii="Calibri" w:hAnsi="Calibri" w:cs="Calibri"/>
          <w:sz w:val="20"/>
          <w:szCs w:val="20"/>
        </w:rPr>
        <w:pict w14:anchorId="39740060">
          <v:rect id="_x0000_i1063" style="width:415.3pt;height:1.5pt" o:hralign="center" o:hrstd="t" o:hr="t" fillcolor="#a0a0a0" stroked="f"/>
        </w:pict>
      </w:r>
    </w:p>
    <w:p w14:paraId="3973CCD3" w14:textId="77777777" w:rsidR="007B027D" w:rsidRDefault="008E0125">
      <w:pPr>
        <w:pStyle w:val="a3"/>
        <w:spacing w:beforeAutospacing="0" w:after="120" w:afterAutospacing="0"/>
        <w:rPr>
          <w:rFonts w:ascii="Calibri" w:hAnsi="Calibri" w:cs="Calibri"/>
          <w:sz w:val="18"/>
          <w:szCs w:val="18"/>
        </w:rPr>
      </w:pPr>
      <w:hyperlink r:id="rId103" w:anchor="TABLE_OF_CONTENTS" w:history="1">
        <w:r>
          <w:rPr>
            <w:rStyle w:val="a5"/>
            <w:rFonts w:ascii="Calibri" w:hAnsi="Calibri" w:cs="Calibri"/>
            <w:sz w:val="18"/>
            <w:szCs w:val="18"/>
          </w:rPr>
          <w:t>Table of Contents</w:t>
        </w:r>
      </w:hyperlink>
    </w:p>
    <w:p w14:paraId="3973CCD4" w14:textId="77777777" w:rsidR="007B027D" w:rsidRDefault="008E0125">
      <w:pPr>
        <w:pStyle w:val="a3"/>
        <w:spacing w:beforeAutospacing="0" w:afterAutospacing="0"/>
        <w:rPr>
          <w:rFonts w:ascii="Calibri" w:hAnsi="Calibri" w:cs="Calibri"/>
          <w:sz w:val="18"/>
          <w:szCs w:val="18"/>
        </w:rPr>
      </w:pPr>
      <w:hyperlink r:id="rId104" w:anchor="ITEM_15_EXHIBITS_FINANCIAL_STATEMENT_SCH" w:history="1">
        <w:r>
          <w:rPr>
            <w:rStyle w:val="a5"/>
            <w:rFonts w:ascii="Calibri" w:hAnsi="Calibri" w:cs="Calibri"/>
            <w:sz w:val="18"/>
            <w:szCs w:val="18"/>
          </w:rPr>
          <w:t>Index to Financial Statements</w:t>
        </w:r>
      </w:hyperlink>
    </w:p>
    <w:p w14:paraId="3973CCD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CD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customer contract base that we generally recognize as revenues ra</w:t>
      </w:r>
      <w:r>
        <w:rPr>
          <w:rFonts w:ascii="Calibri" w:hAnsi="Calibri" w:cs="Calibri"/>
          <w:sz w:val="20"/>
          <w:szCs w:val="20"/>
        </w:rPr>
        <w:t>tably or based upon customer usage over the respective contractual terms and the renewal of existing customers’ cloud services and license support contracts over the course of each fiscal year that we generally recognize as revenues in a similar manner; an</w:t>
      </w:r>
      <w:r>
        <w:rPr>
          <w:rFonts w:ascii="Calibri" w:hAnsi="Calibri" w:cs="Calibri"/>
          <w:sz w:val="20"/>
          <w:szCs w:val="20"/>
        </w:rPr>
        <w:t>d the historical upward trend of our cloud license and on-premise license revenues, which we generally recognize at a point in time upon delivery; in each case over those four fiscal quarterly periods.</w:t>
      </w:r>
    </w:p>
    <w:p w14:paraId="3973CCD7"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3973CCD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w:t>
      </w:r>
      <w:r>
        <w:rPr>
          <w:rFonts w:ascii="Calibri" w:hAnsi="Calibri" w:cs="Calibri"/>
          <w:sz w:val="20"/>
          <w:szCs w:val="20"/>
        </w:rPr>
        <w:t>ented 7% and 8% of our total revenues in fiscal 2022 and 2021, respectively, provides a broad selection of enterprise hardware products and hardware-related software products including Oracle Engineered Systems, servers, storage, industry-specific hardware</w:t>
      </w:r>
      <w:r>
        <w:rPr>
          <w:rFonts w:ascii="Calibri" w:hAnsi="Calibri" w:cs="Calibri"/>
          <w:sz w:val="20"/>
          <w:szCs w:val="20"/>
        </w:rPr>
        <w:t xml:space="preserve"> offerings, operating systems, virtualization, management and other hardware-related software, and related hardware support. Each hardware product and its related software, such as an operating system or firmware, are highly interdependent and interrelated</w:t>
      </w:r>
      <w:r>
        <w:rPr>
          <w:rFonts w:ascii="Calibri" w:hAnsi="Calibri" w:cs="Calibri"/>
          <w:sz w:val="20"/>
          <w:szCs w:val="20"/>
        </w:rPr>
        <w:t xml:space="preserve"> and are accounted for as a combined performance obligation. The revenues for this combined performance obligation are generally recognized at the point in time that the hardware product and its related software are delivered to the customer and ownership </w:t>
      </w:r>
      <w:r>
        <w:rPr>
          <w:rFonts w:ascii="Calibri" w:hAnsi="Calibri" w:cs="Calibri"/>
          <w:sz w:val="20"/>
          <w:szCs w:val="20"/>
        </w:rPr>
        <w:t xml:space="preserve">is transferred to the customer. We expect to make investments in research and development to improve existing hardware products and services and to develop new hardware products and services. The majority of our hardware products are sold through indirect </w:t>
      </w:r>
      <w:r>
        <w:rPr>
          <w:rFonts w:ascii="Calibri" w:hAnsi="Calibri" w:cs="Calibri"/>
          <w:sz w:val="20"/>
          <w:szCs w:val="20"/>
        </w:rPr>
        <w:t>channels, including independent distributors and value-added resellers. Our hardware support offerings provide customers with unspecified software updates for software components that are essential to the functionality of our hardware products and associat</w:t>
      </w:r>
      <w:r>
        <w:rPr>
          <w:rFonts w:ascii="Calibri" w:hAnsi="Calibri" w:cs="Calibri"/>
          <w:sz w:val="20"/>
          <w:szCs w:val="20"/>
        </w:rPr>
        <w:t>ed software products. Our hardware support offerings can also include product repairs, maintenance services and technical support services. Hardware support contracts are entered into and renewed at the option of the customer, are generally priced as a per</w:t>
      </w:r>
      <w:r>
        <w:rPr>
          <w:rFonts w:ascii="Calibri" w:hAnsi="Calibri" w:cs="Calibri"/>
          <w:sz w:val="20"/>
          <w:szCs w:val="20"/>
        </w:rPr>
        <w:t>centage of the net hardware products fees and are generally recognized as revenues ratably as the hardware support services are delivered over the contractual terms.</w:t>
      </w:r>
    </w:p>
    <w:p w14:paraId="3973CCD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generally expect our hardware business to have lower operating margins as a percentage </w:t>
      </w:r>
      <w:r>
        <w:rPr>
          <w:rFonts w:ascii="Calibri" w:hAnsi="Calibri" w:cs="Calibri"/>
          <w:sz w:val="20"/>
          <w:szCs w:val="20"/>
        </w:rPr>
        <w:t xml:space="preserve">of revenues than our cloud and license business due to the incremental costs we incur to produce and distribute these products and to provide support services, including direct materials and labor costs. </w:t>
      </w:r>
    </w:p>
    <w:p w14:paraId="3973CCD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w:t>
      </w:r>
      <w:r>
        <w:rPr>
          <w:rFonts w:ascii="Calibri" w:hAnsi="Calibri" w:cs="Calibri"/>
          <w:sz w:val="20"/>
          <w:szCs w:val="20"/>
        </w:rPr>
        <w:t xml:space="preserve">edict. Our hardware revenues, cost of hardware and hardware operating margins that we report are affected by many factors, including our manufacturing partners’ abilities to timely manufacture or deliver a few large hardware transactions, with this factor </w:t>
      </w:r>
      <w:r>
        <w:rPr>
          <w:rFonts w:ascii="Calibri" w:hAnsi="Calibri" w:cs="Calibri"/>
          <w:sz w:val="20"/>
          <w:szCs w:val="20"/>
        </w:rPr>
        <w:t>becoming more pronounced in recent periods due to global supply chain constraints for certain technology components; our strategy for and the position of our hardware products relative to competitor offerings; customer demand for competing offerings, inclu</w:t>
      </w:r>
      <w:r>
        <w:rPr>
          <w:rFonts w:ascii="Calibri" w:hAnsi="Calibri" w:cs="Calibri"/>
          <w:sz w:val="20"/>
          <w:szCs w:val="20"/>
        </w:rPr>
        <w:t>ding cloud infrastructure offerings; the strength of general economic and business conditions; governmental budgetary constraints; whether customers decide to purchase hardware support contracts at or in close proximity to the time of hardware product sale</w:t>
      </w:r>
      <w:r>
        <w:rPr>
          <w:rFonts w:ascii="Calibri" w:hAnsi="Calibri" w:cs="Calibri"/>
          <w:sz w:val="20"/>
          <w:szCs w:val="20"/>
        </w:rPr>
        <w:t>; the percentage of our hardware support contract customer base that renews its support contracts and the close association between hardware products, which have a finite life, and customer demand for related hardware support as hardware products age; cust</w:t>
      </w:r>
      <w:r>
        <w:rPr>
          <w:rFonts w:ascii="Calibri" w:hAnsi="Calibri" w:cs="Calibri"/>
          <w:sz w:val="20"/>
          <w:szCs w:val="20"/>
        </w:rPr>
        <w:t>omer decisions to either maintain or upgrade their existing hardware infrastructure to newly developed technologies that are available; and foreign currency rate fluctuations</w:t>
      </w:r>
      <w:r>
        <w:rPr>
          <w:rFonts w:ascii="Calibri" w:hAnsi="Calibri" w:cs="Calibri"/>
          <w:color w:val="000000"/>
          <w:sz w:val="20"/>
          <w:szCs w:val="20"/>
        </w:rPr>
        <w:t>.</w:t>
      </w:r>
    </w:p>
    <w:p w14:paraId="3973CCDB"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3973CCD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8% of our total revenues in each of fiscal 2022 and 2021, helps customers and partners maximize the performance of their investments in Oracle applications and infrastructure technologies. We believe that our servic</w:t>
      </w:r>
      <w:r>
        <w:rPr>
          <w:rFonts w:ascii="Calibri" w:hAnsi="Calibri" w:cs="Calibri"/>
          <w:sz w:val="20"/>
          <w:szCs w:val="20"/>
        </w:rPr>
        <w:t>es are differentiated based on our focus on Oracle technologies, extensive experience, broad sets of intellectual property and best practices. Our services offerings include consulting services and advanced customer services. Our services business has lowe</w:t>
      </w:r>
      <w:r>
        <w:rPr>
          <w:rFonts w:ascii="Calibri" w:hAnsi="Calibri" w:cs="Calibri"/>
          <w:sz w:val="20"/>
          <w:szCs w:val="20"/>
        </w:rPr>
        <w:t>r margins than our cloud and license and hardware businesses. Our services revenues are affected by many factors including our strategy for, and the competitive position of, our services; customer demand for our cloud and license and hardware offerings and</w:t>
      </w:r>
      <w:r>
        <w:rPr>
          <w:rFonts w:ascii="Calibri" w:hAnsi="Calibri" w:cs="Calibri"/>
          <w:sz w:val="20"/>
          <w:szCs w:val="20"/>
        </w:rPr>
        <w:t xml:space="preserve"> the related services that we may market and sell in connection with these offerings; general economic conditions; </w:t>
      </w:r>
    </w:p>
    <w:p w14:paraId="3973CCD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3973CCDE" w14:textId="77777777" w:rsidR="007B027D" w:rsidRDefault="008E0125">
      <w:r>
        <w:rPr>
          <w:rFonts w:ascii="Calibri" w:hAnsi="Calibri" w:cs="Calibri"/>
          <w:sz w:val="20"/>
          <w:szCs w:val="20"/>
        </w:rPr>
        <w:pict w14:anchorId="39740061">
          <v:rect id="_x0000_i1064" style="width:415.3pt;height:1.5pt" o:hralign="center" o:hrstd="t" o:hr="t" fillcolor="#a0a0a0" stroked="f"/>
        </w:pict>
      </w:r>
    </w:p>
    <w:p w14:paraId="3973CCDF" w14:textId="77777777" w:rsidR="007B027D" w:rsidRDefault="008E0125">
      <w:pPr>
        <w:pStyle w:val="a3"/>
        <w:spacing w:beforeAutospacing="0" w:after="120" w:afterAutospacing="0"/>
        <w:rPr>
          <w:rFonts w:ascii="Calibri" w:hAnsi="Calibri" w:cs="Calibri"/>
          <w:sz w:val="18"/>
          <w:szCs w:val="18"/>
        </w:rPr>
      </w:pPr>
      <w:hyperlink r:id="rId105" w:anchor="TABLE_OF_CONTENTS" w:history="1">
        <w:r>
          <w:rPr>
            <w:rStyle w:val="a5"/>
            <w:rFonts w:ascii="Calibri" w:hAnsi="Calibri" w:cs="Calibri"/>
            <w:sz w:val="18"/>
            <w:szCs w:val="18"/>
          </w:rPr>
          <w:t>Ta</w:t>
        </w:r>
        <w:r>
          <w:rPr>
            <w:rStyle w:val="a5"/>
            <w:rFonts w:ascii="Calibri" w:hAnsi="Calibri" w:cs="Calibri"/>
            <w:sz w:val="18"/>
            <w:szCs w:val="18"/>
          </w:rPr>
          <w:t>ble of Contents</w:t>
        </w:r>
      </w:hyperlink>
    </w:p>
    <w:p w14:paraId="3973CCE0" w14:textId="77777777" w:rsidR="007B027D" w:rsidRDefault="008E0125">
      <w:pPr>
        <w:pStyle w:val="a3"/>
        <w:spacing w:beforeAutospacing="0" w:afterAutospacing="0"/>
        <w:rPr>
          <w:rFonts w:ascii="Calibri" w:hAnsi="Calibri" w:cs="Calibri"/>
          <w:sz w:val="18"/>
          <w:szCs w:val="18"/>
        </w:rPr>
      </w:pPr>
      <w:hyperlink r:id="rId106" w:anchor="ITEM_15_EXHIBITS_FINANCIAL_STATEMENT_SCH" w:history="1">
        <w:r>
          <w:rPr>
            <w:rStyle w:val="a5"/>
            <w:rFonts w:ascii="Calibri" w:hAnsi="Calibri" w:cs="Calibri"/>
            <w:sz w:val="18"/>
            <w:szCs w:val="18"/>
          </w:rPr>
          <w:t>Index to Financial Statements</w:t>
        </w:r>
      </w:hyperlink>
    </w:p>
    <w:p w14:paraId="3973CCE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CE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governmental budgetary constraints; personnel </w:t>
      </w:r>
      <w:r>
        <w:rPr>
          <w:rFonts w:ascii="Calibri" w:hAnsi="Calibri" w:cs="Calibri"/>
          <w:sz w:val="20"/>
          <w:szCs w:val="20"/>
        </w:rPr>
        <w:t xml:space="preserve">reductions in our customers’ IT departments; tighter controls over customer discretionary spending; and foreign currency rate fluctuations. </w:t>
      </w:r>
    </w:p>
    <w:p w14:paraId="3973CCE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3973CCE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w:t>
      </w:r>
      <w:r>
        <w:rPr>
          <w:rFonts w:ascii="Calibri" w:hAnsi="Calibri" w:cs="Calibri"/>
          <w:sz w:val="20"/>
          <w:szCs w:val="20"/>
        </w:rPr>
        <w:t>istorically, we have invested billions of dollars to acquire a number of complementary companies, products, services and technologies. As compelling opportunities become available, we may acquire companies, products, services and technologies in furtheranc</w:t>
      </w:r>
      <w:r>
        <w:rPr>
          <w:rFonts w:ascii="Calibri" w:hAnsi="Calibri" w:cs="Calibri"/>
          <w:sz w:val="20"/>
          <w:szCs w:val="20"/>
        </w:rPr>
        <w:t>e of our corporate strategy. On December 20, 2021, we entered into an Agreement and Plan of Merger with Cerner Corporation (Cerner), a provider of digital information systems used within hospitals and health systems that are designed to enable medical prof</w:t>
      </w:r>
      <w:r>
        <w:rPr>
          <w:rFonts w:ascii="Calibri" w:hAnsi="Calibri" w:cs="Calibri"/>
          <w:sz w:val="20"/>
          <w:szCs w:val="20"/>
        </w:rPr>
        <w:t xml:space="preserve">essionals to deliver better healthcare to individual patients and communities, for a preliminary estimated purchase price of approximately $28.2 billion. The transaction closed on June 8, 2022. Notes 2 and 17 of Notes to Consolidated Financial Statements, </w:t>
      </w:r>
      <w:r>
        <w:rPr>
          <w:rFonts w:ascii="Calibri" w:hAnsi="Calibri" w:cs="Calibri"/>
          <w:sz w:val="20"/>
          <w:szCs w:val="20"/>
        </w:rPr>
        <w:t>included elsewhere in this Annual Report, provide additional information related to our acquisition of Cerner and our other recent acquisitions.</w:t>
      </w:r>
    </w:p>
    <w:p w14:paraId="3973CCE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w:t>
      </w:r>
      <w:r>
        <w:rPr>
          <w:rFonts w:ascii="Calibri" w:hAnsi="Calibri" w:cs="Calibri"/>
          <w:sz w:val="20"/>
          <w:szCs w:val="20"/>
        </w:rPr>
        <w:t>rketable securities balances, cash generated from operations, additional borrowings or from the issuance of additional securities. We estimate the financial impact of any potential acquisition with regard to earnings, operating margin, cash flows and retur</w:t>
      </w:r>
      <w:r>
        <w:rPr>
          <w:rFonts w:ascii="Calibri" w:hAnsi="Calibri" w:cs="Calibri"/>
          <w:sz w:val="20"/>
          <w:szCs w:val="20"/>
        </w:rPr>
        <w:t>n on invested capital targets, among others, before deciding to move forward with an acquisition.</w:t>
      </w:r>
    </w:p>
    <w:p w14:paraId="3973CCE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3973CCE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consolidated financial statements are prepared in accordance with U.S. generally accepted accounting </w:t>
      </w:r>
      <w:r>
        <w:rPr>
          <w:rFonts w:ascii="Calibri" w:hAnsi="Calibri" w:cs="Calibri"/>
          <w:sz w:val="20"/>
          <w:szCs w:val="20"/>
        </w:rPr>
        <w:t>principles (GAAP) as set forth in the Financial Accounting Standards Board’s Accounting Standards Codification (ASC), and we consider the various staff accounting bulletins and other applicable guidance issued by the SEC. GAAP, as set forth within the ASC,</w:t>
      </w:r>
      <w:r>
        <w:rPr>
          <w:rFonts w:ascii="Calibri" w:hAnsi="Calibri" w:cs="Calibri"/>
          <w:sz w:val="20"/>
          <w:szCs w:val="20"/>
        </w:rPr>
        <w:t xml:space="preserve"> requires us to make certain estimates, judgments and assumptions. We believe that the estimates, judgments and assumptions upon which we rely are reasonable based upon information available to us at the time that these estimates, judgments and assumptions</w:t>
      </w:r>
      <w:r>
        <w:rPr>
          <w:rFonts w:ascii="Calibri" w:hAnsi="Calibri" w:cs="Calibri"/>
          <w:sz w:val="20"/>
          <w:szCs w:val="20"/>
        </w:rPr>
        <w:t xml:space="preserve"> are made. These estimates, judgments and assumptions can affect the reported amounts of assets and liabilities as of the date of the financial statements as well as the reported amounts of revenues and expenses during the periods presented. To the extent </w:t>
      </w:r>
      <w:r>
        <w:rPr>
          <w:rFonts w:ascii="Calibri" w:hAnsi="Calibri" w:cs="Calibri"/>
          <w:sz w:val="20"/>
          <w:szCs w:val="20"/>
        </w:rPr>
        <w:t xml:space="preserve">that there are differences between these estimates, judgments or assumptions and actual results, our financial statements will be affected. The accounting policies that reflect our more significant estimates, judgments and assumptions and which we believe </w:t>
      </w:r>
      <w:r>
        <w:rPr>
          <w:rFonts w:ascii="Calibri" w:hAnsi="Calibri" w:cs="Calibri"/>
          <w:sz w:val="20"/>
          <w:szCs w:val="20"/>
        </w:rPr>
        <w:t>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EB" w14:textId="77777777">
        <w:tc>
          <w:tcPr>
            <w:tcW w:w="262" w:type="pct"/>
            <w:shd w:val="clear" w:color="auto" w:fill="auto"/>
            <w:noWrap/>
          </w:tcPr>
          <w:p w14:paraId="3973CCE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E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EA"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Revenue Recognition; </w:t>
            </w:r>
          </w:p>
        </w:tc>
      </w:tr>
    </w:tbl>
    <w:p w14:paraId="3973CCEC"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F0" w14:textId="77777777">
        <w:tc>
          <w:tcPr>
            <w:tcW w:w="262" w:type="pct"/>
            <w:shd w:val="clear" w:color="auto" w:fill="auto"/>
            <w:noWrap/>
          </w:tcPr>
          <w:p w14:paraId="3973CCE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E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EF"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Business Combinations;</w:t>
            </w:r>
          </w:p>
        </w:tc>
      </w:tr>
    </w:tbl>
    <w:p w14:paraId="3973CCF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F5" w14:textId="77777777">
        <w:tc>
          <w:tcPr>
            <w:tcW w:w="262" w:type="pct"/>
            <w:shd w:val="clear" w:color="auto" w:fill="auto"/>
            <w:noWrap/>
          </w:tcPr>
          <w:p w14:paraId="3973CCF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F3"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F4"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3973CCF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FA" w14:textId="77777777">
        <w:tc>
          <w:tcPr>
            <w:tcW w:w="262" w:type="pct"/>
            <w:shd w:val="clear" w:color="auto" w:fill="auto"/>
            <w:noWrap/>
          </w:tcPr>
          <w:p w14:paraId="3973CCF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F8"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F9"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Accounting for Income </w:t>
            </w:r>
            <w:r>
              <w:rPr>
                <w:rFonts w:ascii="Calibri" w:hAnsi="Calibri" w:cs="Calibri"/>
                <w:color w:val="000000"/>
                <w:sz w:val="20"/>
                <w:szCs w:val="20"/>
              </w:rPr>
              <w:t>Taxes; and</w:t>
            </w:r>
          </w:p>
        </w:tc>
      </w:tr>
    </w:tbl>
    <w:p w14:paraId="3973CCF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CFF" w14:textId="77777777">
        <w:tc>
          <w:tcPr>
            <w:tcW w:w="262" w:type="pct"/>
            <w:shd w:val="clear" w:color="auto" w:fill="auto"/>
            <w:noWrap/>
          </w:tcPr>
          <w:p w14:paraId="3973CCF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CF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CFE"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Legal and Other Contingencies.</w:t>
            </w:r>
          </w:p>
        </w:tc>
      </w:tr>
    </w:tbl>
    <w:p w14:paraId="3973CD0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senior management has reviewed our critical accounting policies and related disclosures with the Finance and Audit Committee of the Board of Directors. Note 1 of Notes to Consolidated Financial </w:t>
      </w:r>
      <w:r>
        <w:rPr>
          <w:rFonts w:ascii="Calibri" w:hAnsi="Calibri" w:cs="Calibri"/>
          <w:sz w:val="20"/>
          <w:szCs w:val="20"/>
        </w:rPr>
        <w:t>Statements included elsewhere in this Annual Report includes additional information about our critical and other accounting policies.</w:t>
      </w:r>
    </w:p>
    <w:p w14:paraId="3973CD01"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 xml:space="preserve">Revenue Recognition </w:t>
      </w:r>
    </w:p>
    <w:p w14:paraId="3973CD02"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The most critical judgments required in applying ASC 606, </w:t>
      </w:r>
      <w:r>
        <w:rPr>
          <w:rFonts w:ascii="Calibri" w:hAnsi="Calibri" w:cs="Calibri"/>
          <w:i/>
          <w:iCs/>
          <w:sz w:val="20"/>
          <w:szCs w:val="20"/>
          <w:shd w:val="clear" w:color="auto" w:fill="FFFFFF"/>
        </w:rPr>
        <w:t>Revenue Recognition from Customers</w:t>
      </w:r>
      <w:r>
        <w:rPr>
          <w:rFonts w:ascii="Calibri" w:hAnsi="Calibri" w:cs="Calibri"/>
          <w:sz w:val="20"/>
          <w:szCs w:val="20"/>
          <w:shd w:val="clear" w:color="auto" w:fill="FFFFFF"/>
        </w:rPr>
        <w:t xml:space="preserve">, and our revenue recognition policy relate to the determination of distinct performance obligations and the evaluation of the standalone selling price (SSP) for each performance obligation. </w:t>
      </w:r>
    </w:p>
    <w:p w14:paraId="3973CD0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3973CD04" w14:textId="77777777" w:rsidR="007B027D" w:rsidRDefault="008E0125">
      <w:r>
        <w:rPr>
          <w:rFonts w:ascii="Calibri" w:hAnsi="Calibri" w:cs="Calibri"/>
          <w:sz w:val="20"/>
          <w:szCs w:val="20"/>
        </w:rPr>
        <w:pict w14:anchorId="39740062">
          <v:rect id="_x0000_i1065" style="width:415.3pt;height:1.5pt" o:hralign="center" o:hrstd="t" o:hr="t" fillcolor="#a0a0a0" stroked="f"/>
        </w:pict>
      </w:r>
    </w:p>
    <w:p w14:paraId="3973CD05" w14:textId="77777777" w:rsidR="007B027D" w:rsidRDefault="008E0125">
      <w:pPr>
        <w:pStyle w:val="a3"/>
        <w:spacing w:beforeAutospacing="0" w:after="120" w:afterAutospacing="0"/>
        <w:rPr>
          <w:rFonts w:ascii="Calibri" w:hAnsi="Calibri" w:cs="Calibri"/>
          <w:sz w:val="18"/>
          <w:szCs w:val="18"/>
        </w:rPr>
      </w:pPr>
      <w:hyperlink r:id="rId107" w:anchor="TABLE_OF_CONTENTS" w:history="1">
        <w:r>
          <w:rPr>
            <w:rStyle w:val="a5"/>
            <w:rFonts w:ascii="Calibri" w:hAnsi="Calibri" w:cs="Calibri"/>
            <w:sz w:val="18"/>
            <w:szCs w:val="18"/>
          </w:rPr>
          <w:t>Table of Contents</w:t>
        </w:r>
      </w:hyperlink>
    </w:p>
    <w:p w14:paraId="3973CD06" w14:textId="77777777" w:rsidR="007B027D" w:rsidRDefault="008E0125">
      <w:pPr>
        <w:pStyle w:val="a3"/>
        <w:spacing w:beforeAutospacing="0" w:afterAutospacing="0"/>
        <w:rPr>
          <w:rFonts w:ascii="Calibri" w:hAnsi="Calibri" w:cs="Calibri"/>
          <w:sz w:val="18"/>
          <w:szCs w:val="18"/>
        </w:rPr>
      </w:pPr>
      <w:hyperlink r:id="rId108" w:anchor="ITEM_15_EXHIBITS_FINANCIAL_STATEMENT_SCH" w:history="1">
        <w:r>
          <w:rPr>
            <w:rStyle w:val="a5"/>
            <w:rFonts w:ascii="Calibri" w:hAnsi="Calibri" w:cs="Calibri"/>
            <w:sz w:val="18"/>
            <w:szCs w:val="18"/>
          </w:rPr>
          <w:t>Index to Financial Statements</w:t>
        </w:r>
      </w:hyperlink>
    </w:p>
    <w:p w14:paraId="3973CD07"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08"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Many of our customer contracts include multiple performance obligations. Judgment is required in determining whether each performance obligation within a customer cont</w:t>
      </w:r>
      <w:r>
        <w:rPr>
          <w:rFonts w:ascii="Calibri" w:hAnsi="Calibri" w:cs="Calibri"/>
          <w:sz w:val="20"/>
          <w:szCs w:val="20"/>
          <w:shd w:val="clear" w:color="auto" w:fill="FFFFFF"/>
        </w:rPr>
        <w:t xml:space="preserve">ract is distinct. Oracle products and services generally function on a standalone basis and do not require a significant amount of integration or interdependency. Therefore, multiple products and services contained within a customer contract are generally </w:t>
      </w:r>
      <w:r>
        <w:rPr>
          <w:rFonts w:ascii="Calibri" w:hAnsi="Calibri" w:cs="Calibri"/>
          <w:sz w:val="20"/>
          <w:szCs w:val="20"/>
          <w:shd w:val="clear" w:color="auto" w:fill="FFFFFF"/>
        </w:rPr>
        <w:t>considered to be distinct and are not combined for revenue recognition purposes. We allocate the transaction price for each customer contract to each performance obligation based on the relative SSP (the determination of SSP is discussed below) for each pe</w:t>
      </w:r>
      <w:r>
        <w:rPr>
          <w:rFonts w:ascii="Calibri" w:hAnsi="Calibri" w:cs="Calibri"/>
          <w:sz w:val="20"/>
          <w:szCs w:val="20"/>
          <w:shd w:val="clear" w:color="auto" w:fill="FFFFFF"/>
        </w:rPr>
        <w:t xml:space="preserve">rformance obligation within each contract. We recognize the amount of transaction price allocated to each performance obligation within a customer contract as revenue as each performance obligation is satisfied. </w:t>
      </w:r>
    </w:p>
    <w:p w14:paraId="3973CD09"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We use historical sales transaction data an</w:t>
      </w:r>
      <w:r>
        <w:rPr>
          <w:rFonts w:ascii="Calibri" w:hAnsi="Calibri" w:cs="Calibri"/>
          <w:sz w:val="20"/>
          <w:szCs w:val="20"/>
          <w:shd w:val="clear" w:color="auto" w:fill="FFFFFF"/>
        </w:rPr>
        <w:t>d judgment, among other factors, in determining the SSP for products and services. For substantially all performance obligations except cloud licenses and on-premise licenses, we are able to establish the SSP based on the observable prices of products or s</w:t>
      </w:r>
      <w:r>
        <w:rPr>
          <w:rFonts w:ascii="Calibri" w:hAnsi="Calibri" w:cs="Calibri"/>
          <w:sz w:val="20"/>
          <w:szCs w:val="20"/>
          <w:shd w:val="clear" w:color="auto" w:fill="FFFFFF"/>
        </w:rPr>
        <w:t>ervices sold separately in comparable circumstances to similar customers. We typically establish an SSP range for our products and services, which is reassessed on a periodic basis or when facts and circumstances change. SSP for our products and services c</w:t>
      </w:r>
      <w:r>
        <w:rPr>
          <w:rFonts w:ascii="Calibri" w:hAnsi="Calibri" w:cs="Calibri"/>
          <w:sz w:val="20"/>
          <w:szCs w:val="20"/>
          <w:shd w:val="clear" w:color="auto" w:fill="FFFFFF"/>
        </w:rPr>
        <w:t>an evolve over time due to changes in our pricing practices that are influenced by intense competition, changes in demand for our products and services, and economic factors, among others. Our cloud licenses and on-premise licenses have not historically be</w:t>
      </w:r>
      <w:r>
        <w:rPr>
          <w:rFonts w:ascii="Calibri" w:hAnsi="Calibri" w:cs="Calibri"/>
          <w:sz w:val="20"/>
          <w:szCs w:val="20"/>
          <w:shd w:val="clear" w:color="auto" w:fill="FFFFFF"/>
        </w:rPr>
        <w:t>en sold on a standalone basis, as substantially all customers elect to purchase license support contracts at the time of a license purchase. License support contracts are generally priced as a percentage of the net fees paid by the customer to purchase the</w:t>
      </w:r>
      <w:r>
        <w:rPr>
          <w:rFonts w:ascii="Calibri" w:hAnsi="Calibri" w:cs="Calibri"/>
          <w:sz w:val="20"/>
          <w:szCs w:val="20"/>
          <w:shd w:val="clear" w:color="auto" w:fill="FFFFFF"/>
        </w:rPr>
        <w:t xml:space="preserve"> license. We are unable to establish the SSP for our cloud licenses and on-premise licenses based on observable prices given the same products are sold for a broad range of amounts (that is, the selling price is highly variable) and a representative SSP is</w:t>
      </w:r>
      <w:r>
        <w:rPr>
          <w:rFonts w:ascii="Calibri" w:hAnsi="Calibri" w:cs="Calibri"/>
          <w:sz w:val="20"/>
          <w:szCs w:val="20"/>
          <w:shd w:val="clear" w:color="auto" w:fill="FFFFFF"/>
        </w:rPr>
        <w:t xml:space="preserve"> not discernible from past transactions or other observable evidence. As a result, the SSP for a cloud license and an on-premise license included in a contract with multiple performance obligations is generally determined by applying a residual approach wh</w:t>
      </w:r>
      <w:r>
        <w:rPr>
          <w:rFonts w:ascii="Calibri" w:hAnsi="Calibri" w:cs="Calibri"/>
          <w:sz w:val="20"/>
          <w:szCs w:val="20"/>
          <w:shd w:val="clear" w:color="auto" w:fill="FFFFFF"/>
        </w:rPr>
        <w:t>ereby all other performance obligations within a contract are first allocated a portion of the transaction price based upon their respective SSPs, with any residual amount of transaction price allocated to cloud license and on-premise license revenues</w:t>
      </w:r>
      <w:r>
        <w:rPr>
          <w:rFonts w:ascii="Calibri" w:hAnsi="Calibri" w:cs="Calibri"/>
          <w:color w:val="000000"/>
          <w:sz w:val="20"/>
          <w:szCs w:val="20"/>
          <w:shd w:val="clear" w:color="auto" w:fill="FFFFFF"/>
        </w:rPr>
        <w:t>.</w:t>
      </w:r>
    </w:p>
    <w:p w14:paraId="3973CD0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Business Combinations</w:t>
      </w:r>
    </w:p>
    <w:p w14:paraId="3973CD0B"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We apply the provisions of ASC 805, </w:t>
      </w:r>
      <w:r>
        <w:rPr>
          <w:rFonts w:ascii="Calibri" w:hAnsi="Calibri" w:cs="Calibri"/>
          <w:i/>
          <w:iCs/>
          <w:color w:val="000000"/>
          <w:sz w:val="20"/>
          <w:szCs w:val="20"/>
        </w:rPr>
        <w:t xml:space="preserve">Business Combinations </w:t>
      </w:r>
      <w:r>
        <w:rPr>
          <w:rFonts w:ascii="Calibri" w:hAnsi="Calibri" w:cs="Calibri"/>
          <w:color w:val="000000"/>
          <w:sz w:val="20"/>
          <w:szCs w:val="20"/>
        </w:rPr>
        <w:t>(ASC 805), in accounting for our acquisitions. ASC 805 requires that we evaluate whether a transaction pertains to an acquisition of assets, or to an acquisition of a business.</w:t>
      </w:r>
      <w:r>
        <w:rPr>
          <w:rFonts w:ascii="Calibri" w:hAnsi="Calibri" w:cs="Calibri"/>
          <w:color w:val="000000"/>
          <w:sz w:val="20"/>
          <w:szCs w:val="20"/>
        </w:rPr>
        <w:t xml:space="preserve"> A business is defined as an integrated set of assets and activities that is capable of being conducted and managed for the purpose of providing a return to investors. Asset acquisitions are accounted for by allocating the cost of the acquisition to the in</w:t>
      </w:r>
      <w:r>
        <w:rPr>
          <w:rFonts w:ascii="Calibri" w:hAnsi="Calibri" w:cs="Calibri"/>
          <w:color w:val="000000"/>
          <w:sz w:val="20"/>
          <w:szCs w:val="20"/>
        </w:rPr>
        <w:t>dividual assets and liabilities assumed on a relative fair value basis; whereas the acquisition of a business requires us to recognize separately from goodwill the assets acquired and the liabilities assumed at the acquisition date fair values. Goodwill as</w:t>
      </w:r>
      <w:r>
        <w:rPr>
          <w:rFonts w:ascii="Calibri" w:hAnsi="Calibri" w:cs="Calibri"/>
          <w:color w:val="000000"/>
          <w:sz w:val="20"/>
          <w:szCs w:val="20"/>
        </w:rPr>
        <w:t xml:space="preserve"> of the acquisition date is measured as the excess of consideration transferred over the net of the acquisition date fair values of the assets acquired and the liabilities assumed. While we use our best estimates and assumptions to accurately value assets </w:t>
      </w:r>
      <w:r>
        <w:rPr>
          <w:rFonts w:ascii="Calibri" w:hAnsi="Calibri" w:cs="Calibri"/>
          <w:color w:val="000000"/>
          <w:sz w:val="20"/>
          <w:szCs w:val="20"/>
        </w:rPr>
        <w:t>acquired and liabilities assumed at the acquisition date as well as any contingent consideration, where applicable, our estimates are inherently uncertain and subject to refinement. As a result, during the measurement period, which may be up to one year fr</w:t>
      </w:r>
      <w:r>
        <w:rPr>
          <w:rFonts w:ascii="Calibri" w:hAnsi="Calibri" w:cs="Calibri"/>
          <w:color w:val="000000"/>
          <w:sz w:val="20"/>
          <w:szCs w:val="20"/>
        </w:rPr>
        <w:t>om the business acquisition date, we record adjustments to the assets acquired and liabilities assumed with the corresponding offset to goodwill. Upon the conclusion of a business acquisition’s measurement period or final determination of the values of ass</w:t>
      </w:r>
      <w:r>
        <w:rPr>
          <w:rFonts w:ascii="Calibri" w:hAnsi="Calibri" w:cs="Calibri"/>
          <w:color w:val="000000"/>
          <w:sz w:val="20"/>
          <w:szCs w:val="20"/>
        </w:rPr>
        <w:t>ets acquired or liabilities assumed, whichever comes first, any subsequent adjustments are recorded to our consolidated statements of operations.</w:t>
      </w:r>
    </w:p>
    <w:p w14:paraId="3973CD0C"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Accounting for business combinations requires our management to make significant estimates and assumptions, es</w:t>
      </w:r>
      <w:r>
        <w:rPr>
          <w:rFonts w:ascii="Calibri" w:hAnsi="Calibri" w:cs="Calibri"/>
          <w:color w:val="000000"/>
          <w:sz w:val="20"/>
          <w:szCs w:val="20"/>
        </w:rPr>
        <w:t>pecially at the acquisition date, including our estimates for intangible assets, pre-acquisition contingencies and any contingent consideration, where applicable. Although we believe that the assumptions and estimates we have made in the past have been rea</w:t>
      </w:r>
      <w:r>
        <w:rPr>
          <w:rFonts w:ascii="Calibri" w:hAnsi="Calibri" w:cs="Calibri"/>
          <w:color w:val="000000"/>
          <w:sz w:val="20"/>
          <w:szCs w:val="20"/>
        </w:rPr>
        <w:t>sonable and appropriate, they are based in part on historical experience and information obtained from the management of the acquired companies and are inherently uncertain. Unanticipated events and circumstances may occur that may affect the accuracy or v</w:t>
      </w:r>
      <w:r>
        <w:rPr>
          <w:rFonts w:ascii="Calibri" w:hAnsi="Calibri" w:cs="Calibri"/>
          <w:color w:val="000000"/>
          <w:sz w:val="20"/>
          <w:szCs w:val="20"/>
        </w:rPr>
        <w:t>alidity of such assumptions, estimates or actual results.</w:t>
      </w:r>
    </w:p>
    <w:p w14:paraId="3973CD0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3973CD0E" w14:textId="77777777" w:rsidR="007B027D" w:rsidRDefault="008E0125">
      <w:r>
        <w:rPr>
          <w:rFonts w:ascii="Calibri" w:hAnsi="Calibri" w:cs="Calibri"/>
          <w:sz w:val="20"/>
          <w:szCs w:val="20"/>
        </w:rPr>
        <w:pict w14:anchorId="39740063">
          <v:rect id="_x0000_i1066" style="width:415.3pt;height:1.5pt" o:hralign="center" o:hrstd="t" o:hr="t" fillcolor="#a0a0a0" stroked="f"/>
        </w:pict>
      </w:r>
    </w:p>
    <w:p w14:paraId="3973CD0F" w14:textId="77777777" w:rsidR="007B027D" w:rsidRDefault="008E0125">
      <w:pPr>
        <w:pStyle w:val="a3"/>
        <w:spacing w:beforeAutospacing="0" w:after="120" w:afterAutospacing="0"/>
        <w:rPr>
          <w:rFonts w:ascii="Calibri" w:hAnsi="Calibri" w:cs="Calibri"/>
          <w:sz w:val="18"/>
          <w:szCs w:val="18"/>
        </w:rPr>
      </w:pPr>
      <w:hyperlink r:id="rId109" w:anchor="TABLE_OF_CONTENTS" w:history="1">
        <w:r>
          <w:rPr>
            <w:rStyle w:val="a5"/>
            <w:rFonts w:ascii="Calibri" w:hAnsi="Calibri" w:cs="Calibri"/>
            <w:sz w:val="18"/>
            <w:szCs w:val="18"/>
          </w:rPr>
          <w:t>Table of Contents</w:t>
        </w:r>
      </w:hyperlink>
    </w:p>
    <w:p w14:paraId="3973CD10" w14:textId="77777777" w:rsidR="007B027D" w:rsidRDefault="008E0125">
      <w:pPr>
        <w:pStyle w:val="a3"/>
        <w:spacing w:beforeAutospacing="0" w:afterAutospacing="0"/>
        <w:rPr>
          <w:rFonts w:ascii="Calibri" w:hAnsi="Calibri" w:cs="Calibri"/>
          <w:sz w:val="18"/>
          <w:szCs w:val="18"/>
        </w:rPr>
      </w:pPr>
      <w:hyperlink r:id="rId110" w:anchor="ITEM_15_EXHIBITS_FINANCIAL_STATEMENT_SCH" w:history="1">
        <w:r>
          <w:rPr>
            <w:rStyle w:val="a5"/>
            <w:rFonts w:ascii="Calibri" w:hAnsi="Calibri" w:cs="Calibri"/>
            <w:sz w:val="18"/>
            <w:szCs w:val="18"/>
          </w:rPr>
          <w:t>Index to Financial Statements</w:t>
        </w:r>
      </w:hyperlink>
    </w:p>
    <w:p w14:paraId="3973CD1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12"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For a given business acquisition, we may identify certain pre-acq</w:t>
      </w:r>
      <w:r>
        <w:rPr>
          <w:rFonts w:ascii="Calibri" w:hAnsi="Calibri" w:cs="Calibri"/>
          <w:color w:val="000000"/>
          <w:sz w:val="20"/>
          <w:szCs w:val="20"/>
        </w:rPr>
        <w:t>uisition contingencies as of the acquisition date and may extend our review and evaluation of these pre-acquisition contingencies throughout the measurement period in order to obtain sufficient information to assess whether we include these contingencies a</w:t>
      </w:r>
      <w:r>
        <w:rPr>
          <w:rFonts w:ascii="Calibri" w:hAnsi="Calibri" w:cs="Calibri"/>
          <w:color w:val="000000"/>
          <w:sz w:val="20"/>
          <w:szCs w:val="20"/>
        </w:rPr>
        <w:t>s a part of the fair value estimates of assets acquired and liabilities assumed and, if so, to determine their estimated amounts.</w:t>
      </w:r>
    </w:p>
    <w:p w14:paraId="3973CD13"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If we cannot reasonably determine the fair value of a non-income tax related pre-acquisition contingency by the end of the mea</w:t>
      </w:r>
      <w:r>
        <w:rPr>
          <w:rFonts w:ascii="Calibri" w:hAnsi="Calibri" w:cs="Calibri"/>
          <w:color w:val="000000"/>
          <w:sz w:val="20"/>
          <w:szCs w:val="20"/>
        </w:rPr>
        <w:t>surement period, which is generally the case given the nature of such matters, we will recognize an asset or a liability for such pre-acquisition contingency if: (1) it is probable that an asset existed or a liability had been incurred at the acquisition d</w:t>
      </w:r>
      <w:r>
        <w:rPr>
          <w:rFonts w:ascii="Calibri" w:hAnsi="Calibri" w:cs="Calibri"/>
          <w:color w:val="000000"/>
          <w:sz w:val="20"/>
          <w:szCs w:val="20"/>
        </w:rPr>
        <w:t>ate and (2) the amount of the asset or liability can be reasonably estimated. Subsequent to the measurement period or final determination of the net asset values for the business combination, whichever comes first, changes in our estimates of such continge</w:t>
      </w:r>
      <w:r>
        <w:rPr>
          <w:rFonts w:ascii="Calibri" w:hAnsi="Calibri" w:cs="Calibri"/>
          <w:color w:val="000000"/>
          <w:sz w:val="20"/>
          <w:szCs w:val="20"/>
        </w:rPr>
        <w:t>ncies will affect earnings and could have a material effect on our results of operations and financial position.</w:t>
      </w:r>
    </w:p>
    <w:p w14:paraId="3973CD14"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addition, uncertain tax positions and tax related valuation allowances assumed in a business combination are initially estimated as of the a</w:t>
      </w:r>
      <w:r>
        <w:rPr>
          <w:rFonts w:ascii="Calibri" w:hAnsi="Calibri" w:cs="Calibri"/>
          <w:color w:val="000000"/>
          <w:sz w:val="20"/>
          <w:szCs w:val="20"/>
        </w:rPr>
        <w:t>cquisition date. We reevaluate these items quarterly based upon facts and circumstances that existed as of the acquisition date with any adjustments to our preliminary estimates being recorded to goodwill if identified within the measurement period. Subseq</w:t>
      </w:r>
      <w:r>
        <w:rPr>
          <w:rFonts w:ascii="Calibri" w:hAnsi="Calibri" w:cs="Calibri"/>
          <w:color w:val="000000"/>
          <w:sz w:val="20"/>
          <w:szCs w:val="20"/>
        </w:rPr>
        <w:t>uent to the measurement period or our final determination of the tax allowance’s or contingency’s estimated value, whichever comes first, changes to these uncertain tax positions and tax related valuation allowances will affect our provision for income tax</w:t>
      </w:r>
      <w:r>
        <w:rPr>
          <w:rFonts w:ascii="Calibri" w:hAnsi="Calibri" w:cs="Calibri"/>
          <w:color w:val="000000"/>
          <w:sz w:val="20"/>
          <w:szCs w:val="20"/>
        </w:rPr>
        <w:t>es in our consolidated statement of operations and could have a material impact on our results of operations and financial position.</w:t>
      </w:r>
    </w:p>
    <w:p w14:paraId="3973CD15"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Goodwill and Intangible Assets—Impairment Assessments</w:t>
      </w:r>
      <w:r>
        <w:rPr>
          <w:rFonts w:ascii="Calibri" w:hAnsi="Calibri" w:cs="Calibri"/>
          <w:b/>
          <w:bCs/>
          <w:i/>
          <w:iCs/>
          <w:color w:val="FF0000"/>
          <w:sz w:val="20"/>
          <w:szCs w:val="20"/>
        </w:rPr>
        <w:t xml:space="preserve"> </w:t>
      </w:r>
    </w:p>
    <w:p w14:paraId="3973CD16"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We review goodwill for impairment annually and whenever events or </w:t>
      </w:r>
      <w:r>
        <w:rPr>
          <w:rFonts w:ascii="Calibri" w:hAnsi="Calibri" w:cs="Calibri"/>
          <w:sz w:val="20"/>
          <w:szCs w:val="20"/>
          <w:shd w:val="clear" w:color="auto" w:fill="FFFFFF"/>
        </w:rPr>
        <w:t>changes in circumstances indicate its carrying value may not be recoverable. We make certain judgments and assumptions to determine our reporting units and in allocating shared assets and liabilities to determine the carrying values for each of our reporti</w:t>
      </w:r>
      <w:r>
        <w:rPr>
          <w:rFonts w:ascii="Calibri" w:hAnsi="Calibri" w:cs="Calibri"/>
          <w:sz w:val="20"/>
          <w:szCs w:val="20"/>
          <w:shd w:val="clear" w:color="auto" w:fill="FFFFFF"/>
        </w:rPr>
        <w:t>ng units.</w:t>
      </w:r>
    </w:p>
    <w:p w14:paraId="3973CD17"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Judgment in the assessment of qualitative factors of impairment include cost factors; financial performance; legal, regulatory, contractual, political, business, and other factors; entity specific factors; industry and market considerations, macr</w:t>
      </w:r>
      <w:r>
        <w:rPr>
          <w:rFonts w:ascii="Calibri" w:hAnsi="Calibri" w:cs="Calibri"/>
          <w:sz w:val="20"/>
          <w:szCs w:val="20"/>
          <w:shd w:val="clear" w:color="auto" w:fill="FFFFFF"/>
        </w:rPr>
        <w:t>oeconomic conditions, and other relevant events and factors affecting the reporting unit. To the extent we determine that it is more likely than not that the fair value of the reporting unit is less than its carrying value, a quantitative test is then perf</w:t>
      </w:r>
      <w:r>
        <w:rPr>
          <w:rFonts w:ascii="Calibri" w:hAnsi="Calibri" w:cs="Calibri"/>
          <w:sz w:val="20"/>
          <w:szCs w:val="20"/>
          <w:shd w:val="clear" w:color="auto" w:fill="FFFFFF"/>
        </w:rPr>
        <w:t>ormed.</w:t>
      </w:r>
    </w:p>
    <w:p w14:paraId="3973CD18"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Performing a quantitative goodwill impairment test includes the determination of the fair value of a reporting unit and involves significant estimates and assumptions. These estimates and assumptions include, among others, revenue growth rates and o</w:t>
      </w:r>
      <w:r>
        <w:rPr>
          <w:rFonts w:ascii="Calibri" w:hAnsi="Calibri" w:cs="Calibri"/>
          <w:sz w:val="20"/>
          <w:szCs w:val="20"/>
          <w:shd w:val="clear" w:color="auto" w:fill="FFFFFF"/>
        </w:rPr>
        <w:t>perating margins used to calculate projected future cash flows, risk-adjusted discount rates, future economic and market conditions, and the determination of appropriate market comparables.</w:t>
      </w:r>
    </w:p>
    <w:p w14:paraId="3973CD19" w14:textId="77777777" w:rsidR="007B027D" w:rsidRDefault="008E0125">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We make judgments about the recoverability of purchased finite liv</w:t>
      </w:r>
      <w:r>
        <w:rPr>
          <w:rFonts w:ascii="Calibri" w:hAnsi="Calibri" w:cs="Calibri"/>
          <w:sz w:val="20"/>
          <w:szCs w:val="20"/>
          <w:shd w:val="clear" w:color="auto" w:fill="FFFFFF"/>
        </w:rPr>
        <w:t>ed intangible assets whenever events or changes in circumstances indicate that impairment may exist. In such situations, we are required to evaluate whether the net book values of our finite lived intangible assets are recoverable. We determine whether fin</w:t>
      </w:r>
      <w:r>
        <w:rPr>
          <w:rFonts w:ascii="Calibri" w:hAnsi="Calibri" w:cs="Calibri"/>
          <w:sz w:val="20"/>
          <w:szCs w:val="20"/>
          <w:shd w:val="clear" w:color="auto" w:fill="FFFFFF"/>
        </w:rPr>
        <w:t>ite lived intangible assets are recoverable based upon the forecasted future cash flows that are expected to be generated by the lowest level associated asset grouping. Assumptions and estimates about future values and remaining useful lives of our intangi</w:t>
      </w:r>
      <w:r>
        <w:rPr>
          <w:rFonts w:ascii="Calibri" w:hAnsi="Calibri" w:cs="Calibri"/>
          <w:sz w:val="20"/>
          <w:szCs w:val="20"/>
          <w:shd w:val="clear" w:color="auto" w:fill="FFFFFF"/>
        </w:rPr>
        <w:t>ble assets are complex and subjective and include, among others, forecasted undiscounted cash flows to be generated by certain asset groupings. These assumptions and estimates can be affected by a variety of factors, including external factors such as indu</w:t>
      </w:r>
      <w:r>
        <w:rPr>
          <w:rFonts w:ascii="Calibri" w:hAnsi="Calibri" w:cs="Calibri"/>
          <w:sz w:val="20"/>
          <w:szCs w:val="20"/>
          <w:shd w:val="clear" w:color="auto" w:fill="FFFFFF"/>
        </w:rPr>
        <w:t>stry and economic trends and internal factors such as changes in our business strategy and our internal forecasts.</w:t>
      </w:r>
    </w:p>
    <w:p w14:paraId="3973CD1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Accounting for Income Taxes</w:t>
      </w:r>
      <w:r>
        <w:rPr>
          <w:rFonts w:ascii="Calibri" w:hAnsi="Calibri" w:cs="Calibri"/>
          <w:b/>
          <w:bCs/>
          <w:i/>
          <w:iCs/>
          <w:color w:val="FF0000"/>
          <w:sz w:val="20"/>
          <w:szCs w:val="20"/>
        </w:rPr>
        <w:t xml:space="preserve"> </w:t>
      </w:r>
    </w:p>
    <w:p w14:paraId="3973CD1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Judgment is required in determining our worldwide income tax provision. In the ordinary course of a global business, there are many transactions and calculations where the ultimate tax outcome is uncertain. Some of these uncertainties arise as a consequenc</w:t>
      </w:r>
      <w:r>
        <w:rPr>
          <w:rFonts w:ascii="Calibri" w:hAnsi="Calibri" w:cs="Calibri"/>
          <w:sz w:val="20"/>
          <w:szCs w:val="20"/>
        </w:rPr>
        <w:t xml:space="preserve">e of revenue sharing and cost reimbursement arrangements among related entities, the process of identifying items of revenues and expenses that qualify for preferential tax </w:t>
      </w:r>
    </w:p>
    <w:p w14:paraId="3973CD1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3973CD1D" w14:textId="77777777" w:rsidR="007B027D" w:rsidRDefault="008E0125">
      <w:r>
        <w:rPr>
          <w:rFonts w:ascii="Calibri" w:hAnsi="Calibri" w:cs="Calibri"/>
          <w:sz w:val="20"/>
          <w:szCs w:val="20"/>
        </w:rPr>
        <w:pict w14:anchorId="39740064">
          <v:rect id="_x0000_i1067" style="width:415.3pt;height:1.5pt" o:hralign="center" o:hrstd="t" o:hr="t" fillcolor="#a0a0a0" stroked="f"/>
        </w:pict>
      </w:r>
    </w:p>
    <w:p w14:paraId="3973CD1E" w14:textId="77777777" w:rsidR="007B027D" w:rsidRDefault="008E0125">
      <w:pPr>
        <w:pStyle w:val="a3"/>
        <w:spacing w:beforeAutospacing="0" w:after="120" w:afterAutospacing="0"/>
        <w:rPr>
          <w:rFonts w:ascii="Calibri" w:hAnsi="Calibri" w:cs="Calibri"/>
          <w:sz w:val="18"/>
          <w:szCs w:val="18"/>
        </w:rPr>
      </w:pPr>
      <w:hyperlink r:id="rId111" w:anchor="TABLE_OF_CONTENTS" w:history="1">
        <w:r>
          <w:rPr>
            <w:rStyle w:val="a5"/>
            <w:rFonts w:ascii="Calibri" w:hAnsi="Calibri" w:cs="Calibri"/>
            <w:sz w:val="18"/>
            <w:szCs w:val="18"/>
          </w:rPr>
          <w:t>Table of Contents</w:t>
        </w:r>
      </w:hyperlink>
    </w:p>
    <w:p w14:paraId="3973CD1F" w14:textId="77777777" w:rsidR="007B027D" w:rsidRDefault="008E0125">
      <w:pPr>
        <w:pStyle w:val="a3"/>
        <w:spacing w:beforeAutospacing="0" w:afterAutospacing="0"/>
        <w:rPr>
          <w:rFonts w:ascii="Calibri" w:hAnsi="Calibri" w:cs="Calibri"/>
          <w:sz w:val="18"/>
          <w:szCs w:val="18"/>
        </w:rPr>
      </w:pPr>
      <w:hyperlink r:id="rId112" w:anchor="ITEM_15_EXHIBITS_FINANCIAL_STATEMENT_SCH" w:history="1">
        <w:r>
          <w:rPr>
            <w:rStyle w:val="a5"/>
            <w:rFonts w:ascii="Calibri" w:hAnsi="Calibri" w:cs="Calibri"/>
            <w:sz w:val="18"/>
            <w:szCs w:val="18"/>
          </w:rPr>
          <w:t>Index to Financial Statements</w:t>
        </w:r>
      </w:hyperlink>
    </w:p>
    <w:p w14:paraId="3973CD20"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2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treatment, and the segregation of foreign and domestic earnings a</w:t>
      </w:r>
      <w:r>
        <w:rPr>
          <w:rFonts w:ascii="Calibri" w:hAnsi="Calibri" w:cs="Calibri"/>
          <w:sz w:val="20"/>
          <w:szCs w:val="20"/>
        </w:rPr>
        <w:t>nd expenses to avoid double taxation. Although we believe that our estimates are reasonable, the final tax outcome of these matters could be different from that which is reflected in our historical income tax provisions and accruals. Such differences could</w:t>
      </w:r>
      <w:r>
        <w:rPr>
          <w:rFonts w:ascii="Calibri" w:hAnsi="Calibri" w:cs="Calibri"/>
          <w:sz w:val="20"/>
          <w:szCs w:val="20"/>
        </w:rPr>
        <w:t xml:space="preserve"> have a material effect on our income tax provision and net income in the period in which such determination is made.</w:t>
      </w:r>
    </w:p>
    <w:p w14:paraId="3973CD2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record a valuation allowance to reduce our deferred tax assets to the amount that is more likely than not to be realized. In order for </w:t>
      </w:r>
      <w:r>
        <w:rPr>
          <w:rFonts w:ascii="Calibri" w:hAnsi="Calibri" w:cs="Calibri"/>
          <w:sz w:val="20"/>
          <w:szCs w:val="20"/>
        </w:rPr>
        <w:t>us to realize our deferred tax assets, we must be able to generate sufficient taxable income in those jurisdictions where the deferred tax assets are located. We consider future growth, forecasted earnings, future taxable income, the mix of earnings in the</w:t>
      </w:r>
      <w:r>
        <w:rPr>
          <w:rFonts w:ascii="Calibri" w:hAnsi="Calibri" w:cs="Calibri"/>
          <w:sz w:val="20"/>
          <w:szCs w:val="20"/>
        </w:rPr>
        <w:t xml:space="preserve"> jurisdictions in which we operate, historical earnings, taxable income in prior years, if carryback is permitted under the law, and prudent and feasible tax planning strategies in determining the need for a valuation allowance. In the event we were to det</w:t>
      </w:r>
      <w:r>
        <w:rPr>
          <w:rFonts w:ascii="Calibri" w:hAnsi="Calibri" w:cs="Calibri"/>
          <w:sz w:val="20"/>
          <w:szCs w:val="20"/>
        </w:rPr>
        <w:t>ermine that we would not be able to realize all or part of our net deferred tax assets in the future, an adjustment to the deferred tax assets valuation allowance would be charged to earnings in the period in which we make such a determination, or goodwill</w:t>
      </w:r>
      <w:r>
        <w:rPr>
          <w:rFonts w:ascii="Calibri" w:hAnsi="Calibri" w:cs="Calibri"/>
          <w:sz w:val="20"/>
          <w:szCs w:val="20"/>
        </w:rPr>
        <w:t xml:space="preserve"> would be adjusted at our final determination of the valuation allowance related to an acquisition within the measurement period. If we later determine that it is more likely than not that the net deferred tax assets would be realized, we would reverse the</w:t>
      </w:r>
      <w:r>
        <w:rPr>
          <w:rFonts w:ascii="Calibri" w:hAnsi="Calibri" w:cs="Calibri"/>
          <w:sz w:val="20"/>
          <w:szCs w:val="20"/>
        </w:rPr>
        <w:t xml:space="preserve"> applicable portion of the previously provided valuation allowance as an adjustment to our provision for income taxes at such time.</w:t>
      </w:r>
    </w:p>
    <w:p w14:paraId="3973CD2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w:t>
      </w:r>
      <w:r>
        <w:rPr>
          <w:rFonts w:ascii="Times New Roman" w:hAnsi="Times New Roman"/>
          <w:sz w:val="20"/>
          <w:szCs w:val="20"/>
        </w:rPr>
        <w:t xml:space="preserve"> </w:t>
      </w:r>
      <w:r>
        <w:rPr>
          <w:rFonts w:ascii="Calibri" w:hAnsi="Calibri" w:cs="Calibri"/>
          <w:sz w:val="20"/>
          <w:szCs w:val="20"/>
        </w:rPr>
        <w:t>calculate our current and deferred tax provision based on estimates and assumptions that could differ from the actual res</w:t>
      </w:r>
      <w:r>
        <w:rPr>
          <w:rFonts w:ascii="Calibri" w:hAnsi="Calibri" w:cs="Calibri"/>
          <w:sz w:val="20"/>
          <w:szCs w:val="20"/>
        </w:rPr>
        <w:t>ults reflected in income tax returns filed during the subsequent year. Adjustments based on filed returns are generally recorded in the period when the tax returns are filed and the global tax implications are known, which can materially impact our effecti</w:t>
      </w:r>
      <w:r>
        <w:rPr>
          <w:rFonts w:ascii="Calibri" w:hAnsi="Calibri" w:cs="Calibri"/>
          <w:sz w:val="20"/>
          <w:szCs w:val="20"/>
        </w:rPr>
        <w:t>ve tax rate.</w:t>
      </w:r>
    </w:p>
    <w:p w14:paraId="3973CD2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amount of income tax we pay is subject to ongoing audits by federal, state and foreign tax authorities, which often result in proposed assessments. Our estimate of the potential outcome for any uncertain tax issue may require certain judgm</w:t>
      </w:r>
      <w:r>
        <w:rPr>
          <w:rFonts w:ascii="Calibri" w:hAnsi="Calibri" w:cs="Calibri"/>
          <w:sz w:val="20"/>
          <w:szCs w:val="20"/>
        </w:rPr>
        <w:t xml:space="preserve">ents. A description of our accounting policies associated with tax related contingencies assumed as a part of a business combination is provided under “Business Combinations” above. </w:t>
      </w:r>
    </w:p>
    <w:p w14:paraId="3973CD2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those tax related contingencies that are not a part of a business com</w:t>
      </w:r>
      <w:r>
        <w:rPr>
          <w:rFonts w:ascii="Calibri" w:hAnsi="Calibri" w:cs="Calibri"/>
          <w:sz w:val="20"/>
          <w:szCs w:val="20"/>
        </w:rPr>
        <w:t xml:space="preserve">bination, we account for these uncertain tax issues pursuant to ASC 740, </w:t>
      </w:r>
      <w:r>
        <w:rPr>
          <w:rFonts w:ascii="Calibri" w:hAnsi="Calibri" w:cs="Calibri"/>
          <w:i/>
          <w:iCs/>
          <w:sz w:val="20"/>
          <w:szCs w:val="20"/>
        </w:rPr>
        <w:t>Income Taxes</w:t>
      </w:r>
      <w:r>
        <w:rPr>
          <w:rFonts w:ascii="Calibri" w:hAnsi="Calibri" w:cs="Calibri"/>
          <w:sz w:val="20"/>
          <w:szCs w:val="20"/>
        </w:rPr>
        <w:t xml:space="preserve">, which contains a two-step approach to recognizing and measuring uncertain tax positions taken or expected to be taken in a tax return. The first step is to determine if </w:t>
      </w:r>
      <w:r>
        <w:rPr>
          <w:rFonts w:ascii="Calibri" w:hAnsi="Calibri" w:cs="Calibri"/>
          <w:sz w:val="20"/>
          <w:szCs w:val="20"/>
        </w:rPr>
        <w:t>the weight of available evidence indicates that it is more likely than not that the tax position will be sustained in an audit, including resolution of any related appeals or litigation processes. The second step is to measure the tax benefit as the larges</w:t>
      </w:r>
      <w:r>
        <w:rPr>
          <w:rFonts w:ascii="Calibri" w:hAnsi="Calibri" w:cs="Calibri"/>
          <w:sz w:val="20"/>
          <w:szCs w:val="20"/>
        </w:rPr>
        <w:t>t amount that is more than 50% likely to be realized upon ultimate settlement. Although we believe that we have adequately reserved for our uncertain tax positions, no assurance can be given with respect to the final outcome of these matters. We adjust res</w:t>
      </w:r>
      <w:r>
        <w:rPr>
          <w:rFonts w:ascii="Calibri" w:hAnsi="Calibri" w:cs="Calibri"/>
          <w:sz w:val="20"/>
          <w:szCs w:val="20"/>
        </w:rPr>
        <w:t>erves for our uncertain tax positions due to changing facts and circumstances, such as the closing of a tax audit, judicial rulings, and refinement of estimates or realization of earnings or deductions that differ from our estimates. To the extent that the</w:t>
      </w:r>
      <w:r>
        <w:rPr>
          <w:rFonts w:ascii="Calibri" w:hAnsi="Calibri" w:cs="Calibri"/>
          <w:sz w:val="20"/>
          <w:szCs w:val="20"/>
        </w:rPr>
        <w:t xml:space="preserve"> final outcome of these matters is different than the amounts recorded, such differences generally will impact our provision for income taxes in the period in which such a determination is made. Our provisions for income taxes include the impact of reserve</w:t>
      </w:r>
      <w:r>
        <w:rPr>
          <w:rFonts w:ascii="Calibri" w:hAnsi="Calibri" w:cs="Calibri"/>
          <w:sz w:val="20"/>
          <w:szCs w:val="20"/>
        </w:rPr>
        <w:t xml:space="preserve"> provisions and changes to reserves that are considered appropriate and also include the related interest and penalties.</w:t>
      </w:r>
    </w:p>
    <w:p w14:paraId="3973CD26"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Legal and Other Contingencies</w:t>
      </w:r>
    </w:p>
    <w:p w14:paraId="3973CD2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are currently involved in various claims and legal proceedings. Quarterly, we review the status of each significant matter and assess our potential financial exposure. A description of our accounting policies associated with contingencies assumed as a p</w:t>
      </w:r>
      <w:r>
        <w:rPr>
          <w:rFonts w:ascii="Calibri" w:hAnsi="Calibri" w:cs="Calibri"/>
          <w:sz w:val="20"/>
          <w:szCs w:val="20"/>
        </w:rPr>
        <w:t>art of a business combination is provided under “Business Combinations” above. For legal and other contingencies that are not a part of a business combination, we accrue a liability for an estimated loss if the potential loss from any claim or legal procee</w:t>
      </w:r>
      <w:r>
        <w:rPr>
          <w:rFonts w:ascii="Calibri" w:hAnsi="Calibri" w:cs="Calibri"/>
          <w:sz w:val="20"/>
          <w:szCs w:val="20"/>
        </w:rPr>
        <w:t>ding is considered probable, and the amount can be reasonably estimated. Significant judgment is required in both the determination of probability and the determination as to whether the amount of an exposure is reasonably estimable. Because of uncertainti</w:t>
      </w:r>
      <w:r>
        <w:rPr>
          <w:rFonts w:ascii="Calibri" w:hAnsi="Calibri" w:cs="Calibri"/>
          <w:sz w:val="20"/>
          <w:szCs w:val="20"/>
        </w:rPr>
        <w:t xml:space="preserve">es related to these matters, accruals are based only on the best information available at the time the accruals are made. As additional information becomes available, we reassess the potential liability related to our pending claims and </w:t>
      </w:r>
    </w:p>
    <w:p w14:paraId="3973CD2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3973CD29" w14:textId="77777777" w:rsidR="007B027D" w:rsidRDefault="008E0125">
      <w:r>
        <w:rPr>
          <w:rFonts w:ascii="Calibri" w:hAnsi="Calibri" w:cs="Calibri"/>
          <w:sz w:val="20"/>
          <w:szCs w:val="20"/>
        </w:rPr>
        <w:pict w14:anchorId="39740065">
          <v:rect id="_x0000_i1068" style="width:415.3pt;height:1.5pt" o:hralign="center" o:hrstd="t" o:hr="t" fillcolor="#a0a0a0" stroked="f"/>
        </w:pict>
      </w:r>
    </w:p>
    <w:p w14:paraId="3973CD2A" w14:textId="77777777" w:rsidR="007B027D" w:rsidRDefault="008E0125">
      <w:pPr>
        <w:pStyle w:val="a3"/>
        <w:spacing w:beforeAutospacing="0" w:after="120" w:afterAutospacing="0"/>
        <w:rPr>
          <w:rFonts w:ascii="Calibri" w:hAnsi="Calibri" w:cs="Calibri"/>
          <w:sz w:val="18"/>
          <w:szCs w:val="18"/>
        </w:rPr>
      </w:pPr>
      <w:hyperlink r:id="rId113" w:anchor="TABLE_OF_CONTENTS" w:history="1">
        <w:r>
          <w:rPr>
            <w:rStyle w:val="a5"/>
            <w:rFonts w:ascii="Calibri" w:hAnsi="Calibri" w:cs="Calibri"/>
            <w:sz w:val="18"/>
            <w:szCs w:val="18"/>
          </w:rPr>
          <w:t>Table of Contents</w:t>
        </w:r>
      </w:hyperlink>
    </w:p>
    <w:p w14:paraId="3973CD2B" w14:textId="77777777" w:rsidR="007B027D" w:rsidRDefault="008E0125">
      <w:pPr>
        <w:pStyle w:val="a3"/>
        <w:spacing w:beforeAutospacing="0" w:afterAutospacing="0"/>
        <w:rPr>
          <w:rFonts w:ascii="Calibri" w:hAnsi="Calibri" w:cs="Calibri"/>
          <w:sz w:val="18"/>
          <w:szCs w:val="18"/>
        </w:rPr>
      </w:pPr>
      <w:hyperlink r:id="rId114" w:anchor="ITEM_15_EXHIBITS_FINANCIAL_STATEMENT_SCH" w:history="1">
        <w:r>
          <w:rPr>
            <w:rStyle w:val="a5"/>
            <w:rFonts w:ascii="Calibri" w:hAnsi="Calibri" w:cs="Calibri"/>
            <w:sz w:val="18"/>
            <w:szCs w:val="18"/>
          </w:rPr>
          <w:t>Index to Financial Statements</w:t>
        </w:r>
      </w:hyperlink>
    </w:p>
    <w:p w14:paraId="3973CD2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2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litigation and may revise our estimates. Such revisions in the estimates of the potential liabilities could have a material impact on our results of operations and financial positi</w:t>
      </w:r>
      <w:r>
        <w:rPr>
          <w:rFonts w:ascii="Calibri" w:hAnsi="Calibri" w:cs="Calibri"/>
          <w:sz w:val="20"/>
          <w:szCs w:val="20"/>
        </w:rPr>
        <w:t>on.</w:t>
      </w:r>
    </w:p>
    <w:p w14:paraId="3973CD2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3973CD2F"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Recent Global Events</w:t>
      </w:r>
    </w:p>
    <w:p w14:paraId="3973CD3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withdrew its operations from the Russian Federation and the Republic of Belarus in March 2022. Neither of the aforementioned countries, nor Ukraine, have composed or are expected to compose a </w:t>
      </w:r>
      <w:r>
        <w:rPr>
          <w:rFonts w:ascii="Calibri" w:hAnsi="Calibri" w:cs="Calibri"/>
          <w:sz w:val="20"/>
          <w:szCs w:val="20"/>
        </w:rPr>
        <w:t>material portion of Oracle’s total consolidated revenues, net income, net assets, or workforce. We serve hundreds of thousands of customers globally across a broad geographic and industry base. We are profitable and generate a large amount of positive cash</w:t>
      </w:r>
      <w:r>
        <w:rPr>
          <w:rFonts w:ascii="Calibri" w:hAnsi="Calibri" w:cs="Calibri"/>
          <w:sz w:val="20"/>
          <w:szCs w:val="20"/>
        </w:rPr>
        <w:t xml:space="preserve"> flow from our operations, and we do not believe the current posture of the Russia-Ukraine situation will jeopardize either of these characteristics of our business. Other impacts due to this rapidly evolving situation are currently unknown and could poten</w:t>
      </w:r>
      <w:r>
        <w:rPr>
          <w:rFonts w:ascii="Calibri" w:hAnsi="Calibri" w:cs="Calibri"/>
          <w:sz w:val="20"/>
          <w:szCs w:val="20"/>
        </w:rPr>
        <w:t>tially subject our business to materially adverse consequences. For a more complete discussion of the risks we encounter in our business, please refer to Item 1A Risk Factors included elsewhere in this Annual Report.</w:t>
      </w:r>
    </w:p>
    <w:p w14:paraId="3973CD3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for a discussion of the </w:t>
      </w:r>
      <w:r>
        <w:rPr>
          <w:rFonts w:ascii="Calibri" w:hAnsi="Calibri" w:cs="Calibri"/>
          <w:sz w:val="20"/>
          <w:szCs w:val="20"/>
        </w:rPr>
        <w:t>impacts on and risks to our business from COVID-19, please refer to the risks included in Item 1A Risk Factors in this Annual Report and the information presented below in Results of Operations in this Item 7.</w:t>
      </w:r>
    </w:p>
    <w:p w14:paraId="3973CD3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w:t>
      </w:r>
      <w:r>
        <w:rPr>
          <w:rFonts w:ascii="Calibri" w:hAnsi="Calibri" w:cs="Calibri"/>
          <w:b/>
          <w:bCs/>
          <w:sz w:val="20"/>
          <w:szCs w:val="20"/>
          <w:u w:val="single"/>
        </w:rPr>
        <w:t xml:space="preserve">Other Financial Information </w:t>
      </w:r>
    </w:p>
    <w:p w14:paraId="3973CD3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our fiscal 2022 compared to fiscal 2021 results of operations discussion below, we provide an overview of our total consolidated revenues, total consolidated operating expenses and total consolidated operating margin, all of</w:t>
      </w:r>
      <w:r>
        <w:rPr>
          <w:rFonts w:ascii="Calibri" w:hAnsi="Calibri" w:cs="Calibri"/>
          <w:sz w:val="20"/>
          <w:szCs w:val="20"/>
        </w:rPr>
        <w:t xml:space="preserve"> which are presented on a GAAP basis. We also present a GAAP-based discussion below for substantially all of the other expense items as presented in our consolidated statements of operations that are not directly attributable to our three businesses.</w:t>
      </w:r>
    </w:p>
    <w:p w14:paraId="3973CD3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w:t>
      </w:r>
      <w:r>
        <w:rPr>
          <w:rFonts w:ascii="Calibri" w:hAnsi="Calibri" w:cs="Calibri"/>
          <w:sz w:val="20"/>
          <w:szCs w:val="20"/>
        </w:rPr>
        <w:t xml:space="preserve">dition, we discuss below the fiscal 2022 compared to fiscal 2021 results of each of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w:t>
      </w:r>
      <w:r>
        <w:rPr>
          <w:rFonts w:ascii="Calibri" w:hAnsi="Calibri" w:cs="Calibri"/>
          <w:sz w:val="20"/>
          <w:szCs w:val="20"/>
        </w:rPr>
        <w:t>r our three businesses that is presented below is presented in a manner that is consistent with that used by our CODMs. Our operating segment presentation below reflects revenues, direct costs and sales and marketing expenses that correspond to and are dir</w:t>
      </w:r>
      <w:r>
        <w:rPr>
          <w:rFonts w:ascii="Calibri" w:hAnsi="Calibri" w:cs="Calibri"/>
          <w:sz w:val="20"/>
          <w:szCs w:val="20"/>
        </w:rPr>
        <w:t>ectly attributable to each of our three businesses. We also utilize these inputs to calculate and present a segment margin for each of our three businesses in the discussion below.</w:t>
      </w:r>
    </w:p>
    <w:p w14:paraId="3973CD3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w:t>
      </w:r>
      <w:r>
        <w:rPr>
          <w:rFonts w:ascii="Calibri" w:hAnsi="Calibri" w:cs="Calibri"/>
          <w:sz w:val="20"/>
          <w:szCs w:val="20"/>
        </w:rPr>
        <w:t>ating segment presentation for fiscal 2021 is noted to include any revenues adjustments related to cloud services and license support contracts that would have otherwise been recorded by the acquired businesses as independent entities but were not recogniz</w:t>
      </w:r>
      <w:r>
        <w:rPr>
          <w:rFonts w:ascii="Calibri" w:hAnsi="Calibri" w:cs="Calibri"/>
          <w:sz w:val="20"/>
          <w:szCs w:val="20"/>
        </w:rPr>
        <w:t>ed in our consolidated statements of operations for fiscal 2021 due to certain business combination accounting requirements that were eliminated in fiscal 2022. Refer to “Supplemental Disclosure Related to Certain Charges” below for additional discussion o</w:t>
      </w:r>
      <w:r>
        <w:rPr>
          <w:rFonts w:ascii="Calibri" w:hAnsi="Calibri" w:cs="Calibri"/>
          <w:sz w:val="20"/>
          <w:szCs w:val="20"/>
        </w:rPr>
        <w:t>f these items and Note 14 of Notes to Consolidated Financial Statements included elsewhere in this Annual Report for a reconciliation of the summations of our total operating segment revenues as presented in the discussion below to total revenues as presen</w:t>
      </w:r>
      <w:r>
        <w:rPr>
          <w:rFonts w:ascii="Calibri" w:hAnsi="Calibri" w:cs="Calibri"/>
          <w:sz w:val="20"/>
          <w:szCs w:val="20"/>
        </w:rPr>
        <w:t>ted per our consolidated statements of operations for fiscal 2021.</w:t>
      </w:r>
    </w:p>
    <w:p w14:paraId="3973CD3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w:t>
      </w:r>
      <w:r>
        <w:rPr>
          <w:rFonts w:ascii="Calibri" w:hAnsi="Calibri" w:cs="Calibri"/>
          <w:sz w:val="20"/>
          <w:szCs w:val="20"/>
        </w:rPr>
        <w:t xml:space="preserve"> acquisition related and other expenses, restructuring expenses, interest expense, non-operating expenses or income, net and (provision for) benefit from income taxes are not attributed to our three operating segments because our management does not view t</w:t>
      </w:r>
      <w:r>
        <w:rPr>
          <w:rFonts w:ascii="Calibri" w:hAnsi="Calibri" w:cs="Calibri"/>
          <w:sz w:val="20"/>
          <w:szCs w:val="20"/>
        </w:rPr>
        <w:t>he performance of our three businesses including such items and/or it is impracticable to do so. Refer to “Supplemental Disclosure Related to Certain Charges” below for additional discussion of certain of these items and Note 14 of Notes to Consolidated Fi</w:t>
      </w:r>
      <w:r>
        <w:rPr>
          <w:rFonts w:ascii="Calibri" w:hAnsi="Calibri" w:cs="Calibri"/>
          <w:sz w:val="20"/>
          <w:szCs w:val="20"/>
        </w:rPr>
        <w:t xml:space="preserve">nancial Statements included elsewhere in this Annual Report for a </w:t>
      </w:r>
    </w:p>
    <w:p w14:paraId="3973CD3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3973CD38" w14:textId="77777777" w:rsidR="007B027D" w:rsidRDefault="008E0125">
      <w:r>
        <w:rPr>
          <w:rFonts w:ascii="Calibri" w:hAnsi="Calibri" w:cs="Calibri"/>
          <w:sz w:val="20"/>
          <w:szCs w:val="20"/>
        </w:rPr>
        <w:pict w14:anchorId="39740066">
          <v:rect id="_x0000_i1069" style="width:415.3pt;height:1.5pt" o:hralign="center" o:hrstd="t" o:hr="t" fillcolor="#a0a0a0" stroked="f"/>
        </w:pict>
      </w:r>
    </w:p>
    <w:p w14:paraId="3973CD39" w14:textId="77777777" w:rsidR="007B027D" w:rsidRDefault="008E0125">
      <w:pPr>
        <w:pStyle w:val="a3"/>
        <w:spacing w:beforeAutospacing="0" w:after="120" w:afterAutospacing="0"/>
        <w:rPr>
          <w:rFonts w:ascii="Calibri" w:hAnsi="Calibri" w:cs="Calibri"/>
          <w:sz w:val="18"/>
          <w:szCs w:val="18"/>
        </w:rPr>
      </w:pPr>
      <w:hyperlink r:id="rId115" w:anchor="TABLE_OF_CONTENTS" w:history="1">
        <w:r>
          <w:rPr>
            <w:rStyle w:val="a5"/>
            <w:rFonts w:ascii="Calibri" w:hAnsi="Calibri" w:cs="Calibri"/>
            <w:sz w:val="18"/>
            <w:szCs w:val="18"/>
          </w:rPr>
          <w:t>Table of Contents</w:t>
        </w:r>
      </w:hyperlink>
    </w:p>
    <w:p w14:paraId="3973CD3A" w14:textId="77777777" w:rsidR="007B027D" w:rsidRDefault="008E0125">
      <w:pPr>
        <w:pStyle w:val="a3"/>
        <w:spacing w:beforeAutospacing="0" w:afterAutospacing="0"/>
        <w:rPr>
          <w:rFonts w:ascii="Calibri" w:hAnsi="Calibri" w:cs="Calibri"/>
          <w:sz w:val="18"/>
          <w:szCs w:val="18"/>
        </w:rPr>
      </w:pPr>
      <w:hyperlink r:id="rId116" w:anchor="ITEM_15_EXHIBITS_FINANCIAL_STATEMENT_SCH" w:history="1">
        <w:r>
          <w:rPr>
            <w:rStyle w:val="a5"/>
            <w:rFonts w:ascii="Calibri" w:hAnsi="Calibri" w:cs="Calibri"/>
            <w:sz w:val="18"/>
            <w:szCs w:val="18"/>
          </w:rPr>
          <w:t>Index to Financial Statements</w:t>
        </w:r>
      </w:hyperlink>
    </w:p>
    <w:p w14:paraId="3973CD3B"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3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reconciliation of the summations of total segment margin as prese</w:t>
      </w:r>
      <w:r>
        <w:rPr>
          <w:rFonts w:ascii="Calibri" w:hAnsi="Calibri" w:cs="Calibri"/>
          <w:sz w:val="20"/>
          <w:szCs w:val="20"/>
        </w:rPr>
        <w:t xml:space="preserve">nted in the discussion below to total income before income taxes as presented per our consolidated statements of operations for fiscal 2022 and 2021. </w:t>
      </w:r>
    </w:p>
    <w:p w14:paraId="3973CD3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experienced COVID-19 related impacts to our businesses during fiscal 2022 and 2021. Certain of these h</w:t>
      </w:r>
      <w:r>
        <w:rPr>
          <w:rFonts w:ascii="Calibri" w:hAnsi="Calibri" w:cs="Calibri"/>
          <w:sz w:val="20"/>
          <w:szCs w:val="20"/>
        </w:rPr>
        <w:t>istorical impacts to our operating results are further discussed below. Any future impacts are currently unknown.</w:t>
      </w:r>
    </w:p>
    <w:p w14:paraId="3973CD3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Separately,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D42" w14:textId="77777777">
        <w:tc>
          <w:tcPr>
            <w:tcW w:w="262" w:type="pct"/>
            <w:shd w:val="clear" w:color="auto" w:fill="auto"/>
            <w:noWrap/>
          </w:tcPr>
          <w:p w14:paraId="3973CD3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D4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D41"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as described further below and in Note 16 of Notes to Consolidated Financial Statements included elsewhere in this Annual Rep</w:t>
            </w:r>
            <w:r>
              <w:rPr>
                <w:rFonts w:ascii="Calibri" w:hAnsi="Calibri" w:cs="Calibri"/>
                <w:color w:val="000000"/>
                <w:sz w:val="20"/>
                <w:szCs w:val="20"/>
              </w:rPr>
              <w:t>ort, we remitted and recorded $4.7 billion for certain litigation related charges during fiscal 2022;</w:t>
            </w:r>
          </w:p>
        </w:tc>
      </w:tr>
    </w:tbl>
    <w:p w14:paraId="3973CD4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D47" w14:textId="77777777">
        <w:tc>
          <w:tcPr>
            <w:tcW w:w="262" w:type="pct"/>
            <w:shd w:val="clear" w:color="auto" w:fill="auto"/>
            <w:noWrap/>
          </w:tcPr>
          <w:p w14:paraId="3973CD4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D4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D46"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as described further above, Oracle withdrew its operations from the Russian Federation and the Republic of Belarus in March 2022. Oracle </w:t>
            </w:r>
            <w:r>
              <w:rPr>
                <w:rFonts w:ascii="Calibri" w:hAnsi="Calibri" w:cs="Calibri"/>
                <w:color w:val="000000"/>
                <w:sz w:val="20"/>
                <w:szCs w:val="20"/>
              </w:rPr>
              <w:t>recorded fiscal 2022 revenues of $248 million from these two countries, a reduction of $118 million relative to fiscal 2021. No revenues are expected to be recognized from these two countries prospectively; and</w:t>
            </w:r>
          </w:p>
        </w:tc>
      </w:tr>
    </w:tbl>
    <w:p w14:paraId="3973CD4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CD4C" w14:textId="77777777">
        <w:tc>
          <w:tcPr>
            <w:tcW w:w="262" w:type="pct"/>
            <w:shd w:val="clear" w:color="auto" w:fill="auto"/>
            <w:noWrap/>
          </w:tcPr>
          <w:p w14:paraId="3973CD4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CD4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CD4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as described further below and in Notes</w:t>
            </w:r>
            <w:r>
              <w:rPr>
                <w:rFonts w:ascii="Calibri" w:hAnsi="Calibri" w:cs="Calibri"/>
                <w:color w:val="000000"/>
                <w:sz w:val="20"/>
                <w:szCs w:val="20"/>
              </w:rPr>
              <w:t xml:space="preserve"> 1 and 13 of Notes to Consolidated Financial Statements included elsewhere in this Annual Report, we recorded a $2.3 billion one-time net deferred tax benefit during fiscal 2021 that related to a partial realignment of our legal entity structure that resul</w:t>
            </w:r>
            <w:r>
              <w:rPr>
                <w:rFonts w:ascii="Calibri" w:hAnsi="Calibri" w:cs="Calibri"/>
                <w:color w:val="000000"/>
                <w:sz w:val="20"/>
                <w:szCs w:val="20"/>
              </w:rPr>
              <w:t>ted in the intra-group transfer of certain intellectual property rights.</w:t>
            </w:r>
          </w:p>
        </w:tc>
      </w:tr>
    </w:tbl>
    <w:p w14:paraId="3973CD4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3973CD4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provide a significant portion of each of our businesses’ revenues and expens</w:t>
      </w:r>
      <w:r>
        <w:rPr>
          <w:rFonts w:ascii="Calibri" w:hAnsi="Calibri" w:cs="Calibri"/>
          <w:sz w:val="20"/>
          <w:szCs w:val="20"/>
        </w:rPr>
        <w:t>es. As a result, each of our businesses’ revenues and expenses and our total revenues and expenses will continue to be affected by changes in the U.S. Dollar against major international currencies. In order to provide a framework for assessing how our unde</w:t>
      </w:r>
      <w:r>
        <w:rPr>
          <w:rFonts w:ascii="Calibri" w:hAnsi="Calibri" w:cs="Calibri"/>
          <w:sz w:val="20"/>
          <w:szCs w:val="20"/>
        </w:rPr>
        <w:t xml:space="preserve">rlying businesses performed, excluding the effects of foreign currency rate fluctuations, we compare the percent change in the results from one period to another period in this Annual Report using constant currency disclosure. To present this information, </w:t>
      </w:r>
      <w:r>
        <w:rPr>
          <w:rFonts w:ascii="Calibri" w:hAnsi="Calibri" w:cs="Calibri"/>
          <w:sz w:val="20"/>
          <w:szCs w:val="20"/>
        </w:rPr>
        <w:t>current and comparative prior period results for entities reporting in currencies other than U.S. Dollars are converted into U.S. Dollars at constant exchange rates (i.e., the rates in effect on May 31, 2021, which was the last day of our prior fiscal year</w:t>
      </w:r>
      <w:r>
        <w:rPr>
          <w:rFonts w:ascii="Calibri" w:hAnsi="Calibri" w:cs="Calibri"/>
          <w:sz w:val="20"/>
          <w:szCs w:val="20"/>
        </w:rPr>
        <w:t>) rather than the actual exchange rates in effect during the respective periods. For example, if an entity reporting in Euros had revenues of 1.0 million Euros from products sold on May 31, 2022 and 2021, our financial statements would reflect reported rev</w:t>
      </w:r>
      <w:r>
        <w:rPr>
          <w:rFonts w:ascii="Calibri" w:hAnsi="Calibri" w:cs="Calibri"/>
          <w:sz w:val="20"/>
          <w:szCs w:val="20"/>
        </w:rPr>
        <w:t>enues of $1.07 million in fiscal 2022 (using 1.07 as the month-end average exchange rate for the period) and $1.22 million in fiscal 2021 (using 1.22 as the month-end average exchange rate for the period). The constant currency presentation, however, would</w:t>
      </w:r>
      <w:r>
        <w:rPr>
          <w:rFonts w:ascii="Calibri" w:hAnsi="Calibri" w:cs="Calibri"/>
          <w:sz w:val="20"/>
          <w:szCs w:val="20"/>
        </w:rPr>
        <w:t xml:space="preserve"> translate the fiscal 2022 results using the fiscal 2021 exchange rate and indicate, in this example, no change in revenues during the period. In each of the tables below, we present the percent change based on actual, unrounded results in reported currenc</w:t>
      </w:r>
      <w:r>
        <w:rPr>
          <w:rFonts w:ascii="Calibri" w:hAnsi="Calibri" w:cs="Calibri"/>
          <w:sz w:val="20"/>
          <w:szCs w:val="20"/>
        </w:rPr>
        <w:t>y and in constant currency.</w:t>
      </w:r>
    </w:p>
    <w:p w14:paraId="3973CD4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3973CD50" w14:textId="77777777" w:rsidR="007B027D" w:rsidRDefault="008E0125">
      <w:r>
        <w:rPr>
          <w:rFonts w:ascii="Calibri" w:hAnsi="Calibri" w:cs="Calibri"/>
          <w:sz w:val="20"/>
          <w:szCs w:val="20"/>
        </w:rPr>
        <w:pict w14:anchorId="39740067">
          <v:rect id="_x0000_i1070" style="width:415.3pt;height:1.5pt" o:hralign="center" o:hrstd="t" o:hr="t" fillcolor="#a0a0a0" stroked="f"/>
        </w:pict>
      </w:r>
    </w:p>
    <w:p w14:paraId="3973CD51" w14:textId="77777777" w:rsidR="007B027D" w:rsidRDefault="008E0125">
      <w:pPr>
        <w:pStyle w:val="a3"/>
        <w:spacing w:beforeAutospacing="0" w:after="120" w:afterAutospacing="0"/>
        <w:rPr>
          <w:rFonts w:ascii="Calibri" w:hAnsi="Calibri" w:cs="Calibri"/>
          <w:sz w:val="18"/>
          <w:szCs w:val="18"/>
        </w:rPr>
      </w:pPr>
      <w:hyperlink r:id="rId117" w:anchor="TABLE_OF_CONTENTS" w:history="1">
        <w:r>
          <w:rPr>
            <w:rStyle w:val="a5"/>
            <w:rFonts w:ascii="Calibri" w:hAnsi="Calibri" w:cs="Calibri"/>
            <w:sz w:val="18"/>
            <w:szCs w:val="18"/>
          </w:rPr>
          <w:t>Table of Contents</w:t>
        </w:r>
      </w:hyperlink>
    </w:p>
    <w:p w14:paraId="3973CD52" w14:textId="77777777" w:rsidR="007B027D" w:rsidRDefault="008E0125">
      <w:pPr>
        <w:pStyle w:val="a3"/>
        <w:spacing w:beforeAutospacing="0" w:afterAutospacing="0"/>
        <w:rPr>
          <w:rFonts w:ascii="Calibri" w:hAnsi="Calibri" w:cs="Calibri"/>
          <w:sz w:val="18"/>
          <w:szCs w:val="18"/>
        </w:rPr>
      </w:pPr>
      <w:hyperlink r:id="rId118" w:anchor="ITEM_15_EXHIBITS_FINANCIAL_STATEMENT_SCH" w:history="1">
        <w:r>
          <w:rPr>
            <w:rStyle w:val="a5"/>
            <w:rFonts w:ascii="Calibri" w:hAnsi="Calibri" w:cs="Calibri"/>
            <w:sz w:val="18"/>
            <w:szCs w:val="18"/>
          </w:rPr>
          <w:t>Index to Financial Statements</w:t>
        </w:r>
      </w:hyperlink>
    </w:p>
    <w:p w14:paraId="3973CD5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D54"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Total Revenues and Operating Expenses</w:t>
      </w:r>
    </w:p>
    <w:p w14:paraId="3973CD55"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0"/>
        <w:gridCol w:w="130"/>
        <w:gridCol w:w="107"/>
        <w:gridCol w:w="769"/>
        <w:gridCol w:w="79"/>
        <w:gridCol w:w="131"/>
        <w:gridCol w:w="876"/>
        <w:gridCol w:w="131"/>
        <w:gridCol w:w="878"/>
        <w:gridCol w:w="131"/>
        <w:gridCol w:w="107"/>
        <w:gridCol w:w="713"/>
        <w:gridCol w:w="79"/>
      </w:tblGrid>
      <w:tr w:rsidR="007B027D" w14:paraId="3973CD5A" w14:textId="77777777">
        <w:tc>
          <w:tcPr>
            <w:tcW w:w="2520" w:type="pct"/>
            <w:shd w:val="clear" w:color="auto" w:fill="FFFFFF"/>
            <w:tcMar>
              <w:top w:w="15" w:type="dxa"/>
              <w:right w:w="15" w:type="dxa"/>
            </w:tcMar>
            <w:vAlign w:val="bottom"/>
          </w:tcPr>
          <w:p w14:paraId="3973CD56"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CD5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48" w:type="pct"/>
            <w:gridSpan w:val="10"/>
            <w:tcBorders>
              <w:bottom w:val="single" w:sz="6" w:space="0" w:color="000000"/>
            </w:tcBorders>
            <w:shd w:val="clear" w:color="auto" w:fill="FFFFFF"/>
            <w:tcMar>
              <w:top w:w="15" w:type="dxa"/>
              <w:right w:w="15" w:type="dxa"/>
            </w:tcMar>
            <w:vAlign w:val="bottom"/>
          </w:tcPr>
          <w:p w14:paraId="3973CD5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CD5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D66" w14:textId="77777777">
        <w:tc>
          <w:tcPr>
            <w:tcW w:w="2520" w:type="pct"/>
            <w:shd w:val="clear" w:color="auto" w:fill="FFFFFF"/>
            <w:tcMar>
              <w:top w:w="15" w:type="dxa"/>
              <w:right w:w="15" w:type="dxa"/>
            </w:tcMar>
            <w:vAlign w:val="bottom"/>
          </w:tcPr>
          <w:p w14:paraId="3973CD5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CD5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CD5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5" w:type="pct"/>
            <w:tcBorders>
              <w:top w:val="single" w:sz="6" w:space="0" w:color="000000"/>
            </w:tcBorders>
            <w:shd w:val="clear" w:color="auto" w:fill="FFFFFF"/>
            <w:noWrap/>
            <w:tcMar>
              <w:top w:w="15" w:type="dxa"/>
              <w:right w:w="15" w:type="dxa"/>
            </w:tcMar>
            <w:vAlign w:val="bottom"/>
          </w:tcPr>
          <w:p w14:paraId="3973CD5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CD5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CD6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40" w:type="pct"/>
            <w:gridSpan w:val="3"/>
            <w:tcBorders>
              <w:top w:val="single" w:sz="6" w:space="0" w:color="000000"/>
              <w:bottom w:val="single" w:sz="6" w:space="0" w:color="000000"/>
            </w:tcBorders>
            <w:shd w:val="clear" w:color="auto" w:fill="FFFFFF"/>
            <w:tcMar>
              <w:top w:w="15" w:type="dxa"/>
              <w:right w:w="15" w:type="dxa"/>
            </w:tcMar>
            <w:vAlign w:val="bottom"/>
          </w:tcPr>
          <w:p w14:paraId="3973CD6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3973CD6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CD6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tcBorders>
              <w:top w:val="single" w:sz="6" w:space="0" w:color="000000"/>
            </w:tcBorders>
            <w:shd w:val="clear" w:color="auto" w:fill="FFFFFF"/>
            <w:noWrap/>
            <w:tcMar>
              <w:top w:w="15" w:type="dxa"/>
              <w:right w:w="15" w:type="dxa"/>
            </w:tcMar>
            <w:vAlign w:val="bottom"/>
          </w:tcPr>
          <w:p w14:paraId="3973CD6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CD6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D72" w14:textId="77777777">
        <w:tc>
          <w:tcPr>
            <w:tcW w:w="2520" w:type="pct"/>
            <w:tcBorders>
              <w:bottom w:val="single" w:sz="6" w:space="0" w:color="000000"/>
            </w:tcBorders>
            <w:shd w:val="clear" w:color="auto" w:fill="FFFFFF"/>
            <w:tcMar>
              <w:top w:w="15" w:type="dxa"/>
              <w:right w:w="15" w:type="dxa"/>
            </w:tcMar>
            <w:vAlign w:val="bottom"/>
          </w:tcPr>
          <w:p w14:paraId="3973CD6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CD6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15" w:type="pct"/>
            <w:gridSpan w:val="2"/>
            <w:tcBorders>
              <w:bottom w:val="single" w:sz="6" w:space="0" w:color="000000"/>
            </w:tcBorders>
            <w:shd w:val="clear" w:color="auto" w:fill="FFFFFF"/>
            <w:tcMar>
              <w:top w:w="15" w:type="dxa"/>
              <w:right w:w="15" w:type="dxa"/>
            </w:tcMar>
            <w:vAlign w:val="bottom"/>
          </w:tcPr>
          <w:p w14:paraId="3973CD6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CD6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CD6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CD6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CD6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CD6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CD6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3973CD7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CD7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D80" w14:textId="77777777">
        <w:tc>
          <w:tcPr>
            <w:tcW w:w="2520" w:type="pct"/>
            <w:tcBorders>
              <w:top w:val="single" w:sz="6" w:space="0" w:color="000000"/>
            </w:tcBorders>
            <w:shd w:val="clear" w:color="auto" w:fill="CFF0FC"/>
            <w:tcMar>
              <w:top w:w="15" w:type="dxa"/>
              <w:right w:w="15" w:type="dxa"/>
            </w:tcMar>
          </w:tcPr>
          <w:p w14:paraId="3973CD73"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Geography</w:t>
            </w:r>
            <w:r>
              <w:rPr>
                <w:rFonts w:ascii="Calibri" w:hAnsi="Calibri" w:cs="Calibri"/>
                <w:b/>
                <w:bCs/>
                <w:color w:val="000000"/>
                <w:sz w:val="18"/>
                <w:szCs w:val="18"/>
              </w:rPr>
              <w:t>:</w:t>
            </w:r>
          </w:p>
        </w:tc>
        <w:tc>
          <w:tcPr>
            <w:tcW w:w="81" w:type="pct"/>
            <w:shd w:val="clear" w:color="auto" w:fill="CFF0FC"/>
            <w:tcMar>
              <w:top w:w="15" w:type="dxa"/>
              <w:right w:w="15" w:type="dxa"/>
            </w:tcMar>
            <w:vAlign w:val="bottom"/>
          </w:tcPr>
          <w:p w14:paraId="3973CD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D75"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5" w:type="pct"/>
            <w:tcBorders>
              <w:top w:val="single" w:sz="6" w:space="0" w:color="000000"/>
            </w:tcBorders>
            <w:shd w:val="clear" w:color="auto" w:fill="CFF0FC"/>
            <w:noWrap/>
            <w:tcMar>
              <w:top w:w="15" w:type="dxa"/>
              <w:right w:w="15" w:type="dxa"/>
            </w:tcMar>
            <w:vAlign w:val="bottom"/>
          </w:tcPr>
          <w:p w14:paraId="3973CD76" w14:textId="77777777" w:rsidR="007B027D" w:rsidRDefault="008E0125">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3973CD77"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81" w:type="pct"/>
            <w:shd w:val="clear" w:color="auto" w:fill="CFF0FC"/>
            <w:tcMar>
              <w:top w:w="15" w:type="dxa"/>
              <w:right w:w="15" w:type="dxa"/>
            </w:tcMar>
            <w:vAlign w:val="bottom"/>
          </w:tcPr>
          <w:p w14:paraId="3973CD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tcBorders>
              <w:top w:val="single" w:sz="6" w:space="0" w:color="000000"/>
            </w:tcBorders>
            <w:shd w:val="clear" w:color="auto" w:fill="CFF0FC"/>
            <w:tcMar>
              <w:top w:w="15" w:type="dxa"/>
              <w:right w:w="15" w:type="dxa"/>
            </w:tcMar>
            <w:vAlign w:val="bottom"/>
          </w:tcPr>
          <w:p w14:paraId="3973CD79" w14:textId="77777777" w:rsidR="007B027D" w:rsidRDefault="008E0125">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1" w:type="pct"/>
            <w:shd w:val="clear" w:color="auto" w:fill="CFF0FC"/>
            <w:tcMar>
              <w:top w:w="15" w:type="dxa"/>
              <w:right w:w="15" w:type="dxa"/>
            </w:tcMar>
            <w:vAlign w:val="bottom"/>
          </w:tcPr>
          <w:p w14:paraId="3973CD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tcBorders>
              <w:top w:val="single" w:sz="6" w:space="0" w:color="000000"/>
            </w:tcBorders>
            <w:shd w:val="clear" w:color="auto" w:fill="CFF0FC"/>
            <w:tcMar>
              <w:top w:w="15" w:type="dxa"/>
              <w:right w:w="15" w:type="dxa"/>
            </w:tcMar>
            <w:vAlign w:val="bottom"/>
          </w:tcPr>
          <w:p w14:paraId="3973CD7B" w14:textId="77777777" w:rsidR="007B027D" w:rsidRDefault="008E0125">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1" w:type="pct"/>
            <w:shd w:val="clear" w:color="auto" w:fill="CFF0FC"/>
            <w:tcMar>
              <w:top w:w="15" w:type="dxa"/>
              <w:right w:w="15" w:type="dxa"/>
            </w:tcMar>
            <w:vAlign w:val="bottom"/>
          </w:tcPr>
          <w:p w14:paraId="3973CD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D7D"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3973CD7E" w14:textId="77777777" w:rsidR="007B027D" w:rsidRDefault="008E0125">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3973CD7F"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r>
      <w:tr w:rsidR="007B027D" w14:paraId="3973CD8E" w14:textId="77777777">
        <w:tc>
          <w:tcPr>
            <w:tcW w:w="2520" w:type="pct"/>
            <w:shd w:val="clear" w:color="auto" w:fill="FFFFFF"/>
            <w:tcMar>
              <w:top w:w="15" w:type="dxa"/>
              <w:right w:w="15" w:type="dxa"/>
            </w:tcMar>
          </w:tcPr>
          <w:p w14:paraId="3973CD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81" w:type="pct"/>
            <w:shd w:val="clear" w:color="auto" w:fill="FFFFFF"/>
            <w:tcMar>
              <w:top w:w="15" w:type="dxa"/>
              <w:right w:w="15" w:type="dxa"/>
            </w:tcMar>
            <w:vAlign w:val="bottom"/>
          </w:tcPr>
          <w:p w14:paraId="3973CD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D8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5" w:type="pct"/>
            <w:shd w:val="clear" w:color="auto" w:fill="FFFFFF"/>
            <w:noWrap/>
            <w:tcMar>
              <w:top w:w="15" w:type="dxa"/>
              <w:right w:w="15" w:type="dxa"/>
            </w:tcMar>
            <w:vAlign w:val="bottom"/>
          </w:tcPr>
          <w:p w14:paraId="3973CD8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23,679</w:t>
            </w:r>
          </w:p>
        </w:tc>
        <w:tc>
          <w:tcPr>
            <w:tcW w:w="50" w:type="pct"/>
            <w:shd w:val="clear" w:color="auto" w:fill="FFFFFF"/>
            <w:noWrap/>
            <w:tcMar>
              <w:top w:w="15" w:type="dxa"/>
              <w:right w:w="15" w:type="dxa"/>
            </w:tcMar>
            <w:vAlign w:val="bottom"/>
          </w:tcPr>
          <w:p w14:paraId="3973CD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8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81" w:type="pct"/>
            <w:shd w:val="clear" w:color="auto" w:fill="FFFFFF"/>
            <w:tcMar>
              <w:top w:w="15" w:type="dxa"/>
              <w:right w:w="15" w:type="dxa"/>
            </w:tcMar>
            <w:vAlign w:val="bottom"/>
          </w:tcPr>
          <w:p w14:paraId="3973CD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8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81" w:type="pct"/>
            <w:shd w:val="clear" w:color="auto" w:fill="FFFFFF"/>
            <w:tcMar>
              <w:top w:w="15" w:type="dxa"/>
              <w:right w:w="15" w:type="dxa"/>
            </w:tcMar>
            <w:vAlign w:val="bottom"/>
          </w:tcPr>
          <w:p w14:paraId="3973CD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D8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3973CD8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21,828</w:t>
            </w:r>
          </w:p>
        </w:tc>
        <w:tc>
          <w:tcPr>
            <w:tcW w:w="50" w:type="pct"/>
            <w:shd w:val="clear" w:color="auto" w:fill="FFFFFF"/>
            <w:noWrap/>
            <w:tcMar>
              <w:top w:w="15" w:type="dxa"/>
              <w:right w:w="15" w:type="dxa"/>
            </w:tcMar>
            <w:vAlign w:val="bottom"/>
          </w:tcPr>
          <w:p w14:paraId="3973CD8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9C" w14:textId="77777777">
        <w:tc>
          <w:tcPr>
            <w:tcW w:w="2520" w:type="pct"/>
            <w:shd w:val="clear" w:color="auto" w:fill="CFF0FC"/>
            <w:tcMar>
              <w:top w:w="15" w:type="dxa"/>
              <w:right w:w="15" w:type="dxa"/>
            </w:tcMar>
          </w:tcPr>
          <w:p w14:paraId="3973CD8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rPr>
              <w:t>(1)</w:t>
            </w:r>
          </w:p>
        </w:tc>
        <w:tc>
          <w:tcPr>
            <w:tcW w:w="81" w:type="pct"/>
            <w:shd w:val="clear" w:color="auto" w:fill="CFF0FC"/>
            <w:tcMar>
              <w:top w:w="15" w:type="dxa"/>
              <w:right w:w="15" w:type="dxa"/>
            </w:tcMar>
            <w:vAlign w:val="bottom"/>
          </w:tcPr>
          <w:p w14:paraId="3973CD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9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shd w:val="clear" w:color="auto" w:fill="CFF0FC"/>
            <w:noWrap/>
            <w:tcMar>
              <w:top w:w="15" w:type="dxa"/>
              <w:right w:w="15" w:type="dxa"/>
            </w:tcMar>
            <w:vAlign w:val="bottom"/>
          </w:tcPr>
          <w:p w14:paraId="3973CD9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12,011</w:t>
            </w:r>
          </w:p>
        </w:tc>
        <w:tc>
          <w:tcPr>
            <w:tcW w:w="50" w:type="pct"/>
            <w:shd w:val="clear" w:color="auto" w:fill="CFF0FC"/>
            <w:noWrap/>
            <w:tcMar>
              <w:top w:w="15" w:type="dxa"/>
              <w:right w:w="15" w:type="dxa"/>
            </w:tcMar>
            <w:vAlign w:val="bottom"/>
          </w:tcPr>
          <w:p w14:paraId="3973CD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9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1" w:type="pct"/>
            <w:shd w:val="clear" w:color="auto" w:fill="CFF0FC"/>
            <w:tcMar>
              <w:top w:w="15" w:type="dxa"/>
              <w:right w:w="15" w:type="dxa"/>
            </w:tcMar>
            <w:vAlign w:val="bottom"/>
          </w:tcPr>
          <w:p w14:paraId="3973CD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9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81" w:type="pct"/>
            <w:shd w:val="clear" w:color="auto" w:fill="CFF0FC"/>
            <w:tcMar>
              <w:top w:w="15" w:type="dxa"/>
              <w:right w:w="15" w:type="dxa"/>
            </w:tcMar>
            <w:vAlign w:val="bottom"/>
          </w:tcPr>
          <w:p w14:paraId="3973CD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9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3973CD9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11,894</w:t>
            </w:r>
          </w:p>
        </w:tc>
        <w:tc>
          <w:tcPr>
            <w:tcW w:w="50" w:type="pct"/>
            <w:shd w:val="clear" w:color="auto" w:fill="CFF0FC"/>
            <w:noWrap/>
            <w:tcMar>
              <w:top w:w="15" w:type="dxa"/>
              <w:right w:w="15" w:type="dxa"/>
            </w:tcMar>
            <w:vAlign w:val="bottom"/>
          </w:tcPr>
          <w:p w14:paraId="3973CD9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AA" w14:textId="77777777">
        <w:tc>
          <w:tcPr>
            <w:tcW w:w="2520" w:type="pct"/>
            <w:shd w:val="clear" w:color="auto" w:fill="FFFFFF"/>
            <w:tcMar>
              <w:top w:w="15" w:type="dxa"/>
              <w:right w:w="15" w:type="dxa"/>
            </w:tcMar>
          </w:tcPr>
          <w:p w14:paraId="3973CD9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81" w:type="pct"/>
            <w:shd w:val="clear" w:color="auto" w:fill="FFFFFF"/>
            <w:tcMar>
              <w:top w:w="15" w:type="dxa"/>
              <w:right w:w="15" w:type="dxa"/>
            </w:tcMar>
            <w:vAlign w:val="bottom"/>
          </w:tcPr>
          <w:p w14:paraId="3973CD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CD9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tcBorders>
              <w:bottom w:val="single" w:sz="6" w:space="0" w:color="000000"/>
            </w:tcBorders>
            <w:shd w:val="clear" w:color="auto" w:fill="FFFFFF"/>
            <w:noWrap/>
            <w:tcMar>
              <w:top w:w="15" w:type="dxa"/>
              <w:right w:w="15" w:type="dxa"/>
            </w:tcMar>
            <w:vAlign w:val="bottom"/>
          </w:tcPr>
          <w:p w14:paraId="3973CDA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6,750</w:t>
            </w:r>
          </w:p>
        </w:tc>
        <w:tc>
          <w:tcPr>
            <w:tcW w:w="50" w:type="pct"/>
            <w:shd w:val="clear" w:color="auto" w:fill="FFFFFF"/>
            <w:noWrap/>
            <w:tcMar>
              <w:top w:w="15" w:type="dxa"/>
              <w:right w:w="15" w:type="dxa"/>
            </w:tcMar>
            <w:vAlign w:val="bottom"/>
          </w:tcPr>
          <w:p w14:paraId="3973CDA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A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81" w:type="pct"/>
            <w:shd w:val="clear" w:color="auto" w:fill="FFFFFF"/>
            <w:tcMar>
              <w:top w:w="15" w:type="dxa"/>
              <w:right w:w="15" w:type="dxa"/>
            </w:tcMar>
            <w:vAlign w:val="bottom"/>
          </w:tcPr>
          <w:p w14:paraId="3973CD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A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81" w:type="pct"/>
            <w:shd w:val="clear" w:color="auto" w:fill="FFFFFF"/>
            <w:tcMar>
              <w:top w:w="15" w:type="dxa"/>
              <w:right w:w="15" w:type="dxa"/>
            </w:tcMar>
            <w:vAlign w:val="bottom"/>
          </w:tcPr>
          <w:p w14:paraId="3973CD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CD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3973CDA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6,757</w:t>
            </w:r>
          </w:p>
        </w:tc>
        <w:tc>
          <w:tcPr>
            <w:tcW w:w="50" w:type="pct"/>
            <w:shd w:val="clear" w:color="auto" w:fill="FFFFFF"/>
            <w:noWrap/>
            <w:tcMar>
              <w:top w:w="15" w:type="dxa"/>
              <w:right w:w="15" w:type="dxa"/>
            </w:tcMar>
            <w:vAlign w:val="bottom"/>
          </w:tcPr>
          <w:p w14:paraId="3973CDA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B8" w14:textId="77777777">
        <w:tc>
          <w:tcPr>
            <w:tcW w:w="2520" w:type="pct"/>
            <w:shd w:val="clear" w:color="auto" w:fill="CFF0FC"/>
            <w:tcMar>
              <w:top w:w="15" w:type="dxa"/>
              <w:right w:w="15" w:type="dxa"/>
            </w:tcMar>
          </w:tcPr>
          <w:p w14:paraId="3973CDA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1" w:type="pct"/>
            <w:shd w:val="clear" w:color="auto" w:fill="CFF0FC"/>
            <w:tcMar>
              <w:top w:w="15" w:type="dxa"/>
              <w:right w:w="15" w:type="dxa"/>
            </w:tcMar>
            <w:vAlign w:val="bottom"/>
          </w:tcPr>
          <w:p w14:paraId="3973CD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CDA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tcBorders>
              <w:top w:val="single" w:sz="6" w:space="0" w:color="000000"/>
              <w:bottom w:val="single" w:sz="6" w:space="0" w:color="000000"/>
            </w:tcBorders>
            <w:shd w:val="clear" w:color="auto" w:fill="CFF0FC"/>
            <w:noWrap/>
            <w:tcMar>
              <w:top w:w="15" w:type="dxa"/>
              <w:right w:w="15" w:type="dxa"/>
            </w:tcMar>
            <w:vAlign w:val="bottom"/>
          </w:tcPr>
          <w:p w14:paraId="3973CDA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CFF0FC"/>
            <w:noWrap/>
            <w:tcMar>
              <w:top w:w="15" w:type="dxa"/>
              <w:right w:w="15" w:type="dxa"/>
            </w:tcMar>
            <w:vAlign w:val="bottom"/>
          </w:tcPr>
          <w:p w14:paraId="3973CDA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B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81" w:type="pct"/>
            <w:shd w:val="clear" w:color="auto" w:fill="CFF0FC"/>
            <w:tcMar>
              <w:top w:w="15" w:type="dxa"/>
              <w:right w:w="15" w:type="dxa"/>
            </w:tcMar>
            <w:vAlign w:val="bottom"/>
          </w:tcPr>
          <w:p w14:paraId="3973CD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B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81" w:type="pct"/>
            <w:shd w:val="clear" w:color="auto" w:fill="CFF0FC"/>
            <w:tcMar>
              <w:top w:w="15" w:type="dxa"/>
              <w:right w:w="15" w:type="dxa"/>
            </w:tcMar>
            <w:vAlign w:val="bottom"/>
          </w:tcPr>
          <w:p w14:paraId="3973CD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CDB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3973CDB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40,479</w:t>
            </w:r>
          </w:p>
        </w:tc>
        <w:tc>
          <w:tcPr>
            <w:tcW w:w="50" w:type="pct"/>
            <w:shd w:val="clear" w:color="auto" w:fill="CFF0FC"/>
            <w:noWrap/>
            <w:tcMar>
              <w:top w:w="15" w:type="dxa"/>
              <w:right w:w="15" w:type="dxa"/>
            </w:tcMar>
            <w:vAlign w:val="bottom"/>
          </w:tcPr>
          <w:p w14:paraId="3973CDB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C6" w14:textId="77777777">
        <w:tc>
          <w:tcPr>
            <w:tcW w:w="2520" w:type="pct"/>
            <w:shd w:val="clear" w:color="auto" w:fill="FFFFFF"/>
            <w:tcMar>
              <w:top w:w="15" w:type="dxa"/>
              <w:right w:w="15" w:type="dxa"/>
            </w:tcMar>
          </w:tcPr>
          <w:p w14:paraId="3973CDB9"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xml:space="preserve">Total </w:t>
            </w:r>
            <w:r>
              <w:rPr>
                <w:rFonts w:ascii="Calibri" w:hAnsi="Calibri" w:cs="Calibri"/>
                <w:b/>
                <w:bCs/>
                <w:i/>
                <w:iCs/>
                <w:color w:val="000000"/>
                <w:sz w:val="18"/>
                <w:szCs w:val="18"/>
              </w:rPr>
              <w:t>Operating Expenses</w:t>
            </w:r>
          </w:p>
        </w:tc>
        <w:tc>
          <w:tcPr>
            <w:tcW w:w="81" w:type="pct"/>
            <w:shd w:val="clear" w:color="auto" w:fill="FFFFFF"/>
            <w:tcMar>
              <w:top w:w="15" w:type="dxa"/>
              <w:right w:w="15" w:type="dxa"/>
            </w:tcMar>
            <w:vAlign w:val="bottom"/>
          </w:tcPr>
          <w:p w14:paraId="3973CD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CD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tcBorders>
              <w:top w:val="single" w:sz="6" w:space="0" w:color="000000"/>
              <w:bottom w:val="single" w:sz="6" w:space="0" w:color="000000"/>
            </w:tcBorders>
            <w:shd w:val="clear" w:color="auto" w:fill="FFFFFF"/>
            <w:noWrap/>
            <w:tcMar>
              <w:top w:w="15" w:type="dxa"/>
              <w:right w:w="15" w:type="dxa"/>
            </w:tcMar>
            <w:vAlign w:val="bottom"/>
          </w:tcPr>
          <w:p w14:paraId="3973CDB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31,514</w:t>
            </w:r>
          </w:p>
        </w:tc>
        <w:tc>
          <w:tcPr>
            <w:tcW w:w="50" w:type="pct"/>
            <w:shd w:val="clear" w:color="auto" w:fill="FFFFFF"/>
            <w:noWrap/>
            <w:tcMar>
              <w:top w:w="15" w:type="dxa"/>
              <w:right w:w="15" w:type="dxa"/>
            </w:tcMar>
            <w:vAlign w:val="bottom"/>
          </w:tcPr>
          <w:p w14:paraId="3973CD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B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81" w:type="pct"/>
            <w:shd w:val="clear" w:color="auto" w:fill="FFFFFF"/>
            <w:tcMar>
              <w:top w:w="15" w:type="dxa"/>
              <w:right w:w="15" w:type="dxa"/>
            </w:tcMar>
            <w:vAlign w:val="bottom"/>
          </w:tcPr>
          <w:p w14:paraId="3973CD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C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w:t>
            </w:r>
          </w:p>
        </w:tc>
        <w:tc>
          <w:tcPr>
            <w:tcW w:w="81" w:type="pct"/>
            <w:shd w:val="clear" w:color="auto" w:fill="FFFFFF"/>
            <w:tcMar>
              <w:top w:w="15" w:type="dxa"/>
              <w:right w:w="15" w:type="dxa"/>
            </w:tcMar>
            <w:vAlign w:val="bottom"/>
          </w:tcPr>
          <w:p w14:paraId="3973CD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CDC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FFFFFF"/>
            <w:noWrap/>
            <w:tcMar>
              <w:top w:w="15" w:type="dxa"/>
              <w:right w:w="15" w:type="dxa"/>
            </w:tcMar>
            <w:vAlign w:val="bottom"/>
          </w:tcPr>
          <w:p w14:paraId="3973CDC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25,266</w:t>
            </w:r>
          </w:p>
        </w:tc>
        <w:tc>
          <w:tcPr>
            <w:tcW w:w="50" w:type="pct"/>
            <w:shd w:val="clear" w:color="auto" w:fill="FFFFFF"/>
            <w:noWrap/>
            <w:tcMar>
              <w:top w:w="15" w:type="dxa"/>
              <w:right w:w="15" w:type="dxa"/>
            </w:tcMar>
            <w:vAlign w:val="bottom"/>
          </w:tcPr>
          <w:p w14:paraId="3973CDC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D4" w14:textId="77777777">
        <w:tc>
          <w:tcPr>
            <w:tcW w:w="2520" w:type="pct"/>
            <w:shd w:val="clear" w:color="auto" w:fill="CFF0FC"/>
            <w:tcMar>
              <w:top w:w="15" w:type="dxa"/>
              <w:right w:w="15" w:type="dxa"/>
            </w:tcMar>
          </w:tcPr>
          <w:p w14:paraId="3973CDC7"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w:t>
            </w:r>
          </w:p>
        </w:tc>
        <w:tc>
          <w:tcPr>
            <w:tcW w:w="81" w:type="pct"/>
            <w:shd w:val="clear" w:color="auto" w:fill="CFF0FC"/>
            <w:tcMar>
              <w:top w:w="15" w:type="dxa"/>
              <w:right w:w="15" w:type="dxa"/>
            </w:tcMar>
            <w:vAlign w:val="bottom"/>
          </w:tcPr>
          <w:p w14:paraId="3973CD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CDC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5" w:type="pct"/>
            <w:tcBorders>
              <w:top w:val="single" w:sz="6" w:space="0" w:color="000000"/>
              <w:bottom w:val="double" w:sz="6" w:space="0" w:color="000000"/>
            </w:tcBorders>
            <w:shd w:val="clear" w:color="auto" w:fill="CFF0FC"/>
            <w:noWrap/>
            <w:tcMar>
              <w:top w:w="15" w:type="dxa"/>
              <w:right w:w="15" w:type="dxa"/>
            </w:tcMar>
            <w:vAlign w:val="bottom"/>
          </w:tcPr>
          <w:p w14:paraId="3973CDC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10,926</w:t>
            </w:r>
          </w:p>
        </w:tc>
        <w:tc>
          <w:tcPr>
            <w:tcW w:w="50" w:type="pct"/>
            <w:shd w:val="clear" w:color="auto" w:fill="CFF0FC"/>
            <w:noWrap/>
            <w:tcMar>
              <w:top w:w="15" w:type="dxa"/>
              <w:right w:w="15" w:type="dxa"/>
            </w:tcMar>
            <w:vAlign w:val="bottom"/>
          </w:tcPr>
          <w:p w14:paraId="3973CDC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C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81" w:type="pct"/>
            <w:shd w:val="clear" w:color="auto" w:fill="CFF0FC"/>
            <w:tcMar>
              <w:top w:w="15" w:type="dxa"/>
              <w:right w:w="15" w:type="dxa"/>
            </w:tcMar>
            <w:vAlign w:val="bottom"/>
          </w:tcPr>
          <w:p w14:paraId="3973CD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C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81" w:type="pct"/>
            <w:shd w:val="clear" w:color="auto" w:fill="CFF0FC"/>
            <w:tcMar>
              <w:top w:w="15" w:type="dxa"/>
              <w:right w:w="15" w:type="dxa"/>
            </w:tcMar>
            <w:vAlign w:val="bottom"/>
          </w:tcPr>
          <w:p w14:paraId="3973CD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CDD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3973CDD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15,213</w:t>
            </w:r>
          </w:p>
        </w:tc>
        <w:tc>
          <w:tcPr>
            <w:tcW w:w="50" w:type="pct"/>
            <w:shd w:val="clear" w:color="auto" w:fill="CFF0FC"/>
            <w:noWrap/>
            <w:tcMar>
              <w:top w:w="15" w:type="dxa"/>
              <w:right w:w="15" w:type="dxa"/>
            </w:tcMar>
            <w:vAlign w:val="bottom"/>
          </w:tcPr>
          <w:p w14:paraId="3973CDD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E0" w14:textId="77777777">
        <w:tc>
          <w:tcPr>
            <w:tcW w:w="2520" w:type="pct"/>
            <w:shd w:val="clear" w:color="auto" w:fill="FFFFFF"/>
            <w:tcMar>
              <w:top w:w="15" w:type="dxa"/>
              <w:right w:w="15" w:type="dxa"/>
            </w:tcMar>
          </w:tcPr>
          <w:p w14:paraId="3973CDD5"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 %</w:t>
            </w:r>
          </w:p>
        </w:tc>
        <w:tc>
          <w:tcPr>
            <w:tcW w:w="81" w:type="pct"/>
            <w:shd w:val="clear" w:color="auto" w:fill="FFFFFF"/>
            <w:tcMar>
              <w:top w:w="15" w:type="dxa"/>
              <w:right w:w="15" w:type="dxa"/>
            </w:tcMar>
            <w:vAlign w:val="bottom"/>
          </w:tcPr>
          <w:p w14:paraId="3973CD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tcBorders>
              <w:top w:val="double" w:sz="6" w:space="0" w:color="000000"/>
            </w:tcBorders>
            <w:shd w:val="clear" w:color="auto" w:fill="FFFFFF"/>
            <w:tcMar>
              <w:top w:w="15" w:type="dxa"/>
              <w:right w:w="15" w:type="dxa"/>
            </w:tcMar>
            <w:vAlign w:val="bottom"/>
          </w:tcPr>
          <w:p w14:paraId="3973CDD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w:t>
            </w:r>
          </w:p>
        </w:tc>
        <w:tc>
          <w:tcPr>
            <w:tcW w:w="50" w:type="pct"/>
            <w:shd w:val="clear" w:color="auto" w:fill="FFFFFF"/>
            <w:noWrap/>
            <w:tcMar>
              <w:top w:w="15" w:type="dxa"/>
              <w:right w:w="15" w:type="dxa"/>
            </w:tcMar>
            <w:vAlign w:val="bottom"/>
          </w:tcPr>
          <w:p w14:paraId="3973CD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D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D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D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3973CDD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FFFFFF"/>
            <w:noWrap/>
            <w:tcMar>
              <w:top w:w="15" w:type="dxa"/>
              <w:right w:w="15" w:type="dxa"/>
            </w:tcMar>
            <w:vAlign w:val="bottom"/>
          </w:tcPr>
          <w:p w14:paraId="3973CDD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EE" w14:textId="77777777">
        <w:tc>
          <w:tcPr>
            <w:tcW w:w="2520" w:type="pct"/>
            <w:shd w:val="clear" w:color="auto" w:fill="CFF0FC"/>
            <w:tcMar>
              <w:top w:w="15" w:type="dxa"/>
              <w:right w:w="15" w:type="dxa"/>
            </w:tcMar>
          </w:tcPr>
          <w:p w14:paraId="3973CDE1"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r>
              <w:rPr>
                <w:rFonts w:ascii="Calibri" w:hAnsi="Calibri" w:cs="Calibri"/>
                <w:b/>
                <w:bCs/>
                <w:color w:val="000000"/>
                <w:sz w:val="18"/>
                <w:szCs w:val="18"/>
              </w:rPr>
              <w:t>:</w:t>
            </w:r>
          </w:p>
        </w:tc>
        <w:tc>
          <w:tcPr>
            <w:tcW w:w="81" w:type="pct"/>
            <w:shd w:val="clear" w:color="auto" w:fill="CFF0FC"/>
            <w:tcMar>
              <w:top w:w="15" w:type="dxa"/>
              <w:right w:w="15" w:type="dxa"/>
            </w:tcMar>
            <w:vAlign w:val="bottom"/>
          </w:tcPr>
          <w:p w14:paraId="3973CD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E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shd w:val="clear" w:color="auto" w:fill="CFF0FC"/>
            <w:noWrap/>
            <w:tcMar>
              <w:top w:w="15" w:type="dxa"/>
              <w:right w:w="15" w:type="dxa"/>
            </w:tcMar>
            <w:vAlign w:val="bottom"/>
          </w:tcPr>
          <w:p w14:paraId="3973CDE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E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E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DE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E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3973CDE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DE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DFA" w14:textId="77777777">
        <w:tc>
          <w:tcPr>
            <w:tcW w:w="2520" w:type="pct"/>
            <w:shd w:val="clear" w:color="auto" w:fill="FFFFFF"/>
            <w:tcMar>
              <w:top w:w="15" w:type="dxa"/>
              <w:right w:w="15" w:type="dxa"/>
            </w:tcMar>
          </w:tcPr>
          <w:p w14:paraId="3973CD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81" w:type="pct"/>
            <w:shd w:val="clear" w:color="auto" w:fill="FFFFFF"/>
            <w:tcMar>
              <w:top w:w="15" w:type="dxa"/>
              <w:right w:w="15" w:type="dxa"/>
            </w:tcMar>
            <w:vAlign w:val="bottom"/>
          </w:tcPr>
          <w:p w14:paraId="3973CD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FFFFFF"/>
            <w:tcMar>
              <w:top w:w="15" w:type="dxa"/>
              <w:right w:w="15" w:type="dxa"/>
            </w:tcMar>
            <w:vAlign w:val="bottom"/>
          </w:tcPr>
          <w:p w14:paraId="3973CDF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FFFFFF"/>
            <w:noWrap/>
            <w:tcMar>
              <w:top w:w="15" w:type="dxa"/>
              <w:right w:w="15" w:type="dxa"/>
            </w:tcMar>
            <w:vAlign w:val="bottom"/>
          </w:tcPr>
          <w:p w14:paraId="3973CD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F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F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DF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D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3973CDF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w:t>
            </w:r>
          </w:p>
        </w:tc>
        <w:tc>
          <w:tcPr>
            <w:tcW w:w="50" w:type="pct"/>
            <w:shd w:val="clear" w:color="auto" w:fill="FFFFFF"/>
            <w:noWrap/>
            <w:tcMar>
              <w:top w:w="15" w:type="dxa"/>
              <w:right w:w="15" w:type="dxa"/>
            </w:tcMar>
            <w:vAlign w:val="bottom"/>
          </w:tcPr>
          <w:p w14:paraId="3973CD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06" w14:textId="77777777">
        <w:tc>
          <w:tcPr>
            <w:tcW w:w="2520" w:type="pct"/>
            <w:shd w:val="clear" w:color="auto" w:fill="CFF0FC"/>
            <w:tcMar>
              <w:top w:w="15" w:type="dxa"/>
              <w:right w:w="15" w:type="dxa"/>
            </w:tcMar>
          </w:tcPr>
          <w:p w14:paraId="3973CD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81" w:type="pct"/>
            <w:shd w:val="clear" w:color="auto" w:fill="CFF0FC"/>
            <w:tcMar>
              <w:top w:w="15" w:type="dxa"/>
              <w:right w:w="15" w:type="dxa"/>
            </w:tcMar>
            <w:vAlign w:val="bottom"/>
          </w:tcPr>
          <w:p w14:paraId="3973CD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CFF0FC"/>
            <w:tcMar>
              <w:top w:w="15" w:type="dxa"/>
              <w:right w:w="15" w:type="dxa"/>
            </w:tcMar>
            <w:vAlign w:val="bottom"/>
          </w:tcPr>
          <w:p w14:paraId="3973CDF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CFF0FC"/>
            <w:noWrap/>
            <w:tcMar>
              <w:top w:w="15" w:type="dxa"/>
              <w:right w:w="15" w:type="dxa"/>
            </w:tcMar>
            <w:vAlign w:val="bottom"/>
          </w:tcPr>
          <w:p w14:paraId="3973CD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DF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0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0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3973CE0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3973CE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12" w14:textId="77777777">
        <w:tc>
          <w:tcPr>
            <w:tcW w:w="2520" w:type="pct"/>
            <w:shd w:val="clear" w:color="auto" w:fill="FFFFFF"/>
            <w:tcMar>
              <w:top w:w="15" w:type="dxa"/>
              <w:right w:w="15" w:type="dxa"/>
            </w:tcMar>
          </w:tcPr>
          <w:p w14:paraId="3973CE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81" w:type="pct"/>
            <w:shd w:val="clear" w:color="auto" w:fill="FFFFFF"/>
            <w:tcMar>
              <w:top w:w="15" w:type="dxa"/>
              <w:right w:w="15" w:type="dxa"/>
            </w:tcMar>
            <w:vAlign w:val="bottom"/>
          </w:tcPr>
          <w:p w14:paraId="3973CE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FFFFFF"/>
            <w:tcMar>
              <w:top w:w="15" w:type="dxa"/>
              <w:right w:w="15" w:type="dxa"/>
            </w:tcMar>
            <w:vAlign w:val="bottom"/>
          </w:tcPr>
          <w:p w14:paraId="3973CE0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3973CE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0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0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0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3973CE1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3973CE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20" w14:textId="77777777">
        <w:tc>
          <w:tcPr>
            <w:tcW w:w="2520" w:type="pct"/>
            <w:shd w:val="clear" w:color="auto" w:fill="CFF0FC"/>
            <w:tcMar>
              <w:top w:w="15" w:type="dxa"/>
              <w:right w:w="15" w:type="dxa"/>
            </w:tcMar>
          </w:tcPr>
          <w:p w14:paraId="3973CE13"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Business</w:t>
            </w:r>
            <w:r>
              <w:rPr>
                <w:rFonts w:ascii="Calibri" w:hAnsi="Calibri" w:cs="Calibri"/>
                <w:b/>
                <w:bCs/>
                <w:color w:val="000000"/>
                <w:sz w:val="18"/>
                <w:szCs w:val="18"/>
              </w:rPr>
              <w:t>:</w:t>
            </w:r>
          </w:p>
        </w:tc>
        <w:tc>
          <w:tcPr>
            <w:tcW w:w="81" w:type="pct"/>
            <w:shd w:val="clear" w:color="auto" w:fill="CFF0FC"/>
            <w:tcMar>
              <w:top w:w="15" w:type="dxa"/>
              <w:right w:w="15" w:type="dxa"/>
            </w:tcMar>
            <w:vAlign w:val="bottom"/>
          </w:tcPr>
          <w:p w14:paraId="3973CE1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shd w:val="clear" w:color="auto" w:fill="CFF0FC"/>
            <w:noWrap/>
            <w:tcMar>
              <w:top w:w="15" w:type="dxa"/>
              <w:right w:w="15" w:type="dxa"/>
            </w:tcMar>
            <w:vAlign w:val="bottom"/>
          </w:tcPr>
          <w:p w14:paraId="3973CE1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1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1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1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1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3973CE1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2E" w14:textId="77777777">
        <w:tc>
          <w:tcPr>
            <w:tcW w:w="2520" w:type="pct"/>
            <w:shd w:val="clear" w:color="auto" w:fill="FFFFFF"/>
            <w:tcMar>
              <w:top w:w="15" w:type="dxa"/>
              <w:right w:w="15" w:type="dxa"/>
            </w:tcMar>
          </w:tcPr>
          <w:p w14:paraId="3973CE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81" w:type="pct"/>
            <w:shd w:val="clear" w:color="auto" w:fill="FFFFFF"/>
            <w:tcMar>
              <w:top w:w="15" w:type="dxa"/>
              <w:right w:w="15" w:type="dxa"/>
            </w:tcMar>
            <w:vAlign w:val="bottom"/>
          </w:tcPr>
          <w:p w14:paraId="3973CE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E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5" w:type="pct"/>
            <w:shd w:val="clear" w:color="auto" w:fill="FFFFFF"/>
            <w:noWrap/>
            <w:tcMar>
              <w:top w:w="15" w:type="dxa"/>
              <w:right w:w="15" w:type="dxa"/>
            </w:tcMar>
            <w:vAlign w:val="bottom"/>
          </w:tcPr>
          <w:p w14:paraId="3973CE2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36,052</w:t>
            </w:r>
          </w:p>
        </w:tc>
        <w:tc>
          <w:tcPr>
            <w:tcW w:w="50" w:type="pct"/>
            <w:shd w:val="clear" w:color="auto" w:fill="FFFFFF"/>
            <w:noWrap/>
            <w:tcMar>
              <w:top w:w="15" w:type="dxa"/>
              <w:right w:w="15" w:type="dxa"/>
            </w:tcMar>
            <w:vAlign w:val="bottom"/>
          </w:tcPr>
          <w:p w14:paraId="3973CE2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2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1" w:type="pct"/>
            <w:shd w:val="clear" w:color="auto" w:fill="FFFFFF"/>
            <w:tcMar>
              <w:top w:w="15" w:type="dxa"/>
              <w:right w:w="15" w:type="dxa"/>
            </w:tcMar>
            <w:vAlign w:val="bottom"/>
          </w:tcPr>
          <w:p w14:paraId="3973CE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2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81" w:type="pct"/>
            <w:shd w:val="clear" w:color="auto" w:fill="FFFFFF"/>
            <w:tcMar>
              <w:top w:w="15" w:type="dxa"/>
              <w:right w:w="15" w:type="dxa"/>
            </w:tcMar>
            <w:vAlign w:val="bottom"/>
          </w:tcPr>
          <w:p w14:paraId="3973CE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E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3973CE2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34,099</w:t>
            </w:r>
          </w:p>
        </w:tc>
        <w:tc>
          <w:tcPr>
            <w:tcW w:w="50" w:type="pct"/>
            <w:shd w:val="clear" w:color="auto" w:fill="FFFFFF"/>
            <w:noWrap/>
            <w:tcMar>
              <w:top w:w="15" w:type="dxa"/>
              <w:right w:w="15" w:type="dxa"/>
            </w:tcMar>
            <w:vAlign w:val="bottom"/>
          </w:tcPr>
          <w:p w14:paraId="3973CE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3C" w14:textId="77777777">
        <w:tc>
          <w:tcPr>
            <w:tcW w:w="2520" w:type="pct"/>
            <w:shd w:val="clear" w:color="auto" w:fill="CFF0FC"/>
            <w:tcMar>
              <w:top w:w="15" w:type="dxa"/>
              <w:right w:w="15" w:type="dxa"/>
            </w:tcMar>
          </w:tcPr>
          <w:p w14:paraId="3973CE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81" w:type="pct"/>
            <w:shd w:val="clear" w:color="auto" w:fill="CFF0FC"/>
            <w:tcMar>
              <w:top w:w="15" w:type="dxa"/>
              <w:right w:w="15" w:type="dxa"/>
            </w:tcMar>
            <w:vAlign w:val="bottom"/>
          </w:tcPr>
          <w:p w14:paraId="3973CE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shd w:val="clear" w:color="auto" w:fill="CFF0FC"/>
            <w:noWrap/>
            <w:tcMar>
              <w:top w:w="15" w:type="dxa"/>
              <w:right w:w="15" w:type="dxa"/>
            </w:tcMar>
            <w:vAlign w:val="bottom"/>
          </w:tcPr>
          <w:p w14:paraId="3973CE3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3,183</w:t>
            </w:r>
          </w:p>
        </w:tc>
        <w:tc>
          <w:tcPr>
            <w:tcW w:w="50" w:type="pct"/>
            <w:shd w:val="clear" w:color="auto" w:fill="CFF0FC"/>
            <w:noWrap/>
            <w:tcMar>
              <w:top w:w="15" w:type="dxa"/>
              <w:right w:w="15" w:type="dxa"/>
            </w:tcMar>
            <w:vAlign w:val="bottom"/>
          </w:tcPr>
          <w:p w14:paraId="3973CE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3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81" w:type="pct"/>
            <w:shd w:val="clear" w:color="auto" w:fill="CFF0FC"/>
            <w:tcMar>
              <w:top w:w="15" w:type="dxa"/>
              <w:right w:w="15" w:type="dxa"/>
            </w:tcMar>
            <w:vAlign w:val="bottom"/>
          </w:tcPr>
          <w:p w14:paraId="3973CE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3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81" w:type="pct"/>
            <w:shd w:val="clear" w:color="auto" w:fill="CFF0FC"/>
            <w:tcMar>
              <w:top w:w="15" w:type="dxa"/>
              <w:right w:w="15" w:type="dxa"/>
            </w:tcMar>
            <w:vAlign w:val="bottom"/>
          </w:tcPr>
          <w:p w14:paraId="3973CE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E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3973CE3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CFF0FC"/>
            <w:noWrap/>
            <w:tcMar>
              <w:top w:w="15" w:type="dxa"/>
              <w:right w:w="15" w:type="dxa"/>
            </w:tcMar>
            <w:vAlign w:val="bottom"/>
          </w:tcPr>
          <w:p w14:paraId="3973CE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4A" w14:textId="77777777">
        <w:tc>
          <w:tcPr>
            <w:tcW w:w="2520" w:type="pct"/>
            <w:shd w:val="clear" w:color="auto" w:fill="FFFFFF"/>
            <w:tcMar>
              <w:top w:w="15" w:type="dxa"/>
              <w:right w:w="15" w:type="dxa"/>
            </w:tcMar>
          </w:tcPr>
          <w:p w14:paraId="3973CE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81" w:type="pct"/>
            <w:shd w:val="clear" w:color="auto" w:fill="FFFFFF"/>
            <w:tcMar>
              <w:top w:w="15" w:type="dxa"/>
              <w:right w:w="15" w:type="dxa"/>
            </w:tcMar>
            <w:vAlign w:val="bottom"/>
          </w:tcPr>
          <w:p w14:paraId="3973CE3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CE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tcBorders>
              <w:bottom w:val="single" w:sz="6" w:space="0" w:color="000000"/>
            </w:tcBorders>
            <w:shd w:val="clear" w:color="auto" w:fill="FFFFFF"/>
            <w:noWrap/>
            <w:tcMar>
              <w:top w:w="15" w:type="dxa"/>
              <w:right w:w="15" w:type="dxa"/>
            </w:tcMar>
            <w:vAlign w:val="bottom"/>
          </w:tcPr>
          <w:p w14:paraId="3973CE4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3,205</w:t>
            </w:r>
          </w:p>
        </w:tc>
        <w:tc>
          <w:tcPr>
            <w:tcW w:w="50" w:type="pct"/>
            <w:shd w:val="clear" w:color="auto" w:fill="FFFFFF"/>
            <w:noWrap/>
            <w:tcMar>
              <w:top w:w="15" w:type="dxa"/>
              <w:right w:w="15" w:type="dxa"/>
            </w:tcMar>
            <w:vAlign w:val="bottom"/>
          </w:tcPr>
          <w:p w14:paraId="3973CE4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4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4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1" w:type="pct"/>
            <w:shd w:val="clear" w:color="auto" w:fill="FFFFFF"/>
            <w:tcMar>
              <w:top w:w="15" w:type="dxa"/>
              <w:right w:w="15" w:type="dxa"/>
            </w:tcMar>
            <w:vAlign w:val="bottom"/>
          </w:tcPr>
          <w:p w14:paraId="3973CE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4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81" w:type="pct"/>
            <w:shd w:val="clear" w:color="auto" w:fill="FFFFFF"/>
            <w:tcMar>
              <w:top w:w="15" w:type="dxa"/>
              <w:right w:w="15" w:type="dxa"/>
            </w:tcMar>
            <w:vAlign w:val="bottom"/>
          </w:tcPr>
          <w:p w14:paraId="3973CE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CE4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3973CE4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3,021</w:t>
            </w:r>
          </w:p>
        </w:tc>
        <w:tc>
          <w:tcPr>
            <w:tcW w:w="50" w:type="pct"/>
            <w:shd w:val="clear" w:color="auto" w:fill="FFFFFF"/>
            <w:noWrap/>
            <w:tcMar>
              <w:top w:w="15" w:type="dxa"/>
              <w:right w:w="15" w:type="dxa"/>
            </w:tcMar>
            <w:vAlign w:val="bottom"/>
          </w:tcPr>
          <w:p w14:paraId="3973CE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58" w14:textId="77777777">
        <w:tc>
          <w:tcPr>
            <w:tcW w:w="2520" w:type="pct"/>
            <w:shd w:val="clear" w:color="auto" w:fill="CFF0FC"/>
            <w:tcMar>
              <w:top w:w="15" w:type="dxa"/>
              <w:right w:w="15" w:type="dxa"/>
            </w:tcMar>
          </w:tcPr>
          <w:p w14:paraId="3973CE4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1" w:type="pct"/>
            <w:shd w:val="clear" w:color="auto" w:fill="CFF0FC"/>
            <w:tcMar>
              <w:top w:w="15" w:type="dxa"/>
              <w:right w:w="15" w:type="dxa"/>
            </w:tcMar>
            <w:vAlign w:val="bottom"/>
          </w:tcPr>
          <w:p w14:paraId="3973CE4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CE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65" w:type="pct"/>
            <w:tcBorders>
              <w:top w:val="single" w:sz="6" w:space="0" w:color="000000"/>
              <w:bottom w:val="double" w:sz="6" w:space="0" w:color="000000"/>
            </w:tcBorders>
            <w:shd w:val="clear" w:color="auto" w:fill="CFF0FC"/>
            <w:noWrap/>
            <w:tcMar>
              <w:top w:w="15" w:type="dxa"/>
              <w:right w:w="15" w:type="dxa"/>
            </w:tcMar>
            <w:vAlign w:val="bottom"/>
          </w:tcPr>
          <w:p w14:paraId="3973CE4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CFF0FC"/>
            <w:noWrap/>
            <w:tcMar>
              <w:top w:w="15" w:type="dxa"/>
              <w:right w:w="15" w:type="dxa"/>
            </w:tcMar>
            <w:vAlign w:val="bottom"/>
          </w:tcPr>
          <w:p w14:paraId="3973CE4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5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81" w:type="pct"/>
            <w:shd w:val="clear" w:color="auto" w:fill="CFF0FC"/>
            <w:tcMar>
              <w:top w:w="15" w:type="dxa"/>
              <w:right w:w="15" w:type="dxa"/>
            </w:tcMar>
            <w:vAlign w:val="bottom"/>
          </w:tcPr>
          <w:p w14:paraId="3973CE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5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81" w:type="pct"/>
            <w:shd w:val="clear" w:color="auto" w:fill="CFF0FC"/>
            <w:tcMar>
              <w:top w:w="15" w:type="dxa"/>
              <w:right w:w="15" w:type="dxa"/>
            </w:tcMar>
            <w:vAlign w:val="bottom"/>
          </w:tcPr>
          <w:p w14:paraId="3973CE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CE5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3973CE5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40,479</w:t>
            </w:r>
          </w:p>
        </w:tc>
        <w:tc>
          <w:tcPr>
            <w:tcW w:w="50" w:type="pct"/>
            <w:shd w:val="clear" w:color="auto" w:fill="CFF0FC"/>
            <w:noWrap/>
            <w:tcMar>
              <w:top w:w="15" w:type="dxa"/>
              <w:right w:w="15" w:type="dxa"/>
            </w:tcMar>
            <w:vAlign w:val="bottom"/>
          </w:tcPr>
          <w:p w14:paraId="3973CE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66" w14:textId="77777777">
        <w:tc>
          <w:tcPr>
            <w:tcW w:w="2520" w:type="pct"/>
            <w:shd w:val="clear" w:color="auto" w:fill="FFFFFF"/>
            <w:tcMar>
              <w:top w:w="15" w:type="dxa"/>
              <w:right w:w="15" w:type="dxa"/>
            </w:tcMar>
          </w:tcPr>
          <w:p w14:paraId="3973CE59"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Business</w:t>
            </w:r>
            <w:r>
              <w:rPr>
                <w:rFonts w:ascii="Calibri" w:hAnsi="Calibri" w:cs="Calibri"/>
                <w:b/>
                <w:bCs/>
                <w:color w:val="000000"/>
                <w:sz w:val="18"/>
                <w:szCs w:val="18"/>
              </w:rPr>
              <w:t>:</w:t>
            </w:r>
          </w:p>
        </w:tc>
        <w:tc>
          <w:tcPr>
            <w:tcW w:w="81" w:type="pct"/>
            <w:shd w:val="clear" w:color="auto" w:fill="FFFFFF"/>
            <w:tcMar>
              <w:top w:w="15" w:type="dxa"/>
              <w:right w:w="15" w:type="dxa"/>
            </w:tcMar>
            <w:vAlign w:val="bottom"/>
          </w:tcPr>
          <w:p w14:paraId="3973CE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CE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5" w:type="pct"/>
            <w:tcBorders>
              <w:top w:val="double" w:sz="6" w:space="0" w:color="000000"/>
            </w:tcBorders>
            <w:shd w:val="clear" w:color="auto" w:fill="FFFFFF"/>
            <w:noWrap/>
            <w:tcMar>
              <w:top w:w="15" w:type="dxa"/>
              <w:right w:w="15" w:type="dxa"/>
            </w:tcMar>
            <w:vAlign w:val="bottom"/>
          </w:tcPr>
          <w:p w14:paraId="3973CE5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E5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5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6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CE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3973CE6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E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72" w14:textId="77777777">
        <w:tc>
          <w:tcPr>
            <w:tcW w:w="2520" w:type="pct"/>
            <w:shd w:val="clear" w:color="auto" w:fill="CFF0FC"/>
            <w:tcMar>
              <w:top w:w="15" w:type="dxa"/>
              <w:right w:w="15" w:type="dxa"/>
            </w:tcMar>
          </w:tcPr>
          <w:p w14:paraId="3973CE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81" w:type="pct"/>
            <w:shd w:val="clear" w:color="auto" w:fill="CFF0FC"/>
            <w:tcMar>
              <w:top w:w="15" w:type="dxa"/>
              <w:right w:w="15" w:type="dxa"/>
            </w:tcMar>
            <w:vAlign w:val="bottom"/>
          </w:tcPr>
          <w:p w14:paraId="3973CE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CFF0FC"/>
            <w:tcMar>
              <w:top w:w="15" w:type="dxa"/>
              <w:right w:w="15" w:type="dxa"/>
            </w:tcMar>
            <w:vAlign w:val="bottom"/>
          </w:tcPr>
          <w:p w14:paraId="3973CE6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CFF0FC"/>
            <w:noWrap/>
            <w:tcMar>
              <w:top w:w="15" w:type="dxa"/>
              <w:right w:w="15" w:type="dxa"/>
            </w:tcMar>
            <w:vAlign w:val="bottom"/>
          </w:tcPr>
          <w:p w14:paraId="3973CE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6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6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3973CE7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w:t>
            </w:r>
          </w:p>
        </w:tc>
        <w:tc>
          <w:tcPr>
            <w:tcW w:w="50" w:type="pct"/>
            <w:shd w:val="clear" w:color="auto" w:fill="CFF0FC"/>
            <w:noWrap/>
            <w:tcMar>
              <w:top w:w="15" w:type="dxa"/>
              <w:right w:w="15" w:type="dxa"/>
            </w:tcMar>
            <w:vAlign w:val="bottom"/>
          </w:tcPr>
          <w:p w14:paraId="3973CE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7E" w14:textId="77777777">
        <w:tc>
          <w:tcPr>
            <w:tcW w:w="2520" w:type="pct"/>
            <w:shd w:val="clear" w:color="auto" w:fill="FFFFFF"/>
            <w:tcMar>
              <w:top w:w="15" w:type="dxa"/>
              <w:right w:w="15" w:type="dxa"/>
            </w:tcMar>
          </w:tcPr>
          <w:p w14:paraId="3973CE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81" w:type="pct"/>
            <w:shd w:val="clear" w:color="auto" w:fill="FFFFFF"/>
            <w:tcMar>
              <w:top w:w="15" w:type="dxa"/>
              <w:right w:w="15" w:type="dxa"/>
            </w:tcMar>
            <w:vAlign w:val="bottom"/>
          </w:tcPr>
          <w:p w14:paraId="3973CE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FFFFFF"/>
            <w:tcMar>
              <w:top w:w="15" w:type="dxa"/>
              <w:right w:w="15" w:type="dxa"/>
            </w:tcMar>
            <w:vAlign w:val="bottom"/>
          </w:tcPr>
          <w:p w14:paraId="3973CE7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3973CE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7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7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FFFFFF"/>
            <w:tcMar>
              <w:top w:w="15" w:type="dxa"/>
              <w:right w:w="15" w:type="dxa"/>
            </w:tcMar>
            <w:vAlign w:val="bottom"/>
          </w:tcPr>
          <w:p w14:paraId="3973CE7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FFFFFF"/>
            <w:tcMar>
              <w:top w:w="15" w:type="dxa"/>
              <w:right w:w="15" w:type="dxa"/>
            </w:tcMar>
            <w:vAlign w:val="bottom"/>
          </w:tcPr>
          <w:p w14:paraId="3973CE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3973CE7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3973CE7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E8A" w14:textId="77777777">
        <w:tc>
          <w:tcPr>
            <w:tcW w:w="2520" w:type="pct"/>
            <w:shd w:val="clear" w:color="auto" w:fill="CFF0FC"/>
            <w:tcMar>
              <w:top w:w="15" w:type="dxa"/>
              <w:right w:w="15" w:type="dxa"/>
            </w:tcMar>
          </w:tcPr>
          <w:p w14:paraId="3973CE7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81" w:type="pct"/>
            <w:shd w:val="clear" w:color="auto" w:fill="CFF0FC"/>
            <w:tcMar>
              <w:top w:w="15" w:type="dxa"/>
              <w:right w:w="15" w:type="dxa"/>
            </w:tcMar>
            <w:vAlign w:val="bottom"/>
          </w:tcPr>
          <w:p w14:paraId="3973CE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15" w:type="pct"/>
            <w:gridSpan w:val="2"/>
            <w:shd w:val="clear" w:color="auto" w:fill="CFF0FC"/>
            <w:tcMar>
              <w:top w:w="15" w:type="dxa"/>
              <w:right w:w="15" w:type="dxa"/>
            </w:tcMar>
            <w:vAlign w:val="bottom"/>
          </w:tcPr>
          <w:p w14:paraId="3973CE8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3973CE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8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8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9" w:type="pct"/>
            <w:shd w:val="clear" w:color="auto" w:fill="CFF0FC"/>
            <w:tcMar>
              <w:top w:w="15" w:type="dxa"/>
              <w:right w:w="15" w:type="dxa"/>
            </w:tcMar>
            <w:vAlign w:val="bottom"/>
          </w:tcPr>
          <w:p w14:paraId="3973CE8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1" w:type="pct"/>
            <w:shd w:val="clear" w:color="auto" w:fill="CFF0FC"/>
            <w:tcMar>
              <w:top w:w="15" w:type="dxa"/>
              <w:right w:w="15" w:type="dxa"/>
            </w:tcMar>
            <w:vAlign w:val="bottom"/>
          </w:tcPr>
          <w:p w14:paraId="3973CE8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3973CE8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3973CE8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E8B"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CE8E" w14:textId="77777777">
        <w:tc>
          <w:tcPr>
            <w:tcW w:w="192" w:type="pct"/>
            <w:shd w:val="clear" w:color="auto" w:fill="auto"/>
            <w:noWrap/>
          </w:tcPr>
          <w:p w14:paraId="3973CE8C"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CE8D"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Comprised of Europe, the Middle East and Africa </w:t>
            </w:r>
          </w:p>
        </w:tc>
      </w:tr>
    </w:tbl>
    <w:p w14:paraId="3973CE8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in fiscal 2022 due to growth in our cloud and license business’ revenues and services business’ revenues, which </w:t>
      </w:r>
      <w:r>
        <w:rPr>
          <w:rFonts w:ascii="Calibri" w:hAnsi="Calibri" w:cs="Calibri"/>
          <w:sz w:val="20"/>
          <w:szCs w:val="20"/>
        </w:rPr>
        <w:t>were partially offset by a decline in our hardware business’ revenues. The constant currency increase in our cloud and license business’ revenues during fiscal 2022 relative to fiscal 2021 was attributable to growth in our cloud services and license suppor</w:t>
      </w:r>
      <w:r>
        <w:rPr>
          <w:rFonts w:ascii="Calibri" w:hAnsi="Calibri" w:cs="Calibri"/>
          <w:sz w:val="20"/>
          <w:szCs w:val="20"/>
        </w:rPr>
        <w:t>t revenues and cloud license and on-premise license revenues as customers purchased our applications and infrastructure technologies via cloud and license deployment models. Customers also renewed their related cloud contracts and license support contracts</w:t>
      </w:r>
      <w:r>
        <w:rPr>
          <w:rFonts w:ascii="Calibri" w:hAnsi="Calibri" w:cs="Calibri"/>
          <w:sz w:val="20"/>
          <w:szCs w:val="20"/>
        </w:rPr>
        <w:t xml:space="preserve"> to continue to gain access to the latest versions of our technologies and to receive support services. The constant currency increase in our services business’ revenues during fiscal 2022 relative to fiscal 2021 was attributable to an increase in revenues</w:t>
      </w:r>
      <w:r>
        <w:rPr>
          <w:rFonts w:ascii="Calibri" w:hAnsi="Calibri" w:cs="Calibri"/>
          <w:sz w:val="20"/>
          <w:szCs w:val="20"/>
        </w:rPr>
        <w:t xml:space="preserve"> for each of our primary services offerings. The constant currency decrease in our hardware business’ revenues during fiscal 2022 relative to fiscal 2021 was due to the emphasis we placed on the marketing and sale of our growing cloud-based infrastructure </w:t>
      </w:r>
      <w:r>
        <w:rPr>
          <w:rFonts w:ascii="Calibri" w:hAnsi="Calibri" w:cs="Calibri"/>
          <w:sz w:val="20"/>
          <w:szCs w:val="20"/>
        </w:rPr>
        <w:t>technologies and the de-emphasis of our sales and marketing efforts for certain of our non-strategic hardware products and related support services. In constant currency, the Americas, EMEA and Asia Pacific regions contributed 68%, 22% and 10%, respectivel</w:t>
      </w:r>
      <w:r>
        <w:rPr>
          <w:rFonts w:ascii="Calibri" w:hAnsi="Calibri" w:cs="Calibri"/>
          <w:sz w:val="20"/>
          <w:szCs w:val="20"/>
        </w:rPr>
        <w:t>y, to our total revenue growth during fiscal 2022.</w:t>
      </w:r>
    </w:p>
    <w:p w14:paraId="3973CE9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increased during fiscal 2022 relative to fiscal 2021 substantially due to certain litigation related charges record</w:t>
      </w:r>
      <w:r>
        <w:rPr>
          <w:rFonts w:ascii="Calibri" w:hAnsi="Calibri" w:cs="Calibri"/>
          <w:sz w:val="20"/>
          <w:szCs w:val="20"/>
        </w:rPr>
        <w:t>ed to acquisition related and other expenses as further described in Note 16 of Notes to Consolidated Financial Statements included elsewhere in this Annual Report. In addition, our total operating expenses increased due to higher cloud services and licens</w:t>
      </w:r>
      <w:r>
        <w:rPr>
          <w:rFonts w:ascii="Calibri" w:hAnsi="Calibri" w:cs="Calibri"/>
          <w:sz w:val="20"/>
          <w:szCs w:val="20"/>
        </w:rPr>
        <w:t>e support expenses, which were primarily due to higher employee related expenses and infrastructure investments that were made to support the increase in our cloud and license business’ revenues; higher services expenses, which increased primarily due to h</w:t>
      </w:r>
      <w:r>
        <w:rPr>
          <w:rFonts w:ascii="Calibri" w:hAnsi="Calibri" w:cs="Calibri"/>
          <w:sz w:val="20"/>
          <w:szCs w:val="20"/>
        </w:rPr>
        <w:t xml:space="preserve">igher employee related and external contractor expenses; and higher research and development and general and administrative expenses, both of which increased primarily due to higher employee related expenses. These constant currency expense increases were </w:t>
      </w:r>
      <w:r>
        <w:rPr>
          <w:rFonts w:ascii="Calibri" w:hAnsi="Calibri" w:cs="Calibri"/>
          <w:sz w:val="20"/>
          <w:szCs w:val="20"/>
        </w:rPr>
        <w:t xml:space="preserve">partially offset by lower amortization of intangible assets, lower restructuring expenses and by $250 million of gains from operating asset sales, which were allocated across most of our operating expense lines during fiscal 2022. During fiscal 2022 and </w:t>
      </w:r>
    </w:p>
    <w:p w14:paraId="3973CE9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w:t>
      </w:r>
      <w:r>
        <w:rPr>
          <w:rFonts w:ascii="Calibri" w:hAnsi="Calibri" w:cs="Calibri"/>
          <w:sz w:val="20"/>
          <w:szCs w:val="20"/>
        </w:rPr>
        <w:t>5</w:t>
      </w:r>
    </w:p>
    <w:p w14:paraId="3973CE92" w14:textId="77777777" w:rsidR="007B027D" w:rsidRDefault="008E0125">
      <w:r>
        <w:rPr>
          <w:rFonts w:ascii="Calibri" w:hAnsi="Calibri" w:cs="Calibri"/>
          <w:sz w:val="20"/>
          <w:szCs w:val="20"/>
        </w:rPr>
        <w:pict w14:anchorId="39740068">
          <v:rect id="_x0000_i1071" style="width:415.3pt;height:1.5pt" o:hralign="center" o:hrstd="t" o:hr="t" fillcolor="#a0a0a0" stroked="f"/>
        </w:pict>
      </w:r>
    </w:p>
    <w:p w14:paraId="3973CE93" w14:textId="77777777" w:rsidR="007B027D" w:rsidRDefault="008E0125">
      <w:pPr>
        <w:pStyle w:val="a3"/>
        <w:spacing w:beforeAutospacing="0" w:after="120" w:afterAutospacing="0"/>
        <w:rPr>
          <w:rFonts w:ascii="Calibri" w:hAnsi="Calibri" w:cs="Calibri"/>
          <w:sz w:val="18"/>
          <w:szCs w:val="18"/>
        </w:rPr>
      </w:pPr>
      <w:hyperlink r:id="rId119" w:anchor="TABLE_OF_CONTENTS" w:history="1">
        <w:r>
          <w:rPr>
            <w:rStyle w:val="a5"/>
            <w:rFonts w:ascii="Calibri" w:hAnsi="Calibri" w:cs="Calibri"/>
            <w:sz w:val="18"/>
            <w:szCs w:val="18"/>
          </w:rPr>
          <w:t>Table of Contents</w:t>
        </w:r>
      </w:hyperlink>
    </w:p>
    <w:p w14:paraId="3973CE94" w14:textId="77777777" w:rsidR="007B027D" w:rsidRDefault="008E0125">
      <w:pPr>
        <w:pStyle w:val="a3"/>
        <w:spacing w:beforeAutospacing="0" w:afterAutospacing="0"/>
        <w:rPr>
          <w:rFonts w:ascii="Calibri" w:hAnsi="Calibri" w:cs="Calibri"/>
          <w:sz w:val="18"/>
          <w:szCs w:val="18"/>
        </w:rPr>
      </w:pPr>
      <w:hyperlink r:id="rId120" w:anchor="ITEM_15_EXHIBITS_FINANCIAL_STATEMENT_SCH" w:history="1">
        <w:r>
          <w:rPr>
            <w:rStyle w:val="a5"/>
            <w:rFonts w:ascii="Calibri" w:hAnsi="Calibri" w:cs="Calibri"/>
            <w:sz w:val="18"/>
            <w:szCs w:val="18"/>
          </w:rPr>
          <w:t>Index to Financial Statements</w:t>
        </w:r>
      </w:hyperlink>
    </w:p>
    <w:p w14:paraId="3973CE9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E9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2021, we curtailed certain variable expenditures including employee travel expenses, among others, primarily in response to COVID-19. We expect certain of these ex</w:t>
      </w:r>
      <w:r>
        <w:rPr>
          <w:rFonts w:ascii="Calibri" w:hAnsi="Calibri" w:cs="Calibri"/>
          <w:sz w:val="20"/>
          <w:szCs w:val="20"/>
        </w:rPr>
        <w:t>penses may normalize in future periods provided global economic and health conditions improve.</w:t>
      </w:r>
    </w:p>
    <w:p w14:paraId="3973CE9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total operating margin and total operating margin as a percentage of total revenues decreased in fiscal 2022, relative to fiscal 2021, </w:t>
      </w:r>
      <w:r>
        <w:rPr>
          <w:rFonts w:ascii="Calibri" w:hAnsi="Calibri" w:cs="Calibri"/>
          <w:sz w:val="20"/>
          <w:szCs w:val="20"/>
        </w:rPr>
        <w:t>substantially due to the unfavorable impact of the fiscal 2022 litigation related charges referenced above, partially offset by higher fiscal 2022 total margin generated by our operating segments and the aforementioned gains from operating asset sales duri</w:t>
      </w:r>
      <w:r>
        <w:rPr>
          <w:rFonts w:ascii="Calibri" w:hAnsi="Calibri" w:cs="Calibri"/>
          <w:sz w:val="20"/>
          <w:szCs w:val="20"/>
        </w:rPr>
        <w:t>ng fiscal 2022.</w:t>
      </w:r>
    </w:p>
    <w:p w14:paraId="3973CE98"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3973CE9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To supplement our consolidated financial information, we believe that the following information is helpful to an overall understanding of our past financial performance and prospects for the future. </w:t>
      </w:r>
    </w:p>
    <w:p w14:paraId="3973CE9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w:t>
      </w:r>
      <w:r>
        <w:rPr>
          <w:rFonts w:ascii="Calibri" w:hAnsi="Calibri" w:cs="Calibri"/>
          <w:sz w:val="20"/>
          <w:szCs w:val="20"/>
        </w:rPr>
        <w:t xml:space="preserve"> the following business combination accounting adjustments and expenses related to acquisitions and certain other expense and income items that affected our GAAP net income:</w:t>
      </w:r>
    </w:p>
    <w:p w14:paraId="3973CE9B"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917"/>
        <w:gridCol w:w="124"/>
        <w:gridCol w:w="117"/>
        <w:gridCol w:w="884"/>
        <w:gridCol w:w="76"/>
        <w:gridCol w:w="124"/>
        <w:gridCol w:w="117"/>
        <w:gridCol w:w="886"/>
        <w:gridCol w:w="76"/>
      </w:tblGrid>
      <w:tr w:rsidR="007B027D" w14:paraId="3973CEA0" w14:textId="77777777">
        <w:tc>
          <w:tcPr>
            <w:tcW w:w="3560" w:type="pct"/>
            <w:shd w:val="clear" w:color="auto" w:fill="FFFFFF"/>
            <w:tcMar>
              <w:top w:w="15" w:type="dxa"/>
              <w:right w:w="15" w:type="dxa"/>
            </w:tcMar>
            <w:vAlign w:val="bottom"/>
          </w:tcPr>
          <w:p w14:paraId="3973CE9C"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CE9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06" w:type="pct"/>
            <w:gridSpan w:val="6"/>
            <w:tcBorders>
              <w:bottom w:val="single" w:sz="6" w:space="0" w:color="000000"/>
            </w:tcBorders>
            <w:shd w:val="clear" w:color="auto" w:fill="FFFFFF"/>
            <w:tcMar>
              <w:top w:w="15" w:type="dxa"/>
              <w:right w:w="15" w:type="dxa"/>
            </w:tcMar>
            <w:vAlign w:val="bottom"/>
          </w:tcPr>
          <w:p w14:paraId="3973CE9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CE9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EA8" w14:textId="77777777">
        <w:tc>
          <w:tcPr>
            <w:tcW w:w="3560" w:type="pct"/>
            <w:tcBorders>
              <w:bottom w:val="single" w:sz="6" w:space="0" w:color="000000"/>
            </w:tcBorders>
            <w:shd w:val="clear" w:color="auto" w:fill="FFFFFF"/>
            <w:tcMar>
              <w:top w:w="15" w:type="dxa"/>
              <w:right w:w="15" w:type="dxa"/>
            </w:tcMar>
            <w:vAlign w:val="bottom"/>
          </w:tcPr>
          <w:p w14:paraId="3973CEA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3973CEA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7" w:type="pct"/>
            <w:gridSpan w:val="2"/>
            <w:tcBorders>
              <w:top w:val="single" w:sz="6" w:space="0" w:color="000000"/>
              <w:bottom w:val="single" w:sz="6" w:space="0" w:color="000000"/>
            </w:tcBorders>
            <w:shd w:val="clear" w:color="auto" w:fill="FFFFFF"/>
            <w:tcMar>
              <w:top w:w="15" w:type="dxa"/>
              <w:right w:w="15" w:type="dxa"/>
            </w:tcMar>
            <w:vAlign w:val="bottom"/>
          </w:tcPr>
          <w:p w14:paraId="3973CEA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CEA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CEA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7" w:type="pct"/>
            <w:gridSpan w:val="2"/>
            <w:tcBorders>
              <w:top w:val="single" w:sz="6" w:space="0" w:color="000000"/>
              <w:bottom w:val="single" w:sz="6" w:space="0" w:color="000000"/>
            </w:tcBorders>
            <w:shd w:val="clear" w:color="auto" w:fill="FFFFFF"/>
            <w:tcMar>
              <w:top w:w="15" w:type="dxa"/>
              <w:right w:w="15" w:type="dxa"/>
            </w:tcMar>
            <w:vAlign w:val="bottom"/>
          </w:tcPr>
          <w:p w14:paraId="3973CEA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CEA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EB2" w14:textId="77777777">
        <w:tc>
          <w:tcPr>
            <w:tcW w:w="3560" w:type="pct"/>
            <w:tcBorders>
              <w:top w:val="single" w:sz="6" w:space="0" w:color="000000"/>
            </w:tcBorders>
            <w:shd w:val="clear" w:color="auto" w:fill="CFF0FC"/>
            <w:tcMar>
              <w:top w:w="15" w:type="dxa"/>
              <w:right w:w="15" w:type="dxa"/>
            </w:tcMar>
          </w:tcPr>
          <w:p w14:paraId="3973CE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services and license support deferred revenues</w:t>
            </w:r>
            <w:r>
              <w:rPr>
                <w:rFonts w:ascii="Calibri" w:hAnsi="Calibri" w:cs="Calibri"/>
                <w:color w:val="000000"/>
                <w:sz w:val="17"/>
                <w:szCs w:val="17"/>
              </w:rPr>
              <w:t>(1)</w:t>
            </w:r>
          </w:p>
        </w:tc>
        <w:tc>
          <w:tcPr>
            <w:tcW w:w="81" w:type="pct"/>
            <w:shd w:val="clear" w:color="auto" w:fill="CFF0FC"/>
            <w:tcMar>
              <w:top w:w="15" w:type="dxa"/>
              <w:right w:w="15" w:type="dxa"/>
            </w:tcMar>
            <w:vAlign w:val="center"/>
          </w:tcPr>
          <w:p w14:paraId="3973CEA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3973CEA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7" w:type="pct"/>
            <w:tcBorders>
              <w:top w:val="single" w:sz="6" w:space="0" w:color="000000"/>
            </w:tcBorders>
            <w:shd w:val="clear" w:color="auto" w:fill="CFF0FC"/>
            <w:noWrap/>
            <w:tcMar>
              <w:top w:w="15" w:type="dxa"/>
              <w:right w:w="15" w:type="dxa"/>
            </w:tcMar>
            <w:vAlign w:val="bottom"/>
          </w:tcPr>
          <w:p w14:paraId="3973CEA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CE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center"/>
          </w:tcPr>
          <w:p w14:paraId="3973CEA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3973CE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7" w:type="pct"/>
            <w:tcBorders>
              <w:top w:val="single" w:sz="6" w:space="0" w:color="000000"/>
            </w:tcBorders>
            <w:shd w:val="clear" w:color="auto" w:fill="CFF0FC"/>
            <w:noWrap/>
            <w:tcMar>
              <w:top w:w="15" w:type="dxa"/>
              <w:right w:w="15" w:type="dxa"/>
            </w:tcMar>
            <w:vAlign w:val="bottom"/>
          </w:tcPr>
          <w:p w14:paraId="3973CEB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3973CE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BC" w14:textId="77777777">
        <w:tc>
          <w:tcPr>
            <w:tcW w:w="3560" w:type="pct"/>
            <w:shd w:val="clear" w:color="auto" w:fill="FFFFFF"/>
            <w:tcMar>
              <w:top w:w="15" w:type="dxa"/>
              <w:right w:w="15" w:type="dxa"/>
            </w:tcMar>
          </w:tcPr>
          <w:p w14:paraId="3973CE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81" w:type="pct"/>
            <w:shd w:val="clear" w:color="auto" w:fill="FFFFFF"/>
            <w:tcMar>
              <w:top w:w="15" w:type="dxa"/>
              <w:right w:w="15" w:type="dxa"/>
            </w:tcMar>
            <w:vAlign w:val="bottom"/>
          </w:tcPr>
          <w:p w14:paraId="3973CEB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B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1,150</w:t>
            </w:r>
          </w:p>
        </w:tc>
        <w:tc>
          <w:tcPr>
            <w:tcW w:w="50" w:type="pct"/>
            <w:shd w:val="clear" w:color="auto" w:fill="FFFFFF"/>
            <w:noWrap/>
            <w:tcMar>
              <w:top w:w="15" w:type="dxa"/>
              <w:right w:w="15" w:type="dxa"/>
            </w:tcMar>
            <w:vAlign w:val="bottom"/>
          </w:tcPr>
          <w:p w14:paraId="3973CE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CEB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B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1,379</w:t>
            </w:r>
          </w:p>
        </w:tc>
        <w:tc>
          <w:tcPr>
            <w:tcW w:w="50" w:type="pct"/>
            <w:shd w:val="clear" w:color="auto" w:fill="FFFFFF"/>
            <w:noWrap/>
            <w:tcMar>
              <w:top w:w="15" w:type="dxa"/>
              <w:right w:w="15" w:type="dxa"/>
            </w:tcMar>
            <w:vAlign w:val="bottom"/>
          </w:tcPr>
          <w:p w14:paraId="3973CE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C6" w14:textId="77777777">
        <w:tc>
          <w:tcPr>
            <w:tcW w:w="3560" w:type="pct"/>
            <w:shd w:val="clear" w:color="auto" w:fill="CFF0FC"/>
            <w:tcMar>
              <w:top w:w="15" w:type="dxa"/>
              <w:right w:w="15" w:type="dxa"/>
            </w:tcMar>
          </w:tcPr>
          <w:p w14:paraId="3973CE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81" w:type="pct"/>
            <w:shd w:val="clear" w:color="auto" w:fill="CFF0FC"/>
            <w:tcMar>
              <w:top w:w="15" w:type="dxa"/>
              <w:right w:w="15" w:type="dxa"/>
            </w:tcMar>
            <w:vAlign w:val="bottom"/>
          </w:tcPr>
          <w:p w14:paraId="3973CEB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E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CFF0FC"/>
            <w:noWrap/>
            <w:tcMar>
              <w:top w:w="15" w:type="dxa"/>
              <w:right w:w="15" w:type="dxa"/>
            </w:tcMar>
            <w:vAlign w:val="bottom"/>
          </w:tcPr>
          <w:p w14:paraId="3973CEC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4,713</w:t>
            </w:r>
          </w:p>
        </w:tc>
        <w:tc>
          <w:tcPr>
            <w:tcW w:w="50" w:type="pct"/>
            <w:shd w:val="clear" w:color="auto" w:fill="CFF0FC"/>
            <w:noWrap/>
            <w:tcMar>
              <w:top w:w="15" w:type="dxa"/>
              <w:right w:w="15" w:type="dxa"/>
            </w:tcMar>
            <w:vAlign w:val="bottom"/>
          </w:tcPr>
          <w:p w14:paraId="3973CE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CEC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E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CFF0FC"/>
            <w:noWrap/>
            <w:tcMar>
              <w:top w:w="15" w:type="dxa"/>
              <w:right w:w="15" w:type="dxa"/>
            </w:tcMar>
            <w:vAlign w:val="bottom"/>
          </w:tcPr>
          <w:p w14:paraId="3973CEC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w:t>
            </w:r>
          </w:p>
        </w:tc>
        <w:tc>
          <w:tcPr>
            <w:tcW w:w="50" w:type="pct"/>
            <w:shd w:val="clear" w:color="auto" w:fill="CFF0FC"/>
            <w:noWrap/>
            <w:tcMar>
              <w:top w:w="15" w:type="dxa"/>
              <w:right w:w="15" w:type="dxa"/>
            </w:tcMar>
            <w:vAlign w:val="bottom"/>
          </w:tcPr>
          <w:p w14:paraId="3973CE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D0" w14:textId="77777777">
        <w:tc>
          <w:tcPr>
            <w:tcW w:w="3560" w:type="pct"/>
            <w:shd w:val="clear" w:color="auto" w:fill="FFFFFF"/>
            <w:tcMar>
              <w:top w:w="15" w:type="dxa"/>
              <w:right w:w="15" w:type="dxa"/>
            </w:tcMar>
          </w:tcPr>
          <w:p w14:paraId="3973CE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81" w:type="pct"/>
            <w:shd w:val="clear" w:color="auto" w:fill="FFFFFF"/>
            <w:tcMar>
              <w:top w:w="15" w:type="dxa"/>
              <w:right w:w="15" w:type="dxa"/>
            </w:tcMar>
            <w:vAlign w:val="bottom"/>
          </w:tcPr>
          <w:p w14:paraId="3973CEC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C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right w:w="15" w:type="dxa"/>
            </w:tcMar>
            <w:vAlign w:val="bottom"/>
          </w:tcPr>
          <w:p w14:paraId="3973CE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CEC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C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431</w:t>
            </w:r>
          </w:p>
        </w:tc>
        <w:tc>
          <w:tcPr>
            <w:tcW w:w="50" w:type="pct"/>
            <w:shd w:val="clear" w:color="auto" w:fill="FFFFFF"/>
            <w:noWrap/>
            <w:tcMar>
              <w:top w:w="15" w:type="dxa"/>
              <w:right w:w="15" w:type="dxa"/>
            </w:tcMar>
            <w:vAlign w:val="bottom"/>
          </w:tcPr>
          <w:p w14:paraId="3973CE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DA" w14:textId="77777777">
        <w:tc>
          <w:tcPr>
            <w:tcW w:w="3560" w:type="pct"/>
            <w:shd w:val="clear" w:color="auto" w:fill="CFF0FC"/>
            <w:tcMar>
              <w:top w:w="15" w:type="dxa"/>
              <w:right w:w="15" w:type="dxa"/>
            </w:tcMar>
          </w:tcPr>
          <w:p w14:paraId="3973CE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81" w:type="pct"/>
            <w:shd w:val="clear" w:color="auto" w:fill="CFF0FC"/>
            <w:tcMar>
              <w:top w:w="15" w:type="dxa"/>
              <w:right w:w="15" w:type="dxa"/>
            </w:tcMar>
            <w:vAlign w:val="bottom"/>
          </w:tcPr>
          <w:p w14:paraId="3973CED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ED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CFF0FC"/>
            <w:noWrap/>
            <w:tcMar>
              <w:top w:w="15" w:type="dxa"/>
              <w:right w:w="15" w:type="dxa"/>
            </w:tcMar>
            <w:vAlign w:val="bottom"/>
          </w:tcPr>
          <w:p w14:paraId="3973CED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735</w:t>
            </w:r>
          </w:p>
        </w:tc>
        <w:tc>
          <w:tcPr>
            <w:tcW w:w="50" w:type="pct"/>
            <w:shd w:val="clear" w:color="auto" w:fill="CFF0FC"/>
            <w:noWrap/>
            <w:tcMar>
              <w:top w:w="15" w:type="dxa"/>
              <w:right w:w="15" w:type="dxa"/>
            </w:tcMar>
            <w:vAlign w:val="bottom"/>
          </w:tcPr>
          <w:p w14:paraId="3973CE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CED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E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CFF0FC"/>
            <w:noWrap/>
            <w:tcMar>
              <w:top w:w="15" w:type="dxa"/>
              <w:right w:w="15" w:type="dxa"/>
            </w:tcMar>
            <w:vAlign w:val="bottom"/>
          </w:tcPr>
          <w:p w14:paraId="3973CED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513</w:t>
            </w:r>
          </w:p>
        </w:tc>
        <w:tc>
          <w:tcPr>
            <w:tcW w:w="50" w:type="pct"/>
            <w:shd w:val="clear" w:color="auto" w:fill="CFF0FC"/>
            <w:noWrap/>
            <w:tcMar>
              <w:top w:w="15" w:type="dxa"/>
              <w:right w:w="15" w:type="dxa"/>
            </w:tcMar>
            <w:vAlign w:val="bottom"/>
          </w:tcPr>
          <w:p w14:paraId="3973CE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E4" w14:textId="77777777">
        <w:tc>
          <w:tcPr>
            <w:tcW w:w="3560" w:type="pct"/>
            <w:shd w:val="clear" w:color="auto" w:fill="FFFFFF"/>
            <w:tcMar>
              <w:top w:w="15" w:type="dxa"/>
              <w:right w:w="15" w:type="dxa"/>
            </w:tcMar>
            <w:vAlign w:val="center"/>
          </w:tcPr>
          <w:p w14:paraId="3973CE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81" w:type="pct"/>
            <w:shd w:val="clear" w:color="auto" w:fill="FFFFFF"/>
            <w:tcMar>
              <w:top w:w="15" w:type="dxa"/>
              <w:right w:w="15" w:type="dxa"/>
            </w:tcMar>
            <w:vAlign w:val="bottom"/>
          </w:tcPr>
          <w:p w14:paraId="3973CED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D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1,878</w:t>
            </w:r>
          </w:p>
        </w:tc>
        <w:tc>
          <w:tcPr>
            <w:tcW w:w="50" w:type="pct"/>
            <w:shd w:val="clear" w:color="auto" w:fill="FFFFFF"/>
            <w:noWrap/>
            <w:tcMar>
              <w:top w:w="15" w:type="dxa"/>
              <w:right w:w="15" w:type="dxa"/>
            </w:tcMar>
            <w:vAlign w:val="bottom"/>
          </w:tcPr>
          <w:p w14:paraId="3973CE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CEE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E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shd w:val="clear" w:color="auto" w:fill="FFFFFF"/>
            <w:noWrap/>
            <w:tcMar>
              <w:top w:w="15" w:type="dxa"/>
              <w:right w:w="15" w:type="dxa"/>
            </w:tcMar>
            <w:vAlign w:val="bottom"/>
          </w:tcPr>
          <w:p w14:paraId="3973CEE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1,324</w:t>
            </w:r>
          </w:p>
        </w:tc>
        <w:tc>
          <w:tcPr>
            <w:tcW w:w="50" w:type="pct"/>
            <w:shd w:val="clear" w:color="auto" w:fill="FFFFFF"/>
            <w:noWrap/>
            <w:tcMar>
              <w:top w:w="15" w:type="dxa"/>
              <w:right w:w="15" w:type="dxa"/>
            </w:tcMar>
            <w:vAlign w:val="bottom"/>
          </w:tcPr>
          <w:p w14:paraId="3973CE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CEEE" w14:textId="77777777">
        <w:tc>
          <w:tcPr>
            <w:tcW w:w="3560" w:type="pct"/>
            <w:shd w:val="clear" w:color="auto" w:fill="CFF0FC"/>
            <w:tcMar>
              <w:top w:w="15" w:type="dxa"/>
              <w:right w:w="15" w:type="dxa"/>
            </w:tcMar>
          </w:tcPr>
          <w:p w14:paraId="3973CE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81" w:type="pct"/>
            <w:shd w:val="clear" w:color="auto" w:fill="CFF0FC"/>
            <w:tcMar>
              <w:top w:w="15" w:type="dxa"/>
              <w:right w:w="15" w:type="dxa"/>
            </w:tcMar>
            <w:vAlign w:val="bottom"/>
          </w:tcPr>
          <w:p w14:paraId="3973CEE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3973CE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tcBorders>
              <w:bottom w:val="single" w:sz="6" w:space="0" w:color="000000"/>
            </w:tcBorders>
            <w:shd w:val="clear" w:color="auto" w:fill="CFF0FC"/>
            <w:noWrap/>
            <w:tcMar>
              <w:top w:w="15" w:type="dxa"/>
              <w:right w:w="15" w:type="dxa"/>
            </w:tcMar>
            <w:vAlign w:val="bottom"/>
          </w:tcPr>
          <w:p w14:paraId="3973CEE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(1,723</w:t>
            </w:r>
          </w:p>
        </w:tc>
        <w:tc>
          <w:tcPr>
            <w:tcW w:w="50" w:type="pct"/>
            <w:shd w:val="clear" w:color="auto" w:fill="CFF0FC"/>
            <w:noWrap/>
            <w:tcMar>
              <w:top w:w="15" w:type="dxa"/>
              <w:right w:w="15" w:type="dxa"/>
            </w:tcMar>
            <w:vAlign w:val="bottom"/>
          </w:tcPr>
          <w:p w14:paraId="3973CE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3973CEE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3973CE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7" w:type="pct"/>
            <w:tcBorders>
              <w:bottom w:val="single" w:sz="6" w:space="0" w:color="000000"/>
            </w:tcBorders>
            <w:shd w:val="clear" w:color="auto" w:fill="CFF0FC"/>
            <w:noWrap/>
            <w:tcMar>
              <w:top w:w="15" w:type="dxa"/>
              <w:right w:w="15" w:type="dxa"/>
            </w:tcMar>
            <w:vAlign w:val="bottom"/>
          </w:tcPr>
          <w:p w14:paraId="3973CEE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(3,408</w:t>
            </w:r>
          </w:p>
        </w:tc>
        <w:tc>
          <w:tcPr>
            <w:tcW w:w="50" w:type="pct"/>
            <w:shd w:val="clear" w:color="auto" w:fill="CFF0FC"/>
            <w:noWrap/>
            <w:tcMar>
              <w:top w:w="15" w:type="dxa"/>
              <w:right w:w="15" w:type="dxa"/>
            </w:tcMar>
            <w:vAlign w:val="bottom"/>
          </w:tcPr>
          <w:p w14:paraId="3973CE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CEF8" w14:textId="77777777">
        <w:tc>
          <w:tcPr>
            <w:tcW w:w="3560" w:type="pct"/>
            <w:shd w:val="clear" w:color="auto" w:fill="FFFFFF"/>
            <w:tcMar>
              <w:top w:w="15" w:type="dxa"/>
              <w:right w:w="15" w:type="dxa"/>
            </w:tcMar>
          </w:tcPr>
          <w:p w14:paraId="3973CEE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1" w:type="pct"/>
            <w:shd w:val="clear" w:color="auto" w:fill="FFFFFF"/>
            <w:tcMar>
              <w:top w:w="15" w:type="dxa"/>
              <w:right w:w="15" w:type="dxa"/>
            </w:tcMar>
            <w:vAlign w:val="bottom"/>
          </w:tcPr>
          <w:p w14:paraId="3973CEF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E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7" w:type="pct"/>
            <w:tcBorders>
              <w:top w:val="single" w:sz="6" w:space="0" w:color="000000"/>
              <w:bottom w:val="double" w:sz="6" w:space="0" w:color="000000"/>
            </w:tcBorders>
            <w:shd w:val="clear" w:color="auto" w:fill="FFFFFF"/>
            <w:noWrap/>
            <w:tcMar>
              <w:top w:w="15" w:type="dxa"/>
              <w:right w:w="15" w:type="dxa"/>
            </w:tcMar>
            <w:vAlign w:val="bottom"/>
          </w:tcPr>
          <w:p w14:paraId="3973CE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6,944</w:t>
            </w:r>
          </w:p>
        </w:tc>
        <w:tc>
          <w:tcPr>
            <w:tcW w:w="50" w:type="pct"/>
            <w:shd w:val="clear" w:color="auto" w:fill="FFFFFF"/>
            <w:noWrap/>
            <w:tcMar>
              <w:top w:w="15" w:type="dxa"/>
              <w:right w:w="15" w:type="dxa"/>
            </w:tcMar>
            <w:vAlign w:val="bottom"/>
          </w:tcPr>
          <w:p w14:paraId="3973CE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CEF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E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7" w:type="pct"/>
            <w:tcBorders>
              <w:top w:val="single" w:sz="6" w:space="0" w:color="000000"/>
              <w:bottom w:val="double" w:sz="6" w:space="0" w:color="000000"/>
            </w:tcBorders>
            <w:shd w:val="clear" w:color="auto" w:fill="FFFFFF"/>
            <w:noWrap/>
            <w:tcMar>
              <w:top w:w="15" w:type="dxa"/>
              <w:right w:w="15" w:type="dxa"/>
            </w:tcMar>
            <w:vAlign w:val="bottom"/>
          </w:tcPr>
          <w:p w14:paraId="3973CE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379</w:t>
            </w:r>
          </w:p>
        </w:tc>
        <w:tc>
          <w:tcPr>
            <w:tcW w:w="50" w:type="pct"/>
            <w:shd w:val="clear" w:color="auto" w:fill="FFFFFF"/>
            <w:noWrap/>
            <w:tcMar>
              <w:top w:w="15" w:type="dxa"/>
              <w:right w:w="15" w:type="dxa"/>
            </w:tcMar>
            <w:vAlign w:val="bottom"/>
          </w:tcPr>
          <w:p w14:paraId="3973CEF7"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EF9"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CEFC" w14:textId="77777777">
        <w:tc>
          <w:tcPr>
            <w:tcW w:w="192" w:type="pct"/>
            <w:shd w:val="clear" w:color="auto" w:fill="auto"/>
            <w:noWrap/>
          </w:tcPr>
          <w:p w14:paraId="3973CEFA"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CEFB"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Due to business combination accounting rules that </w:t>
            </w:r>
            <w:r>
              <w:rPr>
                <w:rFonts w:ascii="Calibri" w:hAnsi="Calibri" w:cs="Calibri"/>
                <w:sz w:val="15"/>
                <w:szCs w:val="15"/>
              </w:rPr>
              <w:t>were applicable to acquisitions closed prior to fiscal 2022, we have estimated the fair values of the cloud services and license support contracts assumed and did not recognize the cloud services and license support revenue amounts presented in the above t</w:t>
            </w:r>
            <w:r>
              <w:rPr>
                <w:rFonts w:ascii="Calibri" w:hAnsi="Calibri" w:cs="Calibri"/>
                <w:sz w:val="15"/>
                <w:szCs w:val="15"/>
              </w:rPr>
              <w:t>able for fiscal 2021 that would have otherwise been recorded by the acquired businesses as independent entities upon delivery of the contractual obligations. To the extent customers for which these contractual obligations pertain renew these contracts with</w:t>
            </w:r>
            <w:r>
              <w:rPr>
                <w:rFonts w:ascii="Calibri" w:hAnsi="Calibri" w:cs="Calibri"/>
                <w:sz w:val="15"/>
                <w:szCs w:val="15"/>
              </w:rPr>
              <w:t xml:space="preserve"> us, we expect to recognize revenues for the full contracts’ values over the respective contracts’ renewal periods.</w:t>
            </w:r>
          </w:p>
        </w:tc>
      </w:tr>
    </w:tbl>
    <w:p w14:paraId="3973CEF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CF00" w14:textId="77777777">
        <w:tc>
          <w:tcPr>
            <w:tcW w:w="192" w:type="pct"/>
            <w:shd w:val="clear" w:color="auto" w:fill="auto"/>
            <w:noWrap/>
          </w:tcPr>
          <w:p w14:paraId="3973CEFE"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3973CEFF"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substantially all of which were acquired in connection with our acquisitions. As of </w:t>
            </w:r>
            <w:r>
              <w:rPr>
                <w:rFonts w:ascii="Calibri" w:hAnsi="Calibri" w:cs="Calibri"/>
                <w:sz w:val="15"/>
                <w:szCs w:val="15"/>
              </w:rPr>
              <w:t xml:space="preserve">May 31, 2022, estimated future amortization related to intangible assets was as follows (in millions): </w:t>
            </w:r>
          </w:p>
        </w:tc>
      </w:tr>
    </w:tbl>
    <w:p w14:paraId="3973CF01"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01"/>
        <w:gridCol w:w="6825"/>
        <w:gridCol w:w="133"/>
        <w:gridCol w:w="92"/>
        <w:gridCol w:w="888"/>
        <w:gridCol w:w="82"/>
      </w:tblGrid>
      <w:tr w:rsidR="007B027D" w14:paraId="3973CF08" w14:textId="77777777">
        <w:tc>
          <w:tcPr>
            <w:tcW w:w="182" w:type="pct"/>
            <w:shd w:val="clear" w:color="auto" w:fill="FFFFFF"/>
            <w:tcMar>
              <w:top w:w="15" w:type="dxa"/>
              <w:right w:w="15" w:type="dxa"/>
            </w:tcMar>
            <w:vAlign w:val="bottom"/>
          </w:tcPr>
          <w:p w14:paraId="3973CF02"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100" w:type="pct"/>
            <w:shd w:val="clear" w:color="auto" w:fill="CFF0FC"/>
            <w:tcMar>
              <w:top w:w="15" w:type="dxa"/>
              <w:right w:w="15" w:type="dxa"/>
            </w:tcMar>
          </w:tcPr>
          <w:p w14:paraId="3973CF0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1" w:type="pct"/>
            <w:shd w:val="clear" w:color="auto" w:fill="CFF0FC"/>
            <w:tcMar>
              <w:top w:w="15" w:type="dxa"/>
              <w:right w:w="15" w:type="dxa"/>
            </w:tcMar>
            <w:vAlign w:val="bottom"/>
          </w:tcPr>
          <w:p w14:paraId="3973CF0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F0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3973CF06"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750</w:t>
            </w:r>
          </w:p>
        </w:tc>
        <w:tc>
          <w:tcPr>
            <w:tcW w:w="50" w:type="pct"/>
            <w:shd w:val="clear" w:color="auto" w:fill="CFF0FC"/>
            <w:noWrap/>
            <w:tcMar>
              <w:top w:w="15" w:type="dxa"/>
              <w:right w:w="15" w:type="dxa"/>
            </w:tcMar>
            <w:vAlign w:val="bottom"/>
          </w:tcPr>
          <w:p w14:paraId="3973CF0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0F" w14:textId="77777777">
        <w:tc>
          <w:tcPr>
            <w:tcW w:w="182" w:type="pct"/>
            <w:shd w:val="clear" w:color="auto" w:fill="FFFFFF"/>
            <w:tcMar>
              <w:top w:w="15" w:type="dxa"/>
              <w:right w:w="15" w:type="dxa"/>
            </w:tcMar>
            <w:vAlign w:val="bottom"/>
          </w:tcPr>
          <w:p w14:paraId="3973CF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FFFFFF"/>
            <w:tcMar>
              <w:top w:w="15" w:type="dxa"/>
              <w:right w:w="15" w:type="dxa"/>
            </w:tcMar>
          </w:tcPr>
          <w:p w14:paraId="3973CF0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1" w:type="pct"/>
            <w:shd w:val="clear" w:color="auto" w:fill="FFFFFF"/>
            <w:tcMar>
              <w:top w:w="15" w:type="dxa"/>
              <w:right w:w="15" w:type="dxa"/>
            </w:tcMar>
            <w:vAlign w:val="bottom"/>
          </w:tcPr>
          <w:p w14:paraId="3973CF0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F0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3973CF0D"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508</w:t>
            </w:r>
          </w:p>
        </w:tc>
        <w:tc>
          <w:tcPr>
            <w:tcW w:w="50" w:type="pct"/>
            <w:shd w:val="clear" w:color="auto" w:fill="FFFFFF"/>
            <w:noWrap/>
            <w:tcMar>
              <w:top w:w="15" w:type="dxa"/>
              <w:right w:w="15" w:type="dxa"/>
            </w:tcMar>
            <w:vAlign w:val="bottom"/>
          </w:tcPr>
          <w:p w14:paraId="3973CF0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16" w14:textId="77777777">
        <w:tc>
          <w:tcPr>
            <w:tcW w:w="182" w:type="pct"/>
            <w:shd w:val="clear" w:color="auto" w:fill="FFFFFF"/>
            <w:tcMar>
              <w:top w:w="15" w:type="dxa"/>
              <w:right w:w="15" w:type="dxa"/>
            </w:tcMar>
            <w:vAlign w:val="bottom"/>
          </w:tcPr>
          <w:p w14:paraId="3973CF1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CFF0FC"/>
            <w:tcMar>
              <w:top w:w="15" w:type="dxa"/>
              <w:right w:w="15" w:type="dxa"/>
            </w:tcMar>
          </w:tcPr>
          <w:p w14:paraId="3973CF1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1" w:type="pct"/>
            <w:shd w:val="clear" w:color="auto" w:fill="CFF0FC"/>
            <w:tcMar>
              <w:top w:w="15" w:type="dxa"/>
              <w:right w:w="15" w:type="dxa"/>
            </w:tcMar>
            <w:vAlign w:val="bottom"/>
          </w:tcPr>
          <w:p w14:paraId="3973CF1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F1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3973CF14"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148</w:t>
            </w:r>
          </w:p>
        </w:tc>
        <w:tc>
          <w:tcPr>
            <w:tcW w:w="50" w:type="pct"/>
            <w:shd w:val="clear" w:color="auto" w:fill="CFF0FC"/>
            <w:noWrap/>
            <w:tcMar>
              <w:top w:w="15" w:type="dxa"/>
              <w:right w:w="15" w:type="dxa"/>
            </w:tcMar>
            <w:vAlign w:val="bottom"/>
          </w:tcPr>
          <w:p w14:paraId="3973CF1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1D" w14:textId="77777777">
        <w:tc>
          <w:tcPr>
            <w:tcW w:w="182" w:type="pct"/>
            <w:shd w:val="clear" w:color="auto" w:fill="FFFFFF"/>
            <w:tcMar>
              <w:top w:w="15" w:type="dxa"/>
              <w:right w:w="15" w:type="dxa"/>
            </w:tcMar>
            <w:vAlign w:val="bottom"/>
          </w:tcPr>
          <w:p w14:paraId="3973CF1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FFFFFF"/>
            <w:tcMar>
              <w:top w:w="15" w:type="dxa"/>
              <w:right w:w="15" w:type="dxa"/>
            </w:tcMar>
          </w:tcPr>
          <w:p w14:paraId="3973CF1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81" w:type="pct"/>
            <w:shd w:val="clear" w:color="auto" w:fill="FFFFFF"/>
            <w:tcMar>
              <w:top w:w="15" w:type="dxa"/>
              <w:right w:w="15" w:type="dxa"/>
            </w:tcMar>
            <w:vAlign w:val="bottom"/>
          </w:tcPr>
          <w:p w14:paraId="3973CF1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F1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3973CF1B"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FFFFFF"/>
            <w:noWrap/>
            <w:tcMar>
              <w:top w:w="15" w:type="dxa"/>
              <w:right w:w="15" w:type="dxa"/>
            </w:tcMar>
            <w:vAlign w:val="bottom"/>
          </w:tcPr>
          <w:p w14:paraId="3973CF1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24" w14:textId="77777777">
        <w:tc>
          <w:tcPr>
            <w:tcW w:w="182" w:type="pct"/>
            <w:shd w:val="clear" w:color="auto" w:fill="FFFFFF"/>
            <w:tcMar>
              <w:top w:w="15" w:type="dxa"/>
              <w:right w:w="15" w:type="dxa"/>
            </w:tcMar>
            <w:vAlign w:val="bottom"/>
          </w:tcPr>
          <w:p w14:paraId="3973CF1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CFF0FC"/>
            <w:tcMar>
              <w:top w:w="15" w:type="dxa"/>
              <w:right w:w="15" w:type="dxa"/>
            </w:tcMar>
          </w:tcPr>
          <w:p w14:paraId="3973CF1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81" w:type="pct"/>
            <w:shd w:val="clear" w:color="auto" w:fill="CFF0FC"/>
            <w:tcMar>
              <w:top w:w="15" w:type="dxa"/>
              <w:right w:w="15" w:type="dxa"/>
            </w:tcMar>
            <w:vAlign w:val="bottom"/>
          </w:tcPr>
          <w:p w14:paraId="3973CF2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F2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3973CF22"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CFF0FC"/>
            <w:noWrap/>
            <w:tcMar>
              <w:top w:w="15" w:type="dxa"/>
              <w:right w:w="15" w:type="dxa"/>
            </w:tcMar>
            <w:vAlign w:val="bottom"/>
          </w:tcPr>
          <w:p w14:paraId="3973CF2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2B" w14:textId="77777777">
        <w:tc>
          <w:tcPr>
            <w:tcW w:w="182" w:type="pct"/>
            <w:shd w:val="clear" w:color="auto" w:fill="FFFFFF"/>
            <w:tcMar>
              <w:top w:w="15" w:type="dxa"/>
              <w:right w:w="15" w:type="dxa"/>
            </w:tcMar>
            <w:vAlign w:val="bottom"/>
          </w:tcPr>
          <w:p w14:paraId="3973CF2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FFFFFF"/>
            <w:tcMar>
              <w:top w:w="15" w:type="dxa"/>
              <w:right w:w="15" w:type="dxa"/>
            </w:tcMar>
          </w:tcPr>
          <w:p w14:paraId="3973CF2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1" w:type="pct"/>
            <w:shd w:val="clear" w:color="auto" w:fill="FFFFFF"/>
            <w:tcMar>
              <w:top w:w="15" w:type="dxa"/>
              <w:right w:w="15" w:type="dxa"/>
            </w:tcMar>
            <w:vAlign w:val="bottom"/>
          </w:tcPr>
          <w:p w14:paraId="3973CF2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3973CF2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FFFFFF"/>
            <w:noWrap/>
            <w:tcMar>
              <w:top w:w="15" w:type="dxa"/>
              <w:right w:w="15" w:type="dxa"/>
            </w:tcMar>
            <w:vAlign w:val="bottom"/>
          </w:tcPr>
          <w:p w14:paraId="3973CF29"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3973CF2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32" w14:textId="77777777">
        <w:tc>
          <w:tcPr>
            <w:tcW w:w="182" w:type="pct"/>
            <w:shd w:val="clear" w:color="auto" w:fill="FFFFFF"/>
            <w:tcMar>
              <w:top w:w="15" w:type="dxa"/>
              <w:right w:w="15" w:type="dxa"/>
            </w:tcMar>
            <w:vAlign w:val="bottom"/>
          </w:tcPr>
          <w:p w14:paraId="3973CF2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100" w:type="pct"/>
            <w:shd w:val="clear" w:color="auto" w:fill="CFF0FC"/>
            <w:tcMar>
              <w:top w:w="15" w:type="dxa"/>
              <w:right w:w="15" w:type="dxa"/>
            </w:tcMar>
          </w:tcPr>
          <w:p w14:paraId="3973CF2D" w14:textId="77777777" w:rsidR="007B027D" w:rsidRDefault="008E012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1" w:type="pct"/>
            <w:shd w:val="clear" w:color="auto" w:fill="CFF0FC"/>
            <w:tcMar>
              <w:top w:w="15" w:type="dxa"/>
              <w:right w:w="15" w:type="dxa"/>
            </w:tcMar>
            <w:vAlign w:val="bottom"/>
          </w:tcPr>
          <w:p w14:paraId="3973CF2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CF2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CFF0FC"/>
            <w:noWrap/>
            <w:tcMar>
              <w:top w:w="15" w:type="dxa"/>
              <w:right w:w="15" w:type="dxa"/>
            </w:tcMar>
            <w:vAlign w:val="bottom"/>
          </w:tcPr>
          <w:p w14:paraId="3973CF30"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1,440</w:t>
            </w:r>
          </w:p>
        </w:tc>
        <w:tc>
          <w:tcPr>
            <w:tcW w:w="50" w:type="pct"/>
            <w:shd w:val="clear" w:color="auto" w:fill="CFF0FC"/>
            <w:noWrap/>
            <w:tcMar>
              <w:top w:w="15" w:type="dxa"/>
              <w:right w:w="15" w:type="dxa"/>
            </w:tcMar>
            <w:vAlign w:val="bottom"/>
          </w:tcPr>
          <w:p w14:paraId="3973CF3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F3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CF36" w14:textId="77777777">
        <w:tc>
          <w:tcPr>
            <w:tcW w:w="192" w:type="pct"/>
            <w:shd w:val="clear" w:color="auto" w:fill="auto"/>
            <w:noWrap/>
          </w:tcPr>
          <w:p w14:paraId="3973CF34"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3973CF35"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consisted of personnel related costs for transitional and certain other employees, certain business combination adjustments including certain adjustments after the </w:t>
            </w:r>
            <w:r>
              <w:rPr>
                <w:rFonts w:ascii="Calibri" w:hAnsi="Calibri" w:cs="Calibri"/>
                <w:sz w:val="15"/>
                <w:szCs w:val="15"/>
              </w:rPr>
              <w:t>measurement period has ended, and certain other operating items, net. For fiscal 2022, acquisition related and other expenses also included certain litigation related charges as further described in Note 16 of Notes to Consolidated Financial Statements inc</w:t>
            </w:r>
            <w:r>
              <w:rPr>
                <w:rFonts w:ascii="Calibri" w:hAnsi="Calibri" w:cs="Calibri"/>
                <w:sz w:val="15"/>
                <w:szCs w:val="15"/>
              </w:rPr>
              <w:t>luded elsewhere in this Annual Report. We consider the litigation related charges that are included in this line item to be outside our ordinary course of business based on the following considerations: (i) the unprecedented nature of the litigation relate</w:t>
            </w:r>
            <w:r>
              <w:rPr>
                <w:rFonts w:ascii="Calibri" w:hAnsi="Calibri" w:cs="Calibri"/>
                <w:sz w:val="15"/>
                <w:szCs w:val="15"/>
              </w:rPr>
              <w:t xml:space="preserve">d charges including the nature and size of the damages awarded; (ii) the dissimilarity of this litigation and related charges to recurring litigation of which we are a party in the normal course of business, for which any and all such charges are included </w:t>
            </w:r>
            <w:r>
              <w:rPr>
                <w:rFonts w:ascii="Calibri" w:hAnsi="Calibri" w:cs="Calibri"/>
                <w:sz w:val="15"/>
                <w:szCs w:val="15"/>
              </w:rPr>
              <w:t>in our GAAP operating results and are not separately quantified and disclosed within this line item or any other line in the table presented above; (iii) the complexity of the case; (iv) the counterparty involved; and (v) our expectation that litigation re</w:t>
            </w:r>
            <w:r>
              <w:rPr>
                <w:rFonts w:ascii="Calibri" w:hAnsi="Calibri" w:cs="Calibri"/>
                <w:sz w:val="15"/>
                <w:szCs w:val="15"/>
              </w:rPr>
              <w:t>lated charges of this nature will not recur in future periods; among other factors.</w:t>
            </w:r>
          </w:p>
        </w:tc>
      </w:tr>
    </w:tbl>
    <w:p w14:paraId="3973CF37"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CF3A" w14:textId="77777777">
        <w:tc>
          <w:tcPr>
            <w:tcW w:w="192" w:type="pct"/>
            <w:shd w:val="clear" w:color="auto" w:fill="auto"/>
            <w:noWrap/>
          </w:tcPr>
          <w:p w14:paraId="3973CF38"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3973CF39"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Restructuring expenses during fiscal 2022 primarily related to employee severance in connection with our Fiscal 2022 Oracle Restructuring Plan (2022 </w:t>
            </w:r>
            <w:r>
              <w:rPr>
                <w:rFonts w:ascii="Calibri" w:hAnsi="Calibri" w:cs="Calibri"/>
                <w:sz w:val="15"/>
                <w:szCs w:val="15"/>
              </w:rPr>
              <w:t>Restructuring Plan). Restructuring expenses during fiscal 2021 primarily related to employee severance in connection with our Fiscal 2019 Oracle Restructuring Plan (2019 Restructuring Plan). Additional information regarding certain of our restructuring pla</w:t>
            </w:r>
            <w:r>
              <w:rPr>
                <w:rFonts w:ascii="Calibri" w:hAnsi="Calibri" w:cs="Calibri"/>
                <w:sz w:val="15"/>
                <w:szCs w:val="15"/>
              </w:rPr>
              <w:t>ns is provided in management’s discussion below under “Restructuring Expenses,” and in Note 8 of Notes to Consolidated Financial Statements included elsewhere in this Annual Report.</w:t>
            </w:r>
          </w:p>
        </w:tc>
      </w:tr>
    </w:tbl>
    <w:p w14:paraId="3973CF3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3973CF3C" w14:textId="77777777" w:rsidR="007B027D" w:rsidRDefault="008E0125">
      <w:r>
        <w:rPr>
          <w:rFonts w:ascii="Calibri" w:hAnsi="Calibri" w:cs="Calibri"/>
          <w:sz w:val="20"/>
          <w:szCs w:val="20"/>
        </w:rPr>
        <w:pict w14:anchorId="39740069">
          <v:rect id="_x0000_i1072" style="width:415.3pt;height:1.5pt" o:hralign="center" o:hrstd="t" o:hr="t" fillcolor="#a0a0a0" stroked="f"/>
        </w:pict>
      </w:r>
    </w:p>
    <w:p w14:paraId="3973CF3D" w14:textId="77777777" w:rsidR="007B027D" w:rsidRDefault="008E0125">
      <w:pPr>
        <w:pStyle w:val="a3"/>
        <w:spacing w:beforeAutospacing="0" w:after="120" w:afterAutospacing="0"/>
        <w:rPr>
          <w:rFonts w:ascii="Calibri" w:hAnsi="Calibri" w:cs="Calibri"/>
          <w:sz w:val="18"/>
          <w:szCs w:val="18"/>
        </w:rPr>
      </w:pPr>
      <w:hyperlink r:id="rId121" w:anchor="TABLE_OF_CONTENTS" w:history="1">
        <w:r>
          <w:rPr>
            <w:rStyle w:val="a5"/>
            <w:rFonts w:ascii="Calibri" w:hAnsi="Calibri" w:cs="Calibri"/>
            <w:sz w:val="18"/>
            <w:szCs w:val="18"/>
          </w:rPr>
          <w:t>Table of Contents</w:t>
        </w:r>
      </w:hyperlink>
    </w:p>
    <w:p w14:paraId="3973CF3E" w14:textId="77777777" w:rsidR="007B027D" w:rsidRDefault="008E0125">
      <w:pPr>
        <w:pStyle w:val="a3"/>
        <w:spacing w:beforeAutospacing="0" w:afterAutospacing="0"/>
        <w:rPr>
          <w:rFonts w:ascii="Calibri" w:hAnsi="Calibri" w:cs="Calibri"/>
          <w:sz w:val="18"/>
          <w:szCs w:val="18"/>
        </w:rPr>
      </w:pPr>
      <w:hyperlink r:id="rId122" w:anchor="ITEM_15_EXHIBITS_FINANCIAL_STATEMENT_SCH" w:history="1">
        <w:r>
          <w:rPr>
            <w:rStyle w:val="a5"/>
            <w:rFonts w:ascii="Calibri" w:hAnsi="Calibri" w:cs="Calibri"/>
            <w:sz w:val="18"/>
            <w:szCs w:val="18"/>
          </w:rPr>
          <w:t>Index to Finan</w:t>
        </w:r>
        <w:r>
          <w:rPr>
            <w:rStyle w:val="a5"/>
            <w:rFonts w:ascii="Calibri" w:hAnsi="Calibri" w:cs="Calibri"/>
            <w:sz w:val="18"/>
            <w:szCs w:val="18"/>
          </w:rPr>
          <w:t>cial Statements</w:t>
        </w:r>
      </w:hyperlink>
    </w:p>
    <w:p w14:paraId="3973CF3F"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CF42" w14:textId="77777777">
        <w:tc>
          <w:tcPr>
            <w:tcW w:w="192" w:type="pct"/>
            <w:shd w:val="clear" w:color="auto" w:fill="auto"/>
            <w:noWrap/>
          </w:tcPr>
          <w:p w14:paraId="3973CF40"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3973CF41"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consolidated statements of operations (in millions): </w:t>
            </w:r>
          </w:p>
        </w:tc>
      </w:tr>
    </w:tbl>
    <w:p w14:paraId="3973CF43"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86"/>
        <w:gridCol w:w="5736"/>
        <w:gridCol w:w="124"/>
        <w:gridCol w:w="92"/>
        <w:gridCol w:w="852"/>
        <w:gridCol w:w="81"/>
        <w:gridCol w:w="124"/>
        <w:gridCol w:w="92"/>
        <w:gridCol w:w="852"/>
        <w:gridCol w:w="82"/>
      </w:tblGrid>
      <w:tr w:rsidR="007B027D" w14:paraId="3973CF49" w14:textId="77777777">
        <w:tc>
          <w:tcPr>
            <w:tcW w:w="173" w:type="pct"/>
            <w:shd w:val="clear" w:color="auto" w:fill="FFFFFF"/>
            <w:tcMar>
              <w:top w:w="15" w:type="dxa"/>
              <w:right w:w="15" w:type="dxa"/>
            </w:tcMar>
            <w:vAlign w:val="bottom"/>
          </w:tcPr>
          <w:p w14:paraId="3973CF44"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447" w:type="pct"/>
            <w:shd w:val="clear" w:color="auto" w:fill="FFFFFF"/>
            <w:tcMar>
              <w:top w:w="15" w:type="dxa"/>
              <w:right w:w="15" w:type="dxa"/>
            </w:tcMar>
            <w:vAlign w:val="bottom"/>
          </w:tcPr>
          <w:p w14:paraId="3973CF4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3973CF4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52" w:type="pct"/>
            <w:gridSpan w:val="6"/>
            <w:tcBorders>
              <w:bottom w:val="single" w:sz="6" w:space="0" w:color="000000"/>
            </w:tcBorders>
            <w:shd w:val="clear" w:color="auto" w:fill="FFFFFF"/>
            <w:tcMar>
              <w:top w:w="15" w:type="dxa"/>
              <w:right w:w="15" w:type="dxa"/>
            </w:tcMar>
            <w:vAlign w:val="bottom"/>
          </w:tcPr>
          <w:p w14:paraId="3973CF4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CF4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F52" w14:textId="77777777">
        <w:tc>
          <w:tcPr>
            <w:tcW w:w="173" w:type="pct"/>
            <w:shd w:val="clear" w:color="auto" w:fill="FFFFFF"/>
            <w:tcMar>
              <w:top w:w="15" w:type="dxa"/>
              <w:right w:w="15" w:type="dxa"/>
            </w:tcMar>
            <w:vAlign w:val="bottom"/>
          </w:tcPr>
          <w:p w14:paraId="3973CF4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447" w:type="pct"/>
            <w:shd w:val="clear" w:color="auto" w:fill="FFFFFF"/>
            <w:tcMar>
              <w:top w:w="15" w:type="dxa"/>
              <w:right w:w="15" w:type="dxa"/>
            </w:tcMar>
            <w:vAlign w:val="bottom"/>
          </w:tcPr>
          <w:p w14:paraId="3973CF4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3973CF4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3" w:type="pct"/>
            <w:gridSpan w:val="2"/>
            <w:tcBorders>
              <w:top w:val="single" w:sz="6" w:space="0" w:color="000000"/>
              <w:bottom w:val="single" w:sz="6" w:space="0" w:color="000000"/>
            </w:tcBorders>
            <w:shd w:val="clear" w:color="auto" w:fill="FFFFFF"/>
            <w:tcMar>
              <w:top w:w="15" w:type="dxa"/>
              <w:right w:w="15" w:type="dxa"/>
            </w:tcMar>
            <w:vAlign w:val="bottom"/>
          </w:tcPr>
          <w:p w14:paraId="3973CF4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CF4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3973CF4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3" w:type="pct"/>
            <w:gridSpan w:val="2"/>
            <w:tcBorders>
              <w:top w:val="single" w:sz="6" w:space="0" w:color="000000"/>
              <w:bottom w:val="single" w:sz="6" w:space="0" w:color="000000"/>
            </w:tcBorders>
            <w:shd w:val="clear" w:color="auto" w:fill="FFFFFF"/>
            <w:tcMar>
              <w:top w:w="15" w:type="dxa"/>
              <w:right w:w="15" w:type="dxa"/>
            </w:tcMar>
            <w:vAlign w:val="bottom"/>
          </w:tcPr>
          <w:p w14:paraId="3973CF5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CF5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F5D" w14:textId="77777777">
        <w:tc>
          <w:tcPr>
            <w:tcW w:w="173" w:type="pct"/>
            <w:shd w:val="clear" w:color="auto" w:fill="FFFFFF"/>
            <w:tcMar>
              <w:top w:w="15" w:type="dxa"/>
              <w:right w:w="15" w:type="dxa"/>
            </w:tcMar>
            <w:vAlign w:val="bottom"/>
          </w:tcPr>
          <w:p w14:paraId="3973CF5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CFF0FC"/>
            <w:tcMar>
              <w:top w:w="15" w:type="dxa"/>
              <w:right w:w="15" w:type="dxa"/>
            </w:tcMar>
          </w:tcPr>
          <w:p w14:paraId="3973CF5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76" w:type="pct"/>
            <w:shd w:val="clear" w:color="auto" w:fill="CFF0FC"/>
            <w:tcMar>
              <w:top w:w="15" w:type="dxa"/>
              <w:right w:w="15" w:type="dxa"/>
            </w:tcMar>
            <w:vAlign w:val="bottom"/>
          </w:tcPr>
          <w:p w14:paraId="3973CF5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3973CF5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3973CF57"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205</w:t>
            </w:r>
          </w:p>
        </w:tc>
        <w:tc>
          <w:tcPr>
            <w:tcW w:w="50" w:type="pct"/>
            <w:shd w:val="clear" w:color="auto" w:fill="CFF0FC"/>
            <w:noWrap/>
            <w:tcMar>
              <w:top w:w="15" w:type="dxa"/>
              <w:right w:w="15" w:type="dxa"/>
            </w:tcMar>
            <w:vAlign w:val="bottom"/>
          </w:tcPr>
          <w:p w14:paraId="3973CF5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CFF0FC"/>
            <w:tcMar>
              <w:top w:w="15" w:type="dxa"/>
              <w:right w:w="15" w:type="dxa"/>
            </w:tcMar>
            <w:vAlign w:val="bottom"/>
          </w:tcPr>
          <w:p w14:paraId="3973CF5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3973CF5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3973CF5B"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w:t>
            </w:r>
          </w:p>
        </w:tc>
        <w:tc>
          <w:tcPr>
            <w:tcW w:w="50" w:type="pct"/>
            <w:shd w:val="clear" w:color="auto" w:fill="CFF0FC"/>
            <w:noWrap/>
            <w:tcMar>
              <w:top w:w="15" w:type="dxa"/>
              <w:right w:w="15" w:type="dxa"/>
            </w:tcMar>
            <w:vAlign w:val="bottom"/>
          </w:tcPr>
          <w:p w14:paraId="3973CF5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68" w14:textId="77777777">
        <w:tc>
          <w:tcPr>
            <w:tcW w:w="173" w:type="pct"/>
            <w:shd w:val="clear" w:color="auto" w:fill="FFFFFF"/>
            <w:tcMar>
              <w:top w:w="15" w:type="dxa"/>
              <w:right w:w="15" w:type="dxa"/>
            </w:tcMar>
            <w:vAlign w:val="bottom"/>
          </w:tcPr>
          <w:p w14:paraId="3973CF5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FFFFFF"/>
            <w:tcMar>
              <w:top w:w="15" w:type="dxa"/>
              <w:right w:w="15" w:type="dxa"/>
            </w:tcMar>
          </w:tcPr>
          <w:p w14:paraId="3973CF5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76" w:type="pct"/>
            <w:shd w:val="clear" w:color="auto" w:fill="FFFFFF"/>
            <w:tcMar>
              <w:top w:w="15" w:type="dxa"/>
              <w:right w:w="15" w:type="dxa"/>
            </w:tcMar>
            <w:vAlign w:val="bottom"/>
          </w:tcPr>
          <w:p w14:paraId="3973CF6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F6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3973CF62"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w:t>
            </w:r>
          </w:p>
        </w:tc>
        <w:tc>
          <w:tcPr>
            <w:tcW w:w="50" w:type="pct"/>
            <w:shd w:val="clear" w:color="auto" w:fill="FFFFFF"/>
            <w:noWrap/>
            <w:tcMar>
              <w:top w:w="15" w:type="dxa"/>
              <w:right w:w="15" w:type="dxa"/>
            </w:tcMar>
            <w:vAlign w:val="bottom"/>
          </w:tcPr>
          <w:p w14:paraId="3973CF6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FFFFFF"/>
            <w:tcMar>
              <w:top w:w="15" w:type="dxa"/>
              <w:right w:w="15" w:type="dxa"/>
            </w:tcMar>
            <w:vAlign w:val="bottom"/>
          </w:tcPr>
          <w:p w14:paraId="3973CF6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3973CF6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3973CF66"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w:t>
            </w:r>
          </w:p>
        </w:tc>
        <w:tc>
          <w:tcPr>
            <w:tcW w:w="50" w:type="pct"/>
            <w:shd w:val="clear" w:color="auto" w:fill="FFFFFF"/>
            <w:noWrap/>
            <w:tcMar>
              <w:top w:w="15" w:type="dxa"/>
              <w:right w:w="15" w:type="dxa"/>
            </w:tcMar>
            <w:vAlign w:val="bottom"/>
          </w:tcPr>
          <w:p w14:paraId="3973CF6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73" w14:textId="77777777">
        <w:tc>
          <w:tcPr>
            <w:tcW w:w="173" w:type="pct"/>
            <w:shd w:val="clear" w:color="auto" w:fill="FFFFFF"/>
            <w:tcMar>
              <w:top w:w="15" w:type="dxa"/>
              <w:right w:w="15" w:type="dxa"/>
            </w:tcMar>
            <w:vAlign w:val="bottom"/>
          </w:tcPr>
          <w:p w14:paraId="3973CF6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CFF0FC"/>
            <w:tcMar>
              <w:top w:w="15" w:type="dxa"/>
              <w:right w:w="15" w:type="dxa"/>
            </w:tcMar>
          </w:tcPr>
          <w:p w14:paraId="3973CF6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76" w:type="pct"/>
            <w:shd w:val="clear" w:color="auto" w:fill="CFF0FC"/>
            <w:tcMar>
              <w:top w:w="15" w:type="dxa"/>
              <w:right w:w="15" w:type="dxa"/>
            </w:tcMar>
            <w:vAlign w:val="bottom"/>
          </w:tcPr>
          <w:p w14:paraId="3973CF6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F6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3973CF6D"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w:t>
            </w:r>
          </w:p>
        </w:tc>
        <w:tc>
          <w:tcPr>
            <w:tcW w:w="50" w:type="pct"/>
            <w:shd w:val="clear" w:color="auto" w:fill="CFF0FC"/>
            <w:noWrap/>
            <w:tcMar>
              <w:top w:w="15" w:type="dxa"/>
              <w:right w:w="15" w:type="dxa"/>
            </w:tcMar>
            <w:vAlign w:val="bottom"/>
          </w:tcPr>
          <w:p w14:paraId="3973CF6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CFF0FC"/>
            <w:tcMar>
              <w:top w:w="15" w:type="dxa"/>
              <w:right w:w="15" w:type="dxa"/>
            </w:tcMar>
            <w:vAlign w:val="bottom"/>
          </w:tcPr>
          <w:p w14:paraId="3973CF6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CF7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3973CF71"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w:t>
            </w:r>
          </w:p>
        </w:tc>
        <w:tc>
          <w:tcPr>
            <w:tcW w:w="50" w:type="pct"/>
            <w:shd w:val="clear" w:color="auto" w:fill="CFF0FC"/>
            <w:noWrap/>
            <w:tcMar>
              <w:top w:w="15" w:type="dxa"/>
              <w:right w:w="15" w:type="dxa"/>
            </w:tcMar>
            <w:vAlign w:val="bottom"/>
          </w:tcPr>
          <w:p w14:paraId="3973CF7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7E" w14:textId="77777777">
        <w:tc>
          <w:tcPr>
            <w:tcW w:w="173" w:type="pct"/>
            <w:shd w:val="clear" w:color="auto" w:fill="FFFFFF"/>
            <w:tcMar>
              <w:top w:w="15" w:type="dxa"/>
              <w:right w:w="15" w:type="dxa"/>
            </w:tcMar>
            <w:vAlign w:val="bottom"/>
          </w:tcPr>
          <w:p w14:paraId="3973CF7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FFFFFF"/>
            <w:tcMar>
              <w:top w:w="15" w:type="dxa"/>
              <w:right w:w="15" w:type="dxa"/>
            </w:tcMar>
          </w:tcPr>
          <w:p w14:paraId="3973CF7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76" w:type="pct"/>
            <w:shd w:val="clear" w:color="auto" w:fill="FFFFFF"/>
            <w:tcMar>
              <w:top w:w="15" w:type="dxa"/>
              <w:right w:w="15" w:type="dxa"/>
            </w:tcMar>
            <w:vAlign w:val="bottom"/>
          </w:tcPr>
          <w:p w14:paraId="3973CF7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3973CF7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3973CF78"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448</w:t>
            </w:r>
          </w:p>
        </w:tc>
        <w:tc>
          <w:tcPr>
            <w:tcW w:w="50" w:type="pct"/>
            <w:shd w:val="clear" w:color="auto" w:fill="FFFFFF"/>
            <w:noWrap/>
            <w:tcMar>
              <w:top w:w="15" w:type="dxa"/>
              <w:right w:w="15" w:type="dxa"/>
            </w:tcMar>
            <w:vAlign w:val="bottom"/>
          </w:tcPr>
          <w:p w14:paraId="3973CF7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FFFFFF"/>
            <w:tcMar>
              <w:top w:w="15" w:type="dxa"/>
              <w:right w:w="15" w:type="dxa"/>
            </w:tcMar>
            <w:vAlign w:val="center"/>
          </w:tcPr>
          <w:p w14:paraId="3973CF7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3973CF7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3973CF7C"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313</w:t>
            </w:r>
          </w:p>
        </w:tc>
        <w:tc>
          <w:tcPr>
            <w:tcW w:w="50" w:type="pct"/>
            <w:shd w:val="clear" w:color="auto" w:fill="FFFFFF"/>
            <w:noWrap/>
            <w:tcMar>
              <w:top w:w="15" w:type="dxa"/>
              <w:right w:w="15" w:type="dxa"/>
            </w:tcMar>
            <w:vAlign w:val="bottom"/>
          </w:tcPr>
          <w:p w14:paraId="3973CF7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89" w14:textId="77777777">
        <w:tc>
          <w:tcPr>
            <w:tcW w:w="173" w:type="pct"/>
            <w:shd w:val="clear" w:color="auto" w:fill="FFFFFF"/>
            <w:tcMar>
              <w:top w:w="15" w:type="dxa"/>
              <w:right w:w="15" w:type="dxa"/>
            </w:tcMar>
            <w:vAlign w:val="bottom"/>
          </w:tcPr>
          <w:p w14:paraId="3973CF7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CFF0FC"/>
            <w:tcMar>
              <w:top w:w="15" w:type="dxa"/>
              <w:right w:w="15" w:type="dxa"/>
            </w:tcMar>
          </w:tcPr>
          <w:p w14:paraId="3973CF80" w14:textId="77777777" w:rsidR="007B027D" w:rsidRDefault="008E012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76" w:type="pct"/>
            <w:shd w:val="clear" w:color="auto" w:fill="CFF0FC"/>
            <w:tcMar>
              <w:top w:w="15" w:type="dxa"/>
              <w:right w:w="15" w:type="dxa"/>
            </w:tcMar>
            <w:vAlign w:val="bottom"/>
          </w:tcPr>
          <w:p w14:paraId="3973CF8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CF8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3973CF83"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735</w:t>
            </w:r>
          </w:p>
        </w:tc>
        <w:tc>
          <w:tcPr>
            <w:tcW w:w="50" w:type="pct"/>
            <w:shd w:val="clear" w:color="auto" w:fill="CFF0FC"/>
            <w:noWrap/>
            <w:tcMar>
              <w:top w:w="15" w:type="dxa"/>
              <w:right w:w="15" w:type="dxa"/>
            </w:tcMar>
            <w:vAlign w:val="bottom"/>
          </w:tcPr>
          <w:p w14:paraId="3973CF8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CFF0FC"/>
            <w:tcMar>
              <w:top w:w="15" w:type="dxa"/>
              <w:right w:w="15" w:type="dxa"/>
            </w:tcMar>
            <w:vAlign w:val="bottom"/>
          </w:tcPr>
          <w:p w14:paraId="3973CF85"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CF8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3973CF87"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513</w:t>
            </w:r>
          </w:p>
        </w:tc>
        <w:tc>
          <w:tcPr>
            <w:tcW w:w="50" w:type="pct"/>
            <w:shd w:val="clear" w:color="auto" w:fill="CFF0FC"/>
            <w:noWrap/>
            <w:tcMar>
              <w:top w:w="15" w:type="dxa"/>
              <w:right w:w="15" w:type="dxa"/>
            </w:tcMar>
            <w:vAlign w:val="bottom"/>
          </w:tcPr>
          <w:p w14:paraId="3973CF8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94" w14:textId="77777777">
        <w:tc>
          <w:tcPr>
            <w:tcW w:w="173" w:type="pct"/>
            <w:shd w:val="clear" w:color="auto" w:fill="FFFFFF"/>
            <w:tcMar>
              <w:top w:w="15" w:type="dxa"/>
              <w:right w:w="15" w:type="dxa"/>
            </w:tcMar>
            <w:vAlign w:val="bottom"/>
          </w:tcPr>
          <w:p w14:paraId="3973CF8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FFFFFF"/>
            <w:tcMar>
              <w:top w:w="15" w:type="dxa"/>
              <w:right w:w="15" w:type="dxa"/>
            </w:tcMar>
          </w:tcPr>
          <w:p w14:paraId="3973CF8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76" w:type="pct"/>
            <w:shd w:val="clear" w:color="auto" w:fill="FFFFFF"/>
            <w:tcMar>
              <w:top w:w="15" w:type="dxa"/>
              <w:right w:w="15" w:type="dxa"/>
            </w:tcMar>
            <w:vAlign w:val="bottom"/>
          </w:tcPr>
          <w:p w14:paraId="3973CF8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CF8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3973CF8E"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1,633</w:t>
            </w:r>
          </w:p>
        </w:tc>
        <w:tc>
          <w:tcPr>
            <w:tcW w:w="50" w:type="pct"/>
            <w:shd w:val="clear" w:color="auto" w:fill="FFFFFF"/>
            <w:noWrap/>
            <w:tcMar>
              <w:top w:w="15" w:type="dxa"/>
              <w:right w:w="15" w:type="dxa"/>
            </w:tcMar>
            <w:vAlign w:val="bottom"/>
          </w:tcPr>
          <w:p w14:paraId="3973CF8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FFFFFF"/>
            <w:tcMar>
              <w:top w:w="15" w:type="dxa"/>
              <w:right w:w="15" w:type="dxa"/>
            </w:tcMar>
            <w:vAlign w:val="bottom"/>
          </w:tcPr>
          <w:p w14:paraId="3973CF9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CF9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3973CF92"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1,188</w:t>
            </w:r>
          </w:p>
        </w:tc>
        <w:tc>
          <w:tcPr>
            <w:tcW w:w="50" w:type="pct"/>
            <w:shd w:val="clear" w:color="auto" w:fill="FFFFFF"/>
            <w:noWrap/>
            <w:tcMar>
              <w:top w:w="15" w:type="dxa"/>
              <w:right w:w="15" w:type="dxa"/>
            </w:tcMar>
            <w:vAlign w:val="bottom"/>
          </w:tcPr>
          <w:p w14:paraId="3973CF9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9F" w14:textId="77777777">
        <w:tc>
          <w:tcPr>
            <w:tcW w:w="173" w:type="pct"/>
            <w:shd w:val="clear" w:color="auto" w:fill="FFFFFF"/>
            <w:tcMar>
              <w:top w:w="15" w:type="dxa"/>
              <w:right w:w="15" w:type="dxa"/>
            </w:tcMar>
            <w:vAlign w:val="bottom"/>
          </w:tcPr>
          <w:p w14:paraId="3973CF9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CFF0FC"/>
            <w:tcMar>
              <w:top w:w="15" w:type="dxa"/>
              <w:right w:w="15" w:type="dxa"/>
            </w:tcMar>
          </w:tcPr>
          <w:p w14:paraId="3973CF9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xml:space="preserve">General and </w:t>
            </w:r>
            <w:r>
              <w:rPr>
                <w:rFonts w:ascii="Calibri" w:hAnsi="Calibri" w:cs="Calibri"/>
                <w:color w:val="000000"/>
                <w:sz w:val="15"/>
                <w:szCs w:val="15"/>
              </w:rPr>
              <w:t>administrative</w:t>
            </w:r>
          </w:p>
        </w:tc>
        <w:tc>
          <w:tcPr>
            <w:tcW w:w="76" w:type="pct"/>
            <w:shd w:val="clear" w:color="auto" w:fill="CFF0FC"/>
            <w:tcMar>
              <w:top w:w="15" w:type="dxa"/>
              <w:right w:w="15" w:type="dxa"/>
            </w:tcMar>
            <w:vAlign w:val="bottom"/>
          </w:tcPr>
          <w:p w14:paraId="3973CF9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3973CF9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CFF0FC"/>
            <w:noWrap/>
            <w:tcMar>
              <w:top w:w="15" w:type="dxa"/>
              <w:right w:w="15" w:type="dxa"/>
            </w:tcMar>
            <w:vAlign w:val="bottom"/>
          </w:tcPr>
          <w:p w14:paraId="3973CF99"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245</w:t>
            </w:r>
          </w:p>
        </w:tc>
        <w:tc>
          <w:tcPr>
            <w:tcW w:w="50" w:type="pct"/>
            <w:shd w:val="clear" w:color="auto" w:fill="CFF0FC"/>
            <w:noWrap/>
            <w:tcMar>
              <w:top w:w="15" w:type="dxa"/>
              <w:right w:w="15" w:type="dxa"/>
            </w:tcMar>
            <w:vAlign w:val="bottom"/>
          </w:tcPr>
          <w:p w14:paraId="3973CF9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CFF0FC"/>
            <w:tcMar>
              <w:top w:w="15" w:type="dxa"/>
              <w:right w:w="15" w:type="dxa"/>
            </w:tcMar>
            <w:vAlign w:val="bottom"/>
          </w:tcPr>
          <w:p w14:paraId="3973CF9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3973CF9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CFF0FC"/>
            <w:noWrap/>
            <w:tcMar>
              <w:top w:w="15" w:type="dxa"/>
              <w:right w:w="15" w:type="dxa"/>
            </w:tcMar>
            <w:vAlign w:val="bottom"/>
          </w:tcPr>
          <w:p w14:paraId="3973CF9D"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136</w:t>
            </w:r>
          </w:p>
        </w:tc>
        <w:tc>
          <w:tcPr>
            <w:tcW w:w="50" w:type="pct"/>
            <w:shd w:val="clear" w:color="auto" w:fill="CFF0FC"/>
            <w:noWrap/>
            <w:tcMar>
              <w:top w:w="15" w:type="dxa"/>
              <w:right w:w="15" w:type="dxa"/>
            </w:tcMar>
            <w:vAlign w:val="bottom"/>
          </w:tcPr>
          <w:p w14:paraId="3973CF9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CFAA" w14:textId="77777777">
        <w:tc>
          <w:tcPr>
            <w:tcW w:w="173" w:type="pct"/>
            <w:shd w:val="clear" w:color="auto" w:fill="FFFFFF"/>
            <w:tcMar>
              <w:top w:w="15" w:type="dxa"/>
              <w:right w:w="15" w:type="dxa"/>
            </w:tcMar>
            <w:vAlign w:val="bottom"/>
          </w:tcPr>
          <w:p w14:paraId="3973CFA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47" w:type="pct"/>
            <w:shd w:val="clear" w:color="auto" w:fill="FFFFFF"/>
            <w:tcMar>
              <w:top w:w="15" w:type="dxa"/>
              <w:right w:w="15" w:type="dxa"/>
            </w:tcMar>
          </w:tcPr>
          <w:p w14:paraId="3973CFA1" w14:textId="77777777" w:rsidR="007B027D" w:rsidRDefault="008E012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76" w:type="pct"/>
            <w:shd w:val="clear" w:color="auto" w:fill="FFFFFF"/>
            <w:tcMar>
              <w:top w:w="15" w:type="dxa"/>
              <w:right w:w="15" w:type="dxa"/>
            </w:tcMar>
            <w:vAlign w:val="bottom"/>
          </w:tcPr>
          <w:p w14:paraId="3973CFA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FA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3973CFA4"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2,613</w:t>
            </w:r>
          </w:p>
        </w:tc>
        <w:tc>
          <w:tcPr>
            <w:tcW w:w="50" w:type="pct"/>
            <w:shd w:val="clear" w:color="auto" w:fill="FFFFFF"/>
            <w:noWrap/>
            <w:tcMar>
              <w:top w:w="15" w:type="dxa"/>
              <w:right w:w="15" w:type="dxa"/>
            </w:tcMar>
            <w:vAlign w:val="bottom"/>
          </w:tcPr>
          <w:p w14:paraId="3973CFA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6" w:type="pct"/>
            <w:shd w:val="clear" w:color="auto" w:fill="FFFFFF"/>
            <w:tcMar>
              <w:top w:w="15" w:type="dxa"/>
              <w:right w:w="15" w:type="dxa"/>
            </w:tcMar>
            <w:vAlign w:val="bottom"/>
          </w:tcPr>
          <w:p w14:paraId="3973CFA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CFA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3973CFA8"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1,837</w:t>
            </w:r>
          </w:p>
        </w:tc>
        <w:tc>
          <w:tcPr>
            <w:tcW w:w="50" w:type="pct"/>
            <w:shd w:val="clear" w:color="auto" w:fill="FFFFFF"/>
            <w:noWrap/>
            <w:tcMar>
              <w:top w:w="15" w:type="dxa"/>
              <w:right w:w="15" w:type="dxa"/>
            </w:tcMar>
            <w:vAlign w:val="bottom"/>
          </w:tcPr>
          <w:p w14:paraId="3973CFA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CFAB"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CFAE" w14:textId="77777777">
        <w:tc>
          <w:tcPr>
            <w:tcW w:w="192" w:type="pct"/>
            <w:shd w:val="clear" w:color="auto" w:fill="auto"/>
            <w:noWrap/>
          </w:tcPr>
          <w:p w14:paraId="3973CFAC"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3973CFAD"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color w:val="000000"/>
                <w:sz w:val="15"/>
                <w:szCs w:val="15"/>
              </w:rPr>
              <w:t>For fiscal 2022, the applicable jurisdictional tax rates applied to our income before income taxes after excluding the tax effects of items within the table above such as for stock-based compensation, amortization of intangible assets, restructuring, and c</w:t>
            </w:r>
            <w:r>
              <w:rPr>
                <w:rFonts w:ascii="Calibri" w:hAnsi="Calibri" w:cs="Calibri"/>
                <w:color w:val="000000"/>
                <w:sz w:val="15"/>
                <w:szCs w:val="15"/>
              </w:rPr>
              <w:t xml:space="preserve">ertain acquisition related and other items, and after excluding the net deferred tax effects associated with a previously recorded income tax benefit that resulted from a partial realignment of our legal entity structure, resulted in an effective tax rate </w:t>
            </w:r>
            <w:r>
              <w:rPr>
                <w:rFonts w:ascii="Calibri" w:hAnsi="Calibri" w:cs="Calibri"/>
                <w:color w:val="000000"/>
                <w:sz w:val="15"/>
                <w:szCs w:val="15"/>
              </w:rPr>
              <w:t>of 16.3%, instead of 12.2%, which represented our effective tax rate as derived per our consolidated statement of operations. For fiscal 2021, the applicable jurisdictional tax rates applied to our income before income taxes after excluding the tax effects</w:t>
            </w:r>
            <w:r>
              <w:rPr>
                <w:rFonts w:ascii="Calibri" w:hAnsi="Calibri" w:cs="Calibri"/>
                <w:color w:val="000000"/>
                <w:sz w:val="15"/>
                <w:szCs w:val="15"/>
              </w:rPr>
              <w:t xml:space="preserve"> of items within the table above such as for stock-based compensation, amortization of intangible assets, restructuring, and certain other acquisition related items, and after excluding a $2.3 billion net tax benefit arising from the increase of a deferred</w:t>
            </w:r>
            <w:r>
              <w:rPr>
                <w:rFonts w:ascii="Calibri" w:hAnsi="Calibri" w:cs="Calibri"/>
                <w:color w:val="000000"/>
                <w:sz w:val="15"/>
                <w:szCs w:val="15"/>
              </w:rPr>
              <w:t xml:space="preserve"> tax asset associated with a partial realignment of our legal entity structure and any related deferred tax expense resulted in an effective tax rate of 15.9%, instead of (5.7%), which represented our effective tax rate as derived per our consolidated stat</w:t>
            </w:r>
            <w:r>
              <w:rPr>
                <w:rFonts w:ascii="Calibri" w:hAnsi="Calibri" w:cs="Calibri"/>
                <w:color w:val="000000"/>
                <w:sz w:val="15"/>
                <w:szCs w:val="15"/>
              </w:rPr>
              <w:t xml:space="preserve">ement of operations. </w:t>
            </w:r>
          </w:p>
        </w:tc>
      </w:tr>
    </w:tbl>
    <w:p w14:paraId="3973CFA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3973CFB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and marketing of our applications and infrastructure technologies that are delivered through various deployment models and include: Oracle license </w:t>
      </w:r>
      <w:r>
        <w:rPr>
          <w:rFonts w:ascii="Calibri" w:hAnsi="Calibri" w:cs="Calibri"/>
          <w:sz w:val="20"/>
          <w:szCs w:val="20"/>
        </w:rPr>
        <w:t>support offerings; Oracle Cloud Services offerings; and Oracle cloud license and on-premise license offerings. License support revenues are typically generated through the sale of applications and infrastructure license support contracts related to cloud l</w:t>
      </w:r>
      <w:r>
        <w:rPr>
          <w:rFonts w:ascii="Calibri" w:hAnsi="Calibri" w:cs="Calibri"/>
          <w:sz w:val="20"/>
          <w:szCs w:val="20"/>
        </w:rPr>
        <w:t>icenses and on-premise licenses; are purchased by our customers at their option; and are generally recognized as revenues ratably over the contractual term, which is generally one year. Our cloud services deliver applications and infrastructure technologie</w:t>
      </w:r>
      <w:r>
        <w:rPr>
          <w:rFonts w:ascii="Calibri" w:hAnsi="Calibri" w:cs="Calibri"/>
          <w:sz w:val="20"/>
          <w:szCs w:val="20"/>
        </w:rPr>
        <w:t>s on a subscription basis via cloud-based deployment models that we develop, provide unspecified updates and enhancements for, deploy, host, manage and support. Revenues for our cloud services are generally recognized over the contractual term, which is ge</w:t>
      </w:r>
      <w:r>
        <w:rPr>
          <w:rFonts w:ascii="Calibri" w:hAnsi="Calibri" w:cs="Calibri"/>
          <w:sz w:val="20"/>
          <w:szCs w:val="20"/>
        </w:rPr>
        <w:t>nerally one to three years, or in the case of usage model contracts, as the cloud services are consumed. Cloud license and on-premise license revenues represent fees earned from granting customers licenses, generally on a perpetual basis, to use our databa</w:t>
      </w:r>
      <w:r>
        <w:rPr>
          <w:rFonts w:ascii="Calibri" w:hAnsi="Calibri" w:cs="Calibri"/>
          <w:sz w:val="20"/>
          <w:szCs w:val="20"/>
        </w:rPr>
        <w:t>se and middleware and our applications software products within cloud and on-premise IT environments and are generally recognized up front at the point in time when the software is made available to the customer to download and use. We continue to place si</w:t>
      </w:r>
      <w:r>
        <w:rPr>
          <w:rFonts w:ascii="Calibri" w:hAnsi="Calibri" w:cs="Calibri"/>
          <w:sz w:val="20"/>
          <w:szCs w:val="20"/>
        </w:rPr>
        <w:t>gnificant emphasis, both domestically and internationally, on direct sales through our own sales force. We also continue to market certain of our offerings through indirect channels. Costs associated with our cloud and license business are included in clou</w:t>
      </w:r>
      <w:r>
        <w:rPr>
          <w:rFonts w:ascii="Calibri" w:hAnsi="Calibri" w:cs="Calibri"/>
          <w:sz w:val="20"/>
          <w:szCs w:val="20"/>
        </w:rPr>
        <w:t>d services and license support expenses, and sales and marketing expenses. These costs are largely personnel and infrastructure related including the cost of providing our cloud services and license support offerings, salaries and commissions earned by our</w:t>
      </w:r>
      <w:r>
        <w:rPr>
          <w:rFonts w:ascii="Calibri" w:hAnsi="Calibri" w:cs="Calibri"/>
          <w:sz w:val="20"/>
          <w:szCs w:val="20"/>
        </w:rPr>
        <w:t xml:space="preserve"> sales force for the sale of our cloud and license offerings, and marketing program costs.</w:t>
      </w:r>
    </w:p>
    <w:p w14:paraId="3973CFB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47</w:t>
      </w:r>
    </w:p>
    <w:p w14:paraId="3973CFB2" w14:textId="77777777" w:rsidR="007B027D" w:rsidRDefault="008E0125">
      <w:r>
        <w:rPr>
          <w:rFonts w:ascii="Calibri" w:hAnsi="Calibri" w:cs="Calibri"/>
          <w:sz w:val="20"/>
          <w:szCs w:val="20"/>
        </w:rPr>
        <w:pict w14:anchorId="3974006A">
          <v:rect id="_x0000_i1073" style="width:415.3pt;height:1.5pt" o:hralign="center" o:hrstd="t" o:hr="t" fillcolor="#a0a0a0" stroked="f"/>
        </w:pict>
      </w:r>
    </w:p>
    <w:p w14:paraId="3973CFB3" w14:textId="77777777" w:rsidR="007B027D" w:rsidRDefault="008E0125">
      <w:pPr>
        <w:pStyle w:val="a3"/>
        <w:spacing w:beforeAutospacing="0" w:after="120" w:afterAutospacing="0"/>
        <w:rPr>
          <w:rFonts w:ascii="Calibri" w:hAnsi="Calibri" w:cs="Calibri"/>
          <w:sz w:val="18"/>
          <w:szCs w:val="18"/>
        </w:rPr>
      </w:pPr>
      <w:hyperlink r:id="rId123" w:anchor="TABLE_OF_CONTENTS" w:history="1">
        <w:r>
          <w:rPr>
            <w:rStyle w:val="a5"/>
            <w:rFonts w:ascii="Calibri" w:hAnsi="Calibri" w:cs="Calibri"/>
            <w:sz w:val="18"/>
            <w:szCs w:val="18"/>
          </w:rPr>
          <w:t>Table of Contents</w:t>
        </w:r>
      </w:hyperlink>
    </w:p>
    <w:p w14:paraId="3973CFB4" w14:textId="77777777" w:rsidR="007B027D" w:rsidRDefault="008E0125">
      <w:pPr>
        <w:pStyle w:val="a3"/>
        <w:spacing w:beforeAutospacing="0" w:afterAutospacing="0"/>
        <w:rPr>
          <w:rFonts w:ascii="Calibri" w:hAnsi="Calibri" w:cs="Calibri"/>
          <w:sz w:val="18"/>
          <w:szCs w:val="18"/>
        </w:rPr>
      </w:pPr>
      <w:hyperlink r:id="rId124" w:anchor="ITEM_15_EXHIBITS_FINANCIAL_STATEMENT_SCH" w:history="1">
        <w:r>
          <w:rPr>
            <w:rStyle w:val="a5"/>
            <w:rFonts w:ascii="Calibri" w:hAnsi="Calibri" w:cs="Calibri"/>
            <w:sz w:val="18"/>
            <w:szCs w:val="18"/>
          </w:rPr>
          <w:t>Index to Financial Statements</w:t>
        </w:r>
      </w:hyperlink>
    </w:p>
    <w:p w14:paraId="3973CFB5"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CFB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754"/>
        <w:gridCol w:w="149"/>
        <w:gridCol w:w="107"/>
        <w:gridCol w:w="815"/>
        <w:gridCol w:w="79"/>
        <w:gridCol w:w="149"/>
        <w:gridCol w:w="981"/>
        <w:gridCol w:w="149"/>
        <w:gridCol w:w="983"/>
        <w:gridCol w:w="149"/>
        <w:gridCol w:w="107"/>
        <w:gridCol w:w="820"/>
        <w:gridCol w:w="79"/>
      </w:tblGrid>
      <w:tr w:rsidR="007B027D" w14:paraId="3973CFBB" w14:textId="77777777">
        <w:tc>
          <w:tcPr>
            <w:tcW w:w="2259" w:type="pct"/>
            <w:shd w:val="clear" w:color="auto" w:fill="FFFFFF"/>
            <w:tcMar>
              <w:top w:w="15" w:type="dxa"/>
              <w:right w:w="15" w:type="dxa"/>
            </w:tcMar>
            <w:vAlign w:val="center"/>
          </w:tcPr>
          <w:p w14:paraId="3973CFB7"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2" w:type="pct"/>
            <w:shd w:val="clear" w:color="auto" w:fill="FFFFFF"/>
            <w:tcMar>
              <w:top w:w="15" w:type="dxa"/>
              <w:right w:w="15" w:type="dxa"/>
            </w:tcMar>
            <w:vAlign w:val="bottom"/>
          </w:tcPr>
          <w:p w14:paraId="3973CFB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598" w:type="pct"/>
            <w:gridSpan w:val="10"/>
            <w:tcBorders>
              <w:bottom w:val="single" w:sz="6" w:space="0" w:color="000000"/>
            </w:tcBorders>
            <w:shd w:val="clear" w:color="auto" w:fill="FFFFFF"/>
            <w:tcMar>
              <w:top w:w="15" w:type="dxa"/>
              <w:right w:w="15" w:type="dxa"/>
            </w:tcMar>
            <w:vAlign w:val="bottom"/>
          </w:tcPr>
          <w:p w14:paraId="3973CFB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CFB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FC7" w14:textId="77777777">
        <w:tc>
          <w:tcPr>
            <w:tcW w:w="2259" w:type="pct"/>
            <w:shd w:val="clear" w:color="auto" w:fill="FFFFFF"/>
            <w:tcMar>
              <w:top w:w="15" w:type="dxa"/>
              <w:right w:w="15" w:type="dxa"/>
            </w:tcMar>
            <w:vAlign w:val="center"/>
          </w:tcPr>
          <w:p w14:paraId="3973CFB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2" w:type="pct"/>
            <w:shd w:val="clear" w:color="auto" w:fill="FFFFFF"/>
            <w:tcMar>
              <w:top w:w="15" w:type="dxa"/>
              <w:right w:w="15" w:type="dxa"/>
            </w:tcMar>
            <w:vAlign w:val="bottom"/>
          </w:tcPr>
          <w:p w14:paraId="3973CFB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CFB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right w:w="15" w:type="dxa"/>
            </w:tcMar>
            <w:vAlign w:val="center"/>
          </w:tcPr>
          <w:p w14:paraId="3973CFB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CFC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2" w:type="pct"/>
            <w:tcBorders>
              <w:top w:val="single" w:sz="6" w:space="0" w:color="000000"/>
            </w:tcBorders>
            <w:shd w:val="clear" w:color="auto" w:fill="FFFFFF"/>
            <w:tcMar>
              <w:top w:w="15" w:type="dxa"/>
              <w:right w:w="15" w:type="dxa"/>
            </w:tcMar>
            <w:vAlign w:val="center"/>
          </w:tcPr>
          <w:p w14:paraId="3973CFC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7" w:type="pct"/>
            <w:gridSpan w:val="3"/>
            <w:tcBorders>
              <w:top w:val="single" w:sz="6" w:space="0" w:color="000000"/>
              <w:bottom w:val="single" w:sz="6" w:space="0" w:color="000000"/>
            </w:tcBorders>
            <w:shd w:val="clear" w:color="auto" w:fill="FFFFFF"/>
            <w:tcMar>
              <w:top w:w="15" w:type="dxa"/>
              <w:right w:w="15" w:type="dxa"/>
            </w:tcMar>
            <w:vAlign w:val="bottom"/>
          </w:tcPr>
          <w:p w14:paraId="3973CFC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92" w:type="pct"/>
            <w:tcBorders>
              <w:top w:val="single" w:sz="6" w:space="0" w:color="000000"/>
            </w:tcBorders>
            <w:shd w:val="clear" w:color="auto" w:fill="FFFFFF"/>
            <w:tcMar>
              <w:top w:w="15" w:type="dxa"/>
              <w:right w:w="15" w:type="dxa"/>
            </w:tcMar>
            <w:vAlign w:val="center"/>
          </w:tcPr>
          <w:p w14:paraId="3973CFC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CFC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right w:w="15" w:type="dxa"/>
            </w:tcMar>
            <w:vAlign w:val="center"/>
          </w:tcPr>
          <w:p w14:paraId="3973CFC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CFC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CFD3" w14:textId="77777777">
        <w:tc>
          <w:tcPr>
            <w:tcW w:w="2259" w:type="pct"/>
            <w:tcBorders>
              <w:bottom w:val="single" w:sz="6" w:space="0" w:color="000000"/>
            </w:tcBorders>
            <w:shd w:val="clear" w:color="auto" w:fill="FFFFFF"/>
            <w:tcMar>
              <w:top w:w="15" w:type="dxa"/>
              <w:right w:w="15" w:type="dxa"/>
            </w:tcMar>
            <w:vAlign w:val="bottom"/>
          </w:tcPr>
          <w:p w14:paraId="3973CFC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92" w:type="pct"/>
            <w:shd w:val="clear" w:color="auto" w:fill="FFFFFF"/>
            <w:tcMar>
              <w:top w:w="15" w:type="dxa"/>
              <w:right w:w="15" w:type="dxa"/>
            </w:tcMar>
            <w:vAlign w:val="bottom"/>
          </w:tcPr>
          <w:p w14:paraId="3973CFC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2" w:type="pct"/>
            <w:gridSpan w:val="2"/>
            <w:tcBorders>
              <w:bottom w:val="single" w:sz="6" w:space="0" w:color="000000"/>
            </w:tcBorders>
            <w:shd w:val="clear" w:color="auto" w:fill="FFFFFF"/>
            <w:tcMar>
              <w:top w:w="15" w:type="dxa"/>
              <w:right w:w="15" w:type="dxa"/>
            </w:tcMar>
            <w:vAlign w:val="bottom"/>
          </w:tcPr>
          <w:p w14:paraId="3973CF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CFC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2" w:type="pct"/>
            <w:shd w:val="clear" w:color="auto" w:fill="FFFFFF"/>
            <w:tcMar>
              <w:top w:w="15" w:type="dxa"/>
              <w:right w:w="15" w:type="dxa"/>
            </w:tcMar>
            <w:vAlign w:val="bottom"/>
          </w:tcPr>
          <w:p w14:paraId="3973CFC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right w:w="15" w:type="dxa"/>
            </w:tcMar>
            <w:vAlign w:val="bottom"/>
          </w:tcPr>
          <w:p w14:paraId="3973CFC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92" w:type="pct"/>
            <w:tcBorders>
              <w:top w:val="single" w:sz="6" w:space="0" w:color="000000"/>
            </w:tcBorders>
            <w:shd w:val="clear" w:color="auto" w:fill="FFFFFF"/>
            <w:tcMar>
              <w:top w:w="15" w:type="dxa"/>
              <w:right w:w="15" w:type="dxa"/>
            </w:tcMar>
            <w:vAlign w:val="bottom"/>
          </w:tcPr>
          <w:p w14:paraId="3973CFC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right w:w="15" w:type="dxa"/>
            </w:tcMar>
            <w:vAlign w:val="bottom"/>
          </w:tcPr>
          <w:p w14:paraId="3973CFC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92" w:type="pct"/>
            <w:shd w:val="clear" w:color="auto" w:fill="FFFFFF"/>
            <w:tcMar>
              <w:top w:w="15" w:type="dxa"/>
              <w:right w:w="15" w:type="dxa"/>
            </w:tcMar>
            <w:vAlign w:val="bottom"/>
          </w:tcPr>
          <w:p w14:paraId="3973CFD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42" w:type="pct"/>
            <w:gridSpan w:val="2"/>
            <w:tcBorders>
              <w:bottom w:val="single" w:sz="6" w:space="0" w:color="000000"/>
            </w:tcBorders>
            <w:shd w:val="clear" w:color="auto" w:fill="FFFFFF"/>
            <w:tcMar>
              <w:top w:w="15" w:type="dxa"/>
              <w:right w:w="15" w:type="dxa"/>
            </w:tcMar>
            <w:vAlign w:val="bottom"/>
          </w:tcPr>
          <w:p w14:paraId="3973CFD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color w:val="000000"/>
                <w:sz w:val="15"/>
                <w:szCs w:val="15"/>
              </w:rPr>
              <w:t>(1)</w:t>
            </w:r>
          </w:p>
        </w:tc>
        <w:tc>
          <w:tcPr>
            <w:tcW w:w="50" w:type="pct"/>
            <w:shd w:val="clear" w:color="auto" w:fill="FFFFFF"/>
            <w:noWrap/>
            <w:tcMar>
              <w:top w:w="15" w:type="dxa"/>
              <w:right w:w="15" w:type="dxa"/>
            </w:tcMar>
            <w:vAlign w:val="bottom"/>
          </w:tcPr>
          <w:p w14:paraId="3973CFD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7B027D" w14:paraId="3973CFE1" w14:textId="77777777">
        <w:tc>
          <w:tcPr>
            <w:tcW w:w="2259" w:type="pct"/>
            <w:tcBorders>
              <w:top w:val="single" w:sz="6" w:space="0" w:color="000000"/>
            </w:tcBorders>
            <w:shd w:val="clear" w:color="auto" w:fill="CFF0FC"/>
            <w:tcMar>
              <w:top w:w="15" w:type="dxa"/>
              <w:right w:w="15" w:type="dxa"/>
            </w:tcMar>
          </w:tcPr>
          <w:p w14:paraId="3973CFD4"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and License Revenues</w:t>
            </w:r>
            <w:r>
              <w:rPr>
                <w:rFonts w:ascii="Calibri" w:hAnsi="Calibri" w:cs="Calibri"/>
                <w:b/>
                <w:bCs/>
                <w:color w:val="000000"/>
                <w:sz w:val="18"/>
                <w:szCs w:val="18"/>
              </w:rPr>
              <w:t>:</w:t>
            </w:r>
          </w:p>
        </w:tc>
        <w:tc>
          <w:tcPr>
            <w:tcW w:w="92" w:type="pct"/>
            <w:shd w:val="clear" w:color="auto" w:fill="CFF0FC"/>
            <w:tcMar>
              <w:top w:w="15" w:type="dxa"/>
              <w:right w:w="15" w:type="dxa"/>
            </w:tcMar>
            <w:vAlign w:val="bottom"/>
          </w:tcPr>
          <w:p w14:paraId="3973CFD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F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3973CFD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F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CF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right w:w="15" w:type="dxa"/>
            </w:tcMar>
            <w:vAlign w:val="bottom"/>
          </w:tcPr>
          <w:p w14:paraId="3973CFD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CFD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right w:w="15" w:type="dxa"/>
            </w:tcMar>
            <w:vAlign w:val="bottom"/>
          </w:tcPr>
          <w:p w14:paraId="3973CFD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CF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CFD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3973CFD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F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FEF" w14:textId="77777777">
        <w:tc>
          <w:tcPr>
            <w:tcW w:w="2259" w:type="pct"/>
            <w:shd w:val="clear" w:color="auto" w:fill="FFFFFF"/>
            <w:tcMar>
              <w:top w:w="15" w:type="dxa"/>
              <w:right w:w="15" w:type="dxa"/>
            </w:tcMar>
          </w:tcPr>
          <w:p w14:paraId="3973CF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92" w:type="pct"/>
            <w:shd w:val="clear" w:color="auto" w:fill="FFFFFF"/>
            <w:tcMar>
              <w:top w:w="15" w:type="dxa"/>
              <w:right w:w="15" w:type="dxa"/>
            </w:tcMar>
            <w:vAlign w:val="bottom"/>
          </w:tcPr>
          <w:p w14:paraId="3973CFE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F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right w:w="15" w:type="dxa"/>
            </w:tcMar>
            <w:vAlign w:val="bottom"/>
          </w:tcPr>
          <w:p w14:paraId="3973CFE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20,594</w:t>
            </w:r>
          </w:p>
        </w:tc>
        <w:tc>
          <w:tcPr>
            <w:tcW w:w="50" w:type="pct"/>
            <w:shd w:val="clear" w:color="auto" w:fill="FFFFFF"/>
            <w:noWrap/>
            <w:tcMar>
              <w:top w:w="15" w:type="dxa"/>
              <w:right w:w="15" w:type="dxa"/>
            </w:tcMar>
            <w:vAlign w:val="bottom"/>
          </w:tcPr>
          <w:p w14:paraId="3973CF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CF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CFE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92" w:type="pct"/>
            <w:shd w:val="clear" w:color="auto" w:fill="FFFFFF"/>
            <w:tcMar>
              <w:top w:w="15" w:type="dxa"/>
              <w:right w:w="15" w:type="dxa"/>
            </w:tcMar>
            <w:vAlign w:val="bottom"/>
          </w:tcPr>
          <w:p w14:paraId="3973CFE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CFE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92" w:type="pct"/>
            <w:shd w:val="clear" w:color="auto" w:fill="FFFFFF"/>
            <w:tcMar>
              <w:top w:w="15" w:type="dxa"/>
              <w:right w:w="15" w:type="dxa"/>
            </w:tcMar>
            <w:vAlign w:val="bottom"/>
          </w:tcPr>
          <w:p w14:paraId="3973CF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CFE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right w:w="15" w:type="dxa"/>
            </w:tcMar>
            <w:vAlign w:val="bottom"/>
          </w:tcPr>
          <w:p w14:paraId="3973CFE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18,783</w:t>
            </w:r>
          </w:p>
        </w:tc>
        <w:tc>
          <w:tcPr>
            <w:tcW w:w="50" w:type="pct"/>
            <w:shd w:val="clear" w:color="auto" w:fill="FFFFFF"/>
            <w:noWrap/>
            <w:tcMar>
              <w:top w:w="15" w:type="dxa"/>
              <w:right w:w="15" w:type="dxa"/>
            </w:tcMar>
            <w:vAlign w:val="bottom"/>
          </w:tcPr>
          <w:p w14:paraId="3973CF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CFFD" w14:textId="77777777">
        <w:tc>
          <w:tcPr>
            <w:tcW w:w="2259" w:type="pct"/>
            <w:shd w:val="clear" w:color="auto" w:fill="CFF0FC"/>
            <w:tcMar>
              <w:top w:w="15" w:type="dxa"/>
              <w:right w:w="15" w:type="dxa"/>
            </w:tcMar>
          </w:tcPr>
          <w:p w14:paraId="3973CF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92" w:type="pct"/>
            <w:shd w:val="clear" w:color="auto" w:fill="CFF0FC"/>
            <w:tcMar>
              <w:top w:w="15" w:type="dxa"/>
              <w:right w:w="15" w:type="dxa"/>
            </w:tcMar>
            <w:vAlign w:val="bottom"/>
          </w:tcPr>
          <w:p w14:paraId="3973CFF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F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3973CFF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10,016</w:t>
            </w:r>
          </w:p>
        </w:tc>
        <w:tc>
          <w:tcPr>
            <w:tcW w:w="50" w:type="pct"/>
            <w:shd w:val="clear" w:color="auto" w:fill="CFF0FC"/>
            <w:noWrap/>
            <w:tcMar>
              <w:top w:w="15" w:type="dxa"/>
              <w:right w:w="15" w:type="dxa"/>
            </w:tcMar>
            <w:vAlign w:val="bottom"/>
          </w:tcPr>
          <w:p w14:paraId="3973CFF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CFF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CFF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2" w:type="pct"/>
            <w:shd w:val="clear" w:color="auto" w:fill="CFF0FC"/>
            <w:tcMar>
              <w:top w:w="15" w:type="dxa"/>
              <w:right w:w="15" w:type="dxa"/>
            </w:tcMar>
            <w:vAlign w:val="bottom"/>
          </w:tcPr>
          <w:p w14:paraId="3973CF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CFF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CFF0FC"/>
            <w:tcMar>
              <w:top w:w="15" w:type="dxa"/>
              <w:right w:w="15" w:type="dxa"/>
            </w:tcMar>
            <w:vAlign w:val="bottom"/>
          </w:tcPr>
          <w:p w14:paraId="3973CF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CF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3973CFF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9,928</w:t>
            </w:r>
          </w:p>
        </w:tc>
        <w:tc>
          <w:tcPr>
            <w:tcW w:w="50" w:type="pct"/>
            <w:shd w:val="clear" w:color="auto" w:fill="CFF0FC"/>
            <w:noWrap/>
            <w:tcMar>
              <w:top w:w="15" w:type="dxa"/>
              <w:right w:w="15" w:type="dxa"/>
            </w:tcMar>
            <w:vAlign w:val="bottom"/>
          </w:tcPr>
          <w:p w14:paraId="3973CF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0B" w14:textId="77777777">
        <w:tc>
          <w:tcPr>
            <w:tcW w:w="2259" w:type="pct"/>
            <w:shd w:val="clear" w:color="auto" w:fill="FFFFFF"/>
            <w:tcMar>
              <w:top w:w="15" w:type="dxa"/>
              <w:right w:w="15" w:type="dxa"/>
            </w:tcMar>
          </w:tcPr>
          <w:p w14:paraId="3973CF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92" w:type="pct"/>
            <w:shd w:val="clear" w:color="auto" w:fill="FFFFFF"/>
            <w:tcMar>
              <w:top w:w="15" w:type="dxa"/>
              <w:right w:w="15" w:type="dxa"/>
            </w:tcMar>
            <w:vAlign w:val="bottom"/>
          </w:tcPr>
          <w:p w14:paraId="3973CFF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0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0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5,442</w:t>
            </w:r>
          </w:p>
        </w:tc>
        <w:tc>
          <w:tcPr>
            <w:tcW w:w="50" w:type="pct"/>
            <w:shd w:val="clear" w:color="auto" w:fill="FFFFFF"/>
            <w:noWrap/>
            <w:tcMar>
              <w:top w:w="15" w:type="dxa"/>
              <w:right w:w="15" w:type="dxa"/>
            </w:tcMar>
            <w:vAlign w:val="bottom"/>
          </w:tcPr>
          <w:p w14:paraId="3973D00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0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2" w:type="pct"/>
            <w:shd w:val="clear" w:color="auto" w:fill="FFFFFF"/>
            <w:tcMar>
              <w:top w:w="15" w:type="dxa"/>
              <w:right w:w="15" w:type="dxa"/>
            </w:tcMar>
            <w:vAlign w:val="bottom"/>
          </w:tcPr>
          <w:p w14:paraId="3973D0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0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FFFFFF"/>
            <w:tcMar>
              <w:top w:w="15" w:type="dxa"/>
              <w:right w:w="15" w:type="dxa"/>
            </w:tcMar>
            <w:vAlign w:val="bottom"/>
          </w:tcPr>
          <w:p w14:paraId="3973D0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0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5,390</w:t>
            </w:r>
          </w:p>
        </w:tc>
        <w:tc>
          <w:tcPr>
            <w:tcW w:w="50" w:type="pct"/>
            <w:shd w:val="clear" w:color="auto" w:fill="FFFFFF"/>
            <w:noWrap/>
            <w:tcMar>
              <w:top w:w="15" w:type="dxa"/>
              <w:right w:w="15" w:type="dxa"/>
            </w:tcMar>
            <w:vAlign w:val="bottom"/>
          </w:tcPr>
          <w:p w14:paraId="3973D0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19" w14:textId="77777777">
        <w:tc>
          <w:tcPr>
            <w:tcW w:w="2259" w:type="pct"/>
            <w:shd w:val="clear" w:color="auto" w:fill="CFF0FC"/>
            <w:tcMar>
              <w:top w:w="15" w:type="dxa"/>
              <w:right w:w="15" w:type="dxa"/>
            </w:tcMar>
          </w:tcPr>
          <w:p w14:paraId="3973D00C"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92" w:type="pct"/>
            <w:shd w:val="clear" w:color="auto" w:fill="CFF0FC"/>
            <w:tcMar>
              <w:top w:w="15" w:type="dxa"/>
              <w:right w:w="15" w:type="dxa"/>
            </w:tcMar>
            <w:vAlign w:val="bottom"/>
          </w:tcPr>
          <w:p w14:paraId="3973D0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00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3973D00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36,052</w:t>
            </w:r>
          </w:p>
        </w:tc>
        <w:tc>
          <w:tcPr>
            <w:tcW w:w="50" w:type="pct"/>
            <w:shd w:val="clear" w:color="auto" w:fill="CFF0FC"/>
            <w:noWrap/>
            <w:tcMar>
              <w:top w:w="15" w:type="dxa"/>
              <w:right w:w="15" w:type="dxa"/>
            </w:tcMar>
            <w:vAlign w:val="bottom"/>
          </w:tcPr>
          <w:p w14:paraId="3973D01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1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2" w:type="pct"/>
            <w:shd w:val="clear" w:color="auto" w:fill="CFF0FC"/>
            <w:tcMar>
              <w:top w:w="15" w:type="dxa"/>
              <w:right w:w="15" w:type="dxa"/>
            </w:tcMar>
            <w:vAlign w:val="bottom"/>
          </w:tcPr>
          <w:p w14:paraId="3973D01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1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92" w:type="pct"/>
            <w:shd w:val="clear" w:color="auto" w:fill="CFF0FC"/>
            <w:tcMar>
              <w:top w:w="15" w:type="dxa"/>
              <w:right w:w="15" w:type="dxa"/>
            </w:tcMar>
            <w:vAlign w:val="bottom"/>
          </w:tcPr>
          <w:p w14:paraId="3973D0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01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3973D01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34,101</w:t>
            </w:r>
          </w:p>
        </w:tc>
        <w:tc>
          <w:tcPr>
            <w:tcW w:w="50" w:type="pct"/>
            <w:shd w:val="clear" w:color="auto" w:fill="CFF0FC"/>
            <w:noWrap/>
            <w:tcMar>
              <w:top w:w="15" w:type="dxa"/>
              <w:right w:w="15" w:type="dxa"/>
            </w:tcMar>
            <w:vAlign w:val="bottom"/>
          </w:tcPr>
          <w:p w14:paraId="3973D0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27" w14:textId="77777777">
        <w:tc>
          <w:tcPr>
            <w:tcW w:w="2259" w:type="pct"/>
            <w:shd w:val="clear" w:color="auto" w:fill="FFFFFF"/>
            <w:tcMar>
              <w:top w:w="15" w:type="dxa"/>
              <w:right w:w="15" w:type="dxa"/>
            </w:tcMar>
          </w:tcPr>
          <w:p w14:paraId="3973D01A"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Expenses</w:t>
            </w:r>
            <w:r>
              <w:rPr>
                <w:rFonts w:ascii="Calibri" w:hAnsi="Calibri" w:cs="Calibri"/>
                <w:b/>
                <w:bCs/>
                <w:color w:val="000000"/>
                <w:sz w:val="18"/>
                <w:szCs w:val="18"/>
              </w:rPr>
              <w:t>:</w:t>
            </w:r>
          </w:p>
        </w:tc>
        <w:tc>
          <w:tcPr>
            <w:tcW w:w="92" w:type="pct"/>
            <w:shd w:val="clear" w:color="auto" w:fill="FFFFFF"/>
            <w:tcMar>
              <w:top w:w="15" w:type="dxa"/>
              <w:right w:w="15" w:type="dxa"/>
            </w:tcMar>
            <w:vAlign w:val="bottom"/>
          </w:tcPr>
          <w:p w14:paraId="3973D0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D0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FFFFFF"/>
            <w:noWrap/>
            <w:tcMar>
              <w:top w:w="15" w:type="dxa"/>
              <w:right w:w="15" w:type="dxa"/>
            </w:tcMar>
            <w:vAlign w:val="bottom"/>
          </w:tcPr>
          <w:p w14:paraId="3973D01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1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2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2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D0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FFFFFF"/>
            <w:noWrap/>
            <w:tcMar>
              <w:top w:w="15" w:type="dxa"/>
              <w:right w:w="15" w:type="dxa"/>
            </w:tcMar>
            <w:vAlign w:val="bottom"/>
          </w:tcPr>
          <w:p w14:paraId="3973D02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35" w14:textId="77777777">
        <w:tc>
          <w:tcPr>
            <w:tcW w:w="2259" w:type="pct"/>
            <w:shd w:val="clear" w:color="auto" w:fill="CFF0FC"/>
            <w:tcMar>
              <w:top w:w="15" w:type="dxa"/>
              <w:right w:w="15" w:type="dxa"/>
            </w:tcMar>
          </w:tcPr>
          <w:p w14:paraId="3973D0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services and license support</w:t>
            </w:r>
            <w:r>
              <w:rPr>
                <w:rFonts w:ascii="Calibri" w:hAnsi="Calibri" w:cs="Calibri"/>
                <w:color w:val="000000"/>
                <w:sz w:val="15"/>
                <w:szCs w:val="15"/>
              </w:rPr>
              <w:t>(2)</w:t>
            </w:r>
          </w:p>
        </w:tc>
        <w:tc>
          <w:tcPr>
            <w:tcW w:w="92" w:type="pct"/>
            <w:shd w:val="clear" w:color="auto" w:fill="CFF0FC"/>
            <w:tcMar>
              <w:top w:w="15" w:type="dxa"/>
              <w:right w:w="15" w:type="dxa"/>
            </w:tcMar>
            <w:vAlign w:val="bottom"/>
          </w:tcPr>
          <w:p w14:paraId="3973D0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3973D02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4,915</w:t>
            </w:r>
          </w:p>
        </w:tc>
        <w:tc>
          <w:tcPr>
            <w:tcW w:w="50" w:type="pct"/>
            <w:shd w:val="clear" w:color="auto" w:fill="CFF0FC"/>
            <w:noWrap/>
            <w:tcMar>
              <w:top w:w="15" w:type="dxa"/>
              <w:right w:w="15" w:type="dxa"/>
            </w:tcMar>
            <w:vAlign w:val="bottom"/>
          </w:tcPr>
          <w:p w14:paraId="3973D02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2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92" w:type="pct"/>
            <w:shd w:val="clear" w:color="auto" w:fill="CFF0FC"/>
            <w:tcMar>
              <w:top w:w="15" w:type="dxa"/>
              <w:right w:w="15" w:type="dxa"/>
            </w:tcMar>
            <w:vAlign w:val="bottom"/>
          </w:tcPr>
          <w:p w14:paraId="3973D0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3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92" w:type="pct"/>
            <w:shd w:val="clear" w:color="auto" w:fill="CFF0FC"/>
            <w:tcMar>
              <w:top w:w="15" w:type="dxa"/>
              <w:right w:w="15" w:type="dxa"/>
            </w:tcMar>
            <w:vAlign w:val="bottom"/>
          </w:tcPr>
          <w:p w14:paraId="3973D0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3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3973D03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4,133</w:t>
            </w:r>
          </w:p>
        </w:tc>
        <w:tc>
          <w:tcPr>
            <w:tcW w:w="50" w:type="pct"/>
            <w:shd w:val="clear" w:color="auto" w:fill="CFF0FC"/>
            <w:noWrap/>
            <w:tcMar>
              <w:top w:w="15" w:type="dxa"/>
              <w:right w:w="15" w:type="dxa"/>
            </w:tcMar>
            <w:vAlign w:val="bottom"/>
          </w:tcPr>
          <w:p w14:paraId="3973D0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43" w14:textId="77777777">
        <w:tc>
          <w:tcPr>
            <w:tcW w:w="2259" w:type="pct"/>
            <w:shd w:val="clear" w:color="auto" w:fill="FFFFFF"/>
            <w:tcMar>
              <w:top w:w="15" w:type="dxa"/>
              <w:right w:w="15" w:type="dxa"/>
            </w:tcMar>
          </w:tcPr>
          <w:p w14:paraId="3973D0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(2)</w:t>
            </w:r>
          </w:p>
        </w:tc>
        <w:tc>
          <w:tcPr>
            <w:tcW w:w="92" w:type="pct"/>
            <w:shd w:val="clear" w:color="auto" w:fill="FFFFFF"/>
            <w:tcMar>
              <w:top w:w="15" w:type="dxa"/>
              <w:right w:w="15" w:type="dxa"/>
            </w:tcMar>
            <w:vAlign w:val="bottom"/>
          </w:tcPr>
          <w:p w14:paraId="3973D0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3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7,054</w:t>
            </w:r>
          </w:p>
        </w:tc>
        <w:tc>
          <w:tcPr>
            <w:tcW w:w="50" w:type="pct"/>
            <w:shd w:val="clear" w:color="auto" w:fill="FFFFFF"/>
            <w:noWrap/>
            <w:tcMar>
              <w:top w:w="15" w:type="dxa"/>
              <w:right w:w="15" w:type="dxa"/>
            </w:tcMar>
            <w:vAlign w:val="bottom"/>
          </w:tcPr>
          <w:p w14:paraId="3973D03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3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2" w:type="pct"/>
            <w:shd w:val="clear" w:color="auto" w:fill="FFFFFF"/>
            <w:tcMar>
              <w:top w:w="15" w:type="dxa"/>
              <w:right w:w="15" w:type="dxa"/>
            </w:tcMar>
            <w:vAlign w:val="bottom"/>
          </w:tcPr>
          <w:p w14:paraId="3973D0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3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FFFFFF"/>
            <w:tcMar>
              <w:top w:w="15" w:type="dxa"/>
              <w:right w:w="15" w:type="dxa"/>
            </w:tcMar>
            <w:vAlign w:val="bottom"/>
          </w:tcPr>
          <w:p w14:paraId="3973D0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4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6,799</w:t>
            </w:r>
          </w:p>
        </w:tc>
        <w:tc>
          <w:tcPr>
            <w:tcW w:w="50" w:type="pct"/>
            <w:shd w:val="clear" w:color="auto" w:fill="FFFFFF"/>
            <w:noWrap/>
            <w:tcMar>
              <w:top w:w="15" w:type="dxa"/>
              <w:right w:w="15" w:type="dxa"/>
            </w:tcMar>
            <w:vAlign w:val="bottom"/>
          </w:tcPr>
          <w:p w14:paraId="3973D04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51" w14:textId="77777777">
        <w:tc>
          <w:tcPr>
            <w:tcW w:w="2259" w:type="pct"/>
            <w:shd w:val="clear" w:color="auto" w:fill="CFF0FC"/>
            <w:tcMar>
              <w:top w:w="15" w:type="dxa"/>
              <w:right w:w="15" w:type="dxa"/>
            </w:tcMar>
          </w:tcPr>
          <w:p w14:paraId="3973D044"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expenses</w:t>
            </w:r>
            <w:r>
              <w:rPr>
                <w:rFonts w:ascii="Calibri" w:hAnsi="Calibri" w:cs="Calibri"/>
                <w:color w:val="000000"/>
                <w:sz w:val="15"/>
                <w:szCs w:val="15"/>
              </w:rPr>
              <w:t>(2)</w:t>
            </w:r>
          </w:p>
        </w:tc>
        <w:tc>
          <w:tcPr>
            <w:tcW w:w="92" w:type="pct"/>
            <w:shd w:val="clear" w:color="auto" w:fill="CFF0FC"/>
            <w:tcMar>
              <w:top w:w="15" w:type="dxa"/>
              <w:right w:w="15" w:type="dxa"/>
            </w:tcMar>
            <w:vAlign w:val="bottom"/>
          </w:tcPr>
          <w:p w14:paraId="3973D0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0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3973D04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11,969</w:t>
            </w:r>
          </w:p>
        </w:tc>
        <w:tc>
          <w:tcPr>
            <w:tcW w:w="50" w:type="pct"/>
            <w:shd w:val="clear" w:color="auto" w:fill="CFF0FC"/>
            <w:noWrap/>
            <w:tcMar>
              <w:top w:w="15" w:type="dxa"/>
              <w:right w:w="15" w:type="dxa"/>
            </w:tcMar>
            <w:vAlign w:val="bottom"/>
          </w:tcPr>
          <w:p w14:paraId="3973D04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4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92" w:type="pct"/>
            <w:shd w:val="clear" w:color="auto" w:fill="CFF0FC"/>
            <w:tcMar>
              <w:top w:w="15" w:type="dxa"/>
              <w:right w:w="15" w:type="dxa"/>
            </w:tcMar>
            <w:vAlign w:val="bottom"/>
          </w:tcPr>
          <w:p w14:paraId="3973D04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4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92" w:type="pct"/>
            <w:shd w:val="clear" w:color="auto" w:fill="CFF0FC"/>
            <w:tcMar>
              <w:top w:w="15" w:type="dxa"/>
              <w:right w:w="15" w:type="dxa"/>
            </w:tcMar>
            <w:vAlign w:val="bottom"/>
          </w:tcPr>
          <w:p w14:paraId="3973D0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0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3973D04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10,932</w:t>
            </w:r>
          </w:p>
        </w:tc>
        <w:tc>
          <w:tcPr>
            <w:tcW w:w="50" w:type="pct"/>
            <w:shd w:val="clear" w:color="auto" w:fill="CFF0FC"/>
            <w:noWrap/>
            <w:tcMar>
              <w:top w:w="15" w:type="dxa"/>
              <w:right w:w="15" w:type="dxa"/>
            </w:tcMar>
            <w:vAlign w:val="bottom"/>
          </w:tcPr>
          <w:p w14:paraId="3973D0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5F" w14:textId="77777777">
        <w:tc>
          <w:tcPr>
            <w:tcW w:w="2259" w:type="pct"/>
            <w:shd w:val="clear" w:color="auto" w:fill="FFFFFF"/>
            <w:tcMar>
              <w:top w:w="15" w:type="dxa"/>
              <w:right w:w="15" w:type="dxa"/>
            </w:tcMar>
          </w:tcPr>
          <w:p w14:paraId="3973D052"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w:t>
            </w:r>
          </w:p>
        </w:tc>
        <w:tc>
          <w:tcPr>
            <w:tcW w:w="92" w:type="pct"/>
            <w:shd w:val="clear" w:color="auto" w:fill="FFFFFF"/>
            <w:tcMar>
              <w:top w:w="15" w:type="dxa"/>
              <w:right w:w="15" w:type="dxa"/>
            </w:tcMar>
            <w:vAlign w:val="bottom"/>
          </w:tcPr>
          <w:p w14:paraId="3973D05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0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right w:w="15" w:type="dxa"/>
            </w:tcMar>
            <w:vAlign w:val="bottom"/>
          </w:tcPr>
          <w:p w14:paraId="3973D05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24,083</w:t>
            </w:r>
          </w:p>
        </w:tc>
        <w:tc>
          <w:tcPr>
            <w:tcW w:w="50" w:type="pct"/>
            <w:shd w:val="clear" w:color="auto" w:fill="FFFFFF"/>
            <w:noWrap/>
            <w:tcMar>
              <w:top w:w="15" w:type="dxa"/>
              <w:right w:w="15" w:type="dxa"/>
            </w:tcMar>
            <w:vAlign w:val="bottom"/>
          </w:tcPr>
          <w:p w14:paraId="3973D0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5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2" w:type="pct"/>
            <w:shd w:val="clear" w:color="auto" w:fill="FFFFFF"/>
            <w:tcMar>
              <w:top w:w="15" w:type="dxa"/>
              <w:right w:w="15" w:type="dxa"/>
            </w:tcMar>
            <w:vAlign w:val="bottom"/>
          </w:tcPr>
          <w:p w14:paraId="3973D0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5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2" w:type="pct"/>
            <w:shd w:val="clear" w:color="auto" w:fill="FFFFFF"/>
            <w:tcMar>
              <w:top w:w="15" w:type="dxa"/>
              <w:right w:w="15" w:type="dxa"/>
            </w:tcMar>
            <w:vAlign w:val="bottom"/>
          </w:tcPr>
          <w:p w14:paraId="3973D0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0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right w:w="15" w:type="dxa"/>
            </w:tcMar>
            <w:vAlign w:val="bottom"/>
          </w:tcPr>
          <w:p w14:paraId="3973D05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23,169</w:t>
            </w:r>
          </w:p>
        </w:tc>
        <w:tc>
          <w:tcPr>
            <w:tcW w:w="50" w:type="pct"/>
            <w:shd w:val="clear" w:color="auto" w:fill="FFFFFF"/>
            <w:noWrap/>
            <w:tcMar>
              <w:top w:w="15" w:type="dxa"/>
              <w:right w:w="15" w:type="dxa"/>
            </w:tcMar>
            <w:vAlign w:val="bottom"/>
          </w:tcPr>
          <w:p w14:paraId="3973D0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6B" w14:textId="77777777">
        <w:tc>
          <w:tcPr>
            <w:tcW w:w="2259" w:type="pct"/>
            <w:shd w:val="clear" w:color="auto" w:fill="CFF0FC"/>
            <w:tcMar>
              <w:top w:w="15" w:type="dxa"/>
              <w:right w:w="15" w:type="dxa"/>
            </w:tcMar>
          </w:tcPr>
          <w:p w14:paraId="3973D060"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 %</w:t>
            </w:r>
          </w:p>
        </w:tc>
        <w:tc>
          <w:tcPr>
            <w:tcW w:w="92" w:type="pct"/>
            <w:shd w:val="clear" w:color="auto" w:fill="CFF0FC"/>
            <w:tcMar>
              <w:top w:w="15" w:type="dxa"/>
              <w:right w:w="15" w:type="dxa"/>
            </w:tcMar>
            <w:vAlign w:val="bottom"/>
          </w:tcPr>
          <w:p w14:paraId="3973D0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right w:w="15" w:type="dxa"/>
            </w:tcMar>
            <w:vAlign w:val="bottom"/>
          </w:tcPr>
          <w:p w14:paraId="3973D06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w:t>
            </w:r>
          </w:p>
        </w:tc>
        <w:tc>
          <w:tcPr>
            <w:tcW w:w="50" w:type="pct"/>
            <w:shd w:val="clear" w:color="auto" w:fill="CFF0FC"/>
            <w:noWrap/>
            <w:tcMar>
              <w:top w:w="15" w:type="dxa"/>
              <w:right w:w="15" w:type="dxa"/>
            </w:tcMar>
            <w:vAlign w:val="bottom"/>
          </w:tcPr>
          <w:p w14:paraId="3973D0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6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6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right w:w="15" w:type="dxa"/>
            </w:tcMar>
            <w:vAlign w:val="bottom"/>
          </w:tcPr>
          <w:p w14:paraId="3973D06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w:t>
            </w:r>
          </w:p>
        </w:tc>
        <w:tc>
          <w:tcPr>
            <w:tcW w:w="50" w:type="pct"/>
            <w:shd w:val="clear" w:color="auto" w:fill="CFF0FC"/>
            <w:noWrap/>
            <w:tcMar>
              <w:top w:w="15" w:type="dxa"/>
              <w:right w:w="15" w:type="dxa"/>
            </w:tcMar>
            <w:vAlign w:val="bottom"/>
          </w:tcPr>
          <w:p w14:paraId="3973D0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79" w14:textId="77777777">
        <w:tc>
          <w:tcPr>
            <w:tcW w:w="2259" w:type="pct"/>
            <w:shd w:val="clear" w:color="auto" w:fill="FFFFFF"/>
            <w:tcMar>
              <w:top w:w="15" w:type="dxa"/>
              <w:right w:w="15" w:type="dxa"/>
            </w:tcMar>
          </w:tcPr>
          <w:p w14:paraId="3973D06C"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r>
              <w:rPr>
                <w:rFonts w:ascii="Calibri" w:hAnsi="Calibri" w:cs="Calibri"/>
                <w:b/>
                <w:bCs/>
                <w:color w:val="000000"/>
                <w:sz w:val="18"/>
                <w:szCs w:val="18"/>
              </w:rPr>
              <w:t>:</w:t>
            </w:r>
          </w:p>
        </w:tc>
        <w:tc>
          <w:tcPr>
            <w:tcW w:w="92" w:type="pct"/>
            <w:shd w:val="clear" w:color="auto" w:fill="FFFFFF"/>
            <w:tcMar>
              <w:top w:w="15" w:type="dxa"/>
              <w:right w:w="15" w:type="dxa"/>
            </w:tcMar>
            <w:vAlign w:val="bottom"/>
          </w:tcPr>
          <w:p w14:paraId="3973D0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3973D06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7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7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7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3973D07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85" w14:textId="77777777">
        <w:tc>
          <w:tcPr>
            <w:tcW w:w="2259" w:type="pct"/>
            <w:shd w:val="clear" w:color="auto" w:fill="CFF0FC"/>
            <w:tcMar>
              <w:top w:w="15" w:type="dxa"/>
              <w:right w:w="15" w:type="dxa"/>
            </w:tcMar>
          </w:tcPr>
          <w:p w14:paraId="3973D0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92" w:type="pct"/>
            <w:shd w:val="clear" w:color="auto" w:fill="CFF0FC"/>
            <w:tcMar>
              <w:top w:w="15" w:type="dxa"/>
              <w:right w:w="15" w:type="dxa"/>
            </w:tcMar>
            <w:vAlign w:val="bottom"/>
          </w:tcPr>
          <w:p w14:paraId="3973D0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3973D07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3973D07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7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8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3973D08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CFF0FC"/>
            <w:noWrap/>
            <w:tcMar>
              <w:top w:w="15" w:type="dxa"/>
              <w:right w:w="15" w:type="dxa"/>
            </w:tcMar>
            <w:vAlign w:val="bottom"/>
          </w:tcPr>
          <w:p w14:paraId="3973D08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91" w14:textId="77777777">
        <w:tc>
          <w:tcPr>
            <w:tcW w:w="2259" w:type="pct"/>
            <w:shd w:val="clear" w:color="auto" w:fill="FFFFFF"/>
            <w:tcMar>
              <w:top w:w="15" w:type="dxa"/>
              <w:right w:w="15" w:type="dxa"/>
            </w:tcMar>
          </w:tcPr>
          <w:p w14:paraId="3973D0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92" w:type="pct"/>
            <w:shd w:val="clear" w:color="auto" w:fill="FFFFFF"/>
            <w:tcMar>
              <w:top w:w="15" w:type="dxa"/>
              <w:right w:w="15" w:type="dxa"/>
            </w:tcMar>
            <w:vAlign w:val="bottom"/>
          </w:tcPr>
          <w:p w14:paraId="3973D08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right w:w="15" w:type="dxa"/>
            </w:tcMar>
            <w:vAlign w:val="bottom"/>
          </w:tcPr>
          <w:p w14:paraId="3973D08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3973D0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8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8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8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right w:w="15" w:type="dxa"/>
            </w:tcMar>
            <w:vAlign w:val="bottom"/>
          </w:tcPr>
          <w:p w14:paraId="3973D08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FFFFFF"/>
            <w:noWrap/>
            <w:tcMar>
              <w:top w:w="15" w:type="dxa"/>
              <w:right w:w="15" w:type="dxa"/>
            </w:tcMar>
            <w:vAlign w:val="bottom"/>
          </w:tcPr>
          <w:p w14:paraId="3973D0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9D" w14:textId="77777777">
        <w:tc>
          <w:tcPr>
            <w:tcW w:w="2259" w:type="pct"/>
            <w:shd w:val="clear" w:color="auto" w:fill="CFF0FC"/>
            <w:tcMar>
              <w:top w:w="15" w:type="dxa"/>
              <w:right w:w="15" w:type="dxa"/>
            </w:tcMar>
          </w:tcPr>
          <w:p w14:paraId="3973D0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92" w:type="pct"/>
            <w:shd w:val="clear" w:color="auto" w:fill="CFF0FC"/>
            <w:tcMar>
              <w:top w:w="15" w:type="dxa"/>
              <w:right w:w="15" w:type="dxa"/>
            </w:tcMar>
            <w:vAlign w:val="bottom"/>
          </w:tcPr>
          <w:p w14:paraId="3973D0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3973D09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3973D09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9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9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3973D09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3973D0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AB" w14:textId="77777777">
        <w:tc>
          <w:tcPr>
            <w:tcW w:w="2259" w:type="pct"/>
            <w:shd w:val="clear" w:color="auto" w:fill="FFFFFF"/>
            <w:tcMar>
              <w:top w:w="15" w:type="dxa"/>
              <w:right w:w="15" w:type="dxa"/>
            </w:tcMar>
          </w:tcPr>
          <w:p w14:paraId="3973D09E"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Revenues by Offerings</w:t>
            </w:r>
            <w:r>
              <w:rPr>
                <w:rFonts w:ascii="Calibri" w:hAnsi="Calibri" w:cs="Calibri"/>
                <w:b/>
                <w:bCs/>
                <w:color w:val="000000"/>
                <w:sz w:val="18"/>
                <w:szCs w:val="18"/>
              </w:rPr>
              <w:t>:</w:t>
            </w:r>
          </w:p>
        </w:tc>
        <w:tc>
          <w:tcPr>
            <w:tcW w:w="92" w:type="pct"/>
            <w:shd w:val="clear" w:color="auto" w:fill="FFFFFF"/>
            <w:tcMar>
              <w:top w:w="15" w:type="dxa"/>
              <w:right w:w="15" w:type="dxa"/>
            </w:tcMar>
            <w:vAlign w:val="bottom"/>
          </w:tcPr>
          <w:p w14:paraId="3973D09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3973D0A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A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A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A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A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3973D0A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B9" w14:textId="77777777">
        <w:tc>
          <w:tcPr>
            <w:tcW w:w="2259" w:type="pct"/>
            <w:shd w:val="clear" w:color="auto" w:fill="CFF0FC"/>
            <w:tcMar>
              <w:top w:w="15" w:type="dxa"/>
              <w:right w:w="15" w:type="dxa"/>
            </w:tcMar>
          </w:tcPr>
          <w:p w14:paraId="3973D0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Cloud services and license </w:t>
            </w:r>
            <w:r>
              <w:rPr>
                <w:rFonts w:ascii="Calibri" w:hAnsi="Calibri" w:cs="Calibri"/>
                <w:color w:val="000000"/>
                <w:sz w:val="18"/>
                <w:szCs w:val="18"/>
              </w:rPr>
              <w:t>support</w:t>
            </w:r>
            <w:r>
              <w:rPr>
                <w:rFonts w:ascii="Calibri" w:hAnsi="Calibri" w:cs="Calibri"/>
                <w:color w:val="000000"/>
                <w:sz w:val="15"/>
                <w:szCs w:val="15"/>
              </w:rPr>
              <w:t>(1)</w:t>
            </w:r>
          </w:p>
        </w:tc>
        <w:tc>
          <w:tcPr>
            <w:tcW w:w="92" w:type="pct"/>
            <w:shd w:val="clear" w:color="auto" w:fill="CFF0FC"/>
            <w:tcMar>
              <w:top w:w="15" w:type="dxa"/>
              <w:right w:w="15" w:type="dxa"/>
            </w:tcMar>
            <w:vAlign w:val="bottom"/>
          </w:tcPr>
          <w:p w14:paraId="3973D0A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3973D0A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30,174</w:t>
            </w:r>
          </w:p>
        </w:tc>
        <w:tc>
          <w:tcPr>
            <w:tcW w:w="50" w:type="pct"/>
            <w:shd w:val="clear" w:color="auto" w:fill="CFF0FC"/>
            <w:noWrap/>
            <w:tcMar>
              <w:top w:w="15" w:type="dxa"/>
              <w:right w:w="15" w:type="dxa"/>
            </w:tcMar>
            <w:vAlign w:val="bottom"/>
          </w:tcPr>
          <w:p w14:paraId="3973D0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B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B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CFF0FC"/>
            <w:tcMar>
              <w:top w:w="15" w:type="dxa"/>
              <w:right w:w="15" w:type="dxa"/>
            </w:tcMar>
            <w:vAlign w:val="bottom"/>
          </w:tcPr>
          <w:p w14:paraId="3973D0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B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2" w:type="pct"/>
            <w:shd w:val="clear" w:color="auto" w:fill="CFF0FC"/>
            <w:tcMar>
              <w:top w:w="15" w:type="dxa"/>
              <w:right w:w="15" w:type="dxa"/>
            </w:tcMar>
            <w:vAlign w:val="bottom"/>
          </w:tcPr>
          <w:p w14:paraId="3973D0B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3973D0B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28,702</w:t>
            </w:r>
          </w:p>
        </w:tc>
        <w:tc>
          <w:tcPr>
            <w:tcW w:w="50" w:type="pct"/>
            <w:shd w:val="clear" w:color="auto" w:fill="CFF0FC"/>
            <w:noWrap/>
            <w:tcMar>
              <w:top w:w="15" w:type="dxa"/>
              <w:right w:w="15" w:type="dxa"/>
            </w:tcMar>
            <w:vAlign w:val="bottom"/>
          </w:tcPr>
          <w:p w14:paraId="3973D0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C7" w14:textId="77777777">
        <w:tc>
          <w:tcPr>
            <w:tcW w:w="2259" w:type="pct"/>
            <w:shd w:val="clear" w:color="auto" w:fill="FFFFFF"/>
            <w:tcMar>
              <w:top w:w="15" w:type="dxa"/>
              <w:right w:w="15" w:type="dxa"/>
            </w:tcMar>
          </w:tcPr>
          <w:p w14:paraId="3973D0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license and on-premise license</w:t>
            </w:r>
          </w:p>
        </w:tc>
        <w:tc>
          <w:tcPr>
            <w:tcW w:w="92" w:type="pct"/>
            <w:shd w:val="clear" w:color="auto" w:fill="FFFFFF"/>
            <w:tcMar>
              <w:top w:w="15" w:type="dxa"/>
              <w:right w:w="15" w:type="dxa"/>
            </w:tcMar>
            <w:vAlign w:val="bottom"/>
          </w:tcPr>
          <w:p w14:paraId="3973D0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B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5,878</w:t>
            </w:r>
          </w:p>
        </w:tc>
        <w:tc>
          <w:tcPr>
            <w:tcW w:w="50" w:type="pct"/>
            <w:shd w:val="clear" w:color="auto" w:fill="FFFFFF"/>
            <w:noWrap/>
            <w:tcMar>
              <w:top w:w="15" w:type="dxa"/>
              <w:right w:w="15" w:type="dxa"/>
            </w:tcMar>
            <w:vAlign w:val="bottom"/>
          </w:tcPr>
          <w:p w14:paraId="3973D0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B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C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92" w:type="pct"/>
            <w:shd w:val="clear" w:color="auto" w:fill="FFFFFF"/>
            <w:tcMar>
              <w:top w:w="15" w:type="dxa"/>
              <w:right w:w="15" w:type="dxa"/>
            </w:tcMar>
            <w:vAlign w:val="bottom"/>
          </w:tcPr>
          <w:p w14:paraId="3973D0C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C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92" w:type="pct"/>
            <w:shd w:val="clear" w:color="auto" w:fill="FFFFFF"/>
            <w:tcMar>
              <w:top w:w="15" w:type="dxa"/>
              <w:right w:w="15" w:type="dxa"/>
            </w:tcMar>
            <w:vAlign w:val="bottom"/>
          </w:tcPr>
          <w:p w14:paraId="3973D0C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C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5,399</w:t>
            </w:r>
          </w:p>
        </w:tc>
        <w:tc>
          <w:tcPr>
            <w:tcW w:w="50" w:type="pct"/>
            <w:shd w:val="clear" w:color="auto" w:fill="FFFFFF"/>
            <w:noWrap/>
            <w:tcMar>
              <w:top w:w="15" w:type="dxa"/>
              <w:right w:w="15" w:type="dxa"/>
            </w:tcMar>
            <w:vAlign w:val="bottom"/>
          </w:tcPr>
          <w:p w14:paraId="3973D0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D5" w14:textId="77777777">
        <w:tc>
          <w:tcPr>
            <w:tcW w:w="2259" w:type="pct"/>
            <w:shd w:val="clear" w:color="auto" w:fill="CFF0FC"/>
            <w:tcMar>
              <w:top w:w="15" w:type="dxa"/>
              <w:right w:w="15" w:type="dxa"/>
            </w:tcMar>
          </w:tcPr>
          <w:p w14:paraId="3973D0C8"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rPr>
              <w:t>(1)</w:t>
            </w:r>
          </w:p>
        </w:tc>
        <w:tc>
          <w:tcPr>
            <w:tcW w:w="92" w:type="pct"/>
            <w:shd w:val="clear" w:color="auto" w:fill="CFF0FC"/>
            <w:tcMar>
              <w:top w:w="15" w:type="dxa"/>
              <w:right w:w="15" w:type="dxa"/>
            </w:tcMar>
            <w:vAlign w:val="bottom"/>
          </w:tcPr>
          <w:p w14:paraId="3973D0C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0C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3973D0C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36,052</w:t>
            </w:r>
          </w:p>
        </w:tc>
        <w:tc>
          <w:tcPr>
            <w:tcW w:w="50" w:type="pct"/>
            <w:shd w:val="clear" w:color="auto" w:fill="CFF0FC"/>
            <w:noWrap/>
            <w:tcMar>
              <w:top w:w="15" w:type="dxa"/>
              <w:right w:w="15" w:type="dxa"/>
            </w:tcMar>
            <w:vAlign w:val="bottom"/>
          </w:tcPr>
          <w:p w14:paraId="3973D0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C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C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2" w:type="pct"/>
            <w:shd w:val="clear" w:color="auto" w:fill="CFF0FC"/>
            <w:tcMar>
              <w:top w:w="15" w:type="dxa"/>
              <w:right w:w="15" w:type="dxa"/>
            </w:tcMar>
            <w:vAlign w:val="bottom"/>
          </w:tcPr>
          <w:p w14:paraId="3973D0C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D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92" w:type="pct"/>
            <w:shd w:val="clear" w:color="auto" w:fill="CFF0FC"/>
            <w:tcMar>
              <w:top w:w="15" w:type="dxa"/>
              <w:right w:w="15" w:type="dxa"/>
            </w:tcMar>
            <w:vAlign w:val="bottom"/>
          </w:tcPr>
          <w:p w14:paraId="3973D0D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0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3973D0D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34,101</w:t>
            </w:r>
          </w:p>
        </w:tc>
        <w:tc>
          <w:tcPr>
            <w:tcW w:w="50" w:type="pct"/>
            <w:shd w:val="clear" w:color="auto" w:fill="CFF0FC"/>
            <w:noWrap/>
            <w:tcMar>
              <w:top w:w="15" w:type="dxa"/>
              <w:right w:w="15" w:type="dxa"/>
            </w:tcMar>
            <w:vAlign w:val="bottom"/>
          </w:tcPr>
          <w:p w14:paraId="3973D0D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E3" w14:textId="77777777">
        <w:tc>
          <w:tcPr>
            <w:tcW w:w="2259" w:type="pct"/>
            <w:shd w:val="clear" w:color="auto" w:fill="FFFFFF"/>
            <w:tcMar>
              <w:top w:w="15" w:type="dxa"/>
              <w:right w:w="15" w:type="dxa"/>
            </w:tcMar>
          </w:tcPr>
          <w:p w14:paraId="3973D0D6" w14:textId="77777777" w:rsidR="007B027D" w:rsidRDefault="008E0125">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Services and License Support Revenues by Ecosystem</w:t>
            </w:r>
            <w:r>
              <w:rPr>
                <w:rFonts w:ascii="Calibri" w:hAnsi="Calibri" w:cs="Calibri"/>
                <w:b/>
                <w:bCs/>
                <w:color w:val="000000"/>
                <w:sz w:val="18"/>
                <w:szCs w:val="18"/>
              </w:rPr>
              <w:t>:</w:t>
            </w:r>
          </w:p>
        </w:tc>
        <w:tc>
          <w:tcPr>
            <w:tcW w:w="92" w:type="pct"/>
            <w:shd w:val="clear" w:color="auto" w:fill="FFFFFF"/>
            <w:tcMar>
              <w:top w:w="15" w:type="dxa"/>
              <w:right w:w="15" w:type="dxa"/>
            </w:tcMar>
            <w:vAlign w:val="bottom"/>
          </w:tcPr>
          <w:p w14:paraId="3973D0D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0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right w:w="15" w:type="dxa"/>
            </w:tcMar>
            <w:vAlign w:val="bottom"/>
          </w:tcPr>
          <w:p w14:paraId="3973D0D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D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D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D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D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0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right w:w="15" w:type="dxa"/>
            </w:tcMar>
            <w:vAlign w:val="bottom"/>
          </w:tcPr>
          <w:p w14:paraId="3973D0E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0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F1" w14:textId="77777777">
        <w:tc>
          <w:tcPr>
            <w:tcW w:w="2259" w:type="pct"/>
            <w:shd w:val="clear" w:color="auto" w:fill="CFF0FC"/>
            <w:tcMar>
              <w:top w:w="15" w:type="dxa"/>
              <w:right w:w="15" w:type="dxa"/>
            </w:tcMar>
          </w:tcPr>
          <w:p w14:paraId="3973D0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Applications cloud services and license support</w:t>
            </w:r>
          </w:p>
        </w:tc>
        <w:tc>
          <w:tcPr>
            <w:tcW w:w="92" w:type="pct"/>
            <w:shd w:val="clear" w:color="auto" w:fill="CFF0FC"/>
            <w:tcMar>
              <w:top w:w="15" w:type="dxa"/>
              <w:right w:w="15" w:type="dxa"/>
            </w:tcMar>
            <w:vAlign w:val="bottom"/>
          </w:tcPr>
          <w:p w14:paraId="3973D0E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3973D0E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12,612</w:t>
            </w:r>
          </w:p>
        </w:tc>
        <w:tc>
          <w:tcPr>
            <w:tcW w:w="50" w:type="pct"/>
            <w:shd w:val="clear" w:color="auto" w:fill="CFF0FC"/>
            <w:noWrap/>
            <w:tcMar>
              <w:top w:w="15" w:type="dxa"/>
              <w:right w:w="15" w:type="dxa"/>
            </w:tcMar>
            <w:vAlign w:val="bottom"/>
          </w:tcPr>
          <w:p w14:paraId="3973D0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0E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E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92" w:type="pct"/>
            <w:shd w:val="clear" w:color="auto" w:fill="CFF0FC"/>
            <w:tcMar>
              <w:top w:w="15" w:type="dxa"/>
              <w:right w:w="15" w:type="dxa"/>
            </w:tcMar>
            <w:vAlign w:val="bottom"/>
          </w:tcPr>
          <w:p w14:paraId="3973D0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0E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92" w:type="pct"/>
            <w:shd w:val="clear" w:color="auto" w:fill="CFF0FC"/>
            <w:tcMar>
              <w:top w:w="15" w:type="dxa"/>
              <w:right w:w="15" w:type="dxa"/>
            </w:tcMar>
            <w:vAlign w:val="bottom"/>
          </w:tcPr>
          <w:p w14:paraId="3973D0E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0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3973D0E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11,713</w:t>
            </w:r>
          </w:p>
        </w:tc>
        <w:tc>
          <w:tcPr>
            <w:tcW w:w="50" w:type="pct"/>
            <w:shd w:val="clear" w:color="auto" w:fill="CFF0FC"/>
            <w:noWrap/>
            <w:tcMar>
              <w:top w:w="15" w:type="dxa"/>
              <w:right w:w="15" w:type="dxa"/>
            </w:tcMar>
            <w:vAlign w:val="bottom"/>
          </w:tcPr>
          <w:p w14:paraId="3973D0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0FF" w14:textId="77777777">
        <w:tc>
          <w:tcPr>
            <w:tcW w:w="2259" w:type="pct"/>
            <w:shd w:val="clear" w:color="auto" w:fill="FFFFFF"/>
            <w:tcMar>
              <w:top w:w="15" w:type="dxa"/>
              <w:right w:w="15" w:type="dxa"/>
            </w:tcMar>
          </w:tcPr>
          <w:p w14:paraId="3973D0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Infrastructure cloud services and license support</w:t>
            </w:r>
          </w:p>
        </w:tc>
        <w:tc>
          <w:tcPr>
            <w:tcW w:w="92" w:type="pct"/>
            <w:shd w:val="clear" w:color="auto" w:fill="FFFFFF"/>
            <w:tcMar>
              <w:top w:w="15" w:type="dxa"/>
              <w:right w:w="15" w:type="dxa"/>
            </w:tcMar>
            <w:vAlign w:val="bottom"/>
          </w:tcPr>
          <w:p w14:paraId="3973D0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F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F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17,562</w:t>
            </w:r>
          </w:p>
        </w:tc>
        <w:tc>
          <w:tcPr>
            <w:tcW w:w="50" w:type="pct"/>
            <w:shd w:val="clear" w:color="auto" w:fill="FFFFFF"/>
            <w:noWrap/>
            <w:tcMar>
              <w:top w:w="15" w:type="dxa"/>
              <w:right w:w="15" w:type="dxa"/>
            </w:tcMar>
            <w:vAlign w:val="bottom"/>
          </w:tcPr>
          <w:p w14:paraId="3973D0F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FFFFFF"/>
            <w:tcMar>
              <w:top w:w="15" w:type="dxa"/>
              <w:right w:w="15" w:type="dxa"/>
            </w:tcMar>
            <w:vAlign w:val="bottom"/>
          </w:tcPr>
          <w:p w14:paraId="3973D0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F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2" w:type="pct"/>
            <w:shd w:val="clear" w:color="auto" w:fill="FFFFFF"/>
            <w:tcMar>
              <w:top w:w="15" w:type="dxa"/>
              <w:right w:w="15" w:type="dxa"/>
            </w:tcMar>
            <w:vAlign w:val="bottom"/>
          </w:tcPr>
          <w:p w14:paraId="3973D0F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3973D0F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FFFFFF"/>
            <w:tcMar>
              <w:top w:w="15" w:type="dxa"/>
              <w:right w:w="15" w:type="dxa"/>
            </w:tcMar>
            <w:vAlign w:val="bottom"/>
          </w:tcPr>
          <w:p w14:paraId="3973D0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0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3973D0F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16,989</w:t>
            </w:r>
          </w:p>
        </w:tc>
        <w:tc>
          <w:tcPr>
            <w:tcW w:w="50" w:type="pct"/>
            <w:shd w:val="clear" w:color="auto" w:fill="FFFFFF"/>
            <w:noWrap/>
            <w:tcMar>
              <w:top w:w="15" w:type="dxa"/>
              <w:right w:w="15" w:type="dxa"/>
            </w:tcMar>
            <w:vAlign w:val="bottom"/>
          </w:tcPr>
          <w:p w14:paraId="3973D0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10D" w14:textId="77777777">
        <w:tc>
          <w:tcPr>
            <w:tcW w:w="2259" w:type="pct"/>
            <w:shd w:val="clear" w:color="auto" w:fill="CFF0FC"/>
            <w:tcMar>
              <w:top w:w="15" w:type="dxa"/>
              <w:right w:w="15" w:type="dxa"/>
            </w:tcMar>
          </w:tcPr>
          <w:p w14:paraId="3973D100"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cloud services and license support revenues</w:t>
            </w:r>
          </w:p>
        </w:tc>
        <w:tc>
          <w:tcPr>
            <w:tcW w:w="92" w:type="pct"/>
            <w:shd w:val="clear" w:color="auto" w:fill="CFF0FC"/>
            <w:tcMar>
              <w:top w:w="15" w:type="dxa"/>
              <w:right w:w="15" w:type="dxa"/>
            </w:tcMar>
            <w:vAlign w:val="bottom"/>
          </w:tcPr>
          <w:p w14:paraId="3973D1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10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3973D10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30,174</w:t>
            </w:r>
          </w:p>
        </w:tc>
        <w:tc>
          <w:tcPr>
            <w:tcW w:w="50" w:type="pct"/>
            <w:shd w:val="clear" w:color="auto" w:fill="CFF0FC"/>
            <w:noWrap/>
            <w:tcMar>
              <w:top w:w="15" w:type="dxa"/>
              <w:right w:w="15" w:type="dxa"/>
            </w:tcMar>
            <w:vAlign w:val="bottom"/>
          </w:tcPr>
          <w:p w14:paraId="3973D1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2" w:type="pct"/>
            <w:shd w:val="clear" w:color="auto" w:fill="CFF0FC"/>
            <w:tcMar>
              <w:top w:w="15" w:type="dxa"/>
              <w:right w:w="15" w:type="dxa"/>
            </w:tcMar>
            <w:vAlign w:val="bottom"/>
          </w:tcPr>
          <w:p w14:paraId="3973D1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10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2" w:type="pct"/>
            <w:shd w:val="clear" w:color="auto" w:fill="CFF0FC"/>
            <w:tcMar>
              <w:top w:w="15" w:type="dxa"/>
              <w:right w:w="15" w:type="dxa"/>
            </w:tcMar>
            <w:vAlign w:val="bottom"/>
          </w:tcPr>
          <w:p w14:paraId="3973D10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3973D10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2" w:type="pct"/>
            <w:shd w:val="clear" w:color="auto" w:fill="CFF0FC"/>
            <w:tcMar>
              <w:top w:w="15" w:type="dxa"/>
              <w:right w:w="15" w:type="dxa"/>
            </w:tcMar>
            <w:vAlign w:val="bottom"/>
          </w:tcPr>
          <w:p w14:paraId="3973D10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1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3973D10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28,702</w:t>
            </w:r>
          </w:p>
        </w:tc>
        <w:tc>
          <w:tcPr>
            <w:tcW w:w="50" w:type="pct"/>
            <w:shd w:val="clear" w:color="auto" w:fill="CFF0FC"/>
            <w:noWrap/>
            <w:tcMar>
              <w:top w:w="15" w:type="dxa"/>
              <w:right w:w="15" w:type="dxa"/>
            </w:tcMar>
            <w:vAlign w:val="bottom"/>
          </w:tcPr>
          <w:p w14:paraId="3973D10C"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10E" w14:textId="77777777" w:rsidR="007B027D" w:rsidRDefault="008E0125">
      <w:pPr>
        <w:pStyle w:val="a3"/>
        <w:pBdr>
          <w:bottom w:val="single" w:sz="6" w:space="1" w:color="auto"/>
        </w:pBdr>
        <w:spacing w:beforeAutospacing="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111" w14:textId="77777777">
        <w:tc>
          <w:tcPr>
            <w:tcW w:w="192" w:type="pct"/>
            <w:shd w:val="clear" w:color="auto" w:fill="auto"/>
            <w:noWrap/>
          </w:tcPr>
          <w:p w14:paraId="3973D10F"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D110"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Revenues presented for fiscal 2021 included cloud services and license support revenue adjustments related to certain cloud services and license support contracts that would have otherwise been recorded as revenues by the acquired </w:t>
            </w:r>
            <w:r>
              <w:rPr>
                <w:rFonts w:ascii="Calibri" w:hAnsi="Calibri" w:cs="Calibri"/>
                <w:color w:val="000000"/>
                <w:sz w:val="15"/>
                <w:szCs w:val="15"/>
              </w:rPr>
              <w:t>businesses as independent entities but were not recognized in our GAAP-based consolidated statements of operations for fiscal 2021 due to business combination accounting rules that were applicable to acquisitions closed prior to fiscal 2022. Such revenue a</w:t>
            </w:r>
            <w:r>
              <w:rPr>
                <w:rFonts w:ascii="Calibri" w:hAnsi="Calibri" w:cs="Calibri"/>
                <w:color w:val="000000"/>
                <w:sz w:val="15"/>
                <w:szCs w:val="15"/>
              </w:rPr>
              <w:t>djustments were included in our operating segment results for fiscal 2021 for purposes of reporting to and review by our CODMs. See “Presentation of Operating Segment Results and Other Financial Information” above for additional information.</w:t>
            </w:r>
          </w:p>
        </w:tc>
      </w:tr>
    </w:tbl>
    <w:p w14:paraId="3973D112"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D115" w14:textId="77777777">
        <w:tc>
          <w:tcPr>
            <w:tcW w:w="192" w:type="pct"/>
            <w:shd w:val="clear" w:color="auto" w:fill="auto"/>
            <w:noWrap/>
          </w:tcPr>
          <w:p w14:paraId="3973D113"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 xml:space="preserve">(2) </w:t>
            </w:r>
          </w:p>
        </w:tc>
        <w:tc>
          <w:tcPr>
            <w:tcW w:w="0" w:type="auto"/>
            <w:shd w:val="clear" w:color="auto" w:fill="auto"/>
          </w:tcPr>
          <w:p w14:paraId="3973D114"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color w:val="000000"/>
                <w:sz w:val="15"/>
                <w:szCs w:val="15"/>
              </w:rPr>
              <w:t>Exclude</w:t>
            </w:r>
            <w:r>
              <w:rPr>
                <w:rFonts w:ascii="Calibri" w:hAnsi="Calibri" w:cs="Calibri"/>
                <w:color w:val="000000"/>
                <w:sz w:val="15"/>
                <w:szCs w:val="15"/>
              </w:rPr>
              <w:t>s stock-based compensation and certain expense allocations. Also excludes amortization of intangible assets and certain other GAAP-based expenses, which were not allocated to our operating segment results for purposes of reporting to and review by our CODM</w:t>
            </w:r>
            <w:r>
              <w:rPr>
                <w:rFonts w:ascii="Calibri" w:hAnsi="Calibri" w:cs="Calibri"/>
                <w:color w:val="000000"/>
                <w:sz w:val="15"/>
                <w:szCs w:val="15"/>
              </w:rPr>
              <w:t>s, as further described under “Presentation of Operating Segment Results and Other Financial Information” above.</w:t>
            </w:r>
          </w:p>
        </w:tc>
      </w:tr>
    </w:tbl>
    <w:p w14:paraId="3973D11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cloud and license business’ total revenues increased in fiscal 2022 relative </w:t>
      </w:r>
      <w:r>
        <w:rPr>
          <w:rFonts w:ascii="Calibri" w:hAnsi="Calibri" w:cs="Calibri"/>
          <w:sz w:val="20"/>
          <w:szCs w:val="20"/>
        </w:rPr>
        <w:t xml:space="preserve">to fiscal 2021 due to growth in our cloud services and license support revenues and growth in our cloud license and on-premise license revenues as customers purchased our applications and infrastructure technologies via cloud and license deployment models </w:t>
      </w:r>
      <w:r>
        <w:rPr>
          <w:rFonts w:ascii="Calibri" w:hAnsi="Calibri" w:cs="Calibri"/>
          <w:sz w:val="20"/>
          <w:szCs w:val="20"/>
        </w:rPr>
        <w:t xml:space="preserve">and renewed their related cloud contracts and license support contracts to continue to gain access to the latest versions of our technologies and to receive support for which we delivered such cloud and support services during fiscal 2022. Our total cloud </w:t>
      </w:r>
      <w:r>
        <w:rPr>
          <w:rFonts w:ascii="Calibri" w:hAnsi="Calibri" w:cs="Calibri"/>
          <w:sz w:val="20"/>
          <w:szCs w:val="20"/>
        </w:rPr>
        <w:t>services revenues increased to $10.8 billion in fiscal 2022 from $8.9 billion in fiscal 2021 due to growth in our Oracle SaaS and OCI offerings. In constant currency, the Americas, EMEA and Asia Pacific regions contributed 71%, 18% and 11%, respectively, o</w:t>
      </w:r>
      <w:r>
        <w:rPr>
          <w:rFonts w:ascii="Calibri" w:hAnsi="Calibri" w:cs="Calibri"/>
          <w:sz w:val="20"/>
          <w:szCs w:val="20"/>
        </w:rPr>
        <w:t>f the constant currency revenue growth for this business in fiscal 2022.</w:t>
      </w:r>
    </w:p>
    <w:p w14:paraId="3973D11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increased in fiscal 2022 compared to fiscal 2021 due to higher cloud services and license support expenses, primar</w:t>
      </w:r>
      <w:r>
        <w:rPr>
          <w:rFonts w:ascii="Calibri" w:hAnsi="Calibri" w:cs="Calibri"/>
          <w:sz w:val="20"/>
          <w:szCs w:val="20"/>
        </w:rPr>
        <w:t>ily due to higher employee related expenses due to higher headcount and higher technology infrastructure expenses to support the increase in our cloud and license business’ revenues; and higher sales and marketing expenses, primarily due to higher employee</w:t>
      </w:r>
      <w:r>
        <w:rPr>
          <w:rFonts w:ascii="Calibri" w:hAnsi="Calibri" w:cs="Calibri"/>
          <w:sz w:val="20"/>
          <w:szCs w:val="20"/>
        </w:rPr>
        <w:t xml:space="preserve"> related expenses from higher headcount. These constant currency expense increases were partially offset by an allocation of a portion of the gains from fiscal 2022 operating asset sales as described above. Our cloud services and license support expenses h</w:t>
      </w:r>
      <w:r>
        <w:rPr>
          <w:rFonts w:ascii="Calibri" w:hAnsi="Calibri" w:cs="Calibri"/>
          <w:sz w:val="20"/>
          <w:szCs w:val="20"/>
        </w:rPr>
        <w:t xml:space="preserve">ave grown in recent periods and we expect this growth to continue to accelerate in </w:t>
      </w:r>
    </w:p>
    <w:p w14:paraId="3973D11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48</w:t>
      </w:r>
    </w:p>
    <w:p w14:paraId="3973D119" w14:textId="77777777" w:rsidR="007B027D" w:rsidRDefault="008E0125">
      <w:r>
        <w:rPr>
          <w:rFonts w:ascii="Calibri" w:hAnsi="Calibri" w:cs="Calibri"/>
          <w:sz w:val="20"/>
          <w:szCs w:val="20"/>
        </w:rPr>
        <w:pict w14:anchorId="3974006B">
          <v:rect id="_x0000_i1074" style="width:415.3pt;height:1.5pt" o:hralign="center" o:hrstd="t" o:hr="t" fillcolor="#a0a0a0" stroked="f"/>
        </w:pict>
      </w:r>
    </w:p>
    <w:p w14:paraId="3973D11A" w14:textId="77777777" w:rsidR="007B027D" w:rsidRDefault="008E0125">
      <w:pPr>
        <w:pStyle w:val="a3"/>
        <w:spacing w:beforeAutospacing="0" w:after="120" w:afterAutospacing="0"/>
        <w:rPr>
          <w:rFonts w:ascii="Calibri" w:hAnsi="Calibri" w:cs="Calibri"/>
          <w:sz w:val="18"/>
          <w:szCs w:val="18"/>
        </w:rPr>
      </w:pPr>
      <w:hyperlink r:id="rId125" w:anchor="TABLE_OF_CONTENTS" w:history="1">
        <w:r>
          <w:rPr>
            <w:rStyle w:val="a5"/>
            <w:rFonts w:ascii="Calibri" w:hAnsi="Calibri" w:cs="Calibri"/>
            <w:sz w:val="18"/>
            <w:szCs w:val="18"/>
          </w:rPr>
          <w:t>Table of Contents</w:t>
        </w:r>
      </w:hyperlink>
    </w:p>
    <w:p w14:paraId="3973D11B" w14:textId="77777777" w:rsidR="007B027D" w:rsidRDefault="008E0125">
      <w:pPr>
        <w:pStyle w:val="a3"/>
        <w:spacing w:beforeAutospacing="0" w:afterAutospacing="0"/>
        <w:rPr>
          <w:rFonts w:ascii="Calibri" w:hAnsi="Calibri" w:cs="Calibri"/>
          <w:sz w:val="18"/>
          <w:szCs w:val="18"/>
        </w:rPr>
      </w:pPr>
      <w:hyperlink r:id="rId126" w:anchor="ITEM_15_EXHIBITS_FINANCIAL_STATEMENT_SCH" w:history="1">
        <w:r>
          <w:rPr>
            <w:rStyle w:val="a5"/>
            <w:rFonts w:ascii="Calibri" w:hAnsi="Calibri" w:cs="Calibri"/>
            <w:sz w:val="18"/>
            <w:szCs w:val="18"/>
          </w:rPr>
          <w:t>Index to Financial Statements</w:t>
        </w:r>
      </w:hyperlink>
    </w:p>
    <w:p w14:paraId="3973D11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11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fiscal 2023 as we increase our existing data center </w:t>
      </w:r>
      <w:r>
        <w:rPr>
          <w:rFonts w:ascii="Calibri" w:hAnsi="Calibri" w:cs="Calibri"/>
          <w:sz w:val="20"/>
          <w:szCs w:val="20"/>
        </w:rPr>
        <w:t>capacity and establish data centers in new geographic locations in order to meet current and expected customer demand.</w:t>
      </w:r>
    </w:p>
    <w:p w14:paraId="3973D11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increased in fiscal 2022 compared to fi</w:t>
      </w:r>
      <w:r>
        <w:rPr>
          <w:rFonts w:ascii="Calibri" w:hAnsi="Calibri" w:cs="Calibri"/>
          <w:sz w:val="20"/>
          <w:szCs w:val="20"/>
        </w:rPr>
        <w:t>scal 2021 due to fiscal 2022 increases in total revenues for this business, while total fiscal 2022 margin as a percentage of revenues for this business decreased slightly due to expenses growth.</w:t>
      </w:r>
    </w:p>
    <w:p w14:paraId="3973D11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3973D120" w14:textId="77777777" w:rsidR="007B027D" w:rsidRDefault="008E0125">
      <w:pPr>
        <w:pStyle w:val="a3"/>
        <w:spacing w:before="120" w:beforeAutospacing="0" w:after="120" w:afterAutospacing="0"/>
        <w:jc w:val="both"/>
        <w:rPr>
          <w:rFonts w:ascii="Calibri" w:hAnsi="Calibri" w:cs="Calibri"/>
          <w:sz w:val="20"/>
          <w:szCs w:val="20"/>
        </w:rPr>
      </w:pPr>
      <w:r>
        <w:rPr>
          <w:rFonts w:ascii="Calibri" w:hAnsi="Calibri" w:cs="Calibri"/>
          <w:sz w:val="20"/>
          <w:szCs w:val="20"/>
        </w:rPr>
        <w:t>Our hardware business’ revenues are genera</w:t>
      </w:r>
      <w:r>
        <w:rPr>
          <w:rFonts w:ascii="Calibri" w:hAnsi="Calibri" w:cs="Calibri"/>
          <w:sz w:val="20"/>
          <w:szCs w:val="20"/>
        </w:rPr>
        <w:t>ted from the sales of our Oracle Engineered Systems, server, storage, and industry-specific hardware offerings. The hardware product and related software, such as an operating system or firmware, are highly interdependent and interrelated and are accounted</w:t>
      </w:r>
      <w:r>
        <w:rPr>
          <w:rFonts w:ascii="Calibri" w:hAnsi="Calibri" w:cs="Calibri"/>
          <w:sz w:val="20"/>
          <w:szCs w:val="20"/>
        </w:rPr>
        <w:t xml:space="preserve"> for as a combined performance obligation. The revenues for this combined performance obligation are generally recognized at the point in time that the hardware product is delivered to the customer and ownership is transferred to the customer. Our hardware</w:t>
      </w:r>
      <w:r>
        <w:rPr>
          <w:rFonts w:ascii="Calibri" w:hAnsi="Calibri" w:cs="Calibri"/>
          <w:sz w:val="20"/>
          <w:szCs w:val="20"/>
        </w:rPr>
        <w:t xml:space="preserve"> business also earns revenues from the sale of hardware support contracts purchased by our customers at their option and that are generally recognized as revenues ratably as the hardware support services are delivered over the contractual term, which is ge</w:t>
      </w:r>
      <w:r>
        <w:rPr>
          <w:rFonts w:ascii="Calibri" w:hAnsi="Calibri" w:cs="Calibri"/>
          <w:sz w:val="20"/>
          <w:szCs w:val="20"/>
        </w:rPr>
        <w:t>nerally one year. The majority of our hardware products are sold through indirect channels such as independent distributors and value-added resellers and we also market and sell our hardware products through our direct sales force. Operating expenses assoc</w:t>
      </w:r>
      <w:r>
        <w:rPr>
          <w:rFonts w:ascii="Calibri" w:hAnsi="Calibri" w:cs="Calibri"/>
          <w:sz w:val="20"/>
          <w:szCs w:val="20"/>
        </w:rPr>
        <w:t>iated with our hardware business include the cost of hardware products, which consists of expenses for materials and labor used to produce these products by our internal manufacturing operations or by third-party manufacturers, warranty and related expense</w:t>
      </w:r>
      <w:r>
        <w:rPr>
          <w:rFonts w:ascii="Calibri" w:hAnsi="Calibri" w:cs="Calibri"/>
          <w:sz w:val="20"/>
          <w:szCs w:val="20"/>
        </w:rPr>
        <w:t>s and the impact of periodic changes in inventory valuation, including the impact of inventory determined to be excess and obsolete; the cost of materials used to repair customer products with eligible support contracts; the cost of labor and infrastructur</w:t>
      </w:r>
      <w:r>
        <w:rPr>
          <w:rFonts w:ascii="Calibri" w:hAnsi="Calibri" w:cs="Calibri"/>
          <w:sz w:val="20"/>
          <w:szCs w:val="20"/>
        </w:rPr>
        <w:t>e to provide support services; and sales and marketing expenses, which are largely personnel related and include variable compensation earned by our sales force for the sales of our hardware offerings.</w:t>
      </w: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125" w14:textId="77777777">
        <w:tc>
          <w:tcPr>
            <w:tcW w:w="2537" w:type="pct"/>
            <w:shd w:val="clear" w:color="auto" w:fill="FFFFFF"/>
            <w:tcMar>
              <w:top w:w="15" w:type="dxa"/>
              <w:right w:w="15" w:type="dxa"/>
            </w:tcMar>
            <w:vAlign w:val="center"/>
          </w:tcPr>
          <w:p w14:paraId="3973D121"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12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12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12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131" w14:textId="77777777">
        <w:tc>
          <w:tcPr>
            <w:tcW w:w="2537" w:type="pct"/>
            <w:shd w:val="clear" w:color="auto" w:fill="FFFFFF"/>
            <w:tcMar>
              <w:top w:w="15" w:type="dxa"/>
              <w:right w:w="15" w:type="dxa"/>
            </w:tcMar>
            <w:vAlign w:val="center"/>
          </w:tcPr>
          <w:p w14:paraId="3973D12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12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12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12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12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3973D12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12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81" w:type="pct"/>
            <w:tcBorders>
              <w:top w:val="single" w:sz="6" w:space="0" w:color="000000"/>
            </w:tcBorders>
            <w:shd w:val="clear" w:color="auto" w:fill="FFFFFF"/>
            <w:tcMar>
              <w:top w:w="15" w:type="dxa"/>
              <w:right w:w="15" w:type="dxa"/>
            </w:tcMar>
            <w:vAlign w:val="center"/>
          </w:tcPr>
          <w:p w14:paraId="3973D12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12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12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13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13D" w14:textId="77777777">
        <w:tc>
          <w:tcPr>
            <w:tcW w:w="2537" w:type="pct"/>
            <w:tcBorders>
              <w:bottom w:val="single" w:sz="6" w:space="0" w:color="000000"/>
            </w:tcBorders>
            <w:shd w:val="clear" w:color="auto" w:fill="FFFFFF"/>
            <w:tcMar>
              <w:top w:w="15" w:type="dxa"/>
              <w:right w:w="15" w:type="dxa"/>
            </w:tcMar>
            <w:vAlign w:val="bottom"/>
          </w:tcPr>
          <w:p w14:paraId="3973D13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13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13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13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13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13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13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13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13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13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13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14B" w14:textId="77777777">
        <w:tc>
          <w:tcPr>
            <w:tcW w:w="2537" w:type="pct"/>
            <w:tcBorders>
              <w:top w:val="single" w:sz="6" w:space="0" w:color="000000"/>
            </w:tcBorders>
            <w:shd w:val="clear" w:color="auto" w:fill="CFF0FC"/>
            <w:tcMar>
              <w:top w:w="15" w:type="dxa"/>
              <w:right w:w="15" w:type="dxa"/>
            </w:tcMar>
          </w:tcPr>
          <w:p w14:paraId="3973D13E"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81" w:type="pct"/>
            <w:shd w:val="clear" w:color="auto" w:fill="CFF0FC"/>
            <w:tcMar>
              <w:top w:w="15" w:type="dxa"/>
              <w:right w:w="15" w:type="dxa"/>
            </w:tcMar>
          </w:tcPr>
          <w:p w14:paraId="3973D1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1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3973D14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14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4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14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4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1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3973D14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59" w14:textId="77777777">
        <w:tc>
          <w:tcPr>
            <w:tcW w:w="2537" w:type="pct"/>
            <w:shd w:val="clear" w:color="auto" w:fill="FFFFFF"/>
            <w:tcMar>
              <w:top w:w="15" w:type="dxa"/>
              <w:right w:w="15" w:type="dxa"/>
            </w:tcMar>
          </w:tcPr>
          <w:p w14:paraId="3973D1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1" w:type="pct"/>
            <w:shd w:val="clear" w:color="auto" w:fill="FFFFFF"/>
            <w:tcMar>
              <w:top w:w="15" w:type="dxa"/>
              <w:right w:w="15" w:type="dxa"/>
            </w:tcMar>
          </w:tcPr>
          <w:p w14:paraId="3973D1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3973D1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1,558</w:t>
            </w:r>
          </w:p>
        </w:tc>
        <w:tc>
          <w:tcPr>
            <w:tcW w:w="50" w:type="pct"/>
            <w:shd w:val="clear" w:color="auto" w:fill="FFFFFF"/>
            <w:noWrap/>
            <w:tcMar>
              <w:top w:w="15" w:type="dxa"/>
              <w:right w:w="15" w:type="dxa"/>
            </w:tcMar>
            <w:vAlign w:val="bottom"/>
          </w:tcPr>
          <w:p w14:paraId="3973D1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5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5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FFFFFF"/>
            <w:tcMar>
              <w:top w:w="15" w:type="dxa"/>
              <w:right w:w="15" w:type="dxa"/>
            </w:tcMar>
          </w:tcPr>
          <w:p w14:paraId="3973D1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5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FFFFFF"/>
            <w:tcMar>
              <w:top w:w="15" w:type="dxa"/>
              <w:right w:w="15" w:type="dxa"/>
            </w:tcMar>
          </w:tcPr>
          <w:p w14:paraId="3973D15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3973D15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1,650</w:t>
            </w:r>
          </w:p>
        </w:tc>
        <w:tc>
          <w:tcPr>
            <w:tcW w:w="50" w:type="pct"/>
            <w:shd w:val="clear" w:color="auto" w:fill="FFFFFF"/>
            <w:noWrap/>
            <w:tcMar>
              <w:top w:w="15" w:type="dxa"/>
              <w:right w:w="15" w:type="dxa"/>
            </w:tcMar>
            <w:vAlign w:val="bottom"/>
          </w:tcPr>
          <w:p w14:paraId="3973D1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67" w14:textId="77777777">
        <w:tc>
          <w:tcPr>
            <w:tcW w:w="2537" w:type="pct"/>
            <w:shd w:val="clear" w:color="auto" w:fill="CFF0FC"/>
            <w:tcMar>
              <w:top w:w="15" w:type="dxa"/>
              <w:right w:w="15" w:type="dxa"/>
            </w:tcMar>
          </w:tcPr>
          <w:p w14:paraId="3973D1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1" w:type="pct"/>
            <w:shd w:val="clear" w:color="auto" w:fill="CFF0FC"/>
            <w:tcMar>
              <w:top w:w="15" w:type="dxa"/>
              <w:right w:w="15" w:type="dxa"/>
            </w:tcMar>
          </w:tcPr>
          <w:p w14:paraId="3973D1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1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949</w:t>
            </w:r>
          </w:p>
        </w:tc>
        <w:tc>
          <w:tcPr>
            <w:tcW w:w="50" w:type="pct"/>
            <w:shd w:val="clear" w:color="auto" w:fill="CFF0FC"/>
            <w:noWrap/>
            <w:tcMar>
              <w:top w:w="15" w:type="dxa"/>
              <w:right w:w="15" w:type="dxa"/>
            </w:tcMar>
            <w:vAlign w:val="bottom"/>
          </w:tcPr>
          <w:p w14:paraId="3973D1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1" w:type="pct"/>
            <w:shd w:val="clear" w:color="auto" w:fill="CFF0FC"/>
            <w:tcMar>
              <w:top w:w="15" w:type="dxa"/>
              <w:right w:w="15" w:type="dxa"/>
            </w:tcMar>
          </w:tcPr>
          <w:p w14:paraId="3973D1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6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1" w:type="pct"/>
            <w:shd w:val="clear" w:color="auto" w:fill="CFF0FC"/>
            <w:tcMar>
              <w:top w:w="15" w:type="dxa"/>
              <w:right w:w="15" w:type="dxa"/>
            </w:tcMar>
          </w:tcPr>
          <w:p w14:paraId="3973D1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16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989</w:t>
            </w:r>
          </w:p>
        </w:tc>
        <w:tc>
          <w:tcPr>
            <w:tcW w:w="50" w:type="pct"/>
            <w:shd w:val="clear" w:color="auto" w:fill="CFF0FC"/>
            <w:noWrap/>
            <w:tcMar>
              <w:top w:w="15" w:type="dxa"/>
              <w:right w:w="15" w:type="dxa"/>
            </w:tcMar>
            <w:vAlign w:val="bottom"/>
          </w:tcPr>
          <w:p w14:paraId="3973D1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75" w14:textId="77777777">
        <w:tc>
          <w:tcPr>
            <w:tcW w:w="2537" w:type="pct"/>
            <w:shd w:val="clear" w:color="auto" w:fill="FFFFFF"/>
            <w:tcMar>
              <w:top w:w="15" w:type="dxa"/>
              <w:right w:w="15" w:type="dxa"/>
            </w:tcMar>
          </w:tcPr>
          <w:p w14:paraId="3973D1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1" w:type="pct"/>
            <w:shd w:val="clear" w:color="auto" w:fill="FFFFFF"/>
            <w:tcMar>
              <w:top w:w="15" w:type="dxa"/>
              <w:right w:w="15" w:type="dxa"/>
            </w:tcMar>
          </w:tcPr>
          <w:p w14:paraId="3973D1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1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16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676</w:t>
            </w:r>
          </w:p>
        </w:tc>
        <w:tc>
          <w:tcPr>
            <w:tcW w:w="50" w:type="pct"/>
            <w:shd w:val="clear" w:color="auto" w:fill="FFFFFF"/>
            <w:noWrap/>
            <w:tcMar>
              <w:top w:w="15" w:type="dxa"/>
              <w:right w:w="15" w:type="dxa"/>
            </w:tcMar>
            <w:vAlign w:val="bottom"/>
          </w:tcPr>
          <w:p w14:paraId="3973D1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6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FFFFFF"/>
            <w:tcMar>
              <w:top w:w="15" w:type="dxa"/>
              <w:right w:w="15" w:type="dxa"/>
            </w:tcMar>
          </w:tcPr>
          <w:p w14:paraId="3973D1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7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1" w:type="pct"/>
            <w:shd w:val="clear" w:color="auto" w:fill="FFFFFF"/>
            <w:tcMar>
              <w:top w:w="15" w:type="dxa"/>
              <w:right w:w="15" w:type="dxa"/>
            </w:tcMar>
          </w:tcPr>
          <w:p w14:paraId="3973D1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1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17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w:t>
            </w:r>
          </w:p>
        </w:tc>
        <w:tc>
          <w:tcPr>
            <w:tcW w:w="50" w:type="pct"/>
            <w:shd w:val="clear" w:color="auto" w:fill="FFFFFF"/>
            <w:noWrap/>
            <w:tcMar>
              <w:top w:w="15" w:type="dxa"/>
              <w:right w:w="15" w:type="dxa"/>
            </w:tcMar>
            <w:vAlign w:val="bottom"/>
          </w:tcPr>
          <w:p w14:paraId="3973D1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83" w14:textId="77777777">
        <w:tc>
          <w:tcPr>
            <w:tcW w:w="2537" w:type="pct"/>
            <w:shd w:val="clear" w:color="auto" w:fill="CFF0FC"/>
            <w:tcMar>
              <w:top w:w="15" w:type="dxa"/>
              <w:right w:w="15" w:type="dxa"/>
            </w:tcMar>
          </w:tcPr>
          <w:p w14:paraId="3973D176"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1" w:type="pct"/>
            <w:shd w:val="clear" w:color="auto" w:fill="CFF0FC"/>
            <w:tcMar>
              <w:top w:w="15" w:type="dxa"/>
              <w:right w:w="15" w:type="dxa"/>
            </w:tcMar>
          </w:tcPr>
          <w:p w14:paraId="3973D1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1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1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3,183</w:t>
            </w:r>
          </w:p>
        </w:tc>
        <w:tc>
          <w:tcPr>
            <w:tcW w:w="50" w:type="pct"/>
            <w:shd w:val="clear" w:color="auto" w:fill="CFF0FC"/>
            <w:noWrap/>
            <w:tcMar>
              <w:top w:w="15" w:type="dxa"/>
              <w:right w:w="15" w:type="dxa"/>
            </w:tcMar>
            <w:vAlign w:val="bottom"/>
          </w:tcPr>
          <w:p w14:paraId="3973D1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7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CFF0FC"/>
            <w:tcMar>
              <w:top w:w="15" w:type="dxa"/>
              <w:right w:w="15" w:type="dxa"/>
            </w:tcMar>
          </w:tcPr>
          <w:p w14:paraId="3973D1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7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1" w:type="pct"/>
            <w:shd w:val="clear" w:color="auto" w:fill="CFF0FC"/>
            <w:tcMar>
              <w:top w:w="15" w:type="dxa"/>
              <w:right w:w="15" w:type="dxa"/>
            </w:tcMar>
          </w:tcPr>
          <w:p w14:paraId="3973D1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1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1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3,359</w:t>
            </w:r>
          </w:p>
        </w:tc>
        <w:tc>
          <w:tcPr>
            <w:tcW w:w="50" w:type="pct"/>
            <w:shd w:val="clear" w:color="auto" w:fill="CFF0FC"/>
            <w:noWrap/>
            <w:tcMar>
              <w:top w:w="15" w:type="dxa"/>
              <w:right w:w="15" w:type="dxa"/>
            </w:tcMar>
            <w:vAlign w:val="bottom"/>
          </w:tcPr>
          <w:p w14:paraId="3973D1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91" w14:textId="77777777">
        <w:tc>
          <w:tcPr>
            <w:tcW w:w="2537" w:type="pct"/>
            <w:shd w:val="clear" w:color="auto" w:fill="FFFFFF"/>
            <w:tcMar>
              <w:top w:w="15" w:type="dxa"/>
              <w:right w:w="15" w:type="dxa"/>
            </w:tcMar>
          </w:tcPr>
          <w:p w14:paraId="3973D184"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81" w:type="pct"/>
            <w:shd w:val="clear" w:color="auto" w:fill="FFFFFF"/>
            <w:tcMar>
              <w:top w:w="15" w:type="dxa"/>
              <w:right w:w="15" w:type="dxa"/>
            </w:tcMar>
          </w:tcPr>
          <w:p w14:paraId="3973D1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D1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FFFFFF"/>
            <w:noWrap/>
            <w:tcMar>
              <w:top w:w="15" w:type="dxa"/>
              <w:right w:w="15" w:type="dxa"/>
            </w:tcMar>
            <w:vAlign w:val="bottom"/>
          </w:tcPr>
          <w:p w14:paraId="3973D18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8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8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8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D1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FFFFFF"/>
            <w:noWrap/>
            <w:tcMar>
              <w:top w:w="15" w:type="dxa"/>
              <w:right w:w="15" w:type="dxa"/>
            </w:tcMar>
            <w:vAlign w:val="bottom"/>
          </w:tcPr>
          <w:p w14:paraId="3973D18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9F" w14:textId="77777777">
        <w:tc>
          <w:tcPr>
            <w:tcW w:w="2537" w:type="pct"/>
            <w:shd w:val="clear" w:color="auto" w:fill="CFF0FC"/>
            <w:tcMar>
              <w:top w:w="15" w:type="dxa"/>
              <w:right w:w="15" w:type="dxa"/>
            </w:tcMar>
          </w:tcPr>
          <w:p w14:paraId="3973D1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81" w:type="pct"/>
            <w:shd w:val="clear" w:color="auto" w:fill="CFF0FC"/>
            <w:tcMar>
              <w:top w:w="15" w:type="dxa"/>
              <w:right w:w="15" w:type="dxa"/>
            </w:tcMar>
          </w:tcPr>
          <w:p w14:paraId="3973D1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9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19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944</w:t>
            </w:r>
          </w:p>
        </w:tc>
        <w:tc>
          <w:tcPr>
            <w:tcW w:w="50" w:type="pct"/>
            <w:shd w:val="clear" w:color="auto" w:fill="CFF0FC"/>
            <w:noWrap/>
            <w:tcMar>
              <w:top w:w="15" w:type="dxa"/>
              <w:right w:w="15" w:type="dxa"/>
            </w:tcMar>
            <w:vAlign w:val="bottom"/>
          </w:tcPr>
          <w:p w14:paraId="3973D1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9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1" w:type="pct"/>
            <w:shd w:val="clear" w:color="auto" w:fill="CFF0FC"/>
            <w:tcMar>
              <w:top w:w="15" w:type="dxa"/>
              <w:right w:w="15" w:type="dxa"/>
            </w:tcMar>
          </w:tcPr>
          <w:p w14:paraId="3973D1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9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1" w:type="pct"/>
            <w:shd w:val="clear" w:color="auto" w:fill="CFF0FC"/>
            <w:tcMar>
              <w:top w:w="15" w:type="dxa"/>
              <w:right w:w="15" w:type="dxa"/>
            </w:tcMar>
          </w:tcPr>
          <w:p w14:paraId="3973D19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19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19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w:t>
            </w:r>
          </w:p>
        </w:tc>
        <w:tc>
          <w:tcPr>
            <w:tcW w:w="50" w:type="pct"/>
            <w:shd w:val="clear" w:color="auto" w:fill="CFF0FC"/>
            <w:noWrap/>
            <w:tcMar>
              <w:top w:w="15" w:type="dxa"/>
              <w:right w:w="15" w:type="dxa"/>
            </w:tcMar>
            <w:vAlign w:val="bottom"/>
          </w:tcPr>
          <w:p w14:paraId="3973D1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AD" w14:textId="77777777">
        <w:tc>
          <w:tcPr>
            <w:tcW w:w="2537" w:type="pct"/>
            <w:shd w:val="clear" w:color="auto" w:fill="FFFFFF"/>
            <w:tcMar>
              <w:top w:w="15" w:type="dxa"/>
              <w:right w:w="15" w:type="dxa"/>
            </w:tcMar>
          </w:tcPr>
          <w:p w14:paraId="3973D1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81" w:type="pct"/>
            <w:shd w:val="clear" w:color="auto" w:fill="FFFFFF"/>
            <w:tcMar>
              <w:top w:w="15" w:type="dxa"/>
              <w:right w:w="15" w:type="dxa"/>
            </w:tcMar>
          </w:tcPr>
          <w:p w14:paraId="3973D1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1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1A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w:t>
            </w:r>
          </w:p>
        </w:tc>
        <w:tc>
          <w:tcPr>
            <w:tcW w:w="50" w:type="pct"/>
            <w:shd w:val="clear" w:color="auto" w:fill="FFFFFF"/>
            <w:noWrap/>
            <w:tcMar>
              <w:top w:w="15" w:type="dxa"/>
              <w:right w:w="15" w:type="dxa"/>
            </w:tcMar>
            <w:vAlign w:val="bottom"/>
          </w:tcPr>
          <w:p w14:paraId="3973D1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A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1" w:type="pct"/>
            <w:shd w:val="clear" w:color="auto" w:fill="FFFFFF"/>
            <w:tcMar>
              <w:top w:w="15" w:type="dxa"/>
              <w:right w:w="15" w:type="dxa"/>
            </w:tcMar>
          </w:tcPr>
          <w:p w14:paraId="3973D1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A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FFFFFF"/>
            <w:tcMar>
              <w:top w:w="15" w:type="dxa"/>
              <w:right w:w="15" w:type="dxa"/>
            </w:tcMar>
          </w:tcPr>
          <w:p w14:paraId="3973D1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1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1A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388</w:t>
            </w:r>
          </w:p>
        </w:tc>
        <w:tc>
          <w:tcPr>
            <w:tcW w:w="50" w:type="pct"/>
            <w:shd w:val="clear" w:color="auto" w:fill="FFFFFF"/>
            <w:noWrap/>
            <w:tcMar>
              <w:top w:w="15" w:type="dxa"/>
              <w:right w:w="15" w:type="dxa"/>
            </w:tcMar>
            <w:vAlign w:val="bottom"/>
          </w:tcPr>
          <w:p w14:paraId="3973D1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BB" w14:textId="77777777">
        <w:tc>
          <w:tcPr>
            <w:tcW w:w="2537" w:type="pct"/>
            <w:shd w:val="clear" w:color="auto" w:fill="CFF0FC"/>
            <w:tcMar>
              <w:top w:w="15" w:type="dxa"/>
              <w:right w:w="15" w:type="dxa"/>
            </w:tcMar>
          </w:tcPr>
          <w:p w14:paraId="3973D1AE"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81" w:type="pct"/>
            <w:shd w:val="clear" w:color="auto" w:fill="CFF0FC"/>
            <w:tcMar>
              <w:top w:w="15" w:type="dxa"/>
              <w:right w:w="15" w:type="dxa"/>
            </w:tcMar>
          </w:tcPr>
          <w:p w14:paraId="3973D1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1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1B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1,305</w:t>
            </w:r>
          </w:p>
        </w:tc>
        <w:tc>
          <w:tcPr>
            <w:tcW w:w="50" w:type="pct"/>
            <w:shd w:val="clear" w:color="auto" w:fill="CFF0FC"/>
            <w:noWrap/>
            <w:tcMar>
              <w:top w:w="15" w:type="dxa"/>
              <w:right w:w="15" w:type="dxa"/>
            </w:tcMar>
            <w:vAlign w:val="bottom"/>
          </w:tcPr>
          <w:p w14:paraId="3973D1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B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1" w:type="pct"/>
            <w:shd w:val="clear" w:color="auto" w:fill="CFF0FC"/>
            <w:tcMar>
              <w:top w:w="15" w:type="dxa"/>
              <w:right w:w="15" w:type="dxa"/>
            </w:tcMar>
          </w:tcPr>
          <w:p w14:paraId="3973D1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B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1" w:type="pct"/>
            <w:shd w:val="clear" w:color="auto" w:fill="CFF0FC"/>
            <w:tcMar>
              <w:top w:w="15" w:type="dxa"/>
              <w:right w:w="15" w:type="dxa"/>
            </w:tcMar>
          </w:tcPr>
          <w:p w14:paraId="3973D1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1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1B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1,333</w:t>
            </w:r>
          </w:p>
        </w:tc>
        <w:tc>
          <w:tcPr>
            <w:tcW w:w="50" w:type="pct"/>
            <w:shd w:val="clear" w:color="auto" w:fill="CFF0FC"/>
            <w:noWrap/>
            <w:tcMar>
              <w:top w:w="15" w:type="dxa"/>
              <w:right w:w="15" w:type="dxa"/>
            </w:tcMar>
            <w:vAlign w:val="bottom"/>
          </w:tcPr>
          <w:p w14:paraId="3973D1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C9" w14:textId="77777777">
        <w:tc>
          <w:tcPr>
            <w:tcW w:w="2537" w:type="pct"/>
            <w:shd w:val="clear" w:color="auto" w:fill="FFFFFF"/>
            <w:tcMar>
              <w:top w:w="15" w:type="dxa"/>
              <w:right w:w="15" w:type="dxa"/>
            </w:tcMar>
          </w:tcPr>
          <w:p w14:paraId="3973D1BC"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1" w:type="pct"/>
            <w:shd w:val="clear" w:color="auto" w:fill="FFFFFF"/>
            <w:tcMar>
              <w:top w:w="15" w:type="dxa"/>
              <w:right w:w="15" w:type="dxa"/>
            </w:tcMar>
          </w:tcPr>
          <w:p w14:paraId="3973D1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1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1B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1,878</w:t>
            </w:r>
          </w:p>
        </w:tc>
        <w:tc>
          <w:tcPr>
            <w:tcW w:w="50" w:type="pct"/>
            <w:shd w:val="clear" w:color="auto" w:fill="FFFFFF"/>
            <w:noWrap/>
            <w:tcMar>
              <w:top w:w="15" w:type="dxa"/>
              <w:right w:w="15" w:type="dxa"/>
            </w:tcMar>
            <w:vAlign w:val="bottom"/>
          </w:tcPr>
          <w:p w14:paraId="3973D1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C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1" w:type="pct"/>
            <w:shd w:val="clear" w:color="auto" w:fill="FFFFFF"/>
            <w:tcMar>
              <w:top w:w="15" w:type="dxa"/>
              <w:right w:w="15" w:type="dxa"/>
            </w:tcMar>
          </w:tcPr>
          <w:p w14:paraId="3973D1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C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FFFFFF"/>
            <w:tcMar>
              <w:top w:w="15" w:type="dxa"/>
              <w:right w:w="15" w:type="dxa"/>
            </w:tcMar>
          </w:tcPr>
          <w:p w14:paraId="3973D1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1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1C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2,026</w:t>
            </w:r>
          </w:p>
        </w:tc>
        <w:tc>
          <w:tcPr>
            <w:tcW w:w="50" w:type="pct"/>
            <w:shd w:val="clear" w:color="auto" w:fill="FFFFFF"/>
            <w:noWrap/>
            <w:tcMar>
              <w:top w:w="15" w:type="dxa"/>
              <w:right w:w="15" w:type="dxa"/>
            </w:tcMar>
            <w:vAlign w:val="bottom"/>
          </w:tcPr>
          <w:p w14:paraId="3973D1C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D5" w14:textId="77777777">
        <w:tc>
          <w:tcPr>
            <w:tcW w:w="2537" w:type="pct"/>
            <w:shd w:val="clear" w:color="auto" w:fill="CFF0FC"/>
            <w:tcMar>
              <w:top w:w="15" w:type="dxa"/>
              <w:right w:w="15" w:type="dxa"/>
            </w:tcMar>
          </w:tcPr>
          <w:p w14:paraId="3973D1CA"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1" w:type="pct"/>
            <w:shd w:val="clear" w:color="auto" w:fill="CFF0FC"/>
            <w:tcMar>
              <w:top w:w="15" w:type="dxa"/>
              <w:right w:w="15" w:type="dxa"/>
            </w:tcMar>
          </w:tcPr>
          <w:p w14:paraId="3973D1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right w:w="15" w:type="dxa"/>
            </w:tcMar>
            <w:vAlign w:val="bottom"/>
          </w:tcPr>
          <w:p w14:paraId="3973D1C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CFF0FC"/>
            <w:noWrap/>
            <w:tcMar>
              <w:top w:w="15" w:type="dxa"/>
              <w:right w:w="15" w:type="dxa"/>
            </w:tcMar>
            <w:vAlign w:val="bottom"/>
          </w:tcPr>
          <w:p w14:paraId="3973D1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C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C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D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D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D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right w:w="15" w:type="dxa"/>
            </w:tcMar>
            <w:vAlign w:val="bottom"/>
          </w:tcPr>
          <w:p w14:paraId="3973D1D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3973D1D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E3" w14:textId="77777777">
        <w:tc>
          <w:tcPr>
            <w:tcW w:w="2537" w:type="pct"/>
            <w:shd w:val="clear" w:color="auto" w:fill="FFFFFF"/>
            <w:tcMar>
              <w:top w:w="15" w:type="dxa"/>
              <w:right w:w="15" w:type="dxa"/>
            </w:tcMar>
          </w:tcPr>
          <w:p w14:paraId="3973D1D6"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1" w:type="pct"/>
            <w:shd w:val="clear" w:color="auto" w:fill="FFFFFF"/>
            <w:tcMar>
              <w:top w:w="15" w:type="dxa"/>
              <w:right w:w="15" w:type="dxa"/>
            </w:tcMar>
          </w:tcPr>
          <w:p w14:paraId="3973D1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D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1D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D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D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E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1E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1E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EF" w14:textId="77777777">
        <w:tc>
          <w:tcPr>
            <w:tcW w:w="2537" w:type="pct"/>
            <w:shd w:val="clear" w:color="auto" w:fill="CFF0FC"/>
            <w:tcMar>
              <w:top w:w="15" w:type="dxa"/>
              <w:right w:w="15" w:type="dxa"/>
            </w:tcMar>
          </w:tcPr>
          <w:p w14:paraId="3973D1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1" w:type="pct"/>
            <w:shd w:val="clear" w:color="auto" w:fill="CFF0FC"/>
            <w:tcMar>
              <w:top w:w="15" w:type="dxa"/>
              <w:right w:w="15" w:type="dxa"/>
            </w:tcMar>
          </w:tcPr>
          <w:p w14:paraId="3973D1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1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3973D1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E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E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1E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1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1E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3973D1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1FB" w14:textId="77777777">
        <w:tc>
          <w:tcPr>
            <w:tcW w:w="2537" w:type="pct"/>
            <w:shd w:val="clear" w:color="auto" w:fill="FFFFFF"/>
            <w:tcMar>
              <w:top w:w="15" w:type="dxa"/>
              <w:right w:w="15" w:type="dxa"/>
            </w:tcMar>
          </w:tcPr>
          <w:p w14:paraId="3973D1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1" w:type="pct"/>
            <w:shd w:val="clear" w:color="auto" w:fill="FFFFFF"/>
            <w:tcMar>
              <w:top w:w="15" w:type="dxa"/>
              <w:right w:w="15" w:type="dxa"/>
            </w:tcMar>
          </w:tcPr>
          <w:p w14:paraId="3973D1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1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3973D1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F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1F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tcPr>
          <w:p w14:paraId="3973D1F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1F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3973D1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07" w14:textId="77777777">
        <w:tc>
          <w:tcPr>
            <w:tcW w:w="2537" w:type="pct"/>
            <w:shd w:val="clear" w:color="auto" w:fill="CFF0FC"/>
            <w:tcMar>
              <w:top w:w="15" w:type="dxa"/>
              <w:right w:w="15" w:type="dxa"/>
            </w:tcMar>
          </w:tcPr>
          <w:p w14:paraId="3973D1F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1" w:type="pct"/>
            <w:shd w:val="clear" w:color="auto" w:fill="CFF0FC"/>
            <w:tcMar>
              <w:top w:w="15" w:type="dxa"/>
              <w:right w:w="15" w:type="dxa"/>
            </w:tcMar>
          </w:tcPr>
          <w:p w14:paraId="3973D1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1F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3973D1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2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0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2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0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tcPr>
          <w:p w14:paraId="3973D2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20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3973D20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208" w14:textId="77777777" w:rsidR="007B027D" w:rsidRDefault="008E0125">
      <w:pPr>
        <w:pStyle w:val="a3"/>
        <w:pBdr>
          <w:bottom w:val="single" w:sz="6" w:space="1" w:color="auto"/>
        </w:pBdr>
        <w:spacing w:beforeAutospacing="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20B" w14:textId="77777777">
        <w:tc>
          <w:tcPr>
            <w:tcW w:w="192" w:type="pct"/>
            <w:shd w:val="clear" w:color="auto" w:fill="auto"/>
            <w:noWrap/>
          </w:tcPr>
          <w:p w14:paraId="3973D209"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D20A"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excludes amortization of intangible assets and certain other GAAP-based expenses, which were not allocated to our operating segment results for purposes of reporting to and review </w:t>
            </w:r>
            <w:r>
              <w:rPr>
                <w:rFonts w:ascii="Calibri" w:hAnsi="Calibri" w:cs="Calibri"/>
                <w:sz w:val="15"/>
                <w:szCs w:val="15"/>
              </w:rPr>
              <w:t>by our CODMs, as further described under “Presentation of Operating Segments and Other Financial Information” above.</w:t>
            </w:r>
          </w:p>
        </w:tc>
      </w:tr>
    </w:tbl>
    <w:p w14:paraId="3973D20C" w14:textId="77777777" w:rsidR="007B027D" w:rsidRDefault="008E0125">
      <w:pPr>
        <w:pStyle w:val="a3"/>
        <w:spacing w:before="180" w:beforeAutospacing="0" w:after="100" w:afterAutospacing="0"/>
        <w:jc w:val="both"/>
        <w:rPr>
          <w:rFonts w:ascii="Calibri" w:hAnsi="Calibri" w:cs="Calibri"/>
          <w:sz w:val="20"/>
          <w:szCs w:val="20"/>
        </w:rPr>
      </w:pPr>
      <w:r>
        <w:rPr>
          <w:rFonts w:ascii="Calibri" w:hAnsi="Calibri" w:cs="Calibri"/>
          <w:sz w:val="20"/>
          <w:szCs w:val="20"/>
        </w:rPr>
        <w:t xml:space="preserve">Our constant currency hardware revenues decreased in fiscal 2022 relative to fiscal 2021, primarily due to our continued emphasis on the marketing and sale of our cloud-based infrastructure technologies and strategic hardware offerings and the de-emphasis </w:t>
      </w:r>
      <w:r>
        <w:rPr>
          <w:rFonts w:ascii="Calibri" w:hAnsi="Calibri" w:cs="Calibri"/>
          <w:sz w:val="20"/>
          <w:szCs w:val="20"/>
        </w:rPr>
        <w:t xml:space="preserve">of our sales and marketing efforts for certain of our nonstrategic hardware products, which resulted in reduced sales volumes of certain of our hardware product lines and also </w:t>
      </w:r>
    </w:p>
    <w:p w14:paraId="3973D20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49</w:t>
      </w:r>
    </w:p>
    <w:p w14:paraId="3973D20E" w14:textId="77777777" w:rsidR="007B027D" w:rsidRDefault="008E0125">
      <w:r>
        <w:rPr>
          <w:rFonts w:ascii="Calibri" w:hAnsi="Calibri" w:cs="Calibri"/>
          <w:sz w:val="20"/>
          <w:szCs w:val="20"/>
        </w:rPr>
        <w:pict w14:anchorId="3974006C">
          <v:rect id="_x0000_i1075" style="width:415.3pt;height:1.5pt" o:hralign="center" o:hrstd="t" o:hr="t" fillcolor="#a0a0a0" stroked="f"/>
        </w:pict>
      </w:r>
    </w:p>
    <w:p w14:paraId="3973D20F" w14:textId="77777777" w:rsidR="007B027D" w:rsidRDefault="008E0125">
      <w:pPr>
        <w:pStyle w:val="a3"/>
        <w:spacing w:beforeAutospacing="0" w:after="120" w:afterAutospacing="0"/>
        <w:rPr>
          <w:rFonts w:ascii="Calibri" w:hAnsi="Calibri" w:cs="Calibri"/>
          <w:sz w:val="18"/>
          <w:szCs w:val="18"/>
        </w:rPr>
      </w:pPr>
      <w:hyperlink r:id="rId127" w:anchor="TABLE_OF_CONTENTS" w:history="1">
        <w:r>
          <w:rPr>
            <w:rStyle w:val="a5"/>
            <w:rFonts w:ascii="Calibri" w:hAnsi="Calibri" w:cs="Calibri"/>
            <w:sz w:val="18"/>
            <w:szCs w:val="18"/>
          </w:rPr>
          <w:t>Table of Contents</w:t>
        </w:r>
      </w:hyperlink>
    </w:p>
    <w:p w14:paraId="3973D210" w14:textId="77777777" w:rsidR="007B027D" w:rsidRDefault="008E0125">
      <w:pPr>
        <w:pStyle w:val="a3"/>
        <w:spacing w:beforeAutospacing="0" w:afterAutospacing="0"/>
        <w:rPr>
          <w:rFonts w:ascii="Calibri" w:hAnsi="Calibri" w:cs="Calibri"/>
          <w:sz w:val="18"/>
          <w:szCs w:val="18"/>
        </w:rPr>
      </w:pPr>
      <w:hyperlink r:id="rId128" w:anchor="ITEM_15_EXHIBITS_FINANCIAL_STATEMENT_SCH" w:history="1">
        <w:r>
          <w:rPr>
            <w:rStyle w:val="a5"/>
            <w:rFonts w:ascii="Calibri" w:hAnsi="Calibri" w:cs="Calibri"/>
            <w:sz w:val="18"/>
            <w:szCs w:val="18"/>
          </w:rPr>
          <w:t>Index to Financial Statements</w:t>
        </w:r>
      </w:hyperlink>
    </w:p>
    <w:p w14:paraId="3973D21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212" w14:textId="77777777" w:rsidR="007B027D" w:rsidRDefault="008E0125">
      <w:pPr>
        <w:pStyle w:val="a3"/>
        <w:spacing w:before="180" w:beforeAutospacing="0" w:after="100" w:afterAutospacing="0"/>
        <w:jc w:val="both"/>
        <w:rPr>
          <w:rFonts w:ascii="Calibri" w:hAnsi="Calibri" w:cs="Calibri"/>
          <w:sz w:val="20"/>
          <w:szCs w:val="20"/>
        </w:rPr>
      </w:pPr>
      <w:r>
        <w:rPr>
          <w:rFonts w:ascii="Calibri" w:hAnsi="Calibri" w:cs="Calibri"/>
          <w:sz w:val="20"/>
          <w:szCs w:val="20"/>
        </w:rPr>
        <w:t xml:space="preserve">impacted the volume of hardware support contracts sold in recent periods. Our hardware business’ revenues were also adversely impacted during fiscal 2022 and 2021 due </w:t>
      </w:r>
      <w:r>
        <w:rPr>
          <w:rFonts w:ascii="Calibri" w:hAnsi="Calibri" w:cs="Calibri"/>
          <w:sz w:val="20"/>
          <w:szCs w:val="20"/>
        </w:rPr>
        <w:t>to the impacts of the COVID-19 pandemic, including global supply chain shortages for technology components that resulted in certain manufacturing delays, and any such prospective impacts are unknown. Geographically, we experienced constant currency revenue</w:t>
      </w:r>
      <w:r>
        <w:rPr>
          <w:rFonts w:ascii="Calibri" w:hAnsi="Calibri" w:cs="Calibri"/>
          <w:sz w:val="20"/>
          <w:szCs w:val="20"/>
        </w:rPr>
        <w:t xml:space="preserve"> declines in the Americas and the Asia Pacific regions during fiscal 2022, partially offset by constant currency revenue increases in the EMEA region.</w:t>
      </w:r>
    </w:p>
    <w:p w14:paraId="3973D213" w14:textId="77777777" w:rsidR="007B027D" w:rsidRDefault="008E0125">
      <w:pPr>
        <w:pStyle w:val="a3"/>
        <w:spacing w:before="120" w:beforeAutospacing="0" w:after="10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were flat in fiscal 2022, re</w:t>
      </w:r>
      <w:r>
        <w:rPr>
          <w:rFonts w:ascii="Calibri" w:hAnsi="Calibri" w:cs="Calibri"/>
          <w:sz w:val="20"/>
          <w:szCs w:val="20"/>
        </w:rPr>
        <w:t>lative to the corresponding prior year period.</w:t>
      </w:r>
    </w:p>
    <w:p w14:paraId="3973D21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hardware business’ total margin and total margin as a percentage of revenues decreased in fiscal 2022 compared to fiscal 2021 primarily due to lower total revenues for this business. </w:t>
      </w:r>
    </w:p>
    <w:p w14:paraId="3973D21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3973D21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services offerings are designed to help maximize the performance of customer investments in Oracle applications and infrastructure technologies and substantially include our consulting services and advanced customer services offering</w:t>
      </w:r>
      <w:r>
        <w:rPr>
          <w:rFonts w:ascii="Calibri" w:hAnsi="Calibri" w:cs="Calibri"/>
          <w:sz w:val="20"/>
          <w:szCs w:val="20"/>
        </w:rPr>
        <w:t xml:space="preserve">s. Services revenues are generally recognized over time as the services are performed. The cost of providing our services consists primarily of personnel related expenses, technology infrastructure expenditures, facilities expenses and external contractor </w:t>
      </w:r>
      <w:r>
        <w:rPr>
          <w:rFonts w:ascii="Calibri" w:hAnsi="Calibri" w:cs="Calibri"/>
          <w:sz w:val="20"/>
          <w:szCs w:val="20"/>
        </w:rPr>
        <w:t>expenses.</w:t>
      </w:r>
      <w:r>
        <w:rPr>
          <w:rFonts w:ascii="Calibri" w:hAnsi="Calibri" w:cs="Calibri"/>
          <w:sz w:val="12"/>
          <w:szCs w:val="12"/>
        </w:rPr>
        <w:t> </w:t>
      </w:r>
    </w:p>
    <w:p w14:paraId="3973D217"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21C" w14:textId="77777777">
        <w:tc>
          <w:tcPr>
            <w:tcW w:w="2537" w:type="pct"/>
            <w:shd w:val="clear" w:color="auto" w:fill="FFFFFF"/>
            <w:tcMar>
              <w:top w:w="15" w:type="dxa"/>
              <w:right w:w="15" w:type="dxa"/>
            </w:tcMar>
            <w:vAlign w:val="center"/>
          </w:tcPr>
          <w:p w14:paraId="3973D218"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21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21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21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228" w14:textId="77777777">
        <w:tc>
          <w:tcPr>
            <w:tcW w:w="2537" w:type="pct"/>
            <w:shd w:val="clear" w:color="auto" w:fill="FFFFFF"/>
            <w:tcMar>
              <w:top w:w="15" w:type="dxa"/>
              <w:right w:w="15" w:type="dxa"/>
            </w:tcMar>
            <w:vAlign w:val="center"/>
          </w:tcPr>
          <w:p w14:paraId="3973D21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21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21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22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22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3973D22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22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3973D22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22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22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22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234" w14:textId="77777777">
        <w:tc>
          <w:tcPr>
            <w:tcW w:w="2537" w:type="pct"/>
            <w:tcBorders>
              <w:bottom w:val="single" w:sz="6" w:space="0" w:color="000000"/>
            </w:tcBorders>
            <w:shd w:val="clear" w:color="auto" w:fill="FFFFFF"/>
            <w:tcMar>
              <w:top w:w="15" w:type="dxa"/>
              <w:right w:w="15" w:type="dxa"/>
            </w:tcMar>
            <w:vAlign w:val="bottom"/>
          </w:tcPr>
          <w:p w14:paraId="3973D22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22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22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22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22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22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22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23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23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23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23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242" w14:textId="77777777">
        <w:tc>
          <w:tcPr>
            <w:tcW w:w="2537" w:type="pct"/>
            <w:tcBorders>
              <w:top w:val="single" w:sz="6" w:space="0" w:color="000000"/>
            </w:tcBorders>
            <w:shd w:val="clear" w:color="auto" w:fill="CFF0FC"/>
            <w:tcMar>
              <w:top w:w="15" w:type="dxa"/>
              <w:right w:w="15" w:type="dxa"/>
            </w:tcMar>
          </w:tcPr>
          <w:p w14:paraId="3973D235"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81" w:type="pct"/>
            <w:shd w:val="clear" w:color="auto" w:fill="CFF0FC"/>
            <w:tcMar>
              <w:top w:w="15" w:type="dxa"/>
              <w:right w:w="15" w:type="dxa"/>
            </w:tcMar>
            <w:vAlign w:val="bottom"/>
          </w:tcPr>
          <w:p w14:paraId="3973D236"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23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3973D23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3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3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23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3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23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2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3973D24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4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50" w14:textId="77777777">
        <w:tc>
          <w:tcPr>
            <w:tcW w:w="2537" w:type="pct"/>
            <w:shd w:val="clear" w:color="auto" w:fill="FFFFFF"/>
            <w:tcMar>
              <w:top w:w="15" w:type="dxa"/>
              <w:right w:w="15" w:type="dxa"/>
            </w:tcMar>
          </w:tcPr>
          <w:p w14:paraId="3973D2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1" w:type="pct"/>
            <w:shd w:val="clear" w:color="auto" w:fill="FFFFFF"/>
            <w:tcMar>
              <w:top w:w="15" w:type="dxa"/>
              <w:right w:w="15" w:type="dxa"/>
            </w:tcMar>
            <w:vAlign w:val="bottom"/>
          </w:tcPr>
          <w:p w14:paraId="3973D2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24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3973D24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1,527</w:t>
            </w:r>
          </w:p>
        </w:tc>
        <w:tc>
          <w:tcPr>
            <w:tcW w:w="50" w:type="pct"/>
            <w:shd w:val="clear" w:color="auto" w:fill="FFFFFF"/>
            <w:noWrap/>
            <w:tcMar>
              <w:top w:w="15" w:type="dxa"/>
              <w:right w:w="15" w:type="dxa"/>
            </w:tcMar>
            <w:vAlign w:val="bottom"/>
          </w:tcPr>
          <w:p w14:paraId="3973D24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4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4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1" w:type="pct"/>
            <w:shd w:val="clear" w:color="auto" w:fill="FFFFFF"/>
            <w:tcMar>
              <w:top w:w="15" w:type="dxa"/>
              <w:right w:w="15" w:type="dxa"/>
            </w:tcMar>
            <w:vAlign w:val="bottom"/>
          </w:tcPr>
          <w:p w14:paraId="3973D24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4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1" w:type="pct"/>
            <w:shd w:val="clear" w:color="auto" w:fill="FFFFFF"/>
            <w:tcMar>
              <w:top w:w="15" w:type="dxa"/>
              <w:right w:w="15" w:type="dxa"/>
            </w:tcMar>
            <w:vAlign w:val="bottom"/>
          </w:tcPr>
          <w:p w14:paraId="3973D2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2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3973D24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1,397</w:t>
            </w:r>
          </w:p>
        </w:tc>
        <w:tc>
          <w:tcPr>
            <w:tcW w:w="50" w:type="pct"/>
            <w:shd w:val="clear" w:color="auto" w:fill="FFFFFF"/>
            <w:noWrap/>
            <w:tcMar>
              <w:top w:w="15" w:type="dxa"/>
              <w:right w:w="15" w:type="dxa"/>
            </w:tcMar>
            <w:vAlign w:val="bottom"/>
          </w:tcPr>
          <w:p w14:paraId="3973D24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5E" w14:textId="77777777">
        <w:tc>
          <w:tcPr>
            <w:tcW w:w="2537" w:type="pct"/>
            <w:shd w:val="clear" w:color="auto" w:fill="CFF0FC"/>
            <w:tcMar>
              <w:top w:w="15" w:type="dxa"/>
              <w:right w:w="15" w:type="dxa"/>
            </w:tcMar>
          </w:tcPr>
          <w:p w14:paraId="3973D25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1" w:type="pct"/>
            <w:shd w:val="clear" w:color="auto" w:fill="CFF0FC"/>
            <w:tcMar>
              <w:top w:w="15" w:type="dxa"/>
              <w:right w:w="15" w:type="dxa"/>
            </w:tcMar>
            <w:vAlign w:val="bottom"/>
          </w:tcPr>
          <w:p w14:paraId="3973D2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25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1,046</w:t>
            </w:r>
          </w:p>
        </w:tc>
        <w:tc>
          <w:tcPr>
            <w:tcW w:w="50" w:type="pct"/>
            <w:shd w:val="clear" w:color="auto" w:fill="CFF0FC"/>
            <w:noWrap/>
            <w:tcMar>
              <w:top w:w="15" w:type="dxa"/>
              <w:right w:w="15" w:type="dxa"/>
            </w:tcMar>
            <w:vAlign w:val="bottom"/>
          </w:tcPr>
          <w:p w14:paraId="3973D25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5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5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1" w:type="pct"/>
            <w:shd w:val="clear" w:color="auto" w:fill="CFF0FC"/>
            <w:tcMar>
              <w:top w:w="15" w:type="dxa"/>
              <w:right w:w="15" w:type="dxa"/>
            </w:tcMar>
            <w:vAlign w:val="bottom"/>
          </w:tcPr>
          <w:p w14:paraId="3973D25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1" w:type="pct"/>
            <w:shd w:val="clear" w:color="auto" w:fill="CFF0FC"/>
            <w:tcMar>
              <w:top w:w="15" w:type="dxa"/>
              <w:right w:w="15" w:type="dxa"/>
            </w:tcMar>
            <w:vAlign w:val="bottom"/>
          </w:tcPr>
          <w:p w14:paraId="3973D2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25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977</w:t>
            </w:r>
          </w:p>
        </w:tc>
        <w:tc>
          <w:tcPr>
            <w:tcW w:w="50" w:type="pct"/>
            <w:shd w:val="clear" w:color="auto" w:fill="CFF0FC"/>
            <w:noWrap/>
            <w:tcMar>
              <w:top w:w="15" w:type="dxa"/>
              <w:right w:w="15" w:type="dxa"/>
            </w:tcMar>
            <w:vAlign w:val="bottom"/>
          </w:tcPr>
          <w:p w14:paraId="3973D25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6C" w14:textId="77777777">
        <w:tc>
          <w:tcPr>
            <w:tcW w:w="2537" w:type="pct"/>
            <w:shd w:val="clear" w:color="auto" w:fill="FFFFFF"/>
            <w:tcMar>
              <w:top w:w="15" w:type="dxa"/>
              <w:right w:w="15" w:type="dxa"/>
            </w:tcMar>
          </w:tcPr>
          <w:p w14:paraId="3973D2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1" w:type="pct"/>
            <w:shd w:val="clear" w:color="auto" w:fill="FFFFFF"/>
            <w:tcMar>
              <w:top w:w="15" w:type="dxa"/>
              <w:right w:w="15" w:type="dxa"/>
            </w:tcMar>
            <w:vAlign w:val="bottom"/>
          </w:tcPr>
          <w:p w14:paraId="3973D2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2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26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632</w:t>
            </w:r>
          </w:p>
        </w:tc>
        <w:tc>
          <w:tcPr>
            <w:tcW w:w="50" w:type="pct"/>
            <w:shd w:val="clear" w:color="auto" w:fill="FFFFFF"/>
            <w:noWrap/>
            <w:tcMar>
              <w:top w:w="15" w:type="dxa"/>
              <w:right w:w="15" w:type="dxa"/>
            </w:tcMar>
            <w:vAlign w:val="bottom"/>
          </w:tcPr>
          <w:p w14:paraId="3973D2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6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6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1" w:type="pct"/>
            <w:shd w:val="clear" w:color="auto" w:fill="FFFFFF"/>
            <w:tcMar>
              <w:top w:w="15" w:type="dxa"/>
              <w:right w:w="15" w:type="dxa"/>
            </w:tcMar>
            <w:vAlign w:val="bottom"/>
          </w:tcPr>
          <w:p w14:paraId="3973D26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6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1" w:type="pct"/>
            <w:shd w:val="clear" w:color="auto" w:fill="FFFFFF"/>
            <w:tcMar>
              <w:top w:w="15" w:type="dxa"/>
              <w:right w:w="15" w:type="dxa"/>
            </w:tcMar>
            <w:vAlign w:val="bottom"/>
          </w:tcPr>
          <w:p w14:paraId="3973D2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2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26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w:t>
            </w:r>
          </w:p>
        </w:tc>
        <w:tc>
          <w:tcPr>
            <w:tcW w:w="50" w:type="pct"/>
            <w:shd w:val="clear" w:color="auto" w:fill="FFFFFF"/>
            <w:noWrap/>
            <w:tcMar>
              <w:top w:w="15" w:type="dxa"/>
              <w:right w:w="15" w:type="dxa"/>
            </w:tcMar>
            <w:vAlign w:val="bottom"/>
          </w:tcPr>
          <w:p w14:paraId="3973D26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7A" w14:textId="77777777">
        <w:tc>
          <w:tcPr>
            <w:tcW w:w="2537" w:type="pct"/>
            <w:shd w:val="clear" w:color="auto" w:fill="CFF0FC"/>
            <w:tcMar>
              <w:top w:w="15" w:type="dxa"/>
              <w:right w:w="15" w:type="dxa"/>
            </w:tcMar>
          </w:tcPr>
          <w:p w14:paraId="3973D26D"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1" w:type="pct"/>
            <w:shd w:val="clear" w:color="auto" w:fill="CFF0FC"/>
            <w:tcMar>
              <w:top w:w="15" w:type="dxa"/>
              <w:right w:w="15" w:type="dxa"/>
            </w:tcMar>
            <w:vAlign w:val="bottom"/>
          </w:tcPr>
          <w:p w14:paraId="3973D2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2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27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3,205</w:t>
            </w:r>
          </w:p>
        </w:tc>
        <w:tc>
          <w:tcPr>
            <w:tcW w:w="50" w:type="pct"/>
            <w:shd w:val="clear" w:color="auto" w:fill="CFF0FC"/>
            <w:noWrap/>
            <w:tcMar>
              <w:top w:w="15" w:type="dxa"/>
              <w:right w:w="15" w:type="dxa"/>
            </w:tcMar>
            <w:vAlign w:val="bottom"/>
          </w:tcPr>
          <w:p w14:paraId="3973D2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7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7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CFF0FC"/>
            <w:tcMar>
              <w:top w:w="15" w:type="dxa"/>
              <w:right w:w="15" w:type="dxa"/>
            </w:tcMar>
            <w:vAlign w:val="bottom"/>
          </w:tcPr>
          <w:p w14:paraId="3973D27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7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1" w:type="pct"/>
            <w:shd w:val="clear" w:color="auto" w:fill="CFF0FC"/>
            <w:tcMar>
              <w:top w:w="15" w:type="dxa"/>
              <w:right w:w="15" w:type="dxa"/>
            </w:tcMar>
            <w:vAlign w:val="bottom"/>
          </w:tcPr>
          <w:p w14:paraId="3973D2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2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3973D27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3,021</w:t>
            </w:r>
          </w:p>
        </w:tc>
        <w:tc>
          <w:tcPr>
            <w:tcW w:w="50" w:type="pct"/>
            <w:shd w:val="clear" w:color="auto" w:fill="CFF0FC"/>
            <w:noWrap/>
            <w:tcMar>
              <w:top w:w="15" w:type="dxa"/>
              <w:right w:w="15" w:type="dxa"/>
            </w:tcMar>
            <w:vAlign w:val="bottom"/>
          </w:tcPr>
          <w:p w14:paraId="3973D27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88" w14:textId="77777777">
        <w:tc>
          <w:tcPr>
            <w:tcW w:w="2537" w:type="pct"/>
            <w:shd w:val="clear" w:color="auto" w:fill="FFFFFF"/>
            <w:tcMar>
              <w:top w:w="15" w:type="dxa"/>
              <w:right w:w="15" w:type="dxa"/>
            </w:tcMar>
          </w:tcPr>
          <w:p w14:paraId="3973D27B"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81" w:type="pct"/>
            <w:shd w:val="clear" w:color="auto" w:fill="FFFFFF"/>
            <w:tcMar>
              <w:top w:w="15" w:type="dxa"/>
              <w:right w:w="15" w:type="dxa"/>
            </w:tcMar>
            <w:vAlign w:val="bottom"/>
          </w:tcPr>
          <w:p w14:paraId="3973D2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2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FFFFFF"/>
            <w:noWrap/>
            <w:tcMar>
              <w:top w:w="15" w:type="dxa"/>
              <w:right w:w="15" w:type="dxa"/>
            </w:tcMar>
            <w:vAlign w:val="bottom"/>
          </w:tcPr>
          <w:p w14:paraId="3973D27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2,539</w:t>
            </w:r>
          </w:p>
        </w:tc>
        <w:tc>
          <w:tcPr>
            <w:tcW w:w="50" w:type="pct"/>
            <w:shd w:val="clear" w:color="auto" w:fill="FFFFFF"/>
            <w:noWrap/>
            <w:tcMar>
              <w:top w:w="15" w:type="dxa"/>
              <w:right w:w="15" w:type="dxa"/>
            </w:tcMar>
            <w:vAlign w:val="bottom"/>
          </w:tcPr>
          <w:p w14:paraId="3973D2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8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FFFFFF"/>
            <w:tcMar>
              <w:top w:w="15" w:type="dxa"/>
              <w:right w:w="15" w:type="dxa"/>
            </w:tcMar>
            <w:vAlign w:val="bottom"/>
          </w:tcPr>
          <w:p w14:paraId="3973D28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8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1" w:type="pct"/>
            <w:shd w:val="clear" w:color="auto" w:fill="FFFFFF"/>
            <w:tcMar>
              <w:top w:w="15" w:type="dxa"/>
              <w:right w:w="15" w:type="dxa"/>
            </w:tcMar>
            <w:vAlign w:val="bottom"/>
          </w:tcPr>
          <w:p w14:paraId="3973D2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2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FFFFFF"/>
            <w:noWrap/>
            <w:tcMar>
              <w:top w:w="15" w:type="dxa"/>
              <w:right w:w="15" w:type="dxa"/>
            </w:tcMar>
            <w:vAlign w:val="bottom"/>
          </w:tcPr>
          <w:p w14:paraId="3973D28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2,393</w:t>
            </w:r>
          </w:p>
        </w:tc>
        <w:tc>
          <w:tcPr>
            <w:tcW w:w="50" w:type="pct"/>
            <w:shd w:val="clear" w:color="auto" w:fill="FFFFFF"/>
            <w:noWrap/>
            <w:tcMar>
              <w:top w:w="15" w:type="dxa"/>
              <w:right w:w="15" w:type="dxa"/>
            </w:tcMar>
            <w:vAlign w:val="bottom"/>
          </w:tcPr>
          <w:p w14:paraId="3973D2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96" w14:textId="77777777">
        <w:tc>
          <w:tcPr>
            <w:tcW w:w="2537" w:type="pct"/>
            <w:shd w:val="clear" w:color="auto" w:fill="CFF0FC"/>
            <w:tcMar>
              <w:top w:w="15" w:type="dxa"/>
              <w:right w:w="15" w:type="dxa"/>
            </w:tcMar>
          </w:tcPr>
          <w:p w14:paraId="3973D289"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1" w:type="pct"/>
            <w:shd w:val="clear" w:color="auto" w:fill="CFF0FC"/>
            <w:tcMar>
              <w:top w:w="15" w:type="dxa"/>
              <w:right w:w="15" w:type="dxa"/>
            </w:tcMar>
            <w:vAlign w:val="bottom"/>
          </w:tcPr>
          <w:p w14:paraId="3973D28A"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2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28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666</w:t>
            </w:r>
          </w:p>
        </w:tc>
        <w:tc>
          <w:tcPr>
            <w:tcW w:w="50" w:type="pct"/>
            <w:shd w:val="clear" w:color="auto" w:fill="CFF0FC"/>
            <w:noWrap/>
            <w:tcMar>
              <w:top w:w="15" w:type="dxa"/>
              <w:right w:w="15" w:type="dxa"/>
            </w:tcMar>
            <w:vAlign w:val="bottom"/>
          </w:tcPr>
          <w:p w14:paraId="3973D2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8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8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CFF0FC"/>
            <w:tcMar>
              <w:top w:w="15" w:type="dxa"/>
              <w:right w:w="15" w:type="dxa"/>
            </w:tcMar>
            <w:vAlign w:val="bottom"/>
          </w:tcPr>
          <w:p w14:paraId="3973D29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9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1" w:type="pct"/>
            <w:shd w:val="clear" w:color="auto" w:fill="CFF0FC"/>
            <w:tcMar>
              <w:top w:w="15" w:type="dxa"/>
              <w:right w:w="15" w:type="dxa"/>
            </w:tcMar>
            <w:vAlign w:val="bottom"/>
          </w:tcPr>
          <w:p w14:paraId="3973D2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2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29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628</w:t>
            </w:r>
          </w:p>
        </w:tc>
        <w:tc>
          <w:tcPr>
            <w:tcW w:w="50" w:type="pct"/>
            <w:shd w:val="clear" w:color="auto" w:fill="CFF0FC"/>
            <w:noWrap/>
            <w:tcMar>
              <w:top w:w="15" w:type="dxa"/>
              <w:right w:w="15" w:type="dxa"/>
            </w:tcMar>
            <w:vAlign w:val="bottom"/>
          </w:tcPr>
          <w:p w14:paraId="3973D2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A2" w14:textId="77777777">
        <w:tc>
          <w:tcPr>
            <w:tcW w:w="2537" w:type="pct"/>
            <w:shd w:val="clear" w:color="auto" w:fill="FFFFFF"/>
            <w:tcMar>
              <w:top w:w="15" w:type="dxa"/>
              <w:right w:w="15" w:type="dxa"/>
            </w:tcMar>
          </w:tcPr>
          <w:p w14:paraId="3973D297"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1" w:type="pct"/>
            <w:shd w:val="clear" w:color="auto" w:fill="FFFFFF"/>
            <w:tcMar>
              <w:top w:w="15" w:type="dxa"/>
              <w:right w:w="15" w:type="dxa"/>
            </w:tcMar>
            <w:vAlign w:val="bottom"/>
          </w:tcPr>
          <w:p w14:paraId="3973D298"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29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3973D2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9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9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9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9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2A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3973D2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B0" w14:textId="77777777">
        <w:tc>
          <w:tcPr>
            <w:tcW w:w="2537" w:type="pct"/>
            <w:shd w:val="clear" w:color="auto" w:fill="CFF0FC"/>
            <w:tcMar>
              <w:top w:w="15" w:type="dxa"/>
              <w:right w:w="15" w:type="dxa"/>
            </w:tcMar>
          </w:tcPr>
          <w:p w14:paraId="3973D2A3"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xml:space="preserve">% </w:t>
            </w:r>
            <w:r>
              <w:rPr>
                <w:rFonts w:ascii="Calibri" w:hAnsi="Calibri" w:cs="Calibri"/>
                <w:b/>
                <w:bCs/>
                <w:i/>
                <w:iCs/>
                <w:color w:val="000000"/>
                <w:sz w:val="20"/>
                <w:szCs w:val="20"/>
              </w:rPr>
              <w:t>Revenues by Geography</w:t>
            </w:r>
            <w:r>
              <w:rPr>
                <w:rFonts w:ascii="Calibri" w:hAnsi="Calibri" w:cs="Calibri"/>
                <w:b/>
                <w:bCs/>
                <w:color w:val="000000"/>
                <w:sz w:val="20"/>
                <w:szCs w:val="20"/>
              </w:rPr>
              <w:t>:</w:t>
            </w:r>
          </w:p>
        </w:tc>
        <w:tc>
          <w:tcPr>
            <w:tcW w:w="81" w:type="pct"/>
            <w:shd w:val="clear" w:color="auto" w:fill="CFF0FC"/>
            <w:tcMar>
              <w:top w:w="15" w:type="dxa"/>
              <w:right w:w="15" w:type="dxa"/>
            </w:tcMar>
            <w:vAlign w:val="bottom"/>
          </w:tcPr>
          <w:p w14:paraId="3973D2A4"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shd w:val="clear" w:color="auto" w:fill="CFF0FC"/>
            <w:noWrap/>
            <w:tcMar>
              <w:top w:w="15" w:type="dxa"/>
              <w:right w:w="15" w:type="dxa"/>
            </w:tcMar>
            <w:vAlign w:val="bottom"/>
          </w:tcPr>
          <w:p w14:paraId="3973D2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2A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A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A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A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A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2A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2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BC" w14:textId="77777777">
        <w:tc>
          <w:tcPr>
            <w:tcW w:w="2537" w:type="pct"/>
            <w:shd w:val="clear" w:color="auto" w:fill="FFFFFF"/>
            <w:tcMar>
              <w:top w:w="15" w:type="dxa"/>
              <w:right w:w="15" w:type="dxa"/>
            </w:tcMar>
          </w:tcPr>
          <w:p w14:paraId="3973D2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1" w:type="pct"/>
            <w:shd w:val="clear" w:color="auto" w:fill="FFFFFF"/>
            <w:tcMar>
              <w:top w:w="15" w:type="dxa"/>
              <w:right w:w="15" w:type="dxa"/>
            </w:tcMar>
            <w:vAlign w:val="bottom"/>
          </w:tcPr>
          <w:p w14:paraId="3973D2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2B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3973D2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B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B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B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B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2B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3973D2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C8" w14:textId="77777777">
        <w:tc>
          <w:tcPr>
            <w:tcW w:w="2537" w:type="pct"/>
            <w:shd w:val="clear" w:color="auto" w:fill="CFF0FC"/>
            <w:tcMar>
              <w:top w:w="15" w:type="dxa"/>
              <w:right w:w="15" w:type="dxa"/>
            </w:tcMar>
          </w:tcPr>
          <w:p w14:paraId="3973D2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1" w:type="pct"/>
            <w:shd w:val="clear" w:color="auto" w:fill="CFF0FC"/>
            <w:tcMar>
              <w:top w:w="15" w:type="dxa"/>
              <w:right w:w="15" w:type="dxa"/>
            </w:tcMar>
            <w:vAlign w:val="bottom"/>
          </w:tcPr>
          <w:p w14:paraId="3973D2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2B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3973D2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C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C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C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2C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2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3973D2C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3973D2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2D4" w14:textId="77777777">
        <w:tc>
          <w:tcPr>
            <w:tcW w:w="2537" w:type="pct"/>
            <w:shd w:val="clear" w:color="auto" w:fill="FFFFFF"/>
            <w:tcMar>
              <w:top w:w="15" w:type="dxa"/>
              <w:right w:w="15" w:type="dxa"/>
            </w:tcMar>
          </w:tcPr>
          <w:p w14:paraId="3973D2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1" w:type="pct"/>
            <w:shd w:val="clear" w:color="auto" w:fill="FFFFFF"/>
            <w:tcMar>
              <w:top w:w="15" w:type="dxa"/>
              <w:right w:w="15" w:type="dxa"/>
            </w:tcMar>
            <w:vAlign w:val="bottom"/>
          </w:tcPr>
          <w:p w14:paraId="3973D2C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2C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3973D2C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C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C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C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2D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2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3973D2D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3973D2D3"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2D5"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2D8" w14:textId="77777777">
        <w:tc>
          <w:tcPr>
            <w:tcW w:w="192" w:type="pct"/>
            <w:shd w:val="clear" w:color="auto" w:fill="auto"/>
            <w:noWrap/>
          </w:tcPr>
          <w:p w14:paraId="3973D2D6"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D2D7"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w:t>
            </w:r>
            <w:r>
              <w:rPr>
                <w:rFonts w:ascii="Calibri" w:hAnsi="Calibri" w:cs="Calibri"/>
                <w:sz w:val="15"/>
                <w:szCs w:val="15"/>
              </w:rPr>
              <w:t>GAAP-based expenses, which were not allocated to our operating segment results for purposes of reporting to and review by our CODMs, as further described under “Presentation of Operating Segments and Other Financial Information” above.</w:t>
            </w:r>
          </w:p>
        </w:tc>
      </w:tr>
    </w:tbl>
    <w:p w14:paraId="3973D2D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w:t>
      </w:r>
      <w:r>
        <w:rPr>
          <w:rFonts w:ascii="Calibri" w:hAnsi="Calibri" w:cs="Calibri"/>
          <w:sz w:val="20"/>
          <w:szCs w:val="20"/>
        </w:rPr>
        <w:t>effects of currency rate fluctuations, our total services revenues increased in fiscal 2022 relative to fiscal 2021 primarily due to revenue increases in each of our primary services offerings. In constant currency, the Americas, the EMEA and the Asia Paci</w:t>
      </w:r>
      <w:r>
        <w:rPr>
          <w:rFonts w:ascii="Calibri" w:hAnsi="Calibri" w:cs="Calibri"/>
          <w:sz w:val="20"/>
          <w:szCs w:val="20"/>
        </w:rPr>
        <w:t>fic regions contributed 53%, 44% and 3%, respectively, to the revenue growth for this business in fiscal 2022.</w:t>
      </w:r>
    </w:p>
    <w:p w14:paraId="3973D2D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total services expenses increased in fiscal 2022 compared to fiscal 2021 primarily due to higher employee related expenses </w:t>
      </w:r>
      <w:r>
        <w:rPr>
          <w:rFonts w:ascii="Calibri" w:hAnsi="Calibri" w:cs="Calibri"/>
          <w:sz w:val="20"/>
          <w:szCs w:val="20"/>
        </w:rPr>
        <w:t>due to higher headcount and higher external contractor expenses.</w:t>
      </w:r>
    </w:p>
    <w:p w14:paraId="3973D2D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services business’ total margin increased during fiscal 2022 relative to fiscal 2021 due to higher total revenues for this business. In constant currency, total marg</w:t>
      </w:r>
      <w:r>
        <w:rPr>
          <w:rFonts w:ascii="Calibri" w:hAnsi="Calibri" w:cs="Calibri"/>
          <w:sz w:val="20"/>
          <w:szCs w:val="20"/>
        </w:rPr>
        <w:t>in as a percentage of total services revenues was flat during fiscal 2022 relative to fiscal 2021</w:t>
      </w:r>
      <w:r>
        <w:rPr>
          <w:rFonts w:ascii="Calibri" w:hAnsi="Calibri" w:cs="Calibri"/>
          <w:color w:val="212529"/>
          <w:sz w:val="20"/>
          <w:szCs w:val="20"/>
          <w:shd w:val="clear" w:color="auto" w:fill="FFFFFF"/>
        </w:rPr>
        <w:t>.</w:t>
      </w:r>
    </w:p>
    <w:p w14:paraId="3973D2D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b/>
          <w:bCs/>
          <w:sz w:val="20"/>
          <w:szCs w:val="20"/>
        </w:rPr>
        <w:t>  </w:t>
      </w:r>
      <w:r>
        <w:rPr>
          <w:rFonts w:ascii="Calibri" w:hAnsi="Calibri" w:cs="Calibri"/>
          <w:sz w:val="20"/>
          <w:szCs w:val="20"/>
        </w:rPr>
        <w:t>Research and development expenses consist primarily of personnel related expenditures. We intend to continue to invest s</w:t>
      </w:r>
      <w:r>
        <w:rPr>
          <w:rFonts w:ascii="Calibri" w:hAnsi="Calibri" w:cs="Calibri"/>
          <w:sz w:val="20"/>
          <w:szCs w:val="20"/>
        </w:rPr>
        <w:t>ignificantly in our research and development efforts because, in our judgment, they are essential to maintaining our competitive position.</w:t>
      </w:r>
    </w:p>
    <w:p w14:paraId="3973D2D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50</w:t>
      </w:r>
    </w:p>
    <w:p w14:paraId="3973D2DE" w14:textId="77777777" w:rsidR="007B027D" w:rsidRDefault="008E0125">
      <w:r>
        <w:rPr>
          <w:rFonts w:ascii="Calibri" w:hAnsi="Calibri" w:cs="Calibri"/>
          <w:sz w:val="20"/>
          <w:szCs w:val="20"/>
        </w:rPr>
        <w:pict w14:anchorId="3974006D">
          <v:rect id="_x0000_i1076" style="width:415.3pt;height:1.5pt" o:hralign="center" o:hrstd="t" o:hr="t" fillcolor="#a0a0a0" stroked="f"/>
        </w:pict>
      </w:r>
    </w:p>
    <w:p w14:paraId="3973D2DF" w14:textId="77777777" w:rsidR="007B027D" w:rsidRDefault="008E0125">
      <w:pPr>
        <w:pStyle w:val="a3"/>
        <w:spacing w:beforeAutospacing="0" w:after="120" w:afterAutospacing="0"/>
        <w:rPr>
          <w:rFonts w:ascii="Calibri" w:hAnsi="Calibri" w:cs="Calibri"/>
          <w:sz w:val="18"/>
          <w:szCs w:val="18"/>
        </w:rPr>
      </w:pPr>
      <w:hyperlink r:id="rId129" w:anchor="TABLE_OF_CONTENTS" w:history="1">
        <w:r>
          <w:rPr>
            <w:rStyle w:val="a5"/>
            <w:rFonts w:ascii="Calibri" w:hAnsi="Calibri" w:cs="Calibri"/>
            <w:sz w:val="18"/>
            <w:szCs w:val="18"/>
          </w:rPr>
          <w:t>Table of Contents</w:t>
        </w:r>
      </w:hyperlink>
    </w:p>
    <w:p w14:paraId="3973D2E0" w14:textId="77777777" w:rsidR="007B027D" w:rsidRDefault="008E0125">
      <w:pPr>
        <w:pStyle w:val="a3"/>
        <w:spacing w:beforeAutospacing="0" w:afterAutospacing="0"/>
        <w:rPr>
          <w:rFonts w:ascii="Calibri" w:hAnsi="Calibri" w:cs="Calibri"/>
          <w:sz w:val="18"/>
          <w:szCs w:val="18"/>
        </w:rPr>
      </w:pPr>
      <w:hyperlink r:id="rId130" w:anchor="ITEM_15_EXHIBITS_FINANCIAL_STATEMENT_SCH" w:history="1">
        <w:r>
          <w:rPr>
            <w:rStyle w:val="a5"/>
            <w:rFonts w:ascii="Calibri" w:hAnsi="Calibri" w:cs="Calibri"/>
            <w:sz w:val="18"/>
            <w:szCs w:val="18"/>
          </w:rPr>
          <w:t>Index to Financial Statements</w:t>
        </w:r>
      </w:hyperlink>
    </w:p>
    <w:p w14:paraId="3973D2E1"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2E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2E7" w14:textId="77777777">
        <w:tc>
          <w:tcPr>
            <w:tcW w:w="2537" w:type="pct"/>
            <w:shd w:val="clear" w:color="auto" w:fill="FFFFFF"/>
            <w:tcMar>
              <w:top w:w="15" w:type="dxa"/>
              <w:right w:w="15" w:type="dxa"/>
            </w:tcMar>
            <w:vAlign w:val="center"/>
          </w:tcPr>
          <w:p w14:paraId="3973D2E3"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2E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2E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2E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2F3" w14:textId="77777777">
        <w:tc>
          <w:tcPr>
            <w:tcW w:w="2537" w:type="pct"/>
            <w:shd w:val="clear" w:color="auto" w:fill="FFFFFF"/>
            <w:tcMar>
              <w:top w:w="15" w:type="dxa"/>
              <w:right w:w="15" w:type="dxa"/>
            </w:tcMar>
            <w:vAlign w:val="center"/>
          </w:tcPr>
          <w:p w14:paraId="3973D2E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2E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2E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2E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2E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3973D2E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2E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3973D2E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2F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2F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2F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2FF" w14:textId="77777777">
        <w:tc>
          <w:tcPr>
            <w:tcW w:w="2537" w:type="pct"/>
            <w:tcBorders>
              <w:bottom w:val="single" w:sz="6" w:space="0" w:color="000000"/>
            </w:tcBorders>
            <w:shd w:val="clear" w:color="auto" w:fill="FFFFFF"/>
            <w:tcMar>
              <w:top w:w="15" w:type="dxa"/>
              <w:right w:w="15" w:type="dxa"/>
            </w:tcMar>
            <w:vAlign w:val="bottom"/>
          </w:tcPr>
          <w:p w14:paraId="3973D2F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2F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2F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2F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2F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2F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2F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2F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2F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2F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2F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0D" w14:textId="77777777">
        <w:tc>
          <w:tcPr>
            <w:tcW w:w="2537" w:type="pct"/>
            <w:tcBorders>
              <w:top w:val="single" w:sz="6" w:space="0" w:color="000000"/>
            </w:tcBorders>
            <w:shd w:val="clear" w:color="auto" w:fill="CFF0FC"/>
            <w:tcMar>
              <w:top w:w="15" w:type="dxa"/>
              <w:right w:w="15" w:type="dxa"/>
            </w:tcMar>
          </w:tcPr>
          <w:p w14:paraId="3973D3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r>
              <w:rPr>
                <w:rFonts w:ascii="Calibri" w:hAnsi="Calibri" w:cs="Calibri"/>
                <w:color w:val="000000"/>
                <w:sz w:val="17"/>
                <w:szCs w:val="17"/>
              </w:rPr>
              <w:t>(1)</w:t>
            </w:r>
          </w:p>
        </w:tc>
        <w:tc>
          <w:tcPr>
            <w:tcW w:w="81" w:type="pct"/>
            <w:shd w:val="clear" w:color="auto" w:fill="CFF0FC"/>
            <w:tcMar>
              <w:top w:w="15" w:type="dxa"/>
              <w:right w:w="15" w:type="dxa"/>
            </w:tcMar>
            <w:vAlign w:val="bottom"/>
          </w:tcPr>
          <w:p w14:paraId="3973D3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3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30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5,586</w:t>
            </w:r>
          </w:p>
        </w:tc>
        <w:tc>
          <w:tcPr>
            <w:tcW w:w="50" w:type="pct"/>
            <w:shd w:val="clear" w:color="auto" w:fill="CFF0FC"/>
            <w:noWrap/>
            <w:tcMar>
              <w:top w:w="15" w:type="dxa"/>
              <w:right w:w="15" w:type="dxa"/>
            </w:tcMar>
            <w:vAlign w:val="bottom"/>
          </w:tcPr>
          <w:p w14:paraId="3973D3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30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30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CFF0FC"/>
            <w:tcMar>
              <w:top w:w="15" w:type="dxa"/>
              <w:right w:w="15" w:type="dxa"/>
            </w:tcMar>
            <w:vAlign w:val="bottom"/>
          </w:tcPr>
          <w:p w14:paraId="3973D30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3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CFF0FC"/>
            <w:tcMar>
              <w:top w:w="15" w:type="dxa"/>
              <w:right w:w="15" w:type="dxa"/>
            </w:tcMar>
            <w:vAlign w:val="bottom"/>
          </w:tcPr>
          <w:p w14:paraId="3973D3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3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30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5,339</w:t>
            </w:r>
          </w:p>
        </w:tc>
        <w:tc>
          <w:tcPr>
            <w:tcW w:w="50" w:type="pct"/>
            <w:shd w:val="clear" w:color="auto" w:fill="CFF0FC"/>
            <w:noWrap/>
            <w:tcMar>
              <w:top w:w="15" w:type="dxa"/>
              <w:right w:w="15" w:type="dxa"/>
            </w:tcMar>
            <w:vAlign w:val="bottom"/>
          </w:tcPr>
          <w:p w14:paraId="3973D3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1B" w14:textId="77777777">
        <w:tc>
          <w:tcPr>
            <w:tcW w:w="2537" w:type="pct"/>
            <w:shd w:val="clear" w:color="auto" w:fill="FFFFFF"/>
            <w:tcMar>
              <w:top w:w="15" w:type="dxa"/>
              <w:right w:w="15" w:type="dxa"/>
            </w:tcMar>
          </w:tcPr>
          <w:p w14:paraId="3973D30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1" w:type="pct"/>
            <w:shd w:val="clear" w:color="auto" w:fill="FFFFFF"/>
            <w:tcMar>
              <w:top w:w="15" w:type="dxa"/>
              <w:right w:w="15" w:type="dxa"/>
            </w:tcMar>
            <w:vAlign w:val="bottom"/>
          </w:tcPr>
          <w:p w14:paraId="3973D3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31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31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1,633</w:t>
            </w:r>
          </w:p>
        </w:tc>
        <w:tc>
          <w:tcPr>
            <w:tcW w:w="50" w:type="pct"/>
            <w:shd w:val="clear" w:color="auto" w:fill="FFFFFF"/>
            <w:noWrap/>
            <w:tcMar>
              <w:top w:w="15" w:type="dxa"/>
              <w:right w:w="15" w:type="dxa"/>
            </w:tcMar>
            <w:vAlign w:val="bottom"/>
          </w:tcPr>
          <w:p w14:paraId="3973D3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1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81" w:type="pct"/>
            <w:shd w:val="clear" w:color="auto" w:fill="FFFFFF"/>
            <w:tcMar>
              <w:top w:w="15" w:type="dxa"/>
              <w:right w:w="15" w:type="dxa"/>
            </w:tcMar>
            <w:vAlign w:val="bottom"/>
          </w:tcPr>
          <w:p w14:paraId="3973D31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1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81" w:type="pct"/>
            <w:shd w:val="clear" w:color="auto" w:fill="FFFFFF"/>
            <w:tcMar>
              <w:top w:w="15" w:type="dxa"/>
              <w:right w:w="15" w:type="dxa"/>
            </w:tcMar>
            <w:vAlign w:val="bottom"/>
          </w:tcPr>
          <w:p w14:paraId="3973D3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3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31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1,188</w:t>
            </w:r>
          </w:p>
        </w:tc>
        <w:tc>
          <w:tcPr>
            <w:tcW w:w="50" w:type="pct"/>
            <w:shd w:val="clear" w:color="auto" w:fill="FFFFFF"/>
            <w:noWrap/>
            <w:tcMar>
              <w:top w:w="15" w:type="dxa"/>
              <w:right w:w="15" w:type="dxa"/>
            </w:tcMar>
            <w:vAlign w:val="bottom"/>
          </w:tcPr>
          <w:p w14:paraId="3973D3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29" w14:textId="77777777">
        <w:tc>
          <w:tcPr>
            <w:tcW w:w="2537" w:type="pct"/>
            <w:shd w:val="clear" w:color="auto" w:fill="CFF0FC"/>
            <w:tcMar>
              <w:top w:w="15" w:type="dxa"/>
              <w:right w:w="15" w:type="dxa"/>
            </w:tcMar>
          </w:tcPr>
          <w:p w14:paraId="3973D31C"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1" w:type="pct"/>
            <w:shd w:val="clear" w:color="auto" w:fill="CFF0FC"/>
            <w:tcMar>
              <w:top w:w="15" w:type="dxa"/>
              <w:right w:w="15" w:type="dxa"/>
            </w:tcMar>
            <w:vAlign w:val="bottom"/>
          </w:tcPr>
          <w:p w14:paraId="3973D3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3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31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7,219</w:t>
            </w:r>
          </w:p>
        </w:tc>
        <w:tc>
          <w:tcPr>
            <w:tcW w:w="50" w:type="pct"/>
            <w:shd w:val="clear" w:color="auto" w:fill="CFF0FC"/>
            <w:noWrap/>
            <w:tcMar>
              <w:top w:w="15" w:type="dxa"/>
              <w:right w:w="15" w:type="dxa"/>
            </w:tcMar>
            <w:vAlign w:val="bottom"/>
          </w:tcPr>
          <w:p w14:paraId="3973D3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32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32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1" w:type="pct"/>
            <w:shd w:val="clear" w:color="auto" w:fill="CFF0FC"/>
            <w:tcMar>
              <w:top w:w="15" w:type="dxa"/>
              <w:right w:w="15" w:type="dxa"/>
            </w:tcMar>
            <w:vAlign w:val="bottom"/>
          </w:tcPr>
          <w:p w14:paraId="3973D32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32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1" w:type="pct"/>
            <w:shd w:val="clear" w:color="auto" w:fill="CFF0FC"/>
            <w:tcMar>
              <w:top w:w="15" w:type="dxa"/>
              <w:right w:w="15" w:type="dxa"/>
            </w:tcMar>
            <w:vAlign w:val="bottom"/>
          </w:tcPr>
          <w:p w14:paraId="3973D32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3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32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6,527</w:t>
            </w:r>
          </w:p>
        </w:tc>
        <w:tc>
          <w:tcPr>
            <w:tcW w:w="50" w:type="pct"/>
            <w:shd w:val="clear" w:color="auto" w:fill="CFF0FC"/>
            <w:noWrap/>
            <w:tcMar>
              <w:top w:w="15" w:type="dxa"/>
              <w:right w:w="15" w:type="dxa"/>
            </w:tcMar>
            <w:vAlign w:val="bottom"/>
          </w:tcPr>
          <w:p w14:paraId="3973D3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35" w14:textId="77777777">
        <w:tc>
          <w:tcPr>
            <w:tcW w:w="2537" w:type="pct"/>
            <w:shd w:val="clear" w:color="auto" w:fill="FFFFFF"/>
            <w:tcMar>
              <w:top w:w="15" w:type="dxa"/>
              <w:right w:w="15" w:type="dxa"/>
            </w:tcMar>
          </w:tcPr>
          <w:p w14:paraId="3973D32A"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1" w:type="pct"/>
            <w:shd w:val="clear" w:color="auto" w:fill="FFFFFF"/>
            <w:tcMar>
              <w:top w:w="15" w:type="dxa"/>
              <w:right w:w="15" w:type="dxa"/>
            </w:tcMar>
            <w:vAlign w:val="bottom"/>
          </w:tcPr>
          <w:p w14:paraId="3973D32B"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32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3973D3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2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2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3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3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33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3973D334"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336"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339" w14:textId="77777777">
        <w:tc>
          <w:tcPr>
            <w:tcW w:w="192" w:type="pct"/>
            <w:shd w:val="clear" w:color="auto" w:fill="auto"/>
            <w:noWrap/>
          </w:tcPr>
          <w:p w14:paraId="3973D337"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D338"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3973D33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w:t>
      </w:r>
      <w:r>
        <w:rPr>
          <w:rFonts w:ascii="Calibri" w:hAnsi="Calibri" w:cs="Calibri"/>
          <w:sz w:val="20"/>
          <w:szCs w:val="20"/>
        </w:rPr>
        <w:t>basis, total research and development expenses increased in fiscal 2022 compared to fiscal 2021 primarily due to higher employee related expenses due to increased headcount and higher stock-based compensation expenses. This constant currency expense increa</w:t>
      </w:r>
      <w:r>
        <w:rPr>
          <w:rFonts w:ascii="Calibri" w:hAnsi="Calibri" w:cs="Calibri"/>
          <w:sz w:val="20"/>
          <w:szCs w:val="20"/>
        </w:rPr>
        <w:t>se was partially offset by an allocation of gains from fiscal 2022 operating asset sales as described above.</w:t>
      </w:r>
    </w:p>
    <w:p w14:paraId="3973D33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sz w:val="20"/>
          <w:szCs w:val="20"/>
        </w:rPr>
        <w:t xml:space="preserve">   General and administrative expenses primarily consist of personnel related expenditures for IT, finance, leg</w:t>
      </w:r>
      <w:r>
        <w:rPr>
          <w:rFonts w:ascii="Calibri" w:hAnsi="Calibri" w:cs="Calibri"/>
          <w:sz w:val="20"/>
          <w:szCs w:val="20"/>
        </w:rPr>
        <w:t>al and human resources support functions.</w:t>
      </w:r>
    </w:p>
    <w:p w14:paraId="3973D33C"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341" w14:textId="77777777">
        <w:tc>
          <w:tcPr>
            <w:tcW w:w="2537" w:type="pct"/>
            <w:shd w:val="clear" w:color="auto" w:fill="FFFFFF"/>
            <w:tcMar>
              <w:top w:w="15" w:type="dxa"/>
              <w:right w:w="15" w:type="dxa"/>
            </w:tcMar>
            <w:vAlign w:val="center"/>
          </w:tcPr>
          <w:p w14:paraId="3973D33D"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33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33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34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4D" w14:textId="77777777">
        <w:tc>
          <w:tcPr>
            <w:tcW w:w="2537" w:type="pct"/>
            <w:shd w:val="clear" w:color="auto" w:fill="FFFFFF"/>
            <w:tcMar>
              <w:top w:w="15" w:type="dxa"/>
              <w:right w:w="15" w:type="dxa"/>
            </w:tcMar>
            <w:vAlign w:val="center"/>
          </w:tcPr>
          <w:p w14:paraId="3973D34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34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34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34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34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center"/>
          </w:tcPr>
          <w:p w14:paraId="3973D34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34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center"/>
          </w:tcPr>
          <w:p w14:paraId="3973D34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34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34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34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59" w14:textId="77777777">
        <w:tc>
          <w:tcPr>
            <w:tcW w:w="2537" w:type="pct"/>
            <w:tcBorders>
              <w:bottom w:val="single" w:sz="6" w:space="0" w:color="000000"/>
            </w:tcBorders>
            <w:shd w:val="clear" w:color="auto" w:fill="FFFFFF"/>
            <w:tcMar>
              <w:top w:w="15" w:type="dxa"/>
              <w:right w:w="15" w:type="dxa"/>
            </w:tcMar>
            <w:vAlign w:val="bottom"/>
          </w:tcPr>
          <w:p w14:paraId="3973D34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34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35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35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35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35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35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35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35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35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35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67" w14:textId="77777777">
        <w:tc>
          <w:tcPr>
            <w:tcW w:w="2537" w:type="pct"/>
            <w:tcBorders>
              <w:top w:val="single" w:sz="6" w:space="0" w:color="000000"/>
            </w:tcBorders>
            <w:shd w:val="clear" w:color="auto" w:fill="CFF0FC"/>
            <w:tcMar>
              <w:top w:w="15" w:type="dxa"/>
              <w:right w:w="15" w:type="dxa"/>
            </w:tcMar>
          </w:tcPr>
          <w:p w14:paraId="3973D3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81" w:type="pct"/>
            <w:shd w:val="clear" w:color="auto" w:fill="CFF0FC"/>
            <w:tcMar>
              <w:top w:w="15" w:type="dxa"/>
              <w:right w:w="15" w:type="dxa"/>
            </w:tcMar>
            <w:vAlign w:val="bottom"/>
          </w:tcPr>
          <w:p w14:paraId="3973D3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3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3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1,072</w:t>
            </w:r>
          </w:p>
        </w:tc>
        <w:tc>
          <w:tcPr>
            <w:tcW w:w="50" w:type="pct"/>
            <w:shd w:val="clear" w:color="auto" w:fill="CFF0FC"/>
            <w:noWrap/>
            <w:tcMar>
              <w:top w:w="15" w:type="dxa"/>
              <w:right w:w="15" w:type="dxa"/>
            </w:tcMar>
            <w:vAlign w:val="bottom"/>
          </w:tcPr>
          <w:p w14:paraId="3973D3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35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3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1" w:type="pct"/>
            <w:shd w:val="clear" w:color="auto" w:fill="CFF0FC"/>
            <w:tcMar>
              <w:top w:w="15" w:type="dxa"/>
              <w:right w:w="15" w:type="dxa"/>
            </w:tcMar>
            <w:vAlign w:val="bottom"/>
          </w:tcPr>
          <w:p w14:paraId="3973D36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36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1" w:type="pct"/>
            <w:shd w:val="clear" w:color="auto" w:fill="CFF0FC"/>
            <w:tcMar>
              <w:top w:w="15" w:type="dxa"/>
              <w:right w:w="15" w:type="dxa"/>
            </w:tcMar>
            <w:vAlign w:val="bottom"/>
          </w:tcPr>
          <w:p w14:paraId="3973D3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3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36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1,118</w:t>
            </w:r>
          </w:p>
        </w:tc>
        <w:tc>
          <w:tcPr>
            <w:tcW w:w="50" w:type="pct"/>
            <w:shd w:val="clear" w:color="auto" w:fill="CFF0FC"/>
            <w:noWrap/>
            <w:tcMar>
              <w:top w:w="15" w:type="dxa"/>
              <w:right w:w="15" w:type="dxa"/>
            </w:tcMar>
            <w:vAlign w:val="bottom"/>
          </w:tcPr>
          <w:p w14:paraId="3973D3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75" w14:textId="77777777">
        <w:tc>
          <w:tcPr>
            <w:tcW w:w="2537" w:type="pct"/>
            <w:shd w:val="clear" w:color="auto" w:fill="FFFFFF"/>
            <w:tcMar>
              <w:top w:w="15" w:type="dxa"/>
              <w:right w:w="15" w:type="dxa"/>
            </w:tcMar>
          </w:tcPr>
          <w:p w14:paraId="3973D3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w:t>
            </w:r>
          </w:p>
        </w:tc>
        <w:tc>
          <w:tcPr>
            <w:tcW w:w="81" w:type="pct"/>
            <w:shd w:val="clear" w:color="auto" w:fill="FFFFFF"/>
            <w:tcMar>
              <w:top w:w="15" w:type="dxa"/>
              <w:right w:w="15" w:type="dxa"/>
            </w:tcMar>
            <w:vAlign w:val="bottom"/>
          </w:tcPr>
          <w:p w14:paraId="3973D3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3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36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w:t>
            </w:r>
          </w:p>
        </w:tc>
        <w:tc>
          <w:tcPr>
            <w:tcW w:w="50" w:type="pct"/>
            <w:shd w:val="clear" w:color="auto" w:fill="FFFFFF"/>
            <w:noWrap/>
            <w:tcMar>
              <w:top w:w="15" w:type="dxa"/>
              <w:right w:w="15" w:type="dxa"/>
            </w:tcMar>
            <w:vAlign w:val="bottom"/>
          </w:tcPr>
          <w:p w14:paraId="3973D3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6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6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81" w:type="pct"/>
            <w:shd w:val="clear" w:color="auto" w:fill="FFFFFF"/>
            <w:tcMar>
              <w:top w:w="15" w:type="dxa"/>
              <w:right w:w="15" w:type="dxa"/>
            </w:tcMar>
            <w:vAlign w:val="bottom"/>
          </w:tcPr>
          <w:p w14:paraId="3973D36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7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81" w:type="pct"/>
            <w:shd w:val="clear" w:color="auto" w:fill="FFFFFF"/>
            <w:tcMar>
              <w:top w:w="15" w:type="dxa"/>
              <w:right w:w="15" w:type="dxa"/>
            </w:tcMar>
            <w:vAlign w:val="bottom"/>
          </w:tcPr>
          <w:p w14:paraId="3973D3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3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3973D37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w:t>
            </w:r>
          </w:p>
        </w:tc>
        <w:tc>
          <w:tcPr>
            <w:tcW w:w="50" w:type="pct"/>
            <w:shd w:val="clear" w:color="auto" w:fill="FFFFFF"/>
            <w:noWrap/>
            <w:tcMar>
              <w:top w:w="15" w:type="dxa"/>
              <w:right w:w="15" w:type="dxa"/>
            </w:tcMar>
            <w:vAlign w:val="bottom"/>
          </w:tcPr>
          <w:p w14:paraId="3973D3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83" w14:textId="77777777">
        <w:tc>
          <w:tcPr>
            <w:tcW w:w="2537" w:type="pct"/>
            <w:shd w:val="clear" w:color="auto" w:fill="CFF0FC"/>
            <w:tcMar>
              <w:top w:w="15" w:type="dxa"/>
              <w:right w:w="15" w:type="dxa"/>
            </w:tcMar>
          </w:tcPr>
          <w:p w14:paraId="3973D376"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1" w:type="pct"/>
            <w:shd w:val="clear" w:color="auto" w:fill="CFF0FC"/>
            <w:tcMar>
              <w:top w:w="15" w:type="dxa"/>
              <w:right w:w="15" w:type="dxa"/>
            </w:tcMar>
            <w:vAlign w:val="bottom"/>
          </w:tcPr>
          <w:p w14:paraId="3973D3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3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3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1,317</w:t>
            </w:r>
          </w:p>
        </w:tc>
        <w:tc>
          <w:tcPr>
            <w:tcW w:w="50" w:type="pct"/>
            <w:shd w:val="clear" w:color="auto" w:fill="CFF0FC"/>
            <w:noWrap/>
            <w:tcMar>
              <w:top w:w="15" w:type="dxa"/>
              <w:right w:w="15" w:type="dxa"/>
            </w:tcMar>
            <w:vAlign w:val="bottom"/>
          </w:tcPr>
          <w:p w14:paraId="3973D3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37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37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1" w:type="pct"/>
            <w:shd w:val="clear" w:color="auto" w:fill="CFF0FC"/>
            <w:tcMar>
              <w:top w:w="15" w:type="dxa"/>
              <w:right w:w="15" w:type="dxa"/>
            </w:tcMar>
            <w:vAlign w:val="bottom"/>
          </w:tcPr>
          <w:p w14:paraId="3973D37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37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1" w:type="pct"/>
            <w:shd w:val="clear" w:color="auto" w:fill="CFF0FC"/>
            <w:tcMar>
              <w:top w:w="15" w:type="dxa"/>
              <w:right w:w="15" w:type="dxa"/>
            </w:tcMar>
            <w:vAlign w:val="bottom"/>
          </w:tcPr>
          <w:p w14:paraId="3973D3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3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3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1,254</w:t>
            </w:r>
          </w:p>
        </w:tc>
        <w:tc>
          <w:tcPr>
            <w:tcW w:w="50" w:type="pct"/>
            <w:shd w:val="clear" w:color="auto" w:fill="CFF0FC"/>
            <w:noWrap/>
            <w:tcMar>
              <w:top w:w="15" w:type="dxa"/>
              <w:right w:w="15" w:type="dxa"/>
            </w:tcMar>
            <w:vAlign w:val="bottom"/>
          </w:tcPr>
          <w:p w14:paraId="3973D3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38F" w14:textId="77777777">
        <w:tc>
          <w:tcPr>
            <w:tcW w:w="2537" w:type="pct"/>
            <w:shd w:val="clear" w:color="auto" w:fill="FFFFFF"/>
            <w:tcMar>
              <w:top w:w="15" w:type="dxa"/>
              <w:right w:w="15" w:type="dxa"/>
            </w:tcMar>
          </w:tcPr>
          <w:p w14:paraId="3973D384"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1" w:type="pct"/>
            <w:shd w:val="clear" w:color="auto" w:fill="FFFFFF"/>
            <w:tcMar>
              <w:top w:w="15" w:type="dxa"/>
              <w:right w:w="15" w:type="dxa"/>
            </w:tcMar>
            <w:vAlign w:val="bottom"/>
          </w:tcPr>
          <w:p w14:paraId="3973D385" w14:textId="77777777" w:rsidR="007B027D" w:rsidRDefault="008E012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38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3973D3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8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8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8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38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3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38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3973D38E"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390"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393" w14:textId="77777777">
        <w:tc>
          <w:tcPr>
            <w:tcW w:w="192" w:type="pct"/>
            <w:shd w:val="clear" w:color="auto" w:fill="auto"/>
            <w:noWrap/>
          </w:tcPr>
          <w:p w14:paraId="3973D391"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D392"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3973D39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w:t>
      </w:r>
      <w:r>
        <w:rPr>
          <w:rFonts w:ascii="Calibri" w:hAnsi="Calibri" w:cs="Calibri"/>
          <w:sz w:val="20"/>
          <w:szCs w:val="20"/>
        </w:rPr>
        <w:t>general and administrative expenses increased in fiscal 2022 primarily due to higher stock-based compensation expenses. This constant currency expense increase was partially offset by an allocation of gains from fiscal 2022 operating asset sales as describ</w:t>
      </w:r>
      <w:r>
        <w:rPr>
          <w:rFonts w:ascii="Calibri" w:hAnsi="Calibri" w:cs="Calibri"/>
          <w:sz w:val="20"/>
          <w:szCs w:val="20"/>
        </w:rPr>
        <w:t>ed above.</w:t>
      </w:r>
    </w:p>
    <w:p w14:paraId="3973D39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Substantially all of our intangible assets were acquired through our business combinations. We amortize our intangible assets over, and monitor the appropriateness of, the estimated useful lives of these asset</w:t>
      </w:r>
      <w:r>
        <w:rPr>
          <w:rFonts w:ascii="Calibri" w:hAnsi="Calibri" w:cs="Calibri"/>
          <w:sz w:val="20"/>
          <w:szCs w:val="20"/>
        </w:rPr>
        <w:t xml:space="preserve">s. We also periodically review these intangible assets for potential impairment based upon relevant facts and circumstances. Note 6 of Notes to Consolidated Financial Statements included elsewhere in this Annual Report has additional information regarding </w:t>
      </w:r>
      <w:r>
        <w:rPr>
          <w:rFonts w:ascii="Calibri" w:hAnsi="Calibri" w:cs="Calibri"/>
          <w:sz w:val="20"/>
          <w:szCs w:val="20"/>
        </w:rPr>
        <w:t>our intangible assets and related amortization.</w:t>
      </w:r>
    </w:p>
    <w:p w14:paraId="3973D396"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246"/>
        <w:gridCol w:w="126"/>
        <w:gridCol w:w="102"/>
        <w:gridCol w:w="717"/>
        <w:gridCol w:w="79"/>
        <w:gridCol w:w="126"/>
        <w:gridCol w:w="884"/>
        <w:gridCol w:w="127"/>
        <w:gridCol w:w="884"/>
        <w:gridCol w:w="127"/>
        <w:gridCol w:w="102"/>
        <w:gridCol w:w="721"/>
        <w:gridCol w:w="80"/>
      </w:tblGrid>
      <w:tr w:rsidR="007B027D" w14:paraId="3973D39B" w14:textId="77777777">
        <w:tc>
          <w:tcPr>
            <w:tcW w:w="2553" w:type="pct"/>
            <w:shd w:val="clear" w:color="auto" w:fill="FFFFFF"/>
            <w:tcMar>
              <w:top w:w="15" w:type="dxa"/>
              <w:right w:w="15" w:type="dxa"/>
            </w:tcMar>
            <w:vAlign w:val="bottom"/>
          </w:tcPr>
          <w:p w14:paraId="3973D39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8" w:type="pct"/>
            <w:shd w:val="clear" w:color="auto" w:fill="FFFFFF"/>
            <w:tcMar>
              <w:top w:w="15" w:type="dxa"/>
              <w:right w:w="15" w:type="dxa"/>
            </w:tcMar>
            <w:vAlign w:val="bottom"/>
          </w:tcPr>
          <w:p w14:paraId="3973D398"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2318" w:type="pct"/>
            <w:gridSpan w:val="10"/>
            <w:tcBorders>
              <w:bottom w:val="single" w:sz="6" w:space="0" w:color="000000"/>
            </w:tcBorders>
            <w:shd w:val="clear" w:color="auto" w:fill="FFFFFF"/>
            <w:tcMar>
              <w:top w:w="15" w:type="dxa"/>
              <w:right w:w="15" w:type="dxa"/>
            </w:tcMar>
            <w:vAlign w:val="bottom"/>
          </w:tcPr>
          <w:p w14:paraId="3973D39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39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A7" w14:textId="77777777">
        <w:tc>
          <w:tcPr>
            <w:tcW w:w="2553" w:type="pct"/>
            <w:shd w:val="clear" w:color="auto" w:fill="FFFFFF"/>
            <w:tcMar>
              <w:top w:w="15" w:type="dxa"/>
              <w:right w:w="15" w:type="dxa"/>
            </w:tcMar>
            <w:vAlign w:val="bottom"/>
          </w:tcPr>
          <w:p w14:paraId="3973D39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D39D"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39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39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3A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3973D3A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44" w:type="pct"/>
            <w:gridSpan w:val="3"/>
            <w:tcBorders>
              <w:top w:val="single" w:sz="6" w:space="0" w:color="000000"/>
              <w:bottom w:val="single" w:sz="6" w:space="0" w:color="000000"/>
            </w:tcBorders>
            <w:shd w:val="clear" w:color="auto" w:fill="FFFFFF"/>
            <w:tcMar>
              <w:top w:w="15" w:type="dxa"/>
              <w:right w:w="15" w:type="dxa"/>
            </w:tcMar>
            <w:vAlign w:val="bottom"/>
          </w:tcPr>
          <w:p w14:paraId="3973D3A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78" w:type="pct"/>
            <w:tcBorders>
              <w:top w:val="single" w:sz="6" w:space="0" w:color="000000"/>
            </w:tcBorders>
            <w:shd w:val="clear" w:color="auto" w:fill="FFFFFF"/>
            <w:tcMar>
              <w:top w:w="15" w:type="dxa"/>
              <w:right w:w="15" w:type="dxa"/>
            </w:tcMar>
            <w:vAlign w:val="bottom"/>
          </w:tcPr>
          <w:p w14:paraId="3973D3A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3A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3A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3A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B3" w14:textId="77777777">
        <w:tc>
          <w:tcPr>
            <w:tcW w:w="2553" w:type="pct"/>
            <w:tcBorders>
              <w:bottom w:val="single" w:sz="6" w:space="0" w:color="000000"/>
            </w:tcBorders>
            <w:shd w:val="clear" w:color="auto" w:fill="FFFFFF"/>
            <w:tcMar>
              <w:top w:w="15" w:type="dxa"/>
              <w:right w:w="15" w:type="dxa"/>
            </w:tcMar>
            <w:vAlign w:val="bottom"/>
          </w:tcPr>
          <w:p w14:paraId="3973D3A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8" w:type="pct"/>
            <w:shd w:val="clear" w:color="auto" w:fill="FFFFFF"/>
            <w:tcMar>
              <w:top w:w="15" w:type="dxa"/>
              <w:right w:w="15" w:type="dxa"/>
            </w:tcMar>
            <w:vAlign w:val="bottom"/>
          </w:tcPr>
          <w:p w14:paraId="3973D3A9"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3A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3A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D3A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3A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78" w:type="pct"/>
            <w:tcBorders>
              <w:top w:val="single" w:sz="6" w:space="0" w:color="000000"/>
            </w:tcBorders>
            <w:shd w:val="clear" w:color="auto" w:fill="FFFFFF"/>
            <w:tcMar>
              <w:top w:w="15" w:type="dxa"/>
              <w:right w:w="15" w:type="dxa"/>
            </w:tcMar>
            <w:vAlign w:val="bottom"/>
          </w:tcPr>
          <w:p w14:paraId="3973D3A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3A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78" w:type="pct"/>
            <w:shd w:val="clear" w:color="auto" w:fill="FFFFFF"/>
            <w:tcMar>
              <w:top w:w="15" w:type="dxa"/>
              <w:right w:w="15" w:type="dxa"/>
            </w:tcMar>
            <w:vAlign w:val="bottom"/>
          </w:tcPr>
          <w:p w14:paraId="3973D3B0" w14:textId="77777777" w:rsidR="007B027D" w:rsidRDefault="008E0125">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3B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3B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3C1" w14:textId="77777777">
        <w:tc>
          <w:tcPr>
            <w:tcW w:w="2553" w:type="pct"/>
            <w:tcBorders>
              <w:top w:val="single" w:sz="6" w:space="0" w:color="000000"/>
            </w:tcBorders>
            <w:shd w:val="clear" w:color="auto" w:fill="CFF0FC"/>
            <w:tcMar>
              <w:top w:w="15" w:type="dxa"/>
              <w:right w:w="15" w:type="dxa"/>
            </w:tcMar>
          </w:tcPr>
          <w:p w14:paraId="3973D3B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78" w:type="pct"/>
            <w:shd w:val="clear" w:color="auto" w:fill="CFF0FC"/>
            <w:tcMar>
              <w:top w:w="15" w:type="dxa"/>
              <w:right w:w="15" w:type="dxa"/>
            </w:tcMar>
            <w:vAlign w:val="bottom"/>
          </w:tcPr>
          <w:p w14:paraId="3973D3B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3973D3B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tcBorders>
            <w:shd w:val="clear" w:color="auto" w:fill="CFF0FC"/>
            <w:noWrap/>
            <w:tcMar>
              <w:top w:w="15" w:type="dxa"/>
              <w:right w:w="15" w:type="dxa"/>
            </w:tcMar>
            <w:vAlign w:val="bottom"/>
          </w:tcPr>
          <w:p w14:paraId="3973D3B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475</w:t>
            </w:r>
          </w:p>
        </w:tc>
        <w:tc>
          <w:tcPr>
            <w:tcW w:w="50" w:type="pct"/>
            <w:shd w:val="clear" w:color="auto" w:fill="CFF0FC"/>
            <w:noWrap/>
            <w:tcMar>
              <w:top w:w="15" w:type="dxa"/>
              <w:right w:w="15" w:type="dxa"/>
            </w:tcMar>
            <w:vAlign w:val="bottom"/>
          </w:tcPr>
          <w:p w14:paraId="3973D3B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3973D3B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3973D3B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78" w:type="pct"/>
            <w:shd w:val="clear" w:color="auto" w:fill="CFF0FC"/>
            <w:tcMar>
              <w:top w:w="15" w:type="dxa"/>
              <w:right w:w="15" w:type="dxa"/>
            </w:tcMar>
            <w:vAlign w:val="bottom"/>
          </w:tcPr>
          <w:p w14:paraId="3973D3B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3973D3B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78" w:type="pct"/>
            <w:shd w:val="clear" w:color="auto" w:fill="CFF0FC"/>
            <w:tcMar>
              <w:top w:w="15" w:type="dxa"/>
              <w:right w:w="15" w:type="dxa"/>
            </w:tcMar>
            <w:vAlign w:val="bottom"/>
          </w:tcPr>
          <w:p w14:paraId="3973D3B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3973D3B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tcBorders>
            <w:shd w:val="clear" w:color="auto" w:fill="CFF0FC"/>
            <w:noWrap/>
            <w:tcMar>
              <w:top w:w="15" w:type="dxa"/>
              <w:right w:w="15" w:type="dxa"/>
            </w:tcMar>
            <w:vAlign w:val="bottom"/>
          </w:tcPr>
          <w:p w14:paraId="3973D3B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621</w:t>
            </w:r>
          </w:p>
        </w:tc>
        <w:tc>
          <w:tcPr>
            <w:tcW w:w="50" w:type="pct"/>
            <w:shd w:val="clear" w:color="auto" w:fill="CFF0FC"/>
            <w:noWrap/>
            <w:tcMar>
              <w:top w:w="15" w:type="dxa"/>
              <w:right w:w="15" w:type="dxa"/>
            </w:tcMar>
            <w:vAlign w:val="bottom"/>
          </w:tcPr>
          <w:p w14:paraId="3973D3C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D3CF" w14:textId="77777777">
        <w:tc>
          <w:tcPr>
            <w:tcW w:w="2553" w:type="pct"/>
            <w:shd w:val="clear" w:color="auto" w:fill="FFFFFF"/>
            <w:tcMar>
              <w:top w:w="15" w:type="dxa"/>
              <w:right w:w="15" w:type="dxa"/>
            </w:tcMar>
          </w:tcPr>
          <w:p w14:paraId="3973D3C2"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 xml:space="preserve">Cloud services and </w:t>
            </w:r>
            <w:r>
              <w:rPr>
                <w:rFonts w:ascii="Calibri" w:hAnsi="Calibri" w:cs="Calibri"/>
                <w:color w:val="000000"/>
                <w:sz w:val="17"/>
                <w:szCs w:val="17"/>
              </w:rPr>
              <w:t>license support agreements and related relationships</w:t>
            </w:r>
          </w:p>
        </w:tc>
        <w:tc>
          <w:tcPr>
            <w:tcW w:w="78" w:type="pct"/>
            <w:shd w:val="clear" w:color="auto" w:fill="FFFFFF"/>
            <w:tcMar>
              <w:top w:w="15" w:type="dxa"/>
              <w:right w:w="15" w:type="dxa"/>
            </w:tcMar>
            <w:vAlign w:val="bottom"/>
          </w:tcPr>
          <w:p w14:paraId="3973D3C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3973D3C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3973D3C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592</w:t>
            </w:r>
          </w:p>
        </w:tc>
        <w:tc>
          <w:tcPr>
            <w:tcW w:w="50" w:type="pct"/>
            <w:shd w:val="clear" w:color="auto" w:fill="FFFFFF"/>
            <w:noWrap/>
            <w:tcMar>
              <w:top w:w="15" w:type="dxa"/>
              <w:right w:w="15" w:type="dxa"/>
            </w:tcMar>
            <w:vAlign w:val="bottom"/>
          </w:tcPr>
          <w:p w14:paraId="3973D3C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3973D3C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3973D3C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78" w:type="pct"/>
            <w:shd w:val="clear" w:color="auto" w:fill="FFFFFF"/>
            <w:tcMar>
              <w:top w:w="15" w:type="dxa"/>
              <w:right w:w="15" w:type="dxa"/>
            </w:tcMar>
            <w:vAlign w:val="bottom"/>
          </w:tcPr>
          <w:p w14:paraId="3973D3C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3973D3C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78" w:type="pct"/>
            <w:shd w:val="clear" w:color="auto" w:fill="FFFFFF"/>
            <w:tcMar>
              <w:top w:w="15" w:type="dxa"/>
              <w:right w:w="15" w:type="dxa"/>
            </w:tcMar>
            <w:vAlign w:val="bottom"/>
          </w:tcPr>
          <w:p w14:paraId="3973D3C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3973D3C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3973D3C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669</w:t>
            </w:r>
          </w:p>
        </w:tc>
        <w:tc>
          <w:tcPr>
            <w:tcW w:w="50" w:type="pct"/>
            <w:shd w:val="clear" w:color="auto" w:fill="FFFFFF"/>
            <w:noWrap/>
            <w:tcMar>
              <w:top w:w="15" w:type="dxa"/>
              <w:right w:w="15" w:type="dxa"/>
            </w:tcMar>
            <w:vAlign w:val="bottom"/>
          </w:tcPr>
          <w:p w14:paraId="3973D3C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D3DD" w14:textId="77777777">
        <w:tc>
          <w:tcPr>
            <w:tcW w:w="2553" w:type="pct"/>
            <w:shd w:val="clear" w:color="auto" w:fill="CFF0FC"/>
            <w:tcMar>
              <w:top w:w="15" w:type="dxa"/>
              <w:right w:w="15" w:type="dxa"/>
            </w:tcMar>
          </w:tcPr>
          <w:p w14:paraId="3973D3D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78" w:type="pct"/>
            <w:shd w:val="clear" w:color="auto" w:fill="CFF0FC"/>
            <w:tcMar>
              <w:top w:w="15" w:type="dxa"/>
              <w:right w:w="15" w:type="dxa"/>
            </w:tcMar>
            <w:vAlign w:val="bottom"/>
          </w:tcPr>
          <w:p w14:paraId="3973D3D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3973D3D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CFF0FC"/>
            <w:noWrap/>
            <w:tcMar>
              <w:top w:w="15" w:type="dxa"/>
              <w:right w:w="15" w:type="dxa"/>
            </w:tcMar>
            <w:vAlign w:val="bottom"/>
          </w:tcPr>
          <w:p w14:paraId="3973D3D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3973D3D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3973D3D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3973D3D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78" w:type="pct"/>
            <w:shd w:val="clear" w:color="auto" w:fill="CFF0FC"/>
            <w:tcMar>
              <w:top w:w="15" w:type="dxa"/>
              <w:right w:w="15" w:type="dxa"/>
            </w:tcMar>
            <w:vAlign w:val="bottom"/>
          </w:tcPr>
          <w:p w14:paraId="3973D3D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3973D3D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78" w:type="pct"/>
            <w:shd w:val="clear" w:color="auto" w:fill="CFF0FC"/>
            <w:tcMar>
              <w:top w:w="15" w:type="dxa"/>
              <w:right w:w="15" w:type="dxa"/>
            </w:tcMar>
            <w:vAlign w:val="bottom"/>
          </w:tcPr>
          <w:p w14:paraId="3973D3D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3973D3D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CFF0FC"/>
            <w:noWrap/>
            <w:tcMar>
              <w:top w:w="15" w:type="dxa"/>
              <w:right w:w="15" w:type="dxa"/>
            </w:tcMar>
            <w:vAlign w:val="bottom"/>
          </w:tcPr>
          <w:p w14:paraId="3973D3D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w:t>
            </w:r>
          </w:p>
        </w:tc>
        <w:tc>
          <w:tcPr>
            <w:tcW w:w="50" w:type="pct"/>
            <w:shd w:val="clear" w:color="auto" w:fill="CFF0FC"/>
            <w:noWrap/>
            <w:tcMar>
              <w:top w:w="15" w:type="dxa"/>
              <w:right w:w="15" w:type="dxa"/>
            </w:tcMar>
            <w:vAlign w:val="bottom"/>
          </w:tcPr>
          <w:p w14:paraId="3973D3D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D3EB" w14:textId="77777777">
        <w:tc>
          <w:tcPr>
            <w:tcW w:w="2553" w:type="pct"/>
            <w:shd w:val="clear" w:color="auto" w:fill="FFFFFF"/>
            <w:tcMar>
              <w:top w:w="15" w:type="dxa"/>
              <w:right w:w="15" w:type="dxa"/>
            </w:tcMar>
          </w:tcPr>
          <w:p w14:paraId="3973D3DE"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78" w:type="pct"/>
            <w:shd w:val="clear" w:color="auto" w:fill="FFFFFF"/>
            <w:tcMar>
              <w:top w:w="15" w:type="dxa"/>
              <w:right w:w="15" w:type="dxa"/>
            </w:tcMar>
            <w:vAlign w:val="bottom"/>
          </w:tcPr>
          <w:p w14:paraId="3973D3D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3E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3E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1,150</w:t>
            </w:r>
          </w:p>
        </w:tc>
        <w:tc>
          <w:tcPr>
            <w:tcW w:w="50" w:type="pct"/>
            <w:shd w:val="clear" w:color="auto" w:fill="FFFFFF"/>
            <w:noWrap/>
            <w:tcMar>
              <w:top w:w="15" w:type="dxa"/>
              <w:right w:w="15" w:type="dxa"/>
            </w:tcMar>
            <w:vAlign w:val="bottom"/>
          </w:tcPr>
          <w:p w14:paraId="3973D3E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3973D3E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3973D3E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78" w:type="pct"/>
            <w:shd w:val="clear" w:color="auto" w:fill="FFFFFF"/>
            <w:tcMar>
              <w:top w:w="15" w:type="dxa"/>
              <w:right w:w="15" w:type="dxa"/>
            </w:tcMar>
            <w:vAlign w:val="bottom"/>
          </w:tcPr>
          <w:p w14:paraId="3973D3E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3973D3E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78" w:type="pct"/>
            <w:shd w:val="clear" w:color="auto" w:fill="FFFFFF"/>
            <w:tcMar>
              <w:top w:w="15" w:type="dxa"/>
              <w:right w:w="15" w:type="dxa"/>
            </w:tcMar>
            <w:vAlign w:val="bottom"/>
          </w:tcPr>
          <w:p w14:paraId="3973D3E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3E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3E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1,379</w:t>
            </w:r>
          </w:p>
        </w:tc>
        <w:tc>
          <w:tcPr>
            <w:tcW w:w="50" w:type="pct"/>
            <w:shd w:val="clear" w:color="auto" w:fill="FFFFFF"/>
            <w:noWrap/>
            <w:tcMar>
              <w:top w:w="15" w:type="dxa"/>
              <w:right w:w="15" w:type="dxa"/>
            </w:tcMar>
            <w:vAlign w:val="bottom"/>
          </w:tcPr>
          <w:p w14:paraId="3973D3EA"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3E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Amortization of intangible assets </w:t>
      </w:r>
      <w:r>
        <w:rPr>
          <w:rFonts w:ascii="Calibri" w:hAnsi="Calibri" w:cs="Calibri"/>
          <w:sz w:val="20"/>
          <w:szCs w:val="20"/>
          <w:shd w:val="clear" w:color="auto" w:fill="FFFFFF"/>
        </w:rPr>
        <w:t>decreased in fiscal 2022 due to a reduction in expenses associated with certain of our intangible assets that became fully amortized, partially offset by a smaller amount of additional amortization from intangible assets t</w:t>
      </w:r>
      <w:r>
        <w:rPr>
          <w:rFonts w:ascii="Calibri" w:hAnsi="Calibri" w:cs="Calibri"/>
          <w:sz w:val="20"/>
          <w:szCs w:val="20"/>
          <w:shd w:val="clear" w:color="auto" w:fill="FFFFFF"/>
        </w:rPr>
        <w:t>hat we acquired in connection with our recent acquisitions.</w:t>
      </w:r>
    </w:p>
    <w:p w14:paraId="3973D3E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xml:space="preserve">   Acquisition related and other expenses consist of personnel related costs for transitional and certain other employees, certain business combination adjustments, including adjustments after the measurement period has ended, and certain other operating i</w:t>
      </w:r>
      <w:r>
        <w:rPr>
          <w:rFonts w:ascii="Calibri" w:hAnsi="Calibri" w:cs="Calibri"/>
          <w:sz w:val="20"/>
          <w:szCs w:val="20"/>
        </w:rPr>
        <w:t>tems, net.</w:t>
      </w:r>
    </w:p>
    <w:p w14:paraId="3973D3E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51</w:t>
      </w:r>
    </w:p>
    <w:p w14:paraId="3973D3EF" w14:textId="77777777" w:rsidR="007B027D" w:rsidRDefault="008E0125">
      <w:r>
        <w:rPr>
          <w:rFonts w:ascii="Calibri" w:hAnsi="Calibri" w:cs="Calibri"/>
          <w:sz w:val="20"/>
          <w:szCs w:val="20"/>
        </w:rPr>
        <w:pict w14:anchorId="3974006E">
          <v:rect id="_x0000_i1077" style="width:415.3pt;height:1.5pt" o:hralign="center" o:hrstd="t" o:hr="t" fillcolor="#a0a0a0" stroked="f"/>
        </w:pict>
      </w:r>
    </w:p>
    <w:p w14:paraId="3973D3F0" w14:textId="77777777" w:rsidR="007B027D" w:rsidRDefault="008E0125">
      <w:pPr>
        <w:pStyle w:val="a3"/>
        <w:spacing w:beforeAutospacing="0" w:after="120" w:afterAutospacing="0"/>
        <w:rPr>
          <w:rFonts w:ascii="Calibri" w:hAnsi="Calibri" w:cs="Calibri"/>
          <w:sz w:val="18"/>
          <w:szCs w:val="18"/>
        </w:rPr>
      </w:pPr>
      <w:hyperlink r:id="rId131" w:anchor="TABLE_OF_CONTENTS" w:history="1">
        <w:r>
          <w:rPr>
            <w:rStyle w:val="a5"/>
            <w:rFonts w:ascii="Calibri" w:hAnsi="Calibri" w:cs="Calibri"/>
            <w:sz w:val="18"/>
            <w:szCs w:val="18"/>
          </w:rPr>
          <w:t>Table of Contents</w:t>
        </w:r>
      </w:hyperlink>
    </w:p>
    <w:p w14:paraId="3973D3F1" w14:textId="77777777" w:rsidR="007B027D" w:rsidRDefault="008E0125">
      <w:pPr>
        <w:pStyle w:val="a3"/>
        <w:spacing w:beforeAutospacing="0" w:afterAutospacing="0"/>
        <w:rPr>
          <w:rFonts w:ascii="Calibri" w:hAnsi="Calibri" w:cs="Calibri"/>
          <w:sz w:val="18"/>
          <w:szCs w:val="18"/>
        </w:rPr>
      </w:pPr>
      <w:hyperlink r:id="rId132" w:anchor="ITEM_15_EXHIBITS_FINANCIAL_STATEMENT_SCH" w:history="1">
        <w:r>
          <w:rPr>
            <w:rStyle w:val="a5"/>
            <w:rFonts w:ascii="Calibri" w:hAnsi="Calibri" w:cs="Calibri"/>
            <w:sz w:val="18"/>
            <w:szCs w:val="18"/>
          </w:rPr>
          <w:t>Index to Financial Statements</w:t>
        </w:r>
      </w:hyperlink>
    </w:p>
    <w:p w14:paraId="3973D3F2"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3F3"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56"/>
        <w:gridCol w:w="129"/>
        <w:gridCol w:w="117"/>
        <w:gridCol w:w="706"/>
        <w:gridCol w:w="77"/>
        <w:gridCol w:w="129"/>
        <w:gridCol w:w="873"/>
        <w:gridCol w:w="129"/>
        <w:gridCol w:w="874"/>
        <w:gridCol w:w="129"/>
        <w:gridCol w:w="117"/>
        <w:gridCol w:w="708"/>
        <w:gridCol w:w="77"/>
      </w:tblGrid>
      <w:tr w:rsidR="007B027D" w14:paraId="3973D3F8" w14:textId="77777777">
        <w:tc>
          <w:tcPr>
            <w:tcW w:w="2560" w:type="pct"/>
            <w:shd w:val="clear" w:color="auto" w:fill="FFFFFF"/>
            <w:tcMar>
              <w:top w:w="15" w:type="dxa"/>
              <w:right w:w="15" w:type="dxa"/>
            </w:tcMar>
            <w:vAlign w:val="center"/>
          </w:tcPr>
          <w:p w14:paraId="3973D3F4"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3F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07" w:type="pct"/>
            <w:gridSpan w:val="10"/>
            <w:tcBorders>
              <w:bottom w:val="single" w:sz="6" w:space="0" w:color="000000"/>
            </w:tcBorders>
            <w:shd w:val="clear" w:color="auto" w:fill="FFFFFF"/>
            <w:tcMar>
              <w:top w:w="15" w:type="dxa"/>
              <w:right w:w="15" w:type="dxa"/>
            </w:tcMar>
            <w:vAlign w:val="bottom"/>
          </w:tcPr>
          <w:p w14:paraId="3973D3F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3F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04" w14:textId="77777777">
        <w:tc>
          <w:tcPr>
            <w:tcW w:w="2560" w:type="pct"/>
            <w:shd w:val="clear" w:color="auto" w:fill="FFFFFF"/>
            <w:tcMar>
              <w:top w:w="15" w:type="dxa"/>
              <w:right w:w="15" w:type="dxa"/>
            </w:tcMar>
            <w:vAlign w:val="center"/>
          </w:tcPr>
          <w:p w14:paraId="3973D3F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3F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3F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8" w:type="pct"/>
            <w:tcBorders>
              <w:top w:val="single" w:sz="6" w:space="0" w:color="000000"/>
            </w:tcBorders>
            <w:shd w:val="clear" w:color="auto" w:fill="FFFFFF"/>
            <w:noWrap/>
            <w:tcMar>
              <w:top w:w="15" w:type="dxa"/>
              <w:right w:w="15" w:type="dxa"/>
            </w:tcMar>
            <w:vAlign w:val="center"/>
          </w:tcPr>
          <w:p w14:paraId="3973D3F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3F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D3F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8" w:type="pct"/>
            <w:gridSpan w:val="3"/>
            <w:tcBorders>
              <w:top w:val="single" w:sz="6" w:space="0" w:color="000000"/>
              <w:bottom w:val="single" w:sz="6" w:space="0" w:color="000000"/>
            </w:tcBorders>
            <w:shd w:val="clear" w:color="auto" w:fill="FFFFFF"/>
            <w:tcMar>
              <w:top w:w="15" w:type="dxa"/>
              <w:right w:w="15" w:type="dxa"/>
            </w:tcMar>
            <w:vAlign w:val="bottom"/>
          </w:tcPr>
          <w:p w14:paraId="3973D3F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3973D40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40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8" w:type="pct"/>
            <w:tcBorders>
              <w:top w:val="single" w:sz="6" w:space="0" w:color="000000"/>
            </w:tcBorders>
            <w:shd w:val="clear" w:color="auto" w:fill="FFFFFF"/>
            <w:noWrap/>
            <w:tcMar>
              <w:top w:w="15" w:type="dxa"/>
              <w:right w:w="15" w:type="dxa"/>
            </w:tcMar>
            <w:vAlign w:val="center"/>
          </w:tcPr>
          <w:p w14:paraId="3973D40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40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10" w14:textId="77777777">
        <w:tc>
          <w:tcPr>
            <w:tcW w:w="2560" w:type="pct"/>
            <w:tcBorders>
              <w:bottom w:val="single" w:sz="6" w:space="0" w:color="000000"/>
            </w:tcBorders>
            <w:shd w:val="clear" w:color="auto" w:fill="FFFFFF"/>
            <w:tcMar>
              <w:top w:w="15" w:type="dxa"/>
              <w:right w:w="15" w:type="dxa"/>
            </w:tcMar>
            <w:vAlign w:val="bottom"/>
          </w:tcPr>
          <w:p w14:paraId="3973D40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40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8" w:type="pct"/>
            <w:gridSpan w:val="2"/>
            <w:tcBorders>
              <w:bottom w:val="single" w:sz="6" w:space="0" w:color="000000"/>
            </w:tcBorders>
            <w:shd w:val="clear" w:color="auto" w:fill="FFFFFF"/>
            <w:tcMar>
              <w:top w:w="15" w:type="dxa"/>
              <w:right w:w="15" w:type="dxa"/>
            </w:tcMar>
            <w:vAlign w:val="bottom"/>
          </w:tcPr>
          <w:p w14:paraId="3973D40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40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40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top w:val="single" w:sz="6" w:space="0" w:color="000000"/>
              <w:bottom w:val="single" w:sz="6" w:space="0" w:color="000000"/>
            </w:tcBorders>
            <w:shd w:val="clear" w:color="auto" w:fill="FFFFFF"/>
            <w:tcMar>
              <w:top w:w="15" w:type="dxa"/>
              <w:right w:w="15" w:type="dxa"/>
            </w:tcMar>
            <w:vAlign w:val="bottom"/>
          </w:tcPr>
          <w:p w14:paraId="3973D40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40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top w:val="single" w:sz="6" w:space="0" w:color="000000"/>
              <w:bottom w:val="single" w:sz="6" w:space="0" w:color="000000"/>
            </w:tcBorders>
            <w:shd w:val="clear" w:color="auto" w:fill="FFFFFF"/>
            <w:tcMar>
              <w:top w:w="15" w:type="dxa"/>
              <w:right w:w="15" w:type="dxa"/>
            </w:tcMar>
            <w:vAlign w:val="bottom"/>
          </w:tcPr>
          <w:p w14:paraId="3973D40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40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8" w:type="pct"/>
            <w:gridSpan w:val="2"/>
            <w:tcBorders>
              <w:bottom w:val="single" w:sz="6" w:space="0" w:color="000000"/>
            </w:tcBorders>
            <w:shd w:val="clear" w:color="auto" w:fill="FFFFFF"/>
            <w:tcMar>
              <w:top w:w="15" w:type="dxa"/>
              <w:right w:w="15" w:type="dxa"/>
            </w:tcMar>
            <w:vAlign w:val="bottom"/>
          </w:tcPr>
          <w:p w14:paraId="3973D40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40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1E" w14:textId="77777777">
        <w:tc>
          <w:tcPr>
            <w:tcW w:w="2560" w:type="pct"/>
            <w:tcBorders>
              <w:top w:val="single" w:sz="6" w:space="0" w:color="000000"/>
            </w:tcBorders>
            <w:shd w:val="clear" w:color="auto" w:fill="CFF0FC"/>
            <w:tcMar>
              <w:top w:w="15" w:type="dxa"/>
              <w:right w:w="15" w:type="dxa"/>
            </w:tcMar>
          </w:tcPr>
          <w:p w14:paraId="3973D4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1" w:type="pct"/>
            <w:shd w:val="clear" w:color="auto" w:fill="CFF0FC"/>
            <w:tcMar>
              <w:top w:w="15" w:type="dxa"/>
              <w:right w:w="15" w:type="dxa"/>
            </w:tcMar>
            <w:vAlign w:val="bottom"/>
          </w:tcPr>
          <w:p w14:paraId="3973D4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4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tcBorders>
            <w:shd w:val="clear" w:color="auto" w:fill="CFF0FC"/>
            <w:noWrap/>
            <w:tcMar>
              <w:top w:w="15" w:type="dxa"/>
              <w:right w:w="15" w:type="dxa"/>
            </w:tcMar>
            <w:vAlign w:val="bottom"/>
          </w:tcPr>
          <w:p w14:paraId="3973D4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3973D4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4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tcBorders>
              <w:top w:val="single" w:sz="6" w:space="0" w:color="000000"/>
            </w:tcBorders>
            <w:shd w:val="clear" w:color="auto" w:fill="CFF0FC"/>
            <w:tcMar>
              <w:top w:w="15" w:type="dxa"/>
              <w:right w:w="15" w:type="dxa"/>
            </w:tcMar>
            <w:vAlign w:val="bottom"/>
          </w:tcPr>
          <w:p w14:paraId="3973D41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81" w:type="pct"/>
            <w:shd w:val="clear" w:color="auto" w:fill="CFF0FC"/>
            <w:tcMar>
              <w:top w:w="15" w:type="dxa"/>
              <w:right w:w="15" w:type="dxa"/>
            </w:tcMar>
            <w:vAlign w:val="bottom"/>
          </w:tcPr>
          <w:p w14:paraId="3973D4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tcBorders>
              <w:top w:val="single" w:sz="6" w:space="0" w:color="000000"/>
            </w:tcBorders>
            <w:shd w:val="clear" w:color="auto" w:fill="CFF0FC"/>
            <w:tcMar>
              <w:top w:w="15" w:type="dxa"/>
              <w:right w:w="15" w:type="dxa"/>
            </w:tcMar>
            <w:vAlign w:val="bottom"/>
          </w:tcPr>
          <w:p w14:paraId="3973D41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81" w:type="pct"/>
            <w:shd w:val="clear" w:color="auto" w:fill="CFF0FC"/>
            <w:tcMar>
              <w:top w:w="15" w:type="dxa"/>
              <w:right w:w="15" w:type="dxa"/>
            </w:tcMar>
            <w:vAlign w:val="bottom"/>
          </w:tcPr>
          <w:p w14:paraId="3973D4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4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tcBorders>
            <w:shd w:val="clear" w:color="auto" w:fill="CFF0FC"/>
            <w:noWrap/>
            <w:tcMar>
              <w:top w:w="15" w:type="dxa"/>
              <w:right w:w="15" w:type="dxa"/>
            </w:tcMar>
            <w:vAlign w:val="bottom"/>
          </w:tcPr>
          <w:p w14:paraId="3973D4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3973D4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42C" w14:textId="77777777">
        <w:tc>
          <w:tcPr>
            <w:tcW w:w="2560" w:type="pct"/>
            <w:shd w:val="clear" w:color="auto" w:fill="FFFFFF"/>
            <w:tcMar>
              <w:top w:w="15" w:type="dxa"/>
              <w:right w:w="15" w:type="dxa"/>
            </w:tcMar>
          </w:tcPr>
          <w:p w14:paraId="3973D4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1" w:type="pct"/>
            <w:shd w:val="clear" w:color="auto" w:fill="FFFFFF"/>
            <w:tcMar>
              <w:top w:w="15" w:type="dxa"/>
              <w:right w:w="15" w:type="dxa"/>
            </w:tcMar>
            <w:vAlign w:val="bottom"/>
          </w:tcPr>
          <w:p w14:paraId="3973D4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4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FFFFFF"/>
            <w:noWrap/>
            <w:tcMar>
              <w:top w:w="15" w:type="dxa"/>
              <w:right w:w="15" w:type="dxa"/>
            </w:tcMar>
            <w:vAlign w:val="bottom"/>
          </w:tcPr>
          <w:p w14:paraId="3973D42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FFFFFF"/>
            <w:noWrap/>
            <w:tcMar>
              <w:top w:w="15" w:type="dxa"/>
              <w:right w:w="15" w:type="dxa"/>
            </w:tcMar>
            <w:vAlign w:val="bottom"/>
          </w:tcPr>
          <w:p w14:paraId="3973D4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42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right w:w="15" w:type="dxa"/>
            </w:tcMar>
            <w:vAlign w:val="bottom"/>
          </w:tcPr>
          <w:p w14:paraId="3973D42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w:t>
            </w:r>
          </w:p>
        </w:tc>
        <w:tc>
          <w:tcPr>
            <w:tcW w:w="81" w:type="pct"/>
            <w:shd w:val="clear" w:color="auto" w:fill="FFFFFF"/>
            <w:tcMar>
              <w:top w:w="15" w:type="dxa"/>
              <w:right w:w="15" w:type="dxa"/>
            </w:tcMar>
            <w:vAlign w:val="bottom"/>
          </w:tcPr>
          <w:p w14:paraId="3973D4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right w:w="15" w:type="dxa"/>
            </w:tcMar>
            <w:vAlign w:val="bottom"/>
          </w:tcPr>
          <w:p w14:paraId="3973D42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w:t>
            </w:r>
          </w:p>
        </w:tc>
        <w:tc>
          <w:tcPr>
            <w:tcW w:w="81" w:type="pct"/>
            <w:shd w:val="clear" w:color="auto" w:fill="FFFFFF"/>
            <w:tcMar>
              <w:top w:w="15" w:type="dxa"/>
              <w:right w:w="15" w:type="dxa"/>
            </w:tcMar>
            <w:vAlign w:val="bottom"/>
          </w:tcPr>
          <w:p w14:paraId="3973D4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42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FFFFFF"/>
            <w:noWrap/>
            <w:tcMar>
              <w:top w:w="15" w:type="dxa"/>
              <w:right w:w="15" w:type="dxa"/>
            </w:tcMar>
            <w:vAlign w:val="bottom"/>
          </w:tcPr>
          <w:p w14:paraId="3973D42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3973D42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43A" w14:textId="77777777">
        <w:tc>
          <w:tcPr>
            <w:tcW w:w="2560" w:type="pct"/>
            <w:shd w:val="clear" w:color="auto" w:fill="CFF0FC"/>
            <w:tcMar>
              <w:top w:w="15" w:type="dxa"/>
              <w:right w:w="15" w:type="dxa"/>
            </w:tcMar>
          </w:tcPr>
          <w:p w14:paraId="3973D4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1" w:type="pct"/>
            <w:shd w:val="clear" w:color="auto" w:fill="CFF0FC"/>
            <w:tcMar>
              <w:top w:w="15" w:type="dxa"/>
              <w:right w:w="15" w:type="dxa"/>
            </w:tcMar>
            <w:vAlign w:val="bottom"/>
          </w:tcPr>
          <w:p w14:paraId="3973D42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4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8" w:type="pct"/>
            <w:tcBorders>
              <w:bottom w:val="single" w:sz="6" w:space="0" w:color="000000"/>
            </w:tcBorders>
            <w:shd w:val="clear" w:color="auto" w:fill="CFF0FC"/>
            <w:noWrap/>
            <w:tcMar>
              <w:top w:w="15" w:type="dxa"/>
              <w:right w:w="15" w:type="dxa"/>
            </w:tcMar>
            <w:vAlign w:val="bottom"/>
          </w:tcPr>
          <w:p w14:paraId="3973D43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4,694</w:t>
            </w:r>
          </w:p>
        </w:tc>
        <w:tc>
          <w:tcPr>
            <w:tcW w:w="50" w:type="pct"/>
            <w:shd w:val="clear" w:color="auto" w:fill="CFF0FC"/>
            <w:noWrap/>
            <w:tcMar>
              <w:top w:w="15" w:type="dxa"/>
              <w:right w:w="15" w:type="dxa"/>
            </w:tcMar>
            <w:vAlign w:val="bottom"/>
          </w:tcPr>
          <w:p w14:paraId="3973D4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4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right w:w="15" w:type="dxa"/>
            </w:tcMar>
            <w:vAlign w:val="bottom"/>
          </w:tcPr>
          <w:p w14:paraId="3973D43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3973D43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right w:w="15" w:type="dxa"/>
            </w:tcMar>
            <w:vAlign w:val="bottom"/>
          </w:tcPr>
          <w:p w14:paraId="3973D43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3973D4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43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8" w:type="pct"/>
            <w:tcBorders>
              <w:bottom w:val="single" w:sz="6" w:space="0" w:color="000000"/>
            </w:tcBorders>
            <w:shd w:val="clear" w:color="auto" w:fill="CFF0FC"/>
            <w:noWrap/>
            <w:tcMar>
              <w:top w:w="15" w:type="dxa"/>
              <w:right w:w="15" w:type="dxa"/>
            </w:tcMar>
            <w:vAlign w:val="bottom"/>
          </w:tcPr>
          <w:p w14:paraId="3973D43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CFF0FC"/>
            <w:noWrap/>
            <w:tcMar>
              <w:top w:w="15" w:type="dxa"/>
              <w:right w:w="15" w:type="dxa"/>
            </w:tcMar>
            <w:vAlign w:val="bottom"/>
          </w:tcPr>
          <w:p w14:paraId="3973D43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448" w14:textId="77777777">
        <w:tc>
          <w:tcPr>
            <w:tcW w:w="2560" w:type="pct"/>
            <w:shd w:val="clear" w:color="auto" w:fill="FFFFFF"/>
            <w:tcMar>
              <w:top w:w="15" w:type="dxa"/>
              <w:right w:w="15" w:type="dxa"/>
            </w:tcMar>
          </w:tcPr>
          <w:p w14:paraId="3973D43B"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1" w:type="pct"/>
            <w:shd w:val="clear" w:color="auto" w:fill="FFFFFF"/>
            <w:tcMar>
              <w:top w:w="15" w:type="dxa"/>
              <w:right w:w="15" w:type="dxa"/>
            </w:tcMar>
            <w:vAlign w:val="bottom"/>
          </w:tcPr>
          <w:p w14:paraId="3973D4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43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bottom w:val="double" w:sz="6" w:space="0" w:color="000000"/>
            </w:tcBorders>
            <w:shd w:val="clear" w:color="auto" w:fill="FFFFFF"/>
            <w:noWrap/>
            <w:tcMar>
              <w:top w:w="15" w:type="dxa"/>
              <w:right w:w="15" w:type="dxa"/>
            </w:tcMar>
            <w:vAlign w:val="bottom"/>
          </w:tcPr>
          <w:p w14:paraId="3973D43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4,713</w:t>
            </w:r>
          </w:p>
        </w:tc>
        <w:tc>
          <w:tcPr>
            <w:tcW w:w="50" w:type="pct"/>
            <w:shd w:val="clear" w:color="auto" w:fill="FFFFFF"/>
            <w:noWrap/>
            <w:tcMar>
              <w:top w:w="15" w:type="dxa"/>
              <w:right w:w="15" w:type="dxa"/>
            </w:tcMar>
            <w:vAlign w:val="bottom"/>
          </w:tcPr>
          <w:p w14:paraId="3973D4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D4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right w:w="15" w:type="dxa"/>
            </w:tcMar>
            <w:vAlign w:val="bottom"/>
          </w:tcPr>
          <w:p w14:paraId="3973D44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3973D4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right w:w="15" w:type="dxa"/>
            </w:tcMar>
            <w:vAlign w:val="bottom"/>
          </w:tcPr>
          <w:p w14:paraId="3973D44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3973D4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44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bottom w:val="double" w:sz="6" w:space="0" w:color="000000"/>
            </w:tcBorders>
            <w:shd w:val="clear" w:color="auto" w:fill="FFFFFF"/>
            <w:noWrap/>
            <w:tcMar>
              <w:top w:w="15" w:type="dxa"/>
              <w:right w:w="15" w:type="dxa"/>
            </w:tcMar>
            <w:vAlign w:val="bottom"/>
          </w:tcPr>
          <w:p w14:paraId="3973D44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w:t>
            </w:r>
          </w:p>
        </w:tc>
        <w:tc>
          <w:tcPr>
            <w:tcW w:w="50" w:type="pct"/>
            <w:shd w:val="clear" w:color="auto" w:fill="FFFFFF"/>
            <w:noWrap/>
            <w:tcMar>
              <w:top w:w="15" w:type="dxa"/>
              <w:right w:w="15" w:type="dxa"/>
            </w:tcMar>
            <w:vAlign w:val="bottom"/>
          </w:tcPr>
          <w:p w14:paraId="3973D447"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449"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44C" w14:textId="77777777">
        <w:tc>
          <w:tcPr>
            <w:tcW w:w="192" w:type="pct"/>
            <w:shd w:val="clear" w:color="auto" w:fill="auto"/>
            <w:noWrap/>
          </w:tcPr>
          <w:p w14:paraId="3973D44A"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3973D44B"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3973D44D" w14:textId="77777777" w:rsidR="007B027D" w:rsidRDefault="008E0125">
      <w:pPr>
        <w:pStyle w:val="a3"/>
        <w:spacing w:beforeAutospacing="0" w:afterAutospacing="0"/>
        <w:rPr>
          <w:sz w:val="12"/>
          <w:szCs w:val="12"/>
        </w:rPr>
      </w:pPr>
      <w:r>
        <w:rPr>
          <w:sz w:val="12"/>
          <w:szCs w:val="12"/>
        </w:rPr>
        <w:t> </w:t>
      </w:r>
    </w:p>
    <w:p w14:paraId="3973D44E"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On a constant currency basis, acquisition related and other expenses increased during fiscal 2022 due to litigation related charges of $4.7 billion, </w:t>
      </w:r>
      <w:r>
        <w:rPr>
          <w:rFonts w:ascii="Calibri" w:hAnsi="Calibri" w:cs="Calibri"/>
          <w:sz w:val="20"/>
          <w:szCs w:val="20"/>
        </w:rPr>
        <w:t>which we generally do not expect to recur, as further described in Note 16 of Notes to Consolidated Financial Statements included elsewhere in this Annual Report.</w:t>
      </w:r>
    </w:p>
    <w:p w14:paraId="3973D44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sz w:val="20"/>
          <w:szCs w:val="20"/>
        </w:rPr>
        <w:t xml:space="preserve"> Restructuring expenses resulted from the execution of management appr</w:t>
      </w:r>
      <w:r>
        <w:rPr>
          <w:rFonts w:ascii="Calibri" w:hAnsi="Calibri" w:cs="Calibri"/>
          <w:sz w:val="20"/>
          <w:szCs w:val="20"/>
        </w:rPr>
        <w:t>oved restructuring plans that were generally developed to improve our cost structure and/or operations, often in conjunction with our acquisition integration strategies and/or other strategic initiatives. Restructuring expenses consist of employee severanc</w:t>
      </w:r>
      <w:r>
        <w:rPr>
          <w:rFonts w:ascii="Calibri" w:hAnsi="Calibri" w:cs="Calibri"/>
          <w:sz w:val="20"/>
          <w:szCs w:val="20"/>
        </w:rPr>
        <w:t xml:space="preserve">e costs, contract termination costs and certain other exit costs to improve our cost structure prospectively. For additional information regarding our restructuring plans, see Note 8 of Notes to Consolidated Financial Statements included elsewhere in this </w:t>
      </w:r>
      <w:r>
        <w:rPr>
          <w:rFonts w:ascii="Calibri" w:hAnsi="Calibri" w:cs="Calibri"/>
          <w:sz w:val="20"/>
          <w:szCs w:val="20"/>
        </w:rPr>
        <w:t>Annual Report.</w:t>
      </w:r>
    </w:p>
    <w:p w14:paraId="3973D450"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455" w14:textId="77777777">
        <w:tc>
          <w:tcPr>
            <w:tcW w:w="2537" w:type="pct"/>
            <w:shd w:val="clear" w:color="auto" w:fill="FFFFFF"/>
            <w:tcMar>
              <w:top w:w="15" w:type="dxa"/>
              <w:right w:w="15" w:type="dxa"/>
            </w:tcMar>
            <w:vAlign w:val="bottom"/>
          </w:tcPr>
          <w:p w14:paraId="3973D451"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45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45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45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61" w14:textId="77777777">
        <w:tc>
          <w:tcPr>
            <w:tcW w:w="2537" w:type="pct"/>
            <w:shd w:val="clear" w:color="auto" w:fill="FFFFFF"/>
            <w:tcMar>
              <w:top w:w="15" w:type="dxa"/>
              <w:right w:w="15" w:type="dxa"/>
            </w:tcMar>
            <w:vAlign w:val="bottom"/>
          </w:tcPr>
          <w:p w14:paraId="3973D45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45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45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45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45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D45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45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3973D45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45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45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46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6D" w14:textId="77777777">
        <w:tc>
          <w:tcPr>
            <w:tcW w:w="2537" w:type="pct"/>
            <w:tcBorders>
              <w:bottom w:val="single" w:sz="6" w:space="0" w:color="000000"/>
            </w:tcBorders>
            <w:shd w:val="clear" w:color="auto" w:fill="FFFFFF"/>
            <w:tcMar>
              <w:top w:w="15" w:type="dxa"/>
              <w:right w:w="15" w:type="dxa"/>
            </w:tcMar>
            <w:vAlign w:val="bottom"/>
          </w:tcPr>
          <w:p w14:paraId="3973D46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46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6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46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46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6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46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6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46A" w14:textId="77777777" w:rsidR="007B027D" w:rsidRDefault="008E0125">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6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46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7B" w14:textId="77777777">
        <w:tc>
          <w:tcPr>
            <w:tcW w:w="2537" w:type="pct"/>
            <w:tcBorders>
              <w:top w:val="single" w:sz="6" w:space="0" w:color="000000"/>
            </w:tcBorders>
            <w:shd w:val="clear" w:color="auto" w:fill="CFF0FC"/>
            <w:tcMar>
              <w:top w:w="15" w:type="dxa"/>
              <w:right w:w="15" w:type="dxa"/>
            </w:tcMar>
          </w:tcPr>
          <w:p w14:paraId="3973D4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1" w:type="pct"/>
            <w:shd w:val="clear" w:color="auto" w:fill="CFF0FC"/>
            <w:tcMar>
              <w:top w:w="15" w:type="dxa"/>
              <w:right w:w="15" w:type="dxa"/>
            </w:tcMar>
            <w:vAlign w:val="bottom"/>
          </w:tcPr>
          <w:p w14:paraId="3973D4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4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47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CFF0FC"/>
            <w:noWrap/>
            <w:tcMar>
              <w:top w:w="15" w:type="dxa"/>
              <w:right w:w="15" w:type="dxa"/>
            </w:tcMar>
            <w:vAlign w:val="bottom"/>
          </w:tcPr>
          <w:p w14:paraId="3973D4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4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7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81" w:type="pct"/>
            <w:shd w:val="clear" w:color="auto" w:fill="CFF0FC"/>
            <w:tcMar>
              <w:top w:w="15" w:type="dxa"/>
              <w:right w:w="15" w:type="dxa"/>
            </w:tcMar>
            <w:vAlign w:val="bottom"/>
          </w:tcPr>
          <w:p w14:paraId="3973D47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7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81" w:type="pct"/>
            <w:shd w:val="clear" w:color="auto" w:fill="CFF0FC"/>
            <w:tcMar>
              <w:top w:w="15" w:type="dxa"/>
              <w:right w:w="15" w:type="dxa"/>
            </w:tcMar>
            <w:vAlign w:val="bottom"/>
          </w:tcPr>
          <w:p w14:paraId="3973D4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4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4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431</w:t>
            </w:r>
          </w:p>
        </w:tc>
        <w:tc>
          <w:tcPr>
            <w:tcW w:w="50" w:type="pct"/>
            <w:shd w:val="clear" w:color="auto" w:fill="CFF0FC"/>
            <w:noWrap/>
            <w:tcMar>
              <w:top w:w="15" w:type="dxa"/>
              <w:right w:w="15" w:type="dxa"/>
            </w:tcMar>
            <w:vAlign w:val="bottom"/>
          </w:tcPr>
          <w:p w14:paraId="3973D47A"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47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Restructuring expenses in fiscal 2022 primarily </w:t>
      </w:r>
      <w:r>
        <w:rPr>
          <w:rFonts w:ascii="Calibri" w:hAnsi="Calibri" w:cs="Calibri"/>
          <w:sz w:val="20"/>
          <w:szCs w:val="20"/>
        </w:rPr>
        <w:t>related to our 2022 Restructuring Plan. Restructuring expenses in fiscal 2021 primarily related to our 2019 Restructuring Plan, which is substantially complete. Our management approved, committed to and initiated the 2022 Restructuring Plan and the 2019 Re</w:t>
      </w:r>
      <w:r>
        <w:rPr>
          <w:rFonts w:ascii="Calibri" w:hAnsi="Calibri" w:cs="Calibri"/>
          <w:sz w:val="20"/>
          <w:szCs w:val="20"/>
        </w:rPr>
        <w:t>structuring Plan in order to restructure and further improve efficiencies in our operations. We may incur additional restructuring expenses in future periods due to the initiation of new restructuring plans or from changes in estimated costs associated wit</w:t>
      </w:r>
      <w:r>
        <w:rPr>
          <w:rFonts w:ascii="Calibri" w:hAnsi="Calibri" w:cs="Calibri"/>
          <w:sz w:val="20"/>
          <w:szCs w:val="20"/>
        </w:rPr>
        <w:t>h existing restructuring plans</w:t>
      </w:r>
      <w:r>
        <w:rPr>
          <w:rFonts w:ascii="Calibri" w:hAnsi="Calibri" w:cs="Calibri"/>
          <w:color w:val="000000"/>
          <w:sz w:val="20"/>
          <w:szCs w:val="20"/>
        </w:rPr>
        <w:t>.</w:t>
      </w:r>
    </w:p>
    <w:p w14:paraId="3973D47D"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The majority of the initiatives undertaken by our 2022 Restructuring Plan were effected to implement our continued emphasis in developing, marketing, selling and delivering our cloud-based offerings. Certain of the cost savi</w:t>
      </w:r>
      <w:r>
        <w:rPr>
          <w:rFonts w:ascii="Calibri" w:hAnsi="Calibri" w:cs="Calibri"/>
          <w:color w:val="000000"/>
          <w:sz w:val="20"/>
          <w:szCs w:val="20"/>
        </w:rPr>
        <w:t>ngs realized pursuant to our 2022 Restructuring Plan initiatives were offset by investments in resources and geographies that better address the development, marketing, sale and delivery of our cloud</w:t>
      </w:r>
      <w:r>
        <w:rPr>
          <w:rFonts w:ascii="Cambria Math" w:eastAsia="Cambria Math" w:hAnsi="Cambria Math" w:cs="Cambria Math"/>
          <w:color w:val="000000"/>
          <w:sz w:val="20"/>
          <w:szCs w:val="20"/>
        </w:rPr>
        <w:noBreakHyphen/>
      </w:r>
      <w:r>
        <w:rPr>
          <w:rFonts w:ascii="Calibri" w:hAnsi="Calibri" w:cs="Calibri"/>
          <w:color w:val="000000"/>
          <w:sz w:val="20"/>
          <w:szCs w:val="20"/>
        </w:rPr>
        <w:t>based offerings including investments in the development</w:t>
      </w:r>
      <w:r>
        <w:rPr>
          <w:rFonts w:ascii="Calibri" w:hAnsi="Calibri" w:cs="Calibri"/>
          <w:color w:val="000000"/>
          <w:sz w:val="20"/>
          <w:szCs w:val="20"/>
        </w:rPr>
        <w:t xml:space="preserve"> and delivery of our second</w:t>
      </w:r>
      <w:r>
        <w:rPr>
          <w:rFonts w:ascii="Cambria Math" w:eastAsia="Cambria Math" w:hAnsi="Cambria Math" w:cs="Cambria Math"/>
          <w:color w:val="000000"/>
          <w:sz w:val="20"/>
          <w:szCs w:val="20"/>
        </w:rPr>
        <w:noBreakHyphen/>
      </w:r>
      <w:r>
        <w:rPr>
          <w:rFonts w:ascii="Calibri" w:hAnsi="Calibri" w:cs="Calibri"/>
          <w:color w:val="000000"/>
          <w:sz w:val="20"/>
          <w:szCs w:val="20"/>
        </w:rPr>
        <w:t>generation cloud infrastructure.</w:t>
      </w:r>
    </w:p>
    <w:p w14:paraId="3973D47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3973D47F" w14:textId="77777777" w:rsidR="007B027D" w:rsidRDefault="008E0125">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218"/>
        <w:gridCol w:w="129"/>
        <w:gridCol w:w="117"/>
        <w:gridCol w:w="715"/>
        <w:gridCol w:w="77"/>
        <w:gridCol w:w="129"/>
        <w:gridCol w:w="881"/>
        <w:gridCol w:w="129"/>
        <w:gridCol w:w="883"/>
        <w:gridCol w:w="129"/>
        <w:gridCol w:w="117"/>
        <w:gridCol w:w="720"/>
        <w:gridCol w:w="77"/>
      </w:tblGrid>
      <w:tr w:rsidR="007B027D" w14:paraId="3973D484" w14:textId="77777777">
        <w:tc>
          <w:tcPr>
            <w:tcW w:w="2537" w:type="pct"/>
            <w:shd w:val="clear" w:color="auto" w:fill="FFFFFF"/>
            <w:tcMar>
              <w:top w:w="15" w:type="dxa"/>
              <w:right w:w="15" w:type="dxa"/>
            </w:tcMar>
            <w:vAlign w:val="center"/>
          </w:tcPr>
          <w:p w14:paraId="3973D480"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3973D48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9" w:type="pct"/>
            <w:gridSpan w:val="10"/>
            <w:tcBorders>
              <w:bottom w:val="single" w:sz="6" w:space="0" w:color="000000"/>
            </w:tcBorders>
            <w:shd w:val="clear" w:color="auto" w:fill="FFFFFF"/>
            <w:tcMar>
              <w:top w:w="15" w:type="dxa"/>
              <w:right w:w="15" w:type="dxa"/>
            </w:tcMar>
            <w:vAlign w:val="bottom"/>
          </w:tcPr>
          <w:p w14:paraId="3973D48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48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90" w14:textId="77777777">
        <w:tc>
          <w:tcPr>
            <w:tcW w:w="2537" w:type="pct"/>
            <w:shd w:val="clear" w:color="auto" w:fill="FFFFFF"/>
            <w:tcMar>
              <w:top w:w="15" w:type="dxa"/>
              <w:right w:w="15" w:type="dxa"/>
            </w:tcMar>
            <w:vAlign w:val="center"/>
          </w:tcPr>
          <w:p w14:paraId="3973D48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48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48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48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48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D48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8" w:type="pct"/>
            <w:gridSpan w:val="3"/>
            <w:tcBorders>
              <w:top w:val="single" w:sz="6" w:space="0" w:color="000000"/>
              <w:bottom w:val="single" w:sz="6" w:space="0" w:color="000000"/>
            </w:tcBorders>
            <w:shd w:val="clear" w:color="auto" w:fill="FFFFFF"/>
            <w:tcMar>
              <w:top w:w="15" w:type="dxa"/>
              <w:right w:w="15" w:type="dxa"/>
            </w:tcMar>
            <w:vAlign w:val="bottom"/>
          </w:tcPr>
          <w:p w14:paraId="3973D48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1" w:type="pct"/>
            <w:tcBorders>
              <w:top w:val="single" w:sz="6" w:space="0" w:color="000000"/>
            </w:tcBorders>
            <w:shd w:val="clear" w:color="auto" w:fill="FFFFFF"/>
            <w:tcMar>
              <w:top w:w="15" w:type="dxa"/>
              <w:right w:w="15" w:type="dxa"/>
            </w:tcMar>
            <w:vAlign w:val="bottom"/>
          </w:tcPr>
          <w:p w14:paraId="3973D48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48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48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48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9C" w14:textId="77777777">
        <w:tc>
          <w:tcPr>
            <w:tcW w:w="2537" w:type="pct"/>
            <w:tcBorders>
              <w:bottom w:val="single" w:sz="6" w:space="0" w:color="000000"/>
            </w:tcBorders>
            <w:shd w:val="clear" w:color="auto" w:fill="FFFFFF"/>
            <w:tcMar>
              <w:top w:w="15" w:type="dxa"/>
              <w:right w:w="15" w:type="dxa"/>
            </w:tcMar>
            <w:vAlign w:val="bottom"/>
          </w:tcPr>
          <w:p w14:paraId="3973D49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D49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9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49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3973D49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9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1" w:type="pct"/>
            <w:tcBorders>
              <w:top w:val="single" w:sz="6" w:space="0" w:color="000000"/>
            </w:tcBorders>
            <w:shd w:val="clear" w:color="auto" w:fill="FFFFFF"/>
            <w:tcMar>
              <w:top w:w="15" w:type="dxa"/>
              <w:right w:w="15" w:type="dxa"/>
            </w:tcMar>
            <w:vAlign w:val="bottom"/>
          </w:tcPr>
          <w:p w14:paraId="3973D49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9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1" w:type="pct"/>
            <w:shd w:val="clear" w:color="auto" w:fill="FFFFFF"/>
            <w:tcMar>
              <w:top w:w="15" w:type="dxa"/>
              <w:right w:w="15" w:type="dxa"/>
            </w:tcMar>
            <w:vAlign w:val="bottom"/>
          </w:tcPr>
          <w:p w14:paraId="3973D49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9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49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AA" w14:textId="77777777">
        <w:tc>
          <w:tcPr>
            <w:tcW w:w="2537" w:type="pct"/>
            <w:tcBorders>
              <w:top w:val="single" w:sz="6" w:space="0" w:color="000000"/>
            </w:tcBorders>
            <w:shd w:val="clear" w:color="auto" w:fill="CFF0FC"/>
            <w:tcMar>
              <w:top w:w="15" w:type="dxa"/>
              <w:right w:w="15" w:type="dxa"/>
            </w:tcMar>
          </w:tcPr>
          <w:p w14:paraId="3973D4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1" w:type="pct"/>
            <w:shd w:val="clear" w:color="auto" w:fill="CFF0FC"/>
            <w:tcMar>
              <w:top w:w="15" w:type="dxa"/>
              <w:right w:w="15" w:type="dxa"/>
            </w:tcMar>
            <w:vAlign w:val="bottom"/>
          </w:tcPr>
          <w:p w14:paraId="3973D4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4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4A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2,755</w:t>
            </w:r>
          </w:p>
        </w:tc>
        <w:tc>
          <w:tcPr>
            <w:tcW w:w="50" w:type="pct"/>
            <w:shd w:val="clear" w:color="auto" w:fill="CFF0FC"/>
            <w:noWrap/>
            <w:tcMar>
              <w:top w:w="15" w:type="dxa"/>
              <w:right w:w="15" w:type="dxa"/>
            </w:tcMar>
            <w:vAlign w:val="bottom"/>
          </w:tcPr>
          <w:p w14:paraId="3973D4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D4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A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1" w:type="pct"/>
            <w:shd w:val="clear" w:color="auto" w:fill="CFF0FC"/>
            <w:tcMar>
              <w:top w:w="15" w:type="dxa"/>
              <w:right w:w="15" w:type="dxa"/>
            </w:tcMar>
            <w:vAlign w:val="bottom"/>
          </w:tcPr>
          <w:p w14:paraId="3973D4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A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1" w:type="pct"/>
            <w:shd w:val="clear" w:color="auto" w:fill="CFF0FC"/>
            <w:tcMar>
              <w:top w:w="15" w:type="dxa"/>
              <w:right w:w="15" w:type="dxa"/>
            </w:tcMar>
            <w:vAlign w:val="bottom"/>
          </w:tcPr>
          <w:p w14:paraId="3973D4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4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4A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2,496</w:t>
            </w:r>
          </w:p>
        </w:tc>
        <w:tc>
          <w:tcPr>
            <w:tcW w:w="50" w:type="pct"/>
            <w:shd w:val="clear" w:color="auto" w:fill="CFF0FC"/>
            <w:noWrap/>
            <w:tcMar>
              <w:top w:w="15" w:type="dxa"/>
              <w:right w:w="15" w:type="dxa"/>
            </w:tcMar>
            <w:vAlign w:val="bottom"/>
          </w:tcPr>
          <w:p w14:paraId="3973D4A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4A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Interest expense increased in fiscal 2022 compared to fiscal 2021 primarily due to higher average borrowings during fiscal 2022 that resulted from our issuance of $15.0 billion of senior notes in March 2021 partially offset by lower </w:t>
      </w:r>
      <w:r>
        <w:rPr>
          <w:rFonts w:ascii="Calibri" w:hAnsi="Calibri" w:cs="Calibri"/>
          <w:sz w:val="20"/>
          <w:szCs w:val="20"/>
        </w:rPr>
        <w:t>interest expense that resulted from $8.3 billion of scheduled repayments made during fiscal 2022.</w:t>
      </w:r>
    </w:p>
    <w:p w14:paraId="3973D4A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52</w:t>
      </w:r>
    </w:p>
    <w:p w14:paraId="3973D4AD" w14:textId="77777777" w:rsidR="007B027D" w:rsidRDefault="008E0125">
      <w:r>
        <w:rPr>
          <w:rFonts w:ascii="Calibri" w:hAnsi="Calibri" w:cs="Calibri"/>
          <w:sz w:val="20"/>
          <w:szCs w:val="20"/>
        </w:rPr>
        <w:pict w14:anchorId="3974006F">
          <v:rect id="_x0000_i1078" style="width:415.3pt;height:1.5pt" o:hralign="center" o:hrstd="t" o:hr="t" fillcolor="#a0a0a0" stroked="f"/>
        </w:pict>
      </w:r>
    </w:p>
    <w:p w14:paraId="3973D4AE" w14:textId="77777777" w:rsidR="007B027D" w:rsidRDefault="008E0125">
      <w:pPr>
        <w:pStyle w:val="a3"/>
        <w:spacing w:beforeAutospacing="0" w:after="120" w:afterAutospacing="0"/>
        <w:rPr>
          <w:rFonts w:ascii="Calibri" w:hAnsi="Calibri" w:cs="Calibri"/>
          <w:sz w:val="18"/>
          <w:szCs w:val="18"/>
        </w:rPr>
      </w:pPr>
      <w:hyperlink r:id="rId133" w:anchor="TABLE_OF_CONTENTS" w:history="1">
        <w:r>
          <w:rPr>
            <w:rStyle w:val="a5"/>
            <w:rFonts w:ascii="Calibri" w:hAnsi="Calibri" w:cs="Calibri"/>
            <w:sz w:val="18"/>
            <w:szCs w:val="18"/>
          </w:rPr>
          <w:t>Table of Contents</w:t>
        </w:r>
      </w:hyperlink>
    </w:p>
    <w:p w14:paraId="3973D4AF" w14:textId="77777777" w:rsidR="007B027D" w:rsidRDefault="008E0125">
      <w:pPr>
        <w:pStyle w:val="a3"/>
        <w:spacing w:beforeAutospacing="0" w:afterAutospacing="0"/>
        <w:rPr>
          <w:rFonts w:ascii="Calibri" w:hAnsi="Calibri" w:cs="Calibri"/>
          <w:sz w:val="18"/>
          <w:szCs w:val="18"/>
        </w:rPr>
      </w:pPr>
      <w:hyperlink r:id="rId134" w:anchor="ITEM_15_EXHIBITS_FINANCIAL_STATEMENT_SCH" w:history="1">
        <w:r>
          <w:rPr>
            <w:rStyle w:val="a5"/>
            <w:rFonts w:ascii="Calibri" w:hAnsi="Calibri" w:cs="Calibri"/>
            <w:sz w:val="18"/>
            <w:szCs w:val="18"/>
          </w:rPr>
          <w:t>Index to Financial Statements</w:t>
        </w:r>
      </w:hyperlink>
    </w:p>
    <w:p w14:paraId="3973D4B0"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4B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Non-Operating (Expenses) Income, net</w:t>
      </w:r>
      <w:r>
        <w:rPr>
          <w:rFonts w:ascii="Calibri" w:hAnsi="Calibri" w:cs="Calibri"/>
          <w:b/>
          <w:bCs/>
          <w:sz w:val="20"/>
          <w:szCs w:val="20"/>
        </w:rPr>
        <w:t>:</w:t>
      </w:r>
      <w:r>
        <w:rPr>
          <w:rFonts w:ascii="Calibri" w:hAnsi="Calibri" w:cs="Calibri"/>
          <w:sz w:val="20"/>
          <w:szCs w:val="20"/>
        </w:rPr>
        <w:t xml:space="preserve"> Non-operating (expenses) income, net consists primarily of interest income, net foreign currency exchange losses, the noncontroll</w:t>
      </w:r>
      <w:r>
        <w:rPr>
          <w:rFonts w:ascii="Calibri" w:hAnsi="Calibri" w:cs="Calibri"/>
          <w:sz w:val="20"/>
          <w:szCs w:val="20"/>
        </w:rPr>
        <w:t>ing interests in the net profits of our majority-owned subsidiaries (primarily Oracle Financial Services Software Limited and Oracle Corporation Japan), net gains and losses related to equity investments including losses attributable to equity method inves</w:t>
      </w:r>
      <w:r>
        <w:rPr>
          <w:rFonts w:ascii="Calibri" w:hAnsi="Calibri" w:cs="Calibri"/>
          <w:sz w:val="20"/>
          <w:szCs w:val="20"/>
        </w:rPr>
        <w:t>tments and net other income and expenses, including net unrealized gains and losses from our investment portfolio related to our deferred compensation plan, and non-service net periodic pension income and losses.</w:t>
      </w:r>
    </w:p>
    <w:p w14:paraId="3973D4B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47"/>
        <w:gridCol w:w="123"/>
        <w:gridCol w:w="117"/>
        <w:gridCol w:w="714"/>
        <w:gridCol w:w="77"/>
        <w:gridCol w:w="124"/>
        <w:gridCol w:w="881"/>
        <w:gridCol w:w="124"/>
        <w:gridCol w:w="881"/>
        <w:gridCol w:w="124"/>
        <w:gridCol w:w="117"/>
        <w:gridCol w:w="715"/>
        <w:gridCol w:w="77"/>
      </w:tblGrid>
      <w:tr w:rsidR="007B027D" w14:paraId="3973D4B7" w14:textId="77777777">
        <w:tc>
          <w:tcPr>
            <w:tcW w:w="2555" w:type="pct"/>
            <w:shd w:val="clear" w:color="auto" w:fill="FFFFFF"/>
            <w:tcMar>
              <w:top w:w="15" w:type="dxa"/>
              <w:right w:w="15" w:type="dxa"/>
            </w:tcMar>
            <w:vAlign w:val="center"/>
          </w:tcPr>
          <w:p w14:paraId="3973D4B3"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8" w:type="pct"/>
            <w:shd w:val="clear" w:color="auto" w:fill="FFFFFF"/>
            <w:tcMar>
              <w:top w:w="15" w:type="dxa"/>
              <w:right w:w="15" w:type="dxa"/>
            </w:tcMar>
            <w:vAlign w:val="bottom"/>
          </w:tcPr>
          <w:p w14:paraId="3973D4B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16" w:type="pct"/>
            <w:gridSpan w:val="10"/>
            <w:tcBorders>
              <w:bottom w:val="single" w:sz="6" w:space="0" w:color="000000"/>
            </w:tcBorders>
            <w:shd w:val="clear" w:color="auto" w:fill="FFFFFF"/>
            <w:tcMar>
              <w:top w:w="15" w:type="dxa"/>
              <w:right w:w="15" w:type="dxa"/>
            </w:tcMar>
            <w:vAlign w:val="bottom"/>
          </w:tcPr>
          <w:p w14:paraId="3973D4B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4B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C3" w14:textId="77777777">
        <w:tc>
          <w:tcPr>
            <w:tcW w:w="2555" w:type="pct"/>
            <w:shd w:val="clear" w:color="auto" w:fill="FFFFFF"/>
            <w:tcMar>
              <w:top w:w="15" w:type="dxa"/>
              <w:right w:w="15" w:type="dxa"/>
            </w:tcMar>
            <w:vAlign w:val="center"/>
          </w:tcPr>
          <w:p w14:paraId="3973D4B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D4B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4B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4B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4B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3973D4B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4" w:type="pct"/>
            <w:gridSpan w:val="3"/>
            <w:tcBorders>
              <w:top w:val="single" w:sz="6" w:space="0" w:color="000000"/>
              <w:bottom w:val="single" w:sz="6" w:space="0" w:color="000000"/>
            </w:tcBorders>
            <w:shd w:val="clear" w:color="auto" w:fill="FFFFFF"/>
            <w:tcMar>
              <w:top w:w="15" w:type="dxa"/>
              <w:right w:w="15" w:type="dxa"/>
            </w:tcMar>
            <w:vAlign w:val="bottom"/>
          </w:tcPr>
          <w:p w14:paraId="3973D4B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78" w:type="pct"/>
            <w:tcBorders>
              <w:top w:val="single" w:sz="6" w:space="0" w:color="000000"/>
            </w:tcBorders>
            <w:shd w:val="clear" w:color="auto" w:fill="FFFFFF"/>
            <w:tcMar>
              <w:top w:w="15" w:type="dxa"/>
              <w:right w:w="15" w:type="dxa"/>
            </w:tcMar>
            <w:vAlign w:val="bottom"/>
          </w:tcPr>
          <w:p w14:paraId="3973D4B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3973D4C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3973D4C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3973D4C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CF" w14:textId="77777777">
        <w:tc>
          <w:tcPr>
            <w:tcW w:w="2555" w:type="pct"/>
            <w:tcBorders>
              <w:bottom w:val="single" w:sz="6" w:space="0" w:color="000000"/>
            </w:tcBorders>
            <w:shd w:val="clear" w:color="auto" w:fill="FFFFFF"/>
            <w:tcMar>
              <w:top w:w="15" w:type="dxa"/>
              <w:right w:w="15" w:type="dxa"/>
            </w:tcMar>
            <w:vAlign w:val="bottom"/>
          </w:tcPr>
          <w:p w14:paraId="3973D4C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8" w:type="pct"/>
            <w:shd w:val="clear" w:color="auto" w:fill="FFFFFF"/>
            <w:tcMar>
              <w:top w:w="15" w:type="dxa"/>
              <w:right w:w="15" w:type="dxa"/>
            </w:tcMar>
            <w:vAlign w:val="bottom"/>
          </w:tcPr>
          <w:p w14:paraId="3973D4C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C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4C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D4C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C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78" w:type="pct"/>
            <w:tcBorders>
              <w:top w:val="single" w:sz="6" w:space="0" w:color="000000"/>
            </w:tcBorders>
            <w:shd w:val="clear" w:color="auto" w:fill="FFFFFF"/>
            <w:tcMar>
              <w:top w:w="15" w:type="dxa"/>
              <w:right w:w="15" w:type="dxa"/>
            </w:tcMar>
            <w:vAlign w:val="bottom"/>
          </w:tcPr>
          <w:p w14:paraId="3973D4C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4C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78" w:type="pct"/>
            <w:shd w:val="clear" w:color="auto" w:fill="FFFFFF"/>
            <w:tcMar>
              <w:top w:w="15" w:type="dxa"/>
              <w:right w:w="15" w:type="dxa"/>
            </w:tcMar>
            <w:vAlign w:val="bottom"/>
          </w:tcPr>
          <w:p w14:paraId="3973D4C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4C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4C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4DD" w14:textId="77777777">
        <w:tc>
          <w:tcPr>
            <w:tcW w:w="2555" w:type="pct"/>
            <w:tcBorders>
              <w:top w:val="single" w:sz="6" w:space="0" w:color="000000"/>
            </w:tcBorders>
            <w:shd w:val="clear" w:color="auto" w:fill="CFF0FC"/>
            <w:tcMar>
              <w:top w:w="15" w:type="dxa"/>
              <w:right w:w="15" w:type="dxa"/>
            </w:tcMar>
          </w:tcPr>
          <w:p w14:paraId="3973D4D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78" w:type="pct"/>
            <w:shd w:val="clear" w:color="auto" w:fill="CFF0FC"/>
            <w:tcMar>
              <w:top w:w="15" w:type="dxa"/>
              <w:right w:w="15" w:type="dxa"/>
            </w:tcMar>
            <w:vAlign w:val="bottom"/>
          </w:tcPr>
          <w:p w14:paraId="3973D4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4D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4D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CFF0FC"/>
            <w:noWrap/>
            <w:tcMar>
              <w:top w:w="15" w:type="dxa"/>
              <w:right w:w="15" w:type="dxa"/>
            </w:tcMar>
            <w:vAlign w:val="bottom"/>
          </w:tcPr>
          <w:p w14:paraId="3973D4D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D4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D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78" w:type="pct"/>
            <w:shd w:val="clear" w:color="auto" w:fill="CFF0FC"/>
            <w:tcMar>
              <w:top w:w="15" w:type="dxa"/>
              <w:right w:w="15" w:type="dxa"/>
            </w:tcMar>
            <w:vAlign w:val="bottom"/>
          </w:tcPr>
          <w:p w14:paraId="3973D4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4D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78" w:type="pct"/>
            <w:shd w:val="clear" w:color="auto" w:fill="CFF0FC"/>
            <w:tcMar>
              <w:top w:w="15" w:type="dxa"/>
              <w:right w:w="15" w:type="dxa"/>
            </w:tcMar>
            <w:vAlign w:val="bottom"/>
          </w:tcPr>
          <w:p w14:paraId="3973D4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4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3973D4D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CFF0FC"/>
            <w:noWrap/>
            <w:tcMar>
              <w:top w:w="15" w:type="dxa"/>
              <w:right w:w="15" w:type="dxa"/>
            </w:tcMar>
            <w:vAlign w:val="bottom"/>
          </w:tcPr>
          <w:p w14:paraId="3973D4D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4EB" w14:textId="77777777">
        <w:tc>
          <w:tcPr>
            <w:tcW w:w="2555" w:type="pct"/>
            <w:shd w:val="clear" w:color="auto" w:fill="FFFFFF"/>
            <w:tcMar>
              <w:top w:w="15" w:type="dxa"/>
              <w:right w:w="15" w:type="dxa"/>
            </w:tcMar>
          </w:tcPr>
          <w:p w14:paraId="3973D4D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78" w:type="pct"/>
            <w:shd w:val="clear" w:color="auto" w:fill="FFFFFF"/>
            <w:tcMar>
              <w:top w:w="15" w:type="dxa"/>
              <w:right w:w="15" w:type="dxa"/>
            </w:tcMar>
            <w:vAlign w:val="bottom"/>
          </w:tcPr>
          <w:p w14:paraId="3973D4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4E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4E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(199</w:t>
            </w:r>
          </w:p>
        </w:tc>
        <w:tc>
          <w:tcPr>
            <w:tcW w:w="50" w:type="pct"/>
            <w:shd w:val="clear" w:color="auto" w:fill="FFFFFF"/>
            <w:noWrap/>
            <w:tcMar>
              <w:top w:w="15" w:type="dxa"/>
              <w:right w:w="15" w:type="dxa"/>
            </w:tcMar>
            <w:vAlign w:val="bottom"/>
          </w:tcPr>
          <w:p w14:paraId="3973D4E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4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4E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78" w:type="pct"/>
            <w:shd w:val="clear" w:color="auto" w:fill="FFFFFF"/>
            <w:tcMar>
              <w:top w:w="15" w:type="dxa"/>
              <w:right w:w="15" w:type="dxa"/>
            </w:tcMar>
            <w:vAlign w:val="bottom"/>
          </w:tcPr>
          <w:p w14:paraId="3973D4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4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78" w:type="pct"/>
            <w:shd w:val="clear" w:color="auto" w:fill="FFFFFF"/>
            <w:tcMar>
              <w:top w:w="15" w:type="dxa"/>
              <w:right w:w="15" w:type="dxa"/>
            </w:tcMar>
            <w:vAlign w:val="bottom"/>
          </w:tcPr>
          <w:p w14:paraId="3973D4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4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4E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FFFFFF"/>
            <w:noWrap/>
            <w:tcMar>
              <w:top w:w="15" w:type="dxa"/>
              <w:right w:w="15" w:type="dxa"/>
            </w:tcMar>
            <w:vAlign w:val="bottom"/>
          </w:tcPr>
          <w:p w14:paraId="3973D4E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4F9" w14:textId="77777777">
        <w:tc>
          <w:tcPr>
            <w:tcW w:w="2555" w:type="pct"/>
            <w:shd w:val="clear" w:color="auto" w:fill="CFF0FC"/>
            <w:tcMar>
              <w:top w:w="15" w:type="dxa"/>
              <w:right w:w="15" w:type="dxa"/>
            </w:tcMar>
          </w:tcPr>
          <w:p w14:paraId="3973D4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78" w:type="pct"/>
            <w:shd w:val="clear" w:color="auto" w:fill="CFF0FC"/>
            <w:tcMar>
              <w:top w:w="15" w:type="dxa"/>
              <w:right w:w="15" w:type="dxa"/>
            </w:tcMar>
            <w:vAlign w:val="bottom"/>
          </w:tcPr>
          <w:p w14:paraId="3973D4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4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4E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CFF0FC"/>
            <w:noWrap/>
            <w:tcMar>
              <w:top w:w="15" w:type="dxa"/>
              <w:right w:w="15" w:type="dxa"/>
            </w:tcMar>
            <w:vAlign w:val="bottom"/>
          </w:tcPr>
          <w:p w14:paraId="3973D4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3973D4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4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78" w:type="pct"/>
            <w:shd w:val="clear" w:color="auto" w:fill="CFF0FC"/>
            <w:tcMar>
              <w:top w:w="15" w:type="dxa"/>
              <w:right w:w="15" w:type="dxa"/>
            </w:tcMar>
            <w:vAlign w:val="bottom"/>
          </w:tcPr>
          <w:p w14:paraId="3973D4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4F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78" w:type="pct"/>
            <w:shd w:val="clear" w:color="auto" w:fill="CFF0FC"/>
            <w:tcMar>
              <w:top w:w="15" w:type="dxa"/>
              <w:right w:w="15" w:type="dxa"/>
            </w:tcMar>
            <w:vAlign w:val="bottom"/>
          </w:tcPr>
          <w:p w14:paraId="3973D4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4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3973D4F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CFF0FC"/>
            <w:noWrap/>
            <w:tcMar>
              <w:top w:w="15" w:type="dxa"/>
              <w:right w:w="15" w:type="dxa"/>
            </w:tcMar>
            <w:vAlign w:val="bottom"/>
          </w:tcPr>
          <w:p w14:paraId="3973D4F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507" w14:textId="77777777">
        <w:tc>
          <w:tcPr>
            <w:tcW w:w="2555" w:type="pct"/>
            <w:shd w:val="clear" w:color="auto" w:fill="FFFFFF"/>
            <w:tcMar>
              <w:top w:w="15" w:type="dxa"/>
              <w:right w:w="15" w:type="dxa"/>
            </w:tcMar>
          </w:tcPr>
          <w:p w14:paraId="3973D4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(Losses) gains in equity investments, net</w:t>
            </w:r>
          </w:p>
        </w:tc>
        <w:tc>
          <w:tcPr>
            <w:tcW w:w="78" w:type="pct"/>
            <w:shd w:val="clear" w:color="auto" w:fill="FFFFFF"/>
            <w:tcMar>
              <w:top w:w="15" w:type="dxa"/>
              <w:right w:w="15" w:type="dxa"/>
            </w:tcMar>
            <w:vAlign w:val="bottom"/>
          </w:tcPr>
          <w:p w14:paraId="3973D4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4F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4F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w:t>
            </w:r>
          </w:p>
        </w:tc>
        <w:tc>
          <w:tcPr>
            <w:tcW w:w="50" w:type="pct"/>
            <w:shd w:val="clear" w:color="auto" w:fill="FFFFFF"/>
            <w:noWrap/>
            <w:tcMar>
              <w:top w:w="15" w:type="dxa"/>
              <w:right w:w="15" w:type="dxa"/>
            </w:tcMar>
            <w:vAlign w:val="bottom"/>
          </w:tcPr>
          <w:p w14:paraId="3973D4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4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0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5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0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5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5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3973D50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FFFFFF"/>
            <w:noWrap/>
            <w:tcMar>
              <w:top w:w="15" w:type="dxa"/>
              <w:right w:w="15" w:type="dxa"/>
            </w:tcMar>
            <w:vAlign w:val="bottom"/>
          </w:tcPr>
          <w:p w14:paraId="3973D5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515" w14:textId="77777777">
        <w:tc>
          <w:tcPr>
            <w:tcW w:w="2555" w:type="pct"/>
            <w:shd w:val="clear" w:color="auto" w:fill="CFF0FC"/>
            <w:tcMar>
              <w:top w:w="15" w:type="dxa"/>
              <w:right w:w="15" w:type="dxa"/>
            </w:tcMar>
          </w:tcPr>
          <w:p w14:paraId="3973D5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(losses) gains, net</w:t>
            </w:r>
          </w:p>
        </w:tc>
        <w:tc>
          <w:tcPr>
            <w:tcW w:w="78" w:type="pct"/>
            <w:shd w:val="clear" w:color="auto" w:fill="CFF0FC"/>
            <w:tcMar>
              <w:top w:w="15" w:type="dxa"/>
              <w:right w:w="15" w:type="dxa"/>
            </w:tcMar>
            <w:vAlign w:val="bottom"/>
          </w:tcPr>
          <w:p w14:paraId="3973D5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5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CFF0FC"/>
            <w:noWrap/>
            <w:tcMar>
              <w:top w:w="15" w:type="dxa"/>
              <w:right w:w="15" w:type="dxa"/>
            </w:tcMar>
            <w:vAlign w:val="bottom"/>
          </w:tcPr>
          <w:p w14:paraId="3973D50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3973D5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3973D5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5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3973D5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3973D51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3973D5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5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CFF0FC"/>
            <w:noWrap/>
            <w:tcMar>
              <w:top w:w="15" w:type="dxa"/>
              <w:right w:w="15" w:type="dxa"/>
            </w:tcMar>
            <w:vAlign w:val="bottom"/>
          </w:tcPr>
          <w:p w14:paraId="3973D51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211</w:t>
            </w:r>
          </w:p>
        </w:tc>
        <w:tc>
          <w:tcPr>
            <w:tcW w:w="50" w:type="pct"/>
            <w:shd w:val="clear" w:color="auto" w:fill="CFF0FC"/>
            <w:noWrap/>
            <w:tcMar>
              <w:top w:w="15" w:type="dxa"/>
              <w:right w:w="15" w:type="dxa"/>
            </w:tcMar>
            <w:vAlign w:val="bottom"/>
          </w:tcPr>
          <w:p w14:paraId="3973D51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523" w14:textId="77777777">
        <w:tc>
          <w:tcPr>
            <w:tcW w:w="2555" w:type="pct"/>
            <w:shd w:val="clear" w:color="auto" w:fill="FFFFFF"/>
            <w:tcMar>
              <w:top w:w="15" w:type="dxa"/>
              <w:right w:w="15" w:type="dxa"/>
            </w:tcMar>
          </w:tcPr>
          <w:p w14:paraId="3973D516"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78" w:type="pct"/>
            <w:shd w:val="clear" w:color="auto" w:fill="FFFFFF"/>
            <w:tcMar>
              <w:top w:w="15" w:type="dxa"/>
              <w:right w:w="15" w:type="dxa"/>
            </w:tcMar>
            <w:vAlign w:val="bottom"/>
          </w:tcPr>
          <w:p w14:paraId="3973D5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5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51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FFFFFF"/>
            <w:noWrap/>
            <w:tcMar>
              <w:top w:w="15" w:type="dxa"/>
              <w:right w:w="15" w:type="dxa"/>
            </w:tcMar>
            <w:vAlign w:val="bottom"/>
          </w:tcPr>
          <w:p w14:paraId="3973D5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5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5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1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D5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5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3973D52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w:t>
            </w:r>
          </w:p>
        </w:tc>
        <w:tc>
          <w:tcPr>
            <w:tcW w:w="50" w:type="pct"/>
            <w:shd w:val="clear" w:color="auto" w:fill="FFFFFF"/>
            <w:noWrap/>
            <w:tcMar>
              <w:top w:w="15" w:type="dxa"/>
              <w:right w:w="15" w:type="dxa"/>
            </w:tcMar>
            <w:vAlign w:val="bottom"/>
          </w:tcPr>
          <w:p w14:paraId="3973D52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524"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527" w14:textId="77777777">
        <w:tc>
          <w:tcPr>
            <w:tcW w:w="192" w:type="pct"/>
            <w:shd w:val="clear" w:color="auto" w:fill="auto"/>
            <w:noWrap/>
          </w:tcPr>
          <w:p w14:paraId="3973D525"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3973D526"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3973D528" w14:textId="77777777" w:rsidR="007B027D" w:rsidRDefault="008E0125">
      <w:pPr>
        <w:pStyle w:val="a3"/>
        <w:spacing w:beforeAutospacing="0" w:afterAutospacing="0"/>
        <w:rPr>
          <w:sz w:val="12"/>
          <w:szCs w:val="12"/>
        </w:rPr>
      </w:pPr>
      <w:r>
        <w:rPr>
          <w:sz w:val="12"/>
          <w:szCs w:val="12"/>
        </w:rPr>
        <w:t> </w:t>
      </w:r>
    </w:p>
    <w:p w14:paraId="3973D529"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In constant </w:t>
      </w:r>
      <w:r>
        <w:rPr>
          <w:rFonts w:ascii="Calibri" w:hAnsi="Calibri" w:cs="Calibri"/>
          <w:sz w:val="20"/>
          <w:szCs w:val="20"/>
          <w:shd w:val="clear" w:color="auto" w:fill="FFFFFF"/>
        </w:rPr>
        <w:t>currency, we incurred non-operating expenses, net in fiscal 2022 in comparison to non-operating income, net that we recorded in fiscal 2021. Non-operating expenses, net increased during fiscal 2022 primarily due to higher net foreign currency losses; highe</w:t>
      </w:r>
      <w:r>
        <w:rPr>
          <w:rFonts w:ascii="Calibri" w:hAnsi="Calibri" w:cs="Calibri"/>
          <w:sz w:val="20"/>
          <w:szCs w:val="20"/>
          <w:shd w:val="clear" w:color="auto" w:fill="FFFFFF"/>
        </w:rPr>
        <w:t xml:space="preserve">r net losses from equity investments, primarily due to an unrealized gain of $299 million recorded in fiscal 2021 for certain non-marketable equity securities with no such corresponding gain recorded in fiscal 2022; higher losses in fiscal 2022 associated </w:t>
      </w:r>
      <w:r>
        <w:rPr>
          <w:rFonts w:ascii="Calibri" w:hAnsi="Calibri" w:cs="Calibri"/>
          <w:sz w:val="20"/>
          <w:szCs w:val="20"/>
          <w:shd w:val="clear" w:color="auto" w:fill="FFFFFF"/>
        </w:rPr>
        <w:t>with equity investments for which we follow the equity method of accounting; and higher other expense, net, which was primarily attributable to higher unrealized investment losses associated with certain marketable equity securities that we held for employ</w:t>
      </w:r>
      <w:r>
        <w:rPr>
          <w:rFonts w:ascii="Calibri" w:hAnsi="Calibri" w:cs="Calibri"/>
          <w:sz w:val="20"/>
          <w:szCs w:val="20"/>
          <w:shd w:val="clear" w:color="auto" w:fill="FFFFFF"/>
        </w:rPr>
        <w:t>ee benefit plans, and for which an equal and offsetting amount was recorded to our operating expenses during the same period</w:t>
      </w:r>
      <w:r>
        <w:rPr>
          <w:rFonts w:ascii="Calibri" w:hAnsi="Calibri" w:cs="Calibri"/>
          <w:sz w:val="20"/>
          <w:szCs w:val="20"/>
        </w:rPr>
        <w:t>.</w:t>
      </w:r>
    </w:p>
    <w:p w14:paraId="3973D52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(Provision for) Benefit from Income Taxes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Our effective income tax rates for each of the periods presented were the result of the</w:t>
      </w:r>
      <w:r>
        <w:rPr>
          <w:rFonts w:ascii="Calibri" w:hAnsi="Calibri" w:cs="Calibri"/>
          <w:sz w:val="20"/>
          <w:szCs w:val="20"/>
        </w:rPr>
        <w:t xml:space="preserve"> mix of income earned in various tax jurisdictions that apply a broad range of income tax rates. Refer to Note 13 of Notes to Consolidated Financial Statements included elsewhere in this Annual Report for a discussion regarding the differences between the </w:t>
      </w:r>
      <w:r>
        <w:rPr>
          <w:rFonts w:ascii="Calibri" w:hAnsi="Calibri" w:cs="Calibri"/>
          <w:sz w:val="20"/>
          <w:szCs w:val="20"/>
        </w:rPr>
        <w:t>effective income tax rates as presented for the periods below and the U.S. federal statutory income tax rates that were in effect during these periods. Future effective tax rates could be adversely affected by an unfavorable shift of earnings weighted to j</w:t>
      </w:r>
      <w:r>
        <w:rPr>
          <w:rFonts w:ascii="Calibri" w:hAnsi="Calibri" w:cs="Calibri"/>
          <w:sz w:val="20"/>
          <w:szCs w:val="20"/>
        </w:rPr>
        <w:t xml:space="preserve">urisdictions with higher tax rates, by unfavorable changes in tax laws and regulations, by adverse rulings in tax related litigation, or by shortfalls in stock-based compensation realized by employees relative to stock-based compensation that was recorded </w:t>
      </w:r>
      <w:r>
        <w:rPr>
          <w:rFonts w:ascii="Calibri" w:hAnsi="Calibri" w:cs="Calibri"/>
          <w:sz w:val="20"/>
          <w:szCs w:val="20"/>
        </w:rPr>
        <w:t>for book purposes, among others.</w:t>
      </w:r>
    </w:p>
    <w:p w14:paraId="3973D52B"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208"/>
        <w:gridCol w:w="132"/>
        <w:gridCol w:w="118"/>
        <w:gridCol w:w="715"/>
        <w:gridCol w:w="77"/>
        <w:gridCol w:w="132"/>
        <w:gridCol w:w="881"/>
        <w:gridCol w:w="132"/>
        <w:gridCol w:w="883"/>
        <w:gridCol w:w="132"/>
        <w:gridCol w:w="118"/>
        <w:gridCol w:w="716"/>
        <w:gridCol w:w="77"/>
      </w:tblGrid>
      <w:tr w:rsidR="007B027D" w14:paraId="3973D530" w14:textId="77777777">
        <w:tc>
          <w:tcPr>
            <w:tcW w:w="2532" w:type="pct"/>
            <w:shd w:val="clear" w:color="auto" w:fill="FFFFFF"/>
            <w:tcMar>
              <w:top w:w="15" w:type="dxa"/>
              <w:right w:w="15" w:type="dxa"/>
            </w:tcMar>
            <w:vAlign w:val="bottom"/>
          </w:tcPr>
          <w:p w14:paraId="3973D52C"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3" w:type="pct"/>
            <w:shd w:val="clear" w:color="auto" w:fill="FFFFFF"/>
            <w:tcMar>
              <w:top w:w="15" w:type="dxa"/>
              <w:right w:w="15" w:type="dxa"/>
            </w:tcMar>
            <w:vAlign w:val="bottom"/>
          </w:tcPr>
          <w:p w14:paraId="3973D52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33" w:type="pct"/>
            <w:gridSpan w:val="10"/>
            <w:tcBorders>
              <w:bottom w:val="single" w:sz="6" w:space="0" w:color="000000"/>
            </w:tcBorders>
            <w:shd w:val="clear" w:color="auto" w:fill="FFFFFF"/>
            <w:tcMar>
              <w:top w:w="15" w:type="dxa"/>
              <w:right w:w="15" w:type="dxa"/>
            </w:tcMar>
            <w:vAlign w:val="bottom"/>
          </w:tcPr>
          <w:p w14:paraId="3973D52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52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3C" w14:textId="77777777">
        <w:tc>
          <w:tcPr>
            <w:tcW w:w="2532" w:type="pct"/>
            <w:shd w:val="clear" w:color="auto" w:fill="FFFFFF"/>
            <w:tcMar>
              <w:top w:w="15" w:type="dxa"/>
              <w:right w:w="15" w:type="dxa"/>
            </w:tcMar>
            <w:vAlign w:val="bottom"/>
          </w:tcPr>
          <w:p w14:paraId="3973D53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3973D53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53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53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53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3973D53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0" w:type="pct"/>
            <w:gridSpan w:val="3"/>
            <w:tcBorders>
              <w:top w:val="single" w:sz="6" w:space="0" w:color="000000"/>
              <w:bottom w:val="single" w:sz="6" w:space="0" w:color="000000"/>
            </w:tcBorders>
            <w:shd w:val="clear" w:color="auto" w:fill="FFFFFF"/>
            <w:tcMar>
              <w:top w:w="15" w:type="dxa"/>
              <w:right w:w="15" w:type="dxa"/>
            </w:tcMar>
            <w:vAlign w:val="bottom"/>
          </w:tcPr>
          <w:p w14:paraId="3973D53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3" w:type="pct"/>
            <w:tcBorders>
              <w:top w:val="single" w:sz="6" w:space="0" w:color="000000"/>
            </w:tcBorders>
            <w:shd w:val="clear" w:color="auto" w:fill="FFFFFF"/>
            <w:tcMar>
              <w:top w:w="15" w:type="dxa"/>
              <w:right w:w="15" w:type="dxa"/>
            </w:tcMar>
            <w:vAlign w:val="bottom"/>
          </w:tcPr>
          <w:p w14:paraId="3973D53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D53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3973D53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D53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48" w14:textId="77777777">
        <w:tc>
          <w:tcPr>
            <w:tcW w:w="2532" w:type="pct"/>
            <w:tcBorders>
              <w:bottom w:val="single" w:sz="6" w:space="0" w:color="000000"/>
            </w:tcBorders>
            <w:shd w:val="clear" w:color="auto" w:fill="FFFFFF"/>
            <w:tcMar>
              <w:top w:w="15" w:type="dxa"/>
              <w:right w:w="15" w:type="dxa"/>
            </w:tcMar>
            <w:vAlign w:val="bottom"/>
          </w:tcPr>
          <w:p w14:paraId="3973D53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right w:w="15" w:type="dxa"/>
            </w:tcMar>
            <w:vAlign w:val="bottom"/>
          </w:tcPr>
          <w:p w14:paraId="3973D53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53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54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3973D54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54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3" w:type="pct"/>
            <w:tcBorders>
              <w:top w:val="single" w:sz="6" w:space="0" w:color="000000"/>
            </w:tcBorders>
            <w:shd w:val="clear" w:color="auto" w:fill="FFFFFF"/>
            <w:tcMar>
              <w:top w:w="15" w:type="dxa"/>
              <w:right w:w="15" w:type="dxa"/>
            </w:tcMar>
            <w:vAlign w:val="bottom"/>
          </w:tcPr>
          <w:p w14:paraId="3973D54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3973D54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3" w:type="pct"/>
            <w:shd w:val="clear" w:color="auto" w:fill="FFFFFF"/>
            <w:tcMar>
              <w:top w:w="15" w:type="dxa"/>
              <w:right w:w="15" w:type="dxa"/>
            </w:tcMar>
            <w:vAlign w:val="bottom"/>
          </w:tcPr>
          <w:p w14:paraId="3973D54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3973D54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54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56" w14:textId="77777777">
        <w:tc>
          <w:tcPr>
            <w:tcW w:w="2532" w:type="pct"/>
            <w:tcBorders>
              <w:top w:val="single" w:sz="6" w:space="0" w:color="000000"/>
            </w:tcBorders>
            <w:shd w:val="clear" w:color="auto" w:fill="CFF0FC"/>
            <w:tcMar>
              <w:top w:w="15" w:type="dxa"/>
              <w:right w:w="15" w:type="dxa"/>
            </w:tcMar>
          </w:tcPr>
          <w:p w14:paraId="3973D54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benefit from income taxes</w:t>
            </w:r>
          </w:p>
        </w:tc>
        <w:tc>
          <w:tcPr>
            <w:tcW w:w="83" w:type="pct"/>
            <w:shd w:val="clear" w:color="auto" w:fill="CFF0FC"/>
            <w:tcMar>
              <w:top w:w="15" w:type="dxa"/>
              <w:right w:w="15" w:type="dxa"/>
            </w:tcMar>
            <w:vAlign w:val="bottom"/>
          </w:tcPr>
          <w:p w14:paraId="3973D5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54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54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(932</w:t>
            </w:r>
          </w:p>
        </w:tc>
        <w:tc>
          <w:tcPr>
            <w:tcW w:w="50" w:type="pct"/>
            <w:shd w:val="clear" w:color="auto" w:fill="CFF0FC"/>
            <w:noWrap/>
            <w:tcMar>
              <w:top w:w="15" w:type="dxa"/>
              <w:right w:w="15" w:type="dxa"/>
            </w:tcMar>
            <w:vAlign w:val="bottom"/>
          </w:tcPr>
          <w:p w14:paraId="3973D5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3973D5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5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3973D5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3973D55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3973D5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5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3973D55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747</w:t>
            </w:r>
          </w:p>
        </w:tc>
        <w:tc>
          <w:tcPr>
            <w:tcW w:w="50" w:type="pct"/>
            <w:shd w:val="clear" w:color="auto" w:fill="CFF0FC"/>
            <w:noWrap/>
            <w:tcMar>
              <w:top w:w="15" w:type="dxa"/>
              <w:right w:w="15" w:type="dxa"/>
            </w:tcMar>
            <w:vAlign w:val="bottom"/>
          </w:tcPr>
          <w:p w14:paraId="3973D55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562" w14:textId="77777777">
        <w:tc>
          <w:tcPr>
            <w:tcW w:w="2532" w:type="pct"/>
            <w:shd w:val="clear" w:color="auto" w:fill="FFFFFF"/>
            <w:tcMar>
              <w:top w:w="15" w:type="dxa"/>
              <w:right w:w="15" w:type="dxa"/>
            </w:tcMar>
          </w:tcPr>
          <w:p w14:paraId="3973D557" w14:textId="77777777" w:rsidR="007B027D" w:rsidRDefault="008E0125">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 xml:space="preserve">Effective tax </w:t>
            </w:r>
            <w:r>
              <w:rPr>
                <w:rFonts w:ascii="Calibri" w:hAnsi="Calibri" w:cs="Calibri"/>
                <w:b/>
                <w:bCs/>
                <w:i/>
                <w:iCs/>
                <w:color w:val="000000"/>
                <w:sz w:val="20"/>
                <w:szCs w:val="20"/>
              </w:rPr>
              <w:t>expense (benefit) rate</w:t>
            </w:r>
          </w:p>
        </w:tc>
        <w:tc>
          <w:tcPr>
            <w:tcW w:w="83" w:type="pct"/>
            <w:shd w:val="clear" w:color="auto" w:fill="FFFFFF"/>
            <w:tcMar>
              <w:top w:w="15" w:type="dxa"/>
              <w:right w:w="15" w:type="dxa"/>
            </w:tcMar>
            <w:vAlign w:val="bottom"/>
          </w:tcPr>
          <w:p w14:paraId="3973D5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5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FFFFFF"/>
            <w:noWrap/>
            <w:tcMar>
              <w:top w:w="15" w:type="dxa"/>
              <w:right w:w="15" w:type="dxa"/>
            </w:tcMar>
            <w:vAlign w:val="bottom"/>
          </w:tcPr>
          <w:p w14:paraId="3973D5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3973D5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5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3973D55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3973D55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3973D5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3973D5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FFFFFF"/>
            <w:noWrap/>
            <w:tcMar>
              <w:top w:w="15" w:type="dxa"/>
              <w:right w:w="15" w:type="dxa"/>
            </w:tcMar>
            <w:vAlign w:val="bottom"/>
          </w:tcPr>
          <w:p w14:paraId="3973D56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563"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566" w14:textId="77777777">
        <w:tc>
          <w:tcPr>
            <w:tcW w:w="192" w:type="pct"/>
            <w:shd w:val="clear" w:color="auto" w:fill="auto"/>
            <w:noWrap/>
          </w:tcPr>
          <w:p w14:paraId="3973D564"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3973D565"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3973D56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increased during fiscal 2022 compared to fiscal 2021, primarily due to the absence of a favorable impact of $2.3 billion net tax benefit arising from an </w:t>
      </w:r>
      <w:r>
        <w:rPr>
          <w:rFonts w:ascii="Calibri" w:hAnsi="Calibri" w:cs="Calibri"/>
          <w:sz w:val="20"/>
          <w:szCs w:val="20"/>
        </w:rPr>
        <w:t>increase in a net deferred tax asset associated with a partial realignment of our legal entity structure that resulted in the intra-group transfer of certain intellectual property rights in fiscal 2021. This unfavorable variance was partially offset by low</w:t>
      </w:r>
      <w:r>
        <w:rPr>
          <w:rFonts w:ascii="Calibri" w:hAnsi="Calibri" w:cs="Calibri"/>
          <w:sz w:val="20"/>
          <w:szCs w:val="20"/>
        </w:rPr>
        <w:t>er income taxes of $824 million associated with lower pre-tax income in fiscal 2022 that was primarily attributable to certain litigation related charges as further described in Note 16 of Notes to Consolidated Financial Statements included elsewhere in th</w:t>
      </w:r>
      <w:r>
        <w:rPr>
          <w:rFonts w:ascii="Calibri" w:hAnsi="Calibri" w:cs="Calibri"/>
          <w:sz w:val="20"/>
          <w:szCs w:val="20"/>
        </w:rPr>
        <w:t>is Annual Report and, to a much lesser extent, a favorable jurisdictional mix of earnings partially offset by a decrease in unrecognized tax benefits due to settlements with tax authorities and other events.</w:t>
      </w:r>
    </w:p>
    <w:p w14:paraId="3973D56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53</w:t>
      </w:r>
    </w:p>
    <w:p w14:paraId="3973D569" w14:textId="77777777" w:rsidR="007B027D" w:rsidRDefault="008E0125">
      <w:r>
        <w:rPr>
          <w:rFonts w:ascii="Calibri" w:hAnsi="Calibri" w:cs="Calibri"/>
          <w:sz w:val="20"/>
          <w:szCs w:val="20"/>
        </w:rPr>
        <w:pict w14:anchorId="39740070">
          <v:rect id="_x0000_i1079" style="width:415.3pt;height:1.5pt" o:hralign="center" o:hrstd="t" o:hr="t" fillcolor="#a0a0a0" stroked="f"/>
        </w:pict>
      </w:r>
    </w:p>
    <w:p w14:paraId="3973D56A" w14:textId="77777777" w:rsidR="007B027D" w:rsidRDefault="008E0125">
      <w:pPr>
        <w:pStyle w:val="a3"/>
        <w:spacing w:beforeAutospacing="0" w:after="120" w:afterAutospacing="0"/>
        <w:rPr>
          <w:rFonts w:ascii="Calibri" w:hAnsi="Calibri" w:cs="Calibri"/>
          <w:sz w:val="18"/>
          <w:szCs w:val="18"/>
        </w:rPr>
      </w:pPr>
      <w:hyperlink r:id="rId135" w:anchor="TABLE_OF_CONTENTS" w:history="1">
        <w:r>
          <w:rPr>
            <w:rStyle w:val="a5"/>
            <w:rFonts w:ascii="Calibri" w:hAnsi="Calibri" w:cs="Calibri"/>
            <w:sz w:val="18"/>
            <w:szCs w:val="18"/>
          </w:rPr>
          <w:t>Table of Contents</w:t>
        </w:r>
      </w:hyperlink>
    </w:p>
    <w:p w14:paraId="3973D56B" w14:textId="77777777" w:rsidR="007B027D" w:rsidRDefault="008E0125">
      <w:pPr>
        <w:pStyle w:val="a3"/>
        <w:spacing w:beforeAutospacing="0" w:afterAutospacing="0"/>
        <w:rPr>
          <w:rFonts w:ascii="Calibri" w:hAnsi="Calibri" w:cs="Calibri"/>
          <w:sz w:val="18"/>
          <w:szCs w:val="18"/>
        </w:rPr>
      </w:pPr>
      <w:hyperlink r:id="rId136" w:anchor="ITEM_15_EXHIBITS_FINANCIAL_STATEMENT_SCH" w:history="1">
        <w:r>
          <w:rPr>
            <w:rStyle w:val="a5"/>
            <w:rFonts w:ascii="Calibri" w:hAnsi="Calibri" w:cs="Calibri"/>
            <w:sz w:val="18"/>
            <w:szCs w:val="18"/>
          </w:rPr>
          <w:t>Index to Financial Statements</w:t>
        </w:r>
      </w:hyperlink>
    </w:p>
    <w:p w14:paraId="3973D56C"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56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3973D56E"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297"/>
        <w:gridCol w:w="117"/>
        <w:gridCol w:w="117"/>
        <w:gridCol w:w="759"/>
        <w:gridCol w:w="75"/>
        <w:gridCol w:w="118"/>
        <w:gridCol w:w="845"/>
        <w:gridCol w:w="118"/>
        <w:gridCol w:w="117"/>
        <w:gridCol w:w="682"/>
        <w:gridCol w:w="76"/>
      </w:tblGrid>
      <w:tr w:rsidR="007B027D" w14:paraId="3973D573" w14:textId="77777777">
        <w:tc>
          <w:tcPr>
            <w:tcW w:w="3187" w:type="pct"/>
            <w:shd w:val="clear" w:color="auto" w:fill="FFFFFF"/>
            <w:tcMar>
              <w:top w:w="15" w:type="dxa"/>
              <w:right w:w="15" w:type="dxa"/>
            </w:tcMar>
            <w:vAlign w:val="bottom"/>
          </w:tcPr>
          <w:p w14:paraId="3973D56F"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FFFFFF"/>
            <w:tcMar>
              <w:top w:w="15" w:type="dxa"/>
              <w:right w:w="15" w:type="dxa"/>
            </w:tcMar>
            <w:vAlign w:val="bottom"/>
          </w:tcPr>
          <w:p w14:paraId="3973D570"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1687" w:type="pct"/>
            <w:gridSpan w:val="8"/>
            <w:tcBorders>
              <w:bottom w:val="single" w:sz="6" w:space="0" w:color="000000"/>
            </w:tcBorders>
            <w:shd w:val="clear" w:color="auto" w:fill="FFFFFF"/>
            <w:tcMar>
              <w:top w:w="15" w:type="dxa"/>
              <w:right w:w="15" w:type="dxa"/>
            </w:tcMar>
            <w:vAlign w:val="bottom"/>
          </w:tcPr>
          <w:p w14:paraId="3973D57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 of May 31,</w:t>
            </w:r>
          </w:p>
        </w:tc>
        <w:tc>
          <w:tcPr>
            <w:tcW w:w="50" w:type="pct"/>
            <w:shd w:val="clear" w:color="auto" w:fill="FFFFFF"/>
            <w:noWrap/>
            <w:tcMar>
              <w:top w:w="15" w:type="dxa"/>
              <w:right w:w="15" w:type="dxa"/>
            </w:tcMar>
            <w:vAlign w:val="bottom"/>
          </w:tcPr>
          <w:p w14:paraId="3973D57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7D" w14:textId="77777777">
        <w:tc>
          <w:tcPr>
            <w:tcW w:w="3187" w:type="pct"/>
            <w:tcBorders>
              <w:bottom w:val="single" w:sz="6" w:space="0" w:color="000000"/>
            </w:tcBorders>
            <w:shd w:val="clear" w:color="auto" w:fill="FFFFFF"/>
            <w:tcMar>
              <w:top w:w="15" w:type="dxa"/>
              <w:right w:w="15" w:type="dxa"/>
            </w:tcMar>
            <w:vAlign w:val="bottom"/>
          </w:tcPr>
          <w:p w14:paraId="3973D57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5" w:type="pct"/>
            <w:shd w:val="clear" w:color="auto" w:fill="FFFFFF"/>
            <w:tcMar>
              <w:top w:w="15" w:type="dxa"/>
              <w:right w:w="15" w:type="dxa"/>
            </w:tcMar>
            <w:vAlign w:val="bottom"/>
          </w:tcPr>
          <w:p w14:paraId="3973D575"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11" w:type="pct"/>
            <w:gridSpan w:val="2"/>
            <w:tcBorders>
              <w:top w:val="single" w:sz="6" w:space="0" w:color="000000"/>
              <w:bottom w:val="single" w:sz="6" w:space="0" w:color="000000"/>
            </w:tcBorders>
            <w:shd w:val="clear" w:color="auto" w:fill="FFFFFF"/>
            <w:tcMar>
              <w:top w:w="15" w:type="dxa"/>
              <w:right w:w="15" w:type="dxa"/>
            </w:tcMar>
            <w:vAlign w:val="bottom"/>
          </w:tcPr>
          <w:p w14:paraId="3973D57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57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tcBorders>
              <w:top w:val="single" w:sz="6" w:space="0" w:color="000000"/>
            </w:tcBorders>
            <w:shd w:val="clear" w:color="auto" w:fill="FFFFFF"/>
            <w:tcMar>
              <w:top w:w="15" w:type="dxa"/>
              <w:right w:w="15" w:type="dxa"/>
            </w:tcMar>
            <w:vAlign w:val="bottom"/>
          </w:tcPr>
          <w:p w14:paraId="3973D578"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12" w:type="pct"/>
            <w:tcBorders>
              <w:top w:val="single" w:sz="6" w:space="0" w:color="000000"/>
              <w:bottom w:val="single" w:sz="6" w:space="0" w:color="000000"/>
            </w:tcBorders>
            <w:shd w:val="clear" w:color="auto" w:fill="FFFFFF"/>
            <w:tcMar>
              <w:top w:w="15" w:type="dxa"/>
              <w:right w:w="15" w:type="dxa"/>
            </w:tcMar>
            <w:vAlign w:val="bottom"/>
          </w:tcPr>
          <w:p w14:paraId="3973D57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5" w:type="pct"/>
            <w:tcBorders>
              <w:top w:val="single" w:sz="6" w:space="0" w:color="000000"/>
            </w:tcBorders>
            <w:shd w:val="clear" w:color="auto" w:fill="FFFFFF"/>
            <w:tcMar>
              <w:top w:w="15" w:type="dxa"/>
              <w:right w:w="15" w:type="dxa"/>
            </w:tcMar>
            <w:vAlign w:val="bottom"/>
          </w:tcPr>
          <w:p w14:paraId="3973D57A" w14:textId="77777777" w:rsidR="007B027D" w:rsidRDefault="008E0125">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62" w:type="pct"/>
            <w:gridSpan w:val="2"/>
            <w:tcBorders>
              <w:top w:val="single" w:sz="6" w:space="0" w:color="000000"/>
              <w:bottom w:val="single" w:sz="6" w:space="0" w:color="000000"/>
            </w:tcBorders>
            <w:shd w:val="clear" w:color="auto" w:fill="FFFFFF"/>
            <w:tcMar>
              <w:top w:w="15" w:type="dxa"/>
              <w:right w:w="15" w:type="dxa"/>
            </w:tcMar>
            <w:vAlign w:val="bottom"/>
          </w:tcPr>
          <w:p w14:paraId="3973D57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57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89" w14:textId="77777777">
        <w:tc>
          <w:tcPr>
            <w:tcW w:w="3187" w:type="pct"/>
            <w:tcBorders>
              <w:top w:val="single" w:sz="6" w:space="0" w:color="000000"/>
            </w:tcBorders>
            <w:shd w:val="clear" w:color="auto" w:fill="CFF0FC"/>
            <w:tcMar>
              <w:top w:w="15" w:type="dxa"/>
              <w:right w:w="15" w:type="dxa"/>
            </w:tcMar>
          </w:tcPr>
          <w:p w14:paraId="3973D5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5" w:type="pct"/>
            <w:shd w:val="clear" w:color="auto" w:fill="CFF0FC"/>
            <w:tcMar>
              <w:top w:w="15" w:type="dxa"/>
              <w:right w:w="15" w:type="dxa"/>
            </w:tcMar>
            <w:vAlign w:val="bottom"/>
          </w:tcPr>
          <w:p w14:paraId="3973D57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1" w:type="pct"/>
            <w:tcBorders>
              <w:top w:val="single" w:sz="6" w:space="0" w:color="000000"/>
            </w:tcBorders>
            <w:shd w:val="clear" w:color="auto" w:fill="CFF0FC"/>
            <w:noWrap/>
            <w:tcMar>
              <w:top w:w="15" w:type="dxa"/>
              <w:right w:w="15" w:type="dxa"/>
            </w:tcMar>
            <w:vAlign w:val="bottom"/>
          </w:tcPr>
          <w:p w14:paraId="3973D5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12,122</w:t>
            </w:r>
          </w:p>
        </w:tc>
        <w:tc>
          <w:tcPr>
            <w:tcW w:w="50" w:type="pct"/>
            <w:shd w:val="clear" w:color="auto" w:fill="CFF0FC"/>
            <w:noWrap/>
            <w:tcMar>
              <w:top w:w="15" w:type="dxa"/>
              <w:right w:w="15" w:type="dxa"/>
            </w:tcMar>
            <w:vAlign w:val="bottom"/>
          </w:tcPr>
          <w:p w14:paraId="3973D5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58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12" w:type="pct"/>
            <w:tcBorders>
              <w:top w:val="single" w:sz="6" w:space="0" w:color="000000"/>
            </w:tcBorders>
            <w:shd w:val="clear" w:color="auto" w:fill="CFF0FC"/>
            <w:tcMar>
              <w:top w:w="15" w:type="dxa"/>
              <w:right w:w="15" w:type="dxa"/>
            </w:tcMar>
            <w:vAlign w:val="bottom"/>
          </w:tcPr>
          <w:p w14:paraId="3973D58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75" w:type="pct"/>
            <w:shd w:val="clear" w:color="auto" w:fill="CFF0FC"/>
            <w:tcMar>
              <w:top w:w="15" w:type="dxa"/>
              <w:right w:w="15" w:type="dxa"/>
            </w:tcMar>
            <w:vAlign w:val="bottom"/>
          </w:tcPr>
          <w:p w14:paraId="3973D58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2" w:type="pct"/>
            <w:tcBorders>
              <w:top w:val="single" w:sz="6" w:space="0" w:color="000000"/>
            </w:tcBorders>
            <w:shd w:val="clear" w:color="auto" w:fill="CFF0FC"/>
            <w:noWrap/>
            <w:tcMar>
              <w:top w:w="15" w:type="dxa"/>
              <w:right w:w="15" w:type="dxa"/>
            </w:tcMar>
            <w:vAlign w:val="bottom"/>
          </w:tcPr>
          <w:p w14:paraId="3973D58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31,403</w:t>
            </w:r>
          </w:p>
        </w:tc>
        <w:tc>
          <w:tcPr>
            <w:tcW w:w="50" w:type="pct"/>
            <w:shd w:val="clear" w:color="auto" w:fill="CFF0FC"/>
            <w:noWrap/>
            <w:tcMar>
              <w:top w:w="15" w:type="dxa"/>
              <w:right w:w="15" w:type="dxa"/>
            </w:tcMar>
            <w:vAlign w:val="bottom"/>
          </w:tcPr>
          <w:p w14:paraId="3973D5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595" w14:textId="77777777">
        <w:tc>
          <w:tcPr>
            <w:tcW w:w="3187" w:type="pct"/>
            <w:shd w:val="clear" w:color="auto" w:fill="FFFFFF"/>
            <w:tcMar>
              <w:top w:w="15" w:type="dxa"/>
              <w:right w:w="15" w:type="dxa"/>
            </w:tcMar>
          </w:tcPr>
          <w:p w14:paraId="3973D58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Cash, cash equivalents and marketable </w:t>
            </w:r>
            <w:r>
              <w:rPr>
                <w:rFonts w:ascii="Calibri" w:hAnsi="Calibri" w:cs="Calibri"/>
                <w:color w:val="000000"/>
                <w:sz w:val="20"/>
                <w:szCs w:val="20"/>
              </w:rPr>
              <w:t>securities</w:t>
            </w:r>
          </w:p>
        </w:tc>
        <w:tc>
          <w:tcPr>
            <w:tcW w:w="75" w:type="pct"/>
            <w:shd w:val="clear" w:color="auto" w:fill="FFFFFF"/>
            <w:tcMar>
              <w:top w:w="15" w:type="dxa"/>
              <w:right w:w="15" w:type="dxa"/>
            </w:tcMar>
            <w:vAlign w:val="bottom"/>
          </w:tcPr>
          <w:p w14:paraId="3973D58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5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1" w:type="pct"/>
            <w:shd w:val="clear" w:color="auto" w:fill="FFFFFF"/>
            <w:noWrap/>
            <w:tcMar>
              <w:top w:w="15" w:type="dxa"/>
              <w:right w:w="15" w:type="dxa"/>
            </w:tcMar>
            <w:vAlign w:val="bottom"/>
          </w:tcPr>
          <w:p w14:paraId="3973D58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21,902</w:t>
            </w:r>
          </w:p>
        </w:tc>
        <w:tc>
          <w:tcPr>
            <w:tcW w:w="50" w:type="pct"/>
            <w:shd w:val="clear" w:color="auto" w:fill="FFFFFF"/>
            <w:noWrap/>
            <w:tcMar>
              <w:top w:w="15" w:type="dxa"/>
              <w:right w:w="15" w:type="dxa"/>
            </w:tcMar>
            <w:vAlign w:val="bottom"/>
          </w:tcPr>
          <w:p w14:paraId="3973D5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FFFFFF"/>
            <w:tcMar>
              <w:top w:w="15" w:type="dxa"/>
              <w:right w:w="15" w:type="dxa"/>
            </w:tcMar>
            <w:vAlign w:val="bottom"/>
          </w:tcPr>
          <w:p w14:paraId="3973D58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tcMar>
              <w:top w:w="15" w:type="dxa"/>
              <w:right w:w="15" w:type="dxa"/>
            </w:tcMar>
            <w:vAlign w:val="bottom"/>
          </w:tcPr>
          <w:p w14:paraId="3973D59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75" w:type="pct"/>
            <w:shd w:val="clear" w:color="auto" w:fill="FFFFFF"/>
            <w:tcMar>
              <w:top w:w="15" w:type="dxa"/>
              <w:right w:w="15" w:type="dxa"/>
            </w:tcMar>
            <w:vAlign w:val="bottom"/>
          </w:tcPr>
          <w:p w14:paraId="3973D59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5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2" w:type="pct"/>
            <w:shd w:val="clear" w:color="auto" w:fill="FFFFFF"/>
            <w:noWrap/>
            <w:tcMar>
              <w:top w:w="15" w:type="dxa"/>
              <w:right w:w="15" w:type="dxa"/>
            </w:tcMar>
            <w:vAlign w:val="bottom"/>
          </w:tcPr>
          <w:p w14:paraId="3973D59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46,554</w:t>
            </w:r>
          </w:p>
        </w:tc>
        <w:tc>
          <w:tcPr>
            <w:tcW w:w="50" w:type="pct"/>
            <w:shd w:val="clear" w:color="auto" w:fill="FFFFFF"/>
            <w:noWrap/>
            <w:tcMar>
              <w:top w:w="15" w:type="dxa"/>
              <w:right w:w="15" w:type="dxa"/>
            </w:tcMar>
            <w:vAlign w:val="bottom"/>
          </w:tcPr>
          <w:p w14:paraId="3973D594"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596"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May 31, 2022 in comparison to May 31, 2021 was primarily due to $16.2 billion of cash used for repurchases of our common stock, $4.7 billion of cash paid for certain litigation related charges that we generally do not</w:t>
      </w:r>
      <w:r>
        <w:rPr>
          <w:rFonts w:ascii="Calibri" w:hAnsi="Calibri" w:cs="Calibri"/>
          <w:sz w:val="20"/>
          <w:szCs w:val="20"/>
        </w:rPr>
        <w:t xml:space="preserve"> expect to recur, $3.8 billion of long-term senior notes that were reclassified to current liabilities, cash used to pay dividends to our stockholders and cash used for capital expenditures during fiscal 2022. These unfavorable impacts were partially offse</w:t>
      </w:r>
      <w:r>
        <w:rPr>
          <w:rFonts w:ascii="Calibri" w:hAnsi="Calibri" w:cs="Calibri"/>
          <w:sz w:val="20"/>
          <w:szCs w:val="20"/>
        </w:rPr>
        <w:t>t by the favorable impacts to our net current assets resulting from our net income, net cash proceeds of $318 million associated with the sale of certain operating assets, and cash proceeds from stock option exercises, all of which occurred during fiscal 2</w:t>
      </w:r>
      <w:r>
        <w:rPr>
          <w:rFonts w:ascii="Calibri" w:hAnsi="Calibri" w:cs="Calibri"/>
          <w:sz w:val="20"/>
          <w:szCs w:val="20"/>
        </w:rPr>
        <w:t xml:space="preserve">022. Our working capital may be impacted by some or all of the aforementioned factors in future periods, the amounts and timing of which are variable. </w:t>
      </w:r>
    </w:p>
    <w:p w14:paraId="3973D597"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Cash and cash equivalents primarily consist of deposit</w:t>
      </w:r>
      <w:r>
        <w:rPr>
          <w:rFonts w:ascii="Calibri" w:hAnsi="Calibri" w:cs="Calibri"/>
          <w:sz w:val="20"/>
          <w:szCs w:val="20"/>
        </w:rPr>
        <w:t>s held at major banks, money market funds and other securities with original maturities of 90 days or less. Marketable securities consist of time deposits, marketable equity securities and certain other securities. The decrease in cash, cash equivalents an</w:t>
      </w:r>
      <w:r>
        <w:rPr>
          <w:rFonts w:ascii="Calibri" w:hAnsi="Calibri" w:cs="Calibri"/>
          <w:sz w:val="20"/>
          <w:szCs w:val="20"/>
        </w:rPr>
        <w:t>d marketable securities at May 31, 2022 in comparison to May 31, 2021 was primarily due to $16.2 billion of settled repurchases of our common stock, $8.3 billion of debt repayments, $4.7 billion of cash paid for certain litigation related charges that we g</w:t>
      </w:r>
      <w:r>
        <w:rPr>
          <w:rFonts w:ascii="Calibri" w:hAnsi="Calibri" w:cs="Calibri"/>
          <w:sz w:val="20"/>
          <w:szCs w:val="20"/>
        </w:rPr>
        <w:t>enerally do not expect to recur, payments of cash dividends to our stockholders and cash used for capital expenditures. These cash outflows during fiscal 2022 were partially offset by certain cash inflows generated by our normal business operations, from t</w:t>
      </w:r>
      <w:r>
        <w:rPr>
          <w:rFonts w:ascii="Calibri" w:hAnsi="Calibri" w:cs="Calibri"/>
          <w:sz w:val="20"/>
          <w:szCs w:val="20"/>
        </w:rPr>
        <w:t>he sales of certain operating assets, and from stock option exercises during fiscal 2022.</w:t>
      </w:r>
    </w:p>
    <w:p w14:paraId="3973D598"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349"/>
        <w:gridCol w:w="117"/>
        <w:gridCol w:w="117"/>
        <w:gridCol w:w="686"/>
        <w:gridCol w:w="76"/>
        <w:gridCol w:w="118"/>
        <w:gridCol w:w="853"/>
        <w:gridCol w:w="118"/>
        <w:gridCol w:w="117"/>
        <w:gridCol w:w="694"/>
        <w:gridCol w:w="76"/>
      </w:tblGrid>
      <w:tr w:rsidR="007B027D" w14:paraId="3973D59D" w14:textId="77777777">
        <w:tc>
          <w:tcPr>
            <w:tcW w:w="3217" w:type="pct"/>
            <w:shd w:val="clear" w:color="auto" w:fill="FFFFFF"/>
            <w:tcMar>
              <w:top w:w="15" w:type="dxa"/>
              <w:right w:w="15" w:type="dxa"/>
            </w:tcMar>
            <w:vAlign w:val="bottom"/>
          </w:tcPr>
          <w:p w14:paraId="3973D59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5" w:type="pct"/>
            <w:shd w:val="clear" w:color="auto" w:fill="FFFFFF"/>
            <w:tcMar>
              <w:top w:w="15" w:type="dxa"/>
              <w:right w:w="15" w:type="dxa"/>
            </w:tcMar>
            <w:vAlign w:val="bottom"/>
          </w:tcPr>
          <w:p w14:paraId="3973D59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55" w:type="pct"/>
            <w:gridSpan w:val="8"/>
            <w:tcBorders>
              <w:bottom w:val="single" w:sz="6" w:space="0" w:color="000000"/>
            </w:tcBorders>
            <w:shd w:val="clear" w:color="auto" w:fill="FFFFFF"/>
            <w:tcMar>
              <w:top w:w="15" w:type="dxa"/>
              <w:right w:w="15" w:type="dxa"/>
            </w:tcMar>
            <w:vAlign w:val="bottom"/>
          </w:tcPr>
          <w:p w14:paraId="3973D59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59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A7" w14:textId="77777777">
        <w:tc>
          <w:tcPr>
            <w:tcW w:w="3217" w:type="pct"/>
            <w:tcBorders>
              <w:bottom w:val="single" w:sz="6" w:space="0" w:color="000000"/>
            </w:tcBorders>
            <w:shd w:val="clear" w:color="auto" w:fill="FFFFFF"/>
            <w:tcMar>
              <w:top w:w="15" w:type="dxa"/>
              <w:right w:w="15" w:type="dxa"/>
            </w:tcMar>
            <w:vAlign w:val="bottom"/>
          </w:tcPr>
          <w:p w14:paraId="3973D59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5" w:type="pct"/>
            <w:shd w:val="clear" w:color="auto" w:fill="FFFFFF"/>
            <w:tcMar>
              <w:top w:w="15" w:type="dxa"/>
              <w:right w:w="15" w:type="dxa"/>
            </w:tcMar>
            <w:vAlign w:val="bottom"/>
          </w:tcPr>
          <w:p w14:paraId="3973D59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top w:val="single" w:sz="6" w:space="0" w:color="000000"/>
              <w:bottom w:val="single" w:sz="6" w:space="0" w:color="000000"/>
            </w:tcBorders>
            <w:shd w:val="clear" w:color="auto" w:fill="FFFFFF"/>
            <w:tcMar>
              <w:top w:w="15" w:type="dxa"/>
              <w:right w:w="15" w:type="dxa"/>
            </w:tcMar>
            <w:vAlign w:val="bottom"/>
          </w:tcPr>
          <w:p w14:paraId="3973D5A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5A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tcBorders>
              <w:top w:val="single" w:sz="6" w:space="0" w:color="000000"/>
            </w:tcBorders>
            <w:shd w:val="clear" w:color="auto" w:fill="FFFFFF"/>
            <w:tcMar>
              <w:top w:w="15" w:type="dxa"/>
              <w:right w:w="15" w:type="dxa"/>
            </w:tcMar>
            <w:vAlign w:val="bottom"/>
          </w:tcPr>
          <w:p w14:paraId="3973D5A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7" w:type="pct"/>
            <w:tcBorders>
              <w:top w:val="single" w:sz="6" w:space="0" w:color="000000"/>
              <w:bottom w:val="single" w:sz="6" w:space="0" w:color="000000"/>
            </w:tcBorders>
            <w:shd w:val="clear" w:color="auto" w:fill="FFFFFF"/>
            <w:tcMar>
              <w:top w:w="15" w:type="dxa"/>
              <w:right w:w="15" w:type="dxa"/>
            </w:tcMar>
            <w:vAlign w:val="bottom"/>
          </w:tcPr>
          <w:p w14:paraId="3973D5A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5" w:type="pct"/>
            <w:tcBorders>
              <w:top w:val="single" w:sz="6" w:space="0" w:color="000000"/>
            </w:tcBorders>
            <w:shd w:val="clear" w:color="auto" w:fill="FFFFFF"/>
            <w:tcMar>
              <w:top w:w="15" w:type="dxa"/>
              <w:right w:w="15" w:type="dxa"/>
            </w:tcMar>
            <w:vAlign w:val="bottom"/>
          </w:tcPr>
          <w:p w14:paraId="3973D5A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top w:val="single" w:sz="6" w:space="0" w:color="000000"/>
              <w:bottom w:val="single" w:sz="6" w:space="0" w:color="000000"/>
            </w:tcBorders>
            <w:shd w:val="clear" w:color="auto" w:fill="FFFFFF"/>
            <w:tcMar>
              <w:top w:w="15" w:type="dxa"/>
              <w:right w:w="15" w:type="dxa"/>
            </w:tcMar>
            <w:vAlign w:val="bottom"/>
          </w:tcPr>
          <w:p w14:paraId="3973D5A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5A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B3" w14:textId="77777777">
        <w:tc>
          <w:tcPr>
            <w:tcW w:w="3217" w:type="pct"/>
            <w:tcBorders>
              <w:top w:val="single" w:sz="6" w:space="0" w:color="000000"/>
            </w:tcBorders>
            <w:shd w:val="clear" w:color="auto" w:fill="CFF0FC"/>
            <w:tcMar>
              <w:top w:w="15" w:type="dxa"/>
              <w:right w:w="15" w:type="dxa"/>
            </w:tcMar>
          </w:tcPr>
          <w:p w14:paraId="3973D5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5" w:type="pct"/>
            <w:shd w:val="clear" w:color="auto" w:fill="CFF0FC"/>
            <w:tcMar>
              <w:top w:w="15" w:type="dxa"/>
              <w:right w:w="15" w:type="dxa"/>
            </w:tcMar>
            <w:vAlign w:val="bottom"/>
          </w:tcPr>
          <w:p w14:paraId="3973D5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tcBorders>
            <w:shd w:val="clear" w:color="auto" w:fill="CFF0FC"/>
            <w:noWrap/>
            <w:tcMar>
              <w:top w:w="15" w:type="dxa"/>
              <w:right w:w="15" w:type="dxa"/>
            </w:tcMar>
            <w:vAlign w:val="bottom"/>
          </w:tcPr>
          <w:p w14:paraId="3973D5A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9,539</w:t>
            </w:r>
          </w:p>
        </w:tc>
        <w:tc>
          <w:tcPr>
            <w:tcW w:w="50" w:type="pct"/>
            <w:shd w:val="clear" w:color="auto" w:fill="CFF0FC"/>
            <w:noWrap/>
            <w:tcMar>
              <w:top w:w="15" w:type="dxa"/>
              <w:right w:w="15" w:type="dxa"/>
            </w:tcMar>
            <w:vAlign w:val="bottom"/>
          </w:tcPr>
          <w:p w14:paraId="3973D5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5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tcBorders>
              <w:top w:val="single" w:sz="6" w:space="0" w:color="000000"/>
            </w:tcBorders>
            <w:shd w:val="clear" w:color="auto" w:fill="CFF0FC"/>
            <w:tcMar>
              <w:top w:w="15" w:type="dxa"/>
              <w:right w:w="15" w:type="dxa"/>
            </w:tcMar>
            <w:vAlign w:val="bottom"/>
          </w:tcPr>
          <w:p w14:paraId="3973D5A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75" w:type="pct"/>
            <w:shd w:val="clear" w:color="auto" w:fill="CFF0FC"/>
            <w:tcMar>
              <w:top w:w="15" w:type="dxa"/>
              <w:right w:w="15" w:type="dxa"/>
            </w:tcMar>
            <w:vAlign w:val="bottom"/>
          </w:tcPr>
          <w:p w14:paraId="3973D5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tcBorders>
            <w:shd w:val="clear" w:color="auto" w:fill="CFF0FC"/>
            <w:noWrap/>
            <w:tcMar>
              <w:top w:w="15" w:type="dxa"/>
              <w:right w:w="15" w:type="dxa"/>
            </w:tcMar>
            <w:vAlign w:val="bottom"/>
          </w:tcPr>
          <w:p w14:paraId="3973D5B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15,887</w:t>
            </w:r>
          </w:p>
        </w:tc>
        <w:tc>
          <w:tcPr>
            <w:tcW w:w="50" w:type="pct"/>
            <w:shd w:val="clear" w:color="auto" w:fill="CFF0FC"/>
            <w:noWrap/>
            <w:tcMar>
              <w:top w:w="15" w:type="dxa"/>
              <w:right w:w="15" w:type="dxa"/>
            </w:tcMar>
            <w:vAlign w:val="bottom"/>
          </w:tcPr>
          <w:p w14:paraId="3973D5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5BF" w14:textId="77777777">
        <w:tc>
          <w:tcPr>
            <w:tcW w:w="3217" w:type="pct"/>
            <w:shd w:val="clear" w:color="auto" w:fill="FFFFFF"/>
            <w:tcMar>
              <w:top w:w="15" w:type="dxa"/>
              <w:right w:w="15" w:type="dxa"/>
            </w:tcMar>
          </w:tcPr>
          <w:p w14:paraId="3973D5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w:t>
            </w:r>
            <w:r>
              <w:rPr>
                <w:rFonts w:ascii="Calibri" w:hAnsi="Calibri" w:cs="Calibri"/>
                <w:color w:val="000000"/>
                <w:sz w:val="20"/>
                <w:szCs w:val="20"/>
              </w:rPr>
              <w:t>provided by (used for) investing activities</w:t>
            </w:r>
          </w:p>
        </w:tc>
        <w:tc>
          <w:tcPr>
            <w:tcW w:w="75" w:type="pct"/>
            <w:shd w:val="clear" w:color="auto" w:fill="FFFFFF"/>
            <w:tcMar>
              <w:top w:w="15" w:type="dxa"/>
              <w:right w:w="15" w:type="dxa"/>
            </w:tcMar>
            <w:vAlign w:val="bottom"/>
          </w:tcPr>
          <w:p w14:paraId="3973D5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5B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shd w:val="clear" w:color="auto" w:fill="FFFFFF"/>
            <w:noWrap/>
            <w:tcMar>
              <w:top w:w="15" w:type="dxa"/>
              <w:right w:w="15" w:type="dxa"/>
            </w:tcMar>
            <w:vAlign w:val="bottom"/>
          </w:tcPr>
          <w:p w14:paraId="3973D5B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11,220</w:t>
            </w:r>
          </w:p>
        </w:tc>
        <w:tc>
          <w:tcPr>
            <w:tcW w:w="50" w:type="pct"/>
            <w:shd w:val="clear" w:color="auto" w:fill="FFFFFF"/>
            <w:noWrap/>
            <w:tcMar>
              <w:top w:w="15" w:type="dxa"/>
              <w:right w:w="15" w:type="dxa"/>
            </w:tcMar>
            <w:vAlign w:val="bottom"/>
          </w:tcPr>
          <w:p w14:paraId="3973D5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FFFFFF"/>
            <w:tcMar>
              <w:top w:w="15" w:type="dxa"/>
              <w:right w:w="15" w:type="dxa"/>
            </w:tcMar>
            <w:vAlign w:val="bottom"/>
          </w:tcPr>
          <w:p w14:paraId="3973D5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FFFFFF"/>
            <w:tcMar>
              <w:top w:w="15" w:type="dxa"/>
              <w:right w:w="15" w:type="dxa"/>
            </w:tcMar>
            <w:vAlign w:val="bottom"/>
          </w:tcPr>
          <w:p w14:paraId="3973D5B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5" w:type="pct"/>
            <w:shd w:val="clear" w:color="auto" w:fill="FFFFFF"/>
            <w:tcMar>
              <w:top w:w="15" w:type="dxa"/>
              <w:right w:w="15" w:type="dxa"/>
            </w:tcMar>
            <w:vAlign w:val="bottom"/>
          </w:tcPr>
          <w:p w14:paraId="3973D5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5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shd w:val="clear" w:color="auto" w:fill="FFFFFF"/>
            <w:noWrap/>
            <w:tcMar>
              <w:top w:w="15" w:type="dxa"/>
              <w:right w:w="15" w:type="dxa"/>
            </w:tcMar>
            <w:vAlign w:val="bottom"/>
          </w:tcPr>
          <w:p w14:paraId="3973D5B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(13,098</w:t>
            </w:r>
          </w:p>
        </w:tc>
        <w:tc>
          <w:tcPr>
            <w:tcW w:w="50" w:type="pct"/>
            <w:shd w:val="clear" w:color="auto" w:fill="FFFFFF"/>
            <w:noWrap/>
            <w:tcMar>
              <w:top w:w="15" w:type="dxa"/>
              <w:right w:w="15" w:type="dxa"/>
            </w:tcMar>
            <w:vAlign w:val="bottom"/>
          </w:tcPr>
          <w:p w14:paraId="3973D5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5CB" w14:textId="77777777">
        <w:tc>
          <w:tcPr>
            <w:tcW w:w="3217" w:type="pct"/>
            <w:shd w:val="clear" w:color="auto" w:fill="CFF0FC"/>
            <w:tcMar>
              <w:top w:w="15" w:type="dxa"/>
              <w:right w:w="15" w:type="dxa"/>
            </w:tcMar>
          </w:tcPr>
          <w:p w14:paraId="3973D5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5" w:type="pct"/>
            <w:shd w:val="clear" w:color="auto" w:fill="CFF0FC"/>
            <w:tcMar>
              <w:top w:w="15" w:type="dxa"/>
              <w:right w:w="15" w:type="dxa"/>
            </w:tcMar>
            <w:vAlign w:val="bottom"/>
          </w:tcPr>
          <w:p w14:paraId="3973D5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5C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shd w:val="clear" w:color="auto" w:fill="CFF0FC"/>
            <w:noWrap/>
            <w:tcMar>
              <w:top w:w="15" w:type="dxa"/>
              <w:right w:w="15" w:type="dxa"/>
            </w:tcMar>
            <w:vAlign w:val="bottom"/>
          </w:tcPr>
          <w:p w14:paraId="3973D5C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(29,126</w:t>
            </w:r>
          </w:p>
        </w:tc>
        <w:tc>
          <w:tcPr>
            <w:tcW w:w="50" w:type="pct"/>
            <w:shd w:val="clear" w:color="auto" w:fill="CFF0FC"/>
            <w:noWrap/>
            <w:tcMar>
              <w:top w:w="15" w:type="dxa"/>
              <w:right w:w="15" w:type="dxa"/>
            </w:tcMar>
            <w:vAlign w:val="bottom"/>
          </w:tcPr>
          <w:p w14:paraId="3973D5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5" w:type="pct"/>
            <w:shd w:val="clear" w:color="auto" w:fill="CFF0FC"/>
            <w:tcMar>
              <w:top w:w="15" w:type="dxa"/>
              <w:right w:w="15" w:type="dxa"/>
            </w:tcMar>
            <w:vAlign w:val="bottom"/>
          </w:tcPr>
          <w:p w14:paraId="3973D5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CFF0FC"/>
            <w:tcMar>
              <w:top w:w="15" w:type="dxa"/>
              <w:right w:w="15" w:type="dxa"/>
            </w:tcMar>
            <w:vAlign w:val="bottom"/>
          </w:tcPr>
          <w:p w14:paraId="3973D5C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75" w:type="pct"/>
            <w:shd w:val="clear" w:color="auto" w:fill="CFF0FC"/>
            <w:tcMar>
              <w:top w:w="15" w:type="dxa"/>
              <w:right w:w="15" w:type="dxa"/>
            </w:tcMar>
            <w:vAlign w:val="bottom"/>
          </w:tcPr>
          <w:p w14:paraId="3973D5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5C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shd w:val="clear" w:color="auto" w:fill="CFF0FC"/>
            <w:noWrap/>
            <w:tcMar>
              <w:top w:w="15" w:type="dxa"/>
              <w:right w:w="15" w:type="dxa"/>
            </w:tcMar>
            <w:vAlign w:val="bottom"/>
          </w:tcPr>
          <w:p w14:paraId="3973D5C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(10,378</w:t>
            </w:r>
          </w:p>
        </w:tc>
        <w:tc>
          <w:tcPr>
            <w:tcW w:w="50" w:type="pct"/>
            <w:shd w:val="clear" w:color="auto" w:fill="CFF0FC"/>
            <w:noWrap/>
            <w:tcMar>
              <w:top w:w="15" w:type="dxa"/>
              <w:right w:w="15" w:type="dxa"/>
            </w:tcMar>
            <w:vAlign w:val="bottom"/>
          </w:tcPr>
          <w:p w14:paraId="3973D5C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3973D5CC" w14:textId="77777777" w:rsidR="007B027D" w:rsidRDefault="008E012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D5CF" w14:textId="77777777">
        <w:tc>
          <w:tcPr>
            <w:tcW w:w="192" w:type="pct"/>
            <w:shd w:val="clear" w:color="auto" w:fill="auto"/>
            <w:noWrap/>
          </w:tcPr>
          <w:p w14:paraId="3973D5CD"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3973D5CE"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3973D5D0"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their license support agreements. Payments from customers for these license support agreements are generally received near the beginn</w:t>
      </w:r>
      <w:r>
        <w:rPr>
          <w:rFonts w:ascii="Calibri" w:hAnsi="Calibri" w:cs="Calibri"/>
          <w:sz w:val="20"/>
          <w:szCs w:val="20"/>
        </w:rPr>
        <w:t xml:space="preserve">ing of the contracts’ terms, which are generally one year in length. Over the course of a fiscal year, we also have historically generated cash from the sales of new licenses, cloud services, hardware offerings and other services. Our primary uses of cash </w:t>
      </w:r>
      <w:r>
        <w:rPr>
          <w:rFonts w:ascii="Calibri" w:hAnsi="Calibri" w:cs="Calibri"/>
          <w:sz w:val="20"/>
          <w:szCs w:val="20"/>
        </w:rPr>
        <w:t>from operating activities are typically for employee related expenditures, material and manufacturing costs related to the production of our hardware products, taxes, interest payments and leased facilities.</w:t>
      </w:r>
    </w:p>
    <w:p w14:paraId="3973D5D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operating </w:t>
      </w:r>
      <w:r>
        <w:rPr>
          <w:rFonts w:ascii="Calibri" w:hAnsi="Calibri" w:cs="Calibri"/>
          <w:sz w:val="20"/>
          <w:szCs w:val="20"/>
        </w:rPr>
        <w:t>activities decreased during fiscal 2022 compared to fiscal 2021 primarily due to lower net income that was primarily the result of cash payments made in connection with certain litigation related charges that we generally do not expect to recur and certain</w:t>
      </w:r>
      <w:r>
        <w:rPr>
          <w:rFonts w:ascii="Calibri" w:hAnsi="Calibri" w:cs="Calibri"/>
          <w:sz w:val="20"/>
          <w:szCs w:val="20"/>
        </w:rPr>
        <w:t xml:space="preserve"> other cash unfavorable working capital changes, net, in each case during fiscal 2022 in comparison to fiscal 2021.</w:t>
      </w:r>
    </w:p>
    <w:p w14:paraId="3973D5D2"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xml:space="preserve">   The changes in cash flows from investing activities primarily relate to the timing of our purchases,</w:t>
      </w:r>
      <w:r>
        <w:rPr>
          <w:rFonts w:ascii="Calibri" w:hAnsi="Calibri" w:cs="Calibri"/>
          <w:sz w:val="20"/>
          <w:szCs w:val="20"/>
        </w:rPr>
        <w:t xml:space="preserve"> maturities and sales of our investments in marketable securities, and investments in capital and other assets, including certain intangible assets, to support our growth.</w:t>
      </w:r>
    </w:p>
    <w:p w14:paraId="3973D5D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investing activities was $11.2 billion during fiscal 2022 in co</w:t>
      </w:r>
      <w:r>
        <w:rPr>
          <w:rFonts w:ascii="Calibri" w:hAnsi="Calibri" w:cs="Calibri"/>
          <w:sz w:val="20"/>
          <w:szCs w:val="20"/>
        </w:rPr>
        <w:t>mparison to net cash used for investing activities of $13.1 billion during fiscal 2021. The increase in net cash provided by investing activities during fiscal 2022 was primarily due to a decrease in the cash used for the purchases of marketable securities</w:t>
      </w:r>
      <w:r>
        <w:rPr>
          <w:rFonts w:ascii="Calibri" w:hAnsi="Calibri" w:cs="Calibri"/>
          <w:sz w:val="20"/>
          <w:szCs w:val="20"/>
        </w:rPr>
        <w:t xml:space="preserve"> and </w:t>
      </w:r>
    </w:p>
    <w:p w14:paraId="3973D5D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54</w:t>
      </w:r>
    </w:p>
    <w:p w14:paraId="3973D5D5" w14:textId="77777777" w:rsidR="007B027D" w:rsidRDefault="008E0125">
      <w:r>
        <w:rPr>
          <w:rFonts w:ascii="Calibri" w:hAnsi="Calibri" w:cs="Calibri"/>
          <w:sz w:val="20"/>
          <w:szCs w:val="20"/>
        </w:rPr>
        <w:pict w14:anchorId="39740071">
          <v:rect id="_x0000_i1080" style="width:415.3pt;height:1.5pt" o:hralign="center" o:hrstd="t" o:hr="t" fillcolor="#a0a0a0" stroked="f"/>
        </w:pict>
      </w:r>
    </w:p>
    <w:p w14:paraId="3973D5D6" w14:textId="77777777" w:rsidR="007B027D" w:rsidRDefault="008E0125">
      <w:pPr>
        <w:pStyle w:val="a3"/>
        <w:spacing w:beforeAutospacing="0" w:after="120" w:afterAutospacing="0"/>
        <w:rPr>
          <w:rFonts w:ascii="Calibri" w:hAnsi="Calibri" w:cs="Calibri"/>
          <w:sz w:val="18"/>
          <w:szCs w:val="18"/>
        </w:rPr>
      </w:pPr>
      <w:hyperlink r:id="rId137" w:anchor="TABLE_OF_CONTENTS" w:history="1">
        <w:r>
          <w:rPr>
            <w:rStyle w:val="a5"/>
            <w:rFonts w:ascii="Calibri" w:hAnsi="Calibri" w:cs="Calibri"/>
            <w:sz w:val="18"/>
            <w:szCs w:val="18"/>
          </w:rPr>
          <w:t>Table of Contents</w:t>
        </w:r>
      </w:hyperlink>
    </w:p>
    <w:p w14:paraId="3973D5D7" w14:textId="77777777" w:rsidR="007B027D" w:rsidRDefault="008E0125">
      <w:pPr>
        <w:pStyle w:val="a3"/>
        <w:spacing w:beforeAutospacing="0" w:afterAutospacing="0"/>
        <w:rPr>
          <w:rFonts w:ascii="Calibri" w:hAnsi="Calibri" w:cs="Calibri"/>
          <w:sz w:val="18"/>
          <w:szCs w:val="18"/>
        </w:rPr>
      </w:pPr>
      <w:hyperlink r:id="rId138" w:anchor="ITEM_15_EXHIBITS_FINANCIAL_STATEMENT_SCH" w:history="1">
        <w:r>
          <w:rPr>
            <w:rStyle w:val="a5"/>
            <w:rFonts w:ascii="Calibri" w:hAnsi="Calibri" w:cs="Calibri"/>
            <w:sz w:val="18"/>
            <w:szCs w:val="18"/>
          </w:rPr>
          <w:t>Index to Financial Statements</w:t>
        </w:r>
      </w:hyperlink>
    </w:p>
    <w:p w14:paraId="3973D5D8"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5D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other investments, partially offset by a decrease in cash proceeds from sales and maturities of marketable securities and other investments and an </w:t>
      </w:r>
      <w:r>
        <w:rPr>
          <w:rFonts w:ascii="Calibri" w:hAnsi="Calibri" w:cs="Calibri"/>
          <w:sz w:val="20"/>
          <w:szCs w:val="20"/>
        </w:rPr>
        <w:t>increase in cash used for capital expenditures, in each case during fiscal 2022 in comparison to fiscal 2021.</w:t>
      </w:r>
    </w:p>
    <w:p w14:paraId="3973D5D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sz w:val="20"/>
          <w:szCs w:val="20"/>
        </w:rPr>
        <w:t xml:space="preserve"> The changes in cash flows from financing activities primarily relate to borrowings and repayments related to</w:t>
      </w:r>
      <w:r>
        <w:rPr>
          <w:rFonts w:ascii="Calibri" w:hAnsi="Calibri" w:cs="Calibri"/>
          <w:sz w:val="20"/>
          <w:szCs w:val="20"/>
        </w:rPr>
        <w:t xml:space="preserve"> our debt instruments, stock repurchases, dividend payments and net proceeds related to employee stock programs. </w:t>
      </w:r>
    </w:p>
    <w:p w14:paraId="3973D5D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financing activities during fiscal 2022 increased compared to fiscal 2021 primarily due to an issuance of $15.0 billion of s</w:t>
      </w:r>
      <w:r>
        <w:rPr>
          <w:rFonts w:ascii="Calibri" w:hAnsi="Calibri" w:cs="Calibri"/>
          <w:sz w:val="20"/>
          <w:szCs w:val="20"/>
        </w:rPr>
        <w:t>enior notes in fiscal 2021 with no corresponding issuance of senior notes in fiscal 2022, higher debt repayments, higher net cash used for our employee stock program, and higher payments of dividends, partially offset by lower stock repurchases, in each ca</w:t>
      </w:r>
      <w:r>
        <w:rPr>
          <w:rFonts w:ascii="Calibri" w:hAnsi="Calibri" w:cs="Calibri"/>
          <w:sz w:val="20"/>
          <w:szCs w:val="20"/>
        </w:rPr>
        <w:t>se during fiscal 2022 in comparison to fiscal 2021.</w:t>
      </w:r>
    </w:p>
    <w:p w14:paraId="3973D5DC"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xml:space="preserve">   To supplement our statements of cash flows presented on a GAAP basis, we use non-GAAP measures of cash flows on a trailing 4-quarter basis to analyze cash flows generated from our operat</w:t>
      </w:r>
      <w:r>
        <w:rPr>
          <w:rFonts w:ascii="Calibri" w:hAnsi="Calibri" w:cs="Calibri"/>
          <w:sz w:val="20"/>
          <w:szCs w:val="20"/>
        </w:rPr>
        <w:t>ions. We believe that free cash flow is also useful as one of the bases for comparing our performance with our competitors. The presentation of non-GAAP free cash flow is not meant to be considered in isolation or as an alternative to net income as an indi</w:t>
      </w:r>
      <w:r>
        <w:rPr>
          <w:rFonts w:ascii="Calibri" w:hAnsi="Calibri" w:cs="Calibri"/>
          <w:sz w:val="20"/>
          <w:szCs w:val="20"/>
        </w:rPr>
        <w:t>cator of our performance, or as an alternative to cash flows from operating activities as a measure of liquidity. We calculate free cash flow as follows:</w:t>
      </w:r>
    </w:p>
    <w:p w14:paraId="3973D5DD"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349"/>
        <w:gridCol w:w="117"/>
        <w:gridCol w:w="117"/>
        <w:gridCol w:w="686"/>
        <w:gridCol w:w="76"/>
        <w:gridCol w:w="118"/>
        <w:gridCol w:w="853"/>
        <w:gridCol w:w="118"/>
        <w:gridCol w:w="117"/>
        <w:gridCol w:w="694"/>
        <w:gridCol w:w="76"/>
      </w:tblGrid>
      <w:tr w:rsidR="007B027D" w14:paraId="3973D5E2" w14:textId="77777777">
        <w:tc>
          <w:tcPr>
            <w:tcW w:w="3217" w:type="pct"/>
            <w:shd w:val="clear" w:color="auto" w:fill="FFFFFF"/>
            <w:tcMar>
              <w:top w:w="15" w:type="dxa"/>
              <w:right w:w="15" w:type="dxa"/>
            </w:tcMar>
          </w:tcPr>
          <w:p w14:paraId="3973D5DE"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FFFFFF"/>
            <w:tcMar>
              <w:top w:w="15" w:type="dxa"/>
              <w:right w:w="15" w:type="dxa"/>
            </w:tcMar>
            <w:vAlign w:val="bottom"/>
          </w:tcPr>
          <w:p w14:paraId="3973D5D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55" w:type="pct"/>
            <w:gridSpan w:val="8"/>
            <w:tcBorders>
              <w:bottom w:val="single" w:sz="6" w:space="0" w:color="000000"/>
            </w:tcBorders>
            <w:shd w:val="clear" w:color="auto" w:fill="FFFFFF"/>
            <w:tcMar>
              <w:top w:w="15" w:type="dxa"/>
              <w:right w:w="15" w:type="dxa"/>
            </w:tcMar>
            <w:vAlign w:val="bottom"/>
          </w:tcPr>
          <w:p w14:paraId="3973D5E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5E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EC" w14:textId="77777777">
        <w:tc>
          <w:tcPr>
            <w:tcW w:w="3217" w:type="pct"/>
            <w:tcBorders>
              <w:bottom w:val="single" w:sz="6" w:space="0" w:color="000000"/>
            </w:tcBorders>
            <w:shd w:val="clear" w:color="auto" w:fill="FFFFFF"/>
            <w:tcMar>
              <w:top w:w="15" w:type="dxa"/>
              <w:right w:w="15" w:type="dxa"/>
            </w:tcMar>
          </w:tcPr>
          <w:p w14:paraId="3973D5E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5" w:type="pct"/>
            <w:shd w:val="clear" w:color="auto" w:fill="FFFFFF"/>
            <w:tcMar>
              <w:top w:w="15" w:type="dxa"/>
              <w:right w:w="15" w:type="dxa"/>
            </w:tcMar>
            <w:vAlign w:val="bottom"/>
          </w:tcPr>
          <w:p w14:paraId="3973D5E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top w:val="single" w:sz="6" w:space="0" w:color="000000"/>
              <w:bottom w:val="single" w:sz="6" w:space="0" w:color="000000"/>
            </w:tcBorders>
            <w:shd w:val="clear" w:color="auto" w:fill="FFFFFF"/>
            <w:tcMar>
              <w:top w:w="15" w:type="dxa"/>
              <w:right w:w="15" w:type="dxa"/>
            </w:tcMar>
            <w:vAlign w:val="bottom"/>
          </w:tcPr>
          <w:p w14:paraId="3973D5E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5E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tcBorders>
              <w:top w:val="single" w:sz="6" w:space="0" w:color="000000"/>
            </w:tcBorders>
            <w:shd w:val="clear" w:color="auto" w:fill="FFFFFF"/>
            <w:tcMar>
              <w:top w:w="15" w:type="dxa"/>
              <w:right w:w="15" w:type="dxa"/>
            </w:tcMar>
            <w:vAlign w:val="bottom"/>
          </w:tcPr>
          <w:p w14:paraId="3973D5E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17" w:type="pct"/>
            <w:tcBorders>
              <w:top w:val="single" w:sz="6" w:space="0" w:color="000000"/>
              <w:bottom w:val="single" w:sz="6" w:space="0" w:color="000000"/>
            </w:tcBorders>
            <w:shd w:val="clear" w:color="auto" w:fill="FFFFFF"/>
            <w:tcMar>
              <w:top w:w="15" w:type="dxa"/>
              <w:right w:w="15" w:type="dxa"/>
            </w:tcMar>
            <w:vAlign w:val="bottom"/>
          </w:tcPr>
          <w:p w14:paraId="3973D5E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5" w:type="pct"/>
            <w:tcBorders>
              <w:top w:val="single" w:sz="6" w:space="0" w:color="000000"/>
            </w:tcBorders>
            <w:shd w:val="clear" w:color="auto" w:fill="FFFFFF"/>
            <w:tcMar>
              <w:top w:w="15" w:type="dxa"/>
              <w:right w:w="15" w:type="dxa"/>
            </w:tcMar>
            <w:vAlign w:val="bottom"/>
          </w:tcPr>
          <w:p w14:paraId="3973D5E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top w:val="single" w:sz="6" w:space="0" w:color="000000"/>
              <w:bottom w:val="single" w:sz="6" w:space="0" w:color="000000"/>
            </w:tcBorders>
            <w:shd w:val="clear" w:color="auto" w:fill="FFFFFF"/>
            <w:tcMar>
              <w:top w:w="15" w:type="dxa"/>
              <w:right w:w="15" w:type="dxa"/>
            </w:tcMar>
            <w:vAlign w:val="bottom"/>
          </w:tcPr>
          <w:p w14:paraId="3973D5E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5E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5F8" w14:textId="77777777">
        <w:tc>
          <w:tcPr>
            <w:tcW w:w="3217" w:type="pct"/>
            <w:tcBorders>
              <w:top w:val="single" w:sz="6" w:space="0" w:color="000000"/>
            </w:tcBorders>
            <w:shd w:val="clear" w:color="auto" w:fill="CFF0FC"/>
            <w:tcMar>
              <w:top w:w="15" w:type="dxa"/>
              <w:right w:w="15" w:type="dxa"/>
            </w:tcMar>
          </w:tcPr>
          <w:p w14:paraId="3973D5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w:t>
            </w:r>
            <w:r>
              <w:rPr>
                <w:rFonts w:ascii="Calibri" w:hAnsi="Calibri" w:cs="Calibri"/>
                <w:color w:val="000000"/>
                <w:sz w:val="20"/>
                <w:szCs w:val="20"/>
              </w:rPr>
              <w:t>provided by operating activities</w:t>
            </w:r>
          </w:p>
        </w:tc>
        <w:tc>
          <w:tcPr>
            <w:tcW w:w="75" w:type="pct"/>
            <w:shd w:val="clear" w:color="auto" w:fill="CFF0FC"/>
            <w:tcMar>
              <w:top w:w="15" w:type="dxa"/>
              <w:right w:w="15" w:type="dxa"/>
            </w:tcMar>
            <w:vAlign w:val="bottom"/>
          </w:tcPr>
          <w:p w14:paraId="3973D5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tcBorders>
            <w:shd w:val="clear" w:color="auto" w:fill="CFF0FC"/>
            <w:noWrap/>
            <w:tcMar>
              <w:top w:w="15" w:type="dxa"/>
              <w:right w:w="15" w:type="dxa"/>
            </w:tcMar>
            <w:vAlign w:val="bottom"/>
          </w:tcPr>
          <w:p w14:paraId="3973D5F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9,539</w:t>
            </w:r>
          </w:p>
        </w:tc>
        <w:tc>
          <w:tcPr>
            <w:tcW w:w="50" w:type="pct"/>
            <w:shd w:val="clear" w:color="auto" w:fill="CFF0FC"/>
            <w:noWrap/>
            <w:tcMar>
              <w:top w:w="15" w:type="dxa"/>
              <w:right w:w="15" w:type="dxa"/>
            </w:tcMar>
            <w:vAlign w:val="bottom"/>
          </w:tcPr>
          <w:p w14:paraId="3973D5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5F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tcBorders>
              <w:top w:val="single" w:sz="6" w:space="0" w:color="000000"/>
            </w:tcBorders>
            <w:shd w:val="clear" w:color="auto" w:fill="CFF0FC"/>
            <w:tcMar>
              <w:top w:w="15" w:type="dxa"/>
              <w:right w:w="15" w:type="dxa"/>
            </w:tcMar>
            <w:vAlign w:val="bottom"/>
          </w:tcPr>
          <w:p w14:paraId="3973D5F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75" w:type="pct"/>
            <w:shd w:val="clear" w:color="auto" w:fill="CFF0FC"/>
            <w:tcMar>
              <w:top w:w="15" w:type="dxa"/>
              <w:right w:w="15" w:type="dxa"/>
            </w:tcMar>
            <w:vAlign w:val="bottom"/>
          </w:tcPr>
          <w:p w14:paraId="3973D5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5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tcBorders>
            <w:shd w:val="clear" w:color="auto" w:fill="CFF0FC"/>
            <w:noWrap/>
            <w:tcMar>
              <w:top w:w="15" w:type="dxa"/>
              <w:right w:w="15" w:type="dxa"/>
            </w:tcMar>
            <w:vAlign w:val="bottom"/>
          </w:tcPr>
          <w:p w14:paraId="3973D5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15,887</w:t>
            </w:r>
          </w:p>
        </w:tc>
        <w:tc>
          <w:tcPr>
            <w:tcW w:w="50" w:type="pct"/>
            <w:shd w:val="clear" w:color="auto" w:fill="CFF0FC"/>
            <w:noWrap/>
            <w:tcMar>
              <w:top w:w="15" w:type="dxa"/>
              <w:right w:w="15" w:type="dxa"/>
            </w:tcMar>
            <w:vAlign w:val="bottom"/>
          </w:tcPr>
          <w:p w14:paraId="3973D5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604" w14:textId="77777777">
        <w:tc>
          <w:tcPr>
            <w:tcW w:w="3217" w:type="pct"/>
            <w:shd w:val="clear" w:color="auto" w:fill="FFFFFF"/>
            <w:tcMar>
              <w:top w:w="15" w:type="dxa"/>
              <w:right w:w="15" w:type="dxa"/>
            </w:tcMar>
          </w:tcPr>
          <w:p w14:paraId="3973D5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5" w:type="pct"/>
            <w:shd w:val="clear" w:color="auto" w:fill="FFFFFF"/>
            <w:tcMar>
              <w:top w:w="15" w:type="dxa"/>
              <w:right w:w="15" w:type="dxa"/>
            </w:tcMar>
            <w:vAlign w:val="bottom"/>
          </w:tcPr>
          <w:p w14:paraId="3973D5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5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7" w:type="pct"/>
            <w:tcBorders>
              <w:bottom w:val="single" w:sz="6" w:space="0" w:color="000000"/>
            </w:tcBorders>
            <w:shd w:val="clear" w:color="auto" w:fill="FFFFFF"/>
            <w:noWrap/>
            <w:tcMar>
              <w:top w:w="15" w:type="dxa"/>
              <w:right w:w="15" w:type="dxa"/>
            </w:tcMar>
            <w:vAlign w:val="bottom"/>
          </w:tcPr>
          <w:p w14:paraId="3973D5F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(4,511</w:t>
            </w:r>
          </w:p>
        </w:tc>
        <w:tc>
          <w:tcPr>
            <w:tcW w:w="50" w:type="pct"/>
            <w:shd w:val="clear" w:color="auto" w:fill="FFFFFF"/>
            <w:noWrap/>
            <w:tcMar>
              <w:top w:w="15" w:type="dxa"/>
              <w:right w:w="15" w:type="dxa"/>
            </w:tcMar>
            <w:vAlign w:val="bottom"/>
          </w:tcPr>
          <w:p w14:paraId="3973D5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5" w:type="pct"/>
            <w:shd w:val="clear" w:color="auto" w:fill="FFFFFF"/>
            <w:tcMar>
              <w:top w:w="15" w:type="dxa"/>
              <w:right w:w="15" w:type="dxa"/>
            </w:tcMar>
            <w:vAlign w:val="bottom"/>
          </w:tcPr>
          <w:p w14:paraId="3973D5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FFFFFF"/>
            <w:tcMar>
              <w:top w:w="15" w:type="dxa"/>
              <w:right w:w="15" w:type="dxa"/>
            </w:tcMar>
            <w:vAlign w:val="bottom"/>
          </w:tcPr>
          <w:p w14:paraId="3973D5F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w:t>
            </w:r>
          </w:p>
        </w:tc>
        <w:tc>
          <w:tcPr>
            <w:tcW w:w="75" w:type="pct"/>
            <w:shd w:val="clear" w:color="auto" w:fill="FFFFFF"/>
            <w:tcMar>
              <w:top w:w="15" w:type="dxa"/>
              <w:right w:w="15" w:type="dxa"/>
            </w:tcMar>
            <w:vAlign w:val="bottom"/>
          </w:tcPr>
          <w:p w14:paraId="3973D6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6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7" w:type="pct"/>
            <w:tcBorders>
              <w:bottom w:val="single" w:sz="6" w:space="0" w:color="000000"/>
            </w:tcBorders>
            <w:shd w:val="clear" w:color="auto" w:fill="FFFFFF"/>
            <w:noWrap/>
            <w:tcMar>
              <w:top w:w="15" w:type="dxa"/>
              <w:right w:w="15" w:type="dxa"/>
            </w:tcMar>
            <w:vAlign w:val="bottom"/>
          </w:tcPr>
          <w:p w14:paraId="3973D60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(2,135</w:t>
            </w:r>
          </w:p>
        </w:tc>
        <w:tc>
          <w:tcPr>
            <w:tcW w:w="50" w:type="pct"/>
            <w:shd w:val="clear" w:color="auto" w:fill="FFFFFF"/>
            <w:noWrap/>
            <w:tcMar>
              <w:top w:w="15" w:type="dxa"/>
              <w:right w:w="15" w:type="dxa"/>
            </w:tcMar>
            <w:vAlign w:val="bottom"/>
          </w:tcPr>
          <w:p w14:paraId="3973D6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610" w14:textId="77777777">
        <w:tc>
          <w:tcPr>
            <w:tcW w:w="3217" w:type="pct"/>
            <w:shd w:val="clear" w:color="auto" w:fill="CFF0FC"/>
            <w:tcMar>
              <w:top w:w="15" w:type="dxa"/>
              <w:right w:w="15" w:type="dxa"/>
            </w:tcMar>
          </w:tcPr>
          <w:p w14:paraId="3973D6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5" w:type="pct"/>
            <w:shd w:val="clear" w:color="auto" w:fill="CFF0FC"/>
            <w:tcMar>
              <w:top w:w="15" w:type="dxa"/>
              <w:right w:w="15" w:type="dxa"/>
            </w:tcMar>
            <w:vAlign w:val="bottom"/>
          </w:tcPr>
          <w:p w14:paraId="3973D6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6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bottom w:val="double" w:sz="6" w:space="0" w:color="000000"/>
            </w:tcBorders>
            <w:shd w:val="clear" w:color="auto" w:fill="CFF0FC"/>
            <w:noWrap/>
            <w:tcMar>
              <w:top w:w="15" w:type="dxa"/>
              <w:right w:w="15" w:type="dxa"/>
            </w:tcMar>
            <w:vAlign w:val="bottom"/>
          </w:tcPr>
          <w:p w14:paraId="3973D6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5,028</w:t>
            </w:r>
          </w:p>
        </w:tc>
        <w:tc>
          <w:tcPr>
            <w:tcW w:w="50" w:type="pct"/>
            <w:shd w:val="clear" w:color="auto" w:fill="CFF0FC"/>
            <w:noWrap/>
            <w:tcMar>
              <w:top w:w="15" w:type="dxa"/>
              <w:right w:w="15" w:type="dxa"/>
            </w:tcMar>
            <w:vAlign w:val="bottom"/>
          </w:tcPr>
          <w:p w14:paraId="3973D6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6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CFF0FC"/>
            <w:tcMar>
              <w:top w:w="15" w:type="dxa"/>
              <w:right w:w="15" w:type="dxa"/>
            </w:tcMar>
            <w:vAlign w:val="bottom"/>
          </w:tcPr>
          <w:p w14:paraId="3973D60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w:t>
            </w:r>
          </w:p>
        </w:tc>
        <w:tc>
          <w:tcPr>
            <w:tcW w:w="75" w:type="pct"/>
            <w:shd w:val="clear" w:color="auto" w:fill="CFF0FC"/>
            <w:tcMar>
              <w:top w:w="15" w:type="dxa"/>
              <w:right w:w="15" w:type="dxa"/>
            </w:tcMar>
            <w:vAlign w:val="bottom"/>
          </w:tcPr>
          <w:p w14:paraId="3973D6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6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single" w:sz="6" w:space="0" w:color="000000"/>
              <w:bottom w:val="double" w:sz="6" w:space="0" w:color="000000"/>
            </w:tcBorders>
            <w:shd w:val="clear" w:color="auto" w:fill="CFF0FC"/>
            <w:noWrap/>
            <w:tcMar>
              <w:top w:w="15" w:type="dxa"/>
              <w:right w:w="15" w:type="dxa"/>
            </w:tcMar>
            <w:vAlign w:val="bottom"/>
          </w:tcPr>
          <w:p w14:paraId="3973D6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13,752</w:t>
            </w:r>
          </w:p>
        </w:tc>
        <w:tc>
          <w:tcPr>
            <w:tcW w:w="50" w:type="pct"/>
            <w:shd w:val="clear" w:color="auto" w:fill="CFF0FC"/>
            <w:noWrap/>
            <w:tcMar>
              <w:top w:w="15" w:type="dxa"/>
              <w:right w:w="15" w:type="dxa"/>
            </w:tcMar>
            <w:vAlign w:val="bottom"/>
          </w:tcPr>
          <w:p w14:paraId="3973D6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61C" w14:textId="77777777">
        <w:tc>
          <w:tcPr>
            <w:tcW w:w="3217" w:type="pct"/>
            <w:shd w:val="clear" w:color="auto" w:fill="FFFFFF"/>
            <w:tcMar>
              <w:top w:w="15" w:type="dxa"/>
              <w:right w:w="15" w:type="dxa"/>
            </w:tcMar>
          </w:tcPr>
          <w:p w14:paraId="3973D6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5" w:type="pct"/>
            <w:shd w:val="clear" w:color="auto" w:fill="FFFFFF"/>
            <w:tcMar>
              <w:top w:w="15" w:type="dxa"/>
              <w:right w:w="15" w:type="dxa"/>
            </w:tcMar>
            <w:vAlign w:val="bottom"/>
          </w:tcPr>
          <w:p w14:paraId="3973D6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D6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double" w:sz="6" w:space="0" w:color="000000"/>
              <w:bottom w:val="double" w:sz="6" w:space="0" w:color="000000"/>
            </w:tcBorders>
            <w:shd w:val="clear" w:color="auto" w:fill="FFFFFF"/>
            <w:noWrap/>
            <w:tcMar>
              <w:top w:w="15" w:type="dxa"/>
              <w:right w:w="15" w:type="dxa"/>
            </w:tcMar>
            <w:vAlign w:val="bottom"/>
          </w:tcPr>
          <w:p w14:paraId="3973D6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6,717</w:t>
            </w:r>
          </w:p>
        </w:tc>
        <w:tc>
          <w:tcPr>
            <w:tcW w:w="50" w:type="pct"/>
            <w:shd w:val="clear" w:color="auto" w:fill="FFFFFF"/>
            <w:noWrap/>
            <w:tcMar>
              <w:top w:w="15" w:type="dxa"/>
              <w:right w:w="15" w:type="dxa"/>
            </w:tcMar>
            <w:vAlign w:val="bottom"/>
          </w:tcPr>
          <w:p w14:paraId="3973D6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FFFFFF"/>
            <w:tcMar>
              <w:top w:w="15" w:type="dxa"/>
              <w:right w:w="15" w:type="dxa"/>
            </w:tcMar>
            <w:vAlign w:val="bottom"/>
          </w:tcPr>
          <w:p w14:paraId="3973D6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FFFFFF"/>
            <w:tcMar>
              <w:top w:w="15" w:type="dxa"/>
              <w:right w:w="15" w:type="dxa"/>
            </w:tcMar>
            <w:vAlign w:val="bottom"/>
          </w:tcPr>
          <w:p w14:paraId="3973D61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FFFFFF"/>
            <w:tcMar>
              <w:top w:w="15" w:type="dxa"/>
              <w:right w:w="15" w:type="dxa"/>
            </w:tcMar>
            <w:vAlign w:val="bottom"/>
          </w:tcPr>
          <w:p w14:paraId="3973D6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D6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17" w:type="pct"/>
            <w:tcBorders>
              <w:top w:val="double" w:sz="6" w:space="0" w:color="000000"/>
              <w:bottom w:val="double" w:sz="6" w:space="0" w:color="000000"/>
            </w:tcBorders>
            <w:shd w:val="clear" w:color="auto" w:fill="FFFFFF"/>
            <w:noWrap/>
            <w:tcMar>
              <w:top w:w="15" w:type="dxa"/>
              <w:right w:w="15" w:type="dxa"/>
            </w:tcMar>
            <w:vAlign w:val="bottom"/>
          </w:tcPr>
          <w:p w14:paraId="3973D61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13,746</w:t>
            </w:r>
          </w:p>
        </w:tc>
        <w:tc>
          <w:tcPr>
            <w:tcW w:w="50" w:type="pct"/>
            <w:shd w:val="clear" w:color="auto" w:fill="FFFFFF"/>
            <w:noWrap/>
            <w:tcMar>
              <w:top w:w="15" w:type="dxa"/>
              <w:right w:w="15" w:type="dxa"/>
            </w:tcMar>
            <w:vAlign w:val="bottom"/>
          </w:tcPr>
          <w:p w14:paraId="3973D6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626" w14:textId="77777777">
        <w:tc>
          <w:tcPr>
            <w:tcW w:w="3217" w:type="pct"/>
            <w:shd w:val="clear" w:color="auto" w:fill="CFF0FC"/>
            <w:tcMar>
              <w:top w:w="15" w:type="dxa"/>
              <w:right w:w="15" w:type="dxa"/>
            </w:tcMar>
          </w:tcPr>
          <w:p w14:paraId="3973D6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5" w:type="pct"/>
            <w:shd w:val="clear" w:color="auto" w:fill="CFF0FC"/>
            <w:tcMar>
              <w:top w:w="15" w:type="dxa"/>
              <w:right w:w="15" w:type="dxa"/>
            </w:tcMar>
            <w:vAlign w:val="bottom"/>
          </w:tcPr>
          <w:p w14:paraId="3973D6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7" w:type="pct"/>
            <w:gridSpan w:val="2"/>
            <w:tcBorders>
              <w:top w:val="double" w:sz="6" w:space="0" w:color="000000"/>
            </w:tcBorders>
            <w:shd w:val="clear" w:color="auto" w:fill="CFF0FC"/>
            <w:tcMar>
              <w:top w:w="15" w:type="dxa"/>
              <w:right w:w="15" w:type="dxa"/>
            </w:tcMar>
            <w:vAlign w:val="bottom"/>
          </w:tcPr>
          <w:p w14:paraId="3973D61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w:t>
            </w:r>
          </w:p>
        </w:tc>
        <w:tc>
          <w:tcPr>
            <w:tcW w:w="50" w:type="pct"/>
            <w:shd w:val="clear" w:color="auto" w:fill="CFF0FC"/>
            <w:noWrap/>
            <w:tcMar>
              <w:top w:w="15" w:type="dxa"/>
              <w:right w:w="15" w:type="dxa"/>
            </w:tcMar>
            <w:vAlign w:val="bottom"/>
          </w:tcPr>
          <w:p w14:paraId="3973D6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6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7" w:type="pct"/>
            <w:shd w:val="clear" w:color="auto" w:fill="CFF0FC"/>
            <w:tcMar>
              <w:top w:w="15" w:type="dxa"/>
              <w:right w:w="15" w:type="dxa"/>
            </w:tcMar>
            <w:vAlign w:val="bottom"/>
          </w:tcPr>
          <w:p w14:paraId="3973D62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right w:w="15" w:type="dxa"/>
            </w:tcMar>
            <w:vAlign w:val="bottom"/>
          </w:tcPr>
          <w:p w14:paraId="3973D6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7" w:type="pct"/>
            <w:gridSpan w:val="2"/>
            <w:tcBorders>
              <w:top w:val="double" w:sz="6" w:space="0" w:color="000000"/>
            </w:tcBorders>
            <w:shd w:val="clear" w:color="auto" w:fill="CFF0FC"/>
            <w:tcMar>
              <w:top w:w="15" w:type="dxa"/>
              <w:right w:w="15" w:type="dxa"/>
            </w:tcMar>
            <w:vAlign w:val="bottom"/>
          </w:tcPr>
          <w:p w14:paraId="3973D62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right w:w="15" w:type="dxa"/>
            </w:tcMar>
            <w:vAlign w:val="bottom"/>
          </w:tcPr>
          <w:p w14:paraId="3973D625"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627"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r>
        <w:rPr>
          <w:rFonts w:ascii="Calibri" w:hAnsi="Calibri" w:cs="Calibri"/>
          <w:b/>
          <w:bCs/>
          <w:sz w:val="20"/>
          <w:szCs w:val="20"/>
        </w:rPr>
        <w:t>:</w:t>
      </w:r>
    </w:p>
    <w:p w14:paraId="3973D628" w14:textId="77777777" w:rsidR="007B027D" w:rsidRDefault="008E0125">
      <w:pPr>
        <w:pStyle w:val="a3"/>
        <w:shd w:val="clear" w:color="auto" w:fill="FFFFFF"/>
        <w:spacing w:before="120" w:beforeAutospacing="0" w:afterAutospacing="0"/>
        <w:jc w:val="both"/>
        <w:rPr>
          <w:rFonts w:ascii="Calibri" w:hAnsi="Calibri" w:cs="Calibri"/>
          <w:b/>
          <w:bCs/>
          <w:i/>
          <w:iCs/>
          <w:color w:val="000000"/>
          <w:sz w:val="20"/>
          <w:szCs w:val="20"/>
        </w:rPr>
      </w:pPr>
      <w:r>
        <w:rPr>
          <w:rFonts w:ascii="Calibri" w:hAnsi="Calibri" w:cs="Calibri"/>
          <w:b/>
          <w:bCs/>
          <w:i/>
          <w:iCs/>
          <w:color w:val="000000"/>
          <w:sz w:val="20"/>
          <w:szCs w:val="20"/>
          <w:u w:val="single"/>
          <w:shd w:val="clear" w:color="auto" w:fill="FFFFFF"/>
        </w:rPr>
        <w:t>Credit Agreements and Related Borrowings</w:t>
      </w:r>
      <w:r>
        <w:rPr>
          <w:rFonts w:ascii="Calibri" w:hAnsi="Calibri" w:cs="Calibri"/>
          <w:b/>
          <w:bCs/>
          <w:color w:val="000000"/>
          <w:sz w:val="20"/>
          <w:szCs w:val="20"/>
          <w:shd w:val="clear" w:color="auto" w:fill="FFFFFF"/>
        </w:rPr>
        <w:t>:</w:t>
      </w:r>
      <w:r>
        <w:rPr>
          <w:rFonts w:ascii="Calibri" w:hAnsi="Calibri" w:cs="Calibri"/>
          <w:color w:val="000000"/>
          <w:sz w:val="20"/>
          <w:szCs w:val="20"/>
          <w:shd w:val="clear" w:color="auto" w:fill="FFFFFF"/>
        </w:rPr>
        <w:t xml:space="preserve">  In March 2022, we entered into a $6.0 billion, five-year revolving credit agreement (the Revolving Credit Agreement) and a $15.7 billion, 364-day delayed draw </w:t>
      </w:r>
      <w:r>
        <w:rPr>
          <w:rFonts w:ascii="Calibri" w:hAnsi="Calibri" w:cs="Calibri"/>
          <w:color w:val="000000"/>
          <w:sz w:val="20"/>
          <w:szCs w:val="20"/>
          <w:shd w:val="clear" w:color="auto" w:fill="FFFFFF"/>
        </w:rPr>
        <w:t>term loan credit agreement (the Bridge Credit Agreement). In June 2022, in connection with the acquisition of Cerner, we borrowed $15.7 billion pursuant to the Bridge Credit Agreement. Additional information is included in Notes 7 and 17 of Notes to Consol</w:t>
      </w:r>
      <w:r>
        <w:rPr>
          <w:rFonts w:ascii="Calibri" w:hAnsi="Calibri" w:cs="Calibri"/>
          <w:color w:val="000000"/>
          <w:sz w:val="20"/>
          <w:szCs w:val="20"/>
          <w:shd w:val="clear" w:color="auto" w:fill="FFFFFF"/>
        </w:rPr>
        <w:t>idated Financial Statements included elsewhere in this Annual Report.</w:t>
      </w:r>
    </w:p>
    <w:p w14:paraId="3973D629"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Cash Dividends</w:t>
      </w:r>
      <w:r>
        <w:rPr>
          <w:rFonts w:ascii="Calibri" w:hAnsi="Calibri" w:cs="Calibri"/>
          <w:b/>
          <w:bCs/>
          <w:sz w:val="20"/>
          <w:szCs w:val="20"/>
        </w:rPr>
        <w:t>:</w:t>
      </w:r>
      <w:r>
        <w:rPr>
          <w:rFonts w:ascii="Calibri" w:hAnsi="Calibri" w:cs="Calibri"/>
          <w:sz w:val="20"/>
          <w:szCs w:val="20"/>
        </w:rPr>
        <w:t>   In fiscal 2022, we declared and paid cash dividends of $1.28 per share that totaled $3.5 billion. In June 2022, our Board of Directors declared a quarterly cash dividend of $0.32 per share of our outstanding common stock payable on July 26, 2022 to stoc</w:t>
      </w:r>
      <w:r>
        <w:rPr>
          <w:rFonts w:ascii="Calibri" w:hAnsi="Calibri" w:cs="Calibri"/>
          <w:sz w:val="20"/>
          <w:szCs w:val="20"/>
        </w:rPr>
        <w:t xml:space="preserve">kholders of record as of the close of business on July 12, 2022. Future declarations of dividends and the establishment of future record and payment dates are subject to the final determination of our Board of Directors. </w:t>
      </w:r>
    </w:p>
    <w:p w14:paraId="3973D62A"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Common Stock Repurchase Program</w:t>
      </w:r>
      <w:r>
        <w:rPr>
          <w:rFonts w:ascii="Calibri" w:hAnsi="Calibri" w:cs="Calibri"/>
          <w:b/>
          <w:bCs/>
          <w:sz w:val="20"/>
          <w:szCs w:val="20"/>
        </w:rPr>
        <w:t>:</w:t>
      </w:r>
      <w:r>
        <w:rPr>
          <w:rFonts w:ascii="Calibri" w:hAnsi="Calibri" w:cs="Calibri"/>
          <w:sz w:val="20"/>
          <w:szCs w:val="20"/>
        </w:rPr>
        <w:t xml:space="preserve">  </w:t>
      </w:r>
      <w:r>
        <w:rPr>
          <w:rFonts w:ascii="Calibri" w:hAnsi="Calibri" w:cs="Calibri"/>
          <w:sz w:val="20"/>
          <w:szCs w:val="20"/>
        </w:rPr>
        <w:t> Our Board of Directors has approved a program for us to repurchase shares of our common stock. On December 9, 2021, we announced that our Board of Directors approved an expansion of our stock repurchase program by an additional $10.0 billion. As of May 31</w:t>
      </w:r>
      <w:r>
        <w:rPr>
          <w:rFonts w:ascii="Calibri" w:hAnsi="Calibri" w:cs="Calibri"/>
          <w:sz w:val="20"/>
          <w:szCs w:val="20"/>
        </w:rPr>
        <w:t xml:space="preserve">, 2022, approximately $9.4 billion remained available for stock repurchases pursuant to our stock repurchase program. We repurchased 185.8 million shares for $16.2 billion, 329.2 million shares for $21.0 billion, and 361.0 million shares for $19.2 billion </w:t>
      </w:r>
      <w:r>
        <w:rPr>
          <w:rFonts w:ascii="Calibri" w:hAnsi="Calibri" w:cs="Calibri"/>
          <w:sz w:val="20"/>
          <w:szCs w:val="20"/>
        </w:rPr>
        <w:t>in fiscal 2022, 2021 and 2020, respectively. Our stock repurchase authorization does not have an expiration date and the pace of our repurchase activity will depend on factors such as our working capital needs, our cash requirements for acquisitions and di</w:t>
      </w:r>
      <w:r>
        <w:rPr>
          <w:rFonts w:ascii="Calibri" w:hAnsi="Calibri" w:cs="Calibri"/>
          <w:sz w:val="20"/>
          <w:szCs w:val="20"/>
        </w:rPr>
        <w:t>vidend payments, our debt repayment obligations or repurchases of our debt, our stock price, and economic and market conditions. Our stock repurchases may be effected from time to time through open market purchases and pursuant to a Rule 10b5-1 plan. Our s</w:t>
      </w:r>
      <w:r>
        <w:rPr>
          <w:rFonts w:ascii="Calibri" w:hAnsi="Calibri" w:cs="Calibri"/>
          <w:sz w:val="20"/>
          <w:szCs w:val="20"/>
        </w:rPr>
        <w:t>tock repurchase program may be accelerated, suspended, delayed or discontinued at any time.</w:t>
      </w:r>
    </w:p>
    <w:p w14:paraId="3973D62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55</w:t>
      </w:r>
    </w:p>
    <w:p w14:paraId="3973D62C" w14:textId="77777777" w:rsidR="007B027D" w:rsidRDefault="008E0125">
      <w:r>
        <w:rPr>
          <w:rFonts w:ascii="Calibri" w:hAnsi="Calibri" w:cs="Calibri"/>
          <w:sz w:val="20"/>
          <w:szCs w:val="20"/>
        </w:rPr>
        <w:pict w14:anchorId="39740072">
          <v:rect id="_x0000_i1081" style="width:415.3pt;height:1.5pt" o:hralign="center" o:hrstd="t" o:hr="t" fillcolor="#a0a0a0" stroked="f"/>
        </w:pict>
      </w:r>
    </w:p>
    <w:p w14:paraId="3973D62D" w14:textId="77777777" w:rsidR="007B027D" w:rsidRDefault="008E0125">
      <w:pPr>
        <w:pStyle w:val="a3"/>
        <w:spacing w:beforeAutospacing="0" w:after="120" w:afterAutospacing="0"/>
        <w:rPr>
          <w:rFonts w:ascii="Calibri" w:hAnsi="Calibri" w:cs="Calibri"/>
          <w:sz w:val="18"/>
          <w:szCs w:val="18"/>
        </w:rPr>
      </w:pPr>
      <w:hyperlink r:id="rId139" w:anchor="TABLE_OF_CONTENTS" w:history="1">
        <w:r>
          <w:rPr>
            <w:rStyle w:val="a5"/>
            <w:rFonts w:ascii="Calibri" w:hAnsi="Calibri" w:cs="Calibri"/>
            <w:sz w:val="18"/>
            <w:szCs w:val="18"/>
          </w:rPr>
          <w:t>Table of Contents</w:t>
        </w:r>
      </w:hyperlink>
    </w:p>
    <w:p w14:paraId="3973D62E" w14:textId="77777777" w:rsidR="007B027D" w:rsidRDefault="008E0125">
      <w:pPr>
        <w:pStyle w:val="a3"/>
        <w:spacing w:beforeAutospacing="0" w:afterAutospacing="0"/>
        <w:rPr>
          <w:rFonts w:ascii="Calibri" w:hAnsi="Calibri" w:cs="Calibri"/>
          <w:sz w:val="18"/>
          <w:szCs w:val="18"/>
        </w:rPr>
      </w:pPr>
      <w:hyperlink r:id="rId140" w:anchor="ITEM_15_EXHIBITS_FINANCIAL_STATEMENT_SCH" w:history="1">
        <w:r>
          <w:rPr>
            <w:rStyle w:val="a5"/>
            <w:rFonts w:ascii="Calibri" w:hAnsi="Calibri" w:cs="Calibri"/>
            <w:sz w:val="18"/>
            <w:szCs w:val="18"/>
          </w:rPr>
          <w:t>Index to Financial Statements</w:t>
        </w:r>
      </w:hyperlink>
    </w:p>
    <w:p w14:paraId="3973D62F"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630"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 xml:space="preserve">Our largest contractual </w:t>
      </w:r>
      <w:r>
        <w:rPr>
          <w:rFonts w:ascii="Calibri" w:hAnsi="Calibri" w:cs="Calibri"/>
          <w:sz w:val="20"/>
          <w:szCs w:val="20"/>
        </w:rPr>
        <w:t>obligations as of May 31, 2022 consisted of:</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D634" w14:textId="77777777">
        <w:tc>
          <w:tcPr>
            <w:tcW w:w="262" w:type="pct"/>
            <w:shd w:val="clear" w:color="auto" w:fill="auto"/>
            <w:noWrap/>
          </w:tcPr>
          <w:p w14:paraId="3973D63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D632"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D633"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principal payments related to our senior notes and other borrowings that are included in our consolidated balance sheet and the related periodic interest payments;</w:t>
            </w:r>
          </w:p>
        </w:tc>
      </w:tr>
    </w:tbl>
    <w:p w14:paraId="3973D63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D639" w14:textId="77777777">
        <w:tc>
          <w:tcPr>
            <w:tcW w:w="262" w:type="pct"/>
            <w:shd w:val="clear" w:color="auto" w:fill="auto"/>
            <w:noWrap/>
          </w:tcPr>
          <w:p w14:paraId="3973D63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D637"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D638"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acquisition of Cerner, which </w:t>
            </w:r>
            <w:r>
              <w:rPr>
                <w:rFonts w:ascii="Calibri" w:hAnsi="Calibri" w:cs="Calibri"/>
                <w:color w:val="000000"/>
                <w:sz w:val="20"/>
                <w:szCs w:val="20"/>
              </w:rPr>
              <w:t>closed on June 8, 2022 and for which we borrowed $15.7 billion on the same day pursuant to the Bridge Credit Agreement;</w:t>
            </w:r>
          </w:p>
        </w:tc>
      </w:tr>
    </w:tbl>
    <w:p w14:paraId="3973D63A"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D63E" w14:textId="77777777">
        <w:tc>
          <w:tcPr>
            <w:tcW w:w="262" w:type="pct"/>
            <w:shd w:val="clear" w:color="auto" w:fill="auto"/>
            <w:noWrap/>
          </w:tcPr>
          <w:p w14:paraId="3973D63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D63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D63D"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routine tax payments including those that are payable pursuant to the transition tax under the U.S. Tax Cuts and Jobs Act of </w:t>
            </w:r>
            <w:r>
              <w:rPr>
                <w:rFonts w:ascii="Calibri" w:hAnsi="Calibri" w:cs="Calibri"/>
                <w:color w:val="000000"/>
                <w:sz w:val="20"/>
                <w:szCs w:val="20"/>
              </w:rPr>
              <w:t>2017 that are included in our consolidated balance sheet;</w:t>
            </w:r>
          </w:p>
        </w:tc>
      </w:tr>
    </w:tbl>
    <w:p w14:paraId="3973D63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D643" w14:textId="77777777">
        <w:tc>
          <w:tcPr>
            <w:tcW w:w="262" w:type="pct"/>
            <w:shd w:val="clear" w:color="auto" w:fill="auto"/>
            <w:noWrap/>
          </w:tcPr>
          <w:p w14:paraId="3973D64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D64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D642"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operating lease liabilities that are included in our consolidated balance sheet; and</w:t>
            </w:r>
          </w:p>
        </w:tc>
      </w:tr>
    </w:tbl>
    <w:p w14:paraId="3973D64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D648" w14:textId="77777777">
        <w:tc>
          <w:tcPr>
            <w:tcW w:w="262" w:type="pct"/>
            <w:shd w:val="clear" w:color="auto" w:fill="auto"/>
            <w:noWrap/>
          </w:tcPr>
          <w:p w14:paraId="3973D64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D64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D647"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other contractual commitments associated with agreements that are enforceable and legally </w:t>
            </w:r>
            <w:r>
              <w:rPr>
                <w:rFonts w:ascii="Calibri" w:hAnsi="Calibri" w:cs="Calibri"/>
                <w:color w:val="000000"/>
                <w:sz w:val="20"/>
                <w:szCs w:val="20"/>
              </w:rPr>
              <w:t>binding.</w:t>
            </w:r>
          </w:p>
        </w:tc>
      </w:tr>
    </w:tbl>
    <w:p w14:paraId="3973D64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as of May 31, 2022, we had $8.9 billion of gross unrecognized income tax benefits, including related interest and penalties, recorded on our consolidated balance sheet, the nature of which is uncertain with respect to settlement or r</w:t>
      </w:r>
      <w:r>
        <w:rPr>
          <w:rFonts w:ascii="Calibri" w:hAnsi="Calibri" w:cs="Calibri"/>
          <w:sz w:val="20"/>
          <w:szCs w:val="20"/>
        </w:rPr>
        <w:t xml:space="preserve">elease with the relevant tax authorities, although we believe it is reasonably possible that certain of these liabilities could be settled or released during fiscal 2023. We are involved in claims and legal proceedings, which are inherently uncertain with </w:t>
      </w:r>
      <w:r>
        <w:rPr>
          <w:rFonts w:ascii="Calibri" w:hAnsi="Calibri" w:cs="Calibri"/>
          <w:sz w:val="20"/>
          <w:szCs w:val="20"/>
        </w:rPr>
        <w:t>respect to outcomes, estimates and assumptions that we make as of each reporting period, are inherently unpredictable, and many aspects are out of our control. Notes 2, 7, 13 and 16 of Notes to Consolidated Financial Statements included elsewhere in this A</w:t>
      </w:r>
      <w:r>
        <w:rPr>
          <w:rFonts w:ascii="Calibri" w:hAnsi="Calibri" w:cs="Calibri"/>
          <w:sz w:val="20"/>
          <w:szCs w:val="20"/>
        </w:rPr>
        <w:t>nnual Report include additional information regarding our most material contractual obligations and contingencies.</w:t>
      </w:r>
    </w:p>
    <w:p w14:paraId="3973D64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balances, cash generated from operations, and the Revolving Cred</w:t>
      </w:r>
      <w:r>
        <w:rPr>
          <w:rFonts w:ascii="Calibri" w:hAnsi="Calibri" w:cs="Calibri"/>
          <w:sz w:val="20"/>
          <w:szCs w:val="20"/>
        </w:rPr>
        <w:t>it Agreement and the Bridge Credit Agreement will be sufficient to meet our working capital, capital expenditures and contractual obligations requirements. In addition, we believe that we could fund our future acquisitions, dividend payments and repurchase</w:t>
      </w:r>
      <w:r>
        <w:rPr>
          <w:rFonts w:ascii="Calibri" w:hAnsi="Calibri" w:cs="Calibri"/>
          <w:sz w:val="20"/>
          <w:szCs w:val="20"/>
        </w:rPr>
        <w:t>s of common stock or debt with our internally available cash, cash equivalents and marketable securities, cash generated from operations, additional borrowings or from the issuance of additional securities.</w:t>
      </w:r>
    </w:p>
    <w:p w14:paraId="3973D64B"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Stock-Based Awards</w:t>
      </w:r>
    </w:p>
    <w:p w14:paraId="3973D64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w:t>
      </w:r>
      <w:r>
        <w:rPr>
          <w:rFonts w:ascii="Calibri" w:hAnsi="Calibri" w:cs="Calibri"/>
          <w:sz w:val="20"/>
          <w:szCs w:val="20"/>
        </w:rPr>
        <w:t xml:space="preserve">rogram is a key component of the compensation package we provide to attract and retain certain of our talented employees and align their interests with the interests of existing stockholders. </w:t>
      </w:r>
    </w:p>
    <w:p w14:paraId="3973D64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stock-based awards dilute existing stockholde</w:t>
      </w:r>
      <w:r>
        <w:rPr>
          <w:rFonts w:ascii="Calibri" w:hAnsi="Calibri" w:cs="Calibri"/>
          <w:sz w:val="20"/>
          <w:szCs w:val="20"/>
        </w:rPr>
        <w:t xml:space="preserve">rs and have sought to control the number of stock-based awards granted while providing competitive compensation packages. Consistent with these dual goals, our cumulative potential dilution since June 1, 2019 has been a weighted-average annualized rate of </w:t>
      </w:r>
      <w:r>
        <w:rPr>
          <w:rFonts w:ascii="Calibri" w:hAnsi="Calibri" w:cs="Calibri"/>
          <w:sz w:val="20"/>
          <w:szCs w:val="20"/>
        </w:rPr>
        <w:t>1.3% per year. The potential dilution percentage is calculated as the average annualized new stock-based awards granted and assumed, net of stock-based awards forfeited by employees leaving the company, divided by the weighted-average outstanding shares du</w:t>
      </w:r>
      <w:r>
        <w:rPr>
          <w:rFonts w:ascii="Calibri" w:hAnsi="Calibri" w:cs="Calibri"/>
          <w:sz w:val="20"/>
          <w:szCs w:val="20"/>
        </w:rPr>
        <w:t>ring the calculation period. This maximum potential dilution will only result if all stock-based awards vest and, if applicable, are exercised. Of the outstanding stock options at May 31, 2022, which generally have a ten-year exercise period, all have exer</w:t>
      </w:r>
      <w:r>
        <w:rPr>
          <w:rFonts w:ascii="Calibri" w:hAnsi="Calibri" w:cs="Calibri"/>
          <w:sz w:val="20"/>
          <w:szCs w:val="20"/>
        </w:rPr>
        <w:t>cise prices lower than the market price of our common stock on such date. In recent years, our stock repurchase program has more than offset the dilutive effect of our stock-based compensation program. However, we may modify the levels of our stock repurch</w:t>
      </w:r>
      <w:r>
        <w:rPr>
          <w:rFonts w:ascii="Calibri" w:hAnsi="Calibri" w:cs="Calibri"/>
          <w:sz w:val="20"/>
          <w:szCs w:val="20"/>
        </w:rPr>
        <w:t>ases in the future depending on a number of factors, including the amount of cash we have available for acquisitions, to pay dividends, to repay or repurchase indebtedness or for other purposes. As of May 31, 2022, the maximum potential dilution from all o</w:t>
      </w:r>
      <w:r>
        <w:rPr>
          <w:rFonts w:ascii="Calibri" w:hAnsi="Calibri" w:cs="Calibri"/>
          <w:sz w:val="20"/>
          <w:szCs w:val="20"/>
        </w:rPr>
        <w:t>utstanding stock-based awards, regardless of when granted and regardless of whether vested or unvested, was 8.4%.</w:t>
      </w:r>
    </w:p>
    <w:p w14:paraId="3973D64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fiscal 2022, the Compensation Committee of the Board of Directors reviewed and approved the annual organization-wide stock-based award </w:t>
      </w:r>
      <w:r>
        <w:rPr>
          <w:rFonts w:ascii="Calibri" w:hAnsi="Calibri" w:cs="Calibri"/>
          <w:sz w:val="20"/>
          <w:szCs w:val="20"/>
        </w:rPr>
        <w:t xml:space="preserve">grants to selected employees; all stock-based award grants to senior officers; and any individual grant of restricted stock units of 62,500 or greater. Each member of a separate executive officer committee, referred to as the Plan Committee, was allocated </w:t>
      </w:r>
      <w:r>
        <w:rPr>
          <w:rFonts w:ascii="Calibri" w:hAnsi="Calibri" w:cs="Calibri"/>
          <w:sz w:val="20"/>
          <w:szCs w:val="20"/>
        </w:rPr>
        <w:t>a fiscal 2022 equity budget that could be used throughout the fiscal year to grant equity within his or her organization, subject to certain limitations established by the Compensation Committee.</w:t>
      </w:r>
    </w:p>
    <w:p w14:paraId="3973D64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56</w:t>
      </w:r>
    </w:p>
    <w:p w14:paraId="3973D650" w14:textId="77777777" w:rsidR="007B027D" w:rsidRDefault="008E0125">
      <w:r>
        <w:rPr>
          <w:rFonts w:ascii="Calibri" w:hAnsi="Calibri" w:cs="Calibri"/>
          <w:sz w:val="20"/>
          <w:szCs w:val="20"/>
        </w:rPr>
        <w:pict w14:anchorId="39740073">
          <v:rect id="_x0000_i1082" style="width:415.3pt;height:1.5pt" o:hralign="center" o:hrstd="t" o:hr="t" fillcolor="#a0a0a0" stroked="f"/>
        </w:pict>
      </w:r>
    </w:p>
    <w:p w14:paraId="3973D651" w14:textId="77777777" w:rsidR="007B027D" w:rsidRDefault="008E0125">
      <w:pPr>
        <w:pStyle w:val="a3"/>
        <w:spacing w:beforeAutospacing="0" w:after="120" w:afterAutospacing="0"/>
        <w:rPr>
          <w:rFonts w:ascii="Calibri" w:hAnsi="Calibri" w:cs="Calibri"/>
          <w:sz w:val="18"/>
          <w:szCs w:val="18"/>
        </w:rPr>
      </w:pPr>
      <w:hyperlink r:id="rId141" w:anchor="TABLE_OF_CONTENTS" w:history="1">
        <w:r>
          <w:rPr>
            <w:rStyle w:val="a5"/>
            <w:rFonts w:ascii="Calibri" w:hAnsi="Calibri" w:cs="Calibri"/>
            <w:sz w:val="18"/>
            <w:szCs w:val="18"/>
          </w:rPr>
          <w:t>Table of Contents</w:t>
        </w:r>
      </w:hyperlink>
    </w:p>
    <w:p w14:paraId="3973D652" w14:textId="77777777" w:rsidR="007B027D" w:rsidRDefault="008E0125">
      <w:pPr>
        <w:pStyle w:val="a3"/>
        <w:spacing w:beforeAutospacing="0" w:afterAutospacing="0"/>
        <w:rPr>
          <w:rFonts w:ascii="Calibri" w:hAnsi="Calibri" w:cs="Calibri"/>
          <w:sz w:val="18"/>
          <w:szCs w:val="18"/>
        </w:rPr>
      </w:pPr>
      <w:hyperlink r:id="rId142" w:anchor="ITEM_15_EXHIBITS_FINANCIAL_STATEMENT_SCH" w:history="1">
        <w:r>
          <w:rPr>
            <w:rStyle w:val="a5"/>
            <w:rFonts w:ascii="Calibri" w:hAnsi="Calibri" w:cs="Calibri"/>
            <w:sz w:val="18"/>
            <w:szCs w:val="18"/>
          </w:rPr>
          <w:t>Index to Financial Statements</w:t>
        </w:r>
      </w:hyperlink>
    </w:p>
    <w:p w14:paraId="3973D65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65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Stock-based awards activity from June 1, 2019 through May 31, 2022 is summarized as follows (shares in millions):</w:t>
      </w:r>
    </w:p>
    <w:p w14:paraId="3973D655"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7396"/>
        <w:gridCol w:w="118"/>
        <w:gridCol w:w="83"/>
        <w:gridCol w:w="641"/>
        <w:gridCol w:w="83"/>
      </w:tblGrid>
      <w:tr w:rsidR="007B027D" w14:paraId="3973D65B" w14:textId="77777777">
        <w:tc>
          <w:tcPr>
            <w:tcW w:w="4442" w:type="pct"/>
            <w:shd w:val="clear" w:color="auto" w:fill="CFF0FC"/>
            <w:tcMar>
              <w:top w:w="15" w:type="dxa"/>
              <w:right w:w="15" w:type="dxa"/>
            </w:tcMar>
          </w:tcPr>
          <w:p w14:paraId="3973D6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awards outstanding at May 31, 2019</w:t>
            </w:r>
          </w:p>
        </w:tc>
        <w:tc>
          <w:tcPr>
            <w:tcW w:w="71" w:type="pct"/>
            <w:shd w:val="clear" w:color="auto" w:fill="CFF0FC"/>
            <w:tcMar>
              <w:top w:w="15" w:type="dxa"/>
              <w:right w:w="15" w:type="dxa"/>
            </w:tcMar>
            <w:vAlign w:val="bottom"/>
          </w:tcPr>
          <w:p w14:paraId="3973D6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6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CFF0FC"/>
            <w:noWrap/>
            <w:tcMar>
              <w:top w:w="15" w:type="dxa"/>
              <w:right w:w="15" w:type="dxa"/>
            </w:tcMar>
            <w:vAlign w:val="bottom"/>
          </w:tcPr>
          <w:p w14:paraId="3973D65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w:t>
            </w:r>
          </w:p>
        </w:tc>
        <w:tc>
          <w:tcPr>
            <w:tcW w:w="50" w:type="pct"/>
            <w:shd w:val="clear" w:color="auto" w:fill="CFF0FC"/>
            <w:noWrap/>
            <w:tcMar>
              <w:top w:w="15" w:type="dxa"/>
              <w:right w:w="15" w:type="dxa"/>
            </w:tcMar>
            <w:vAlign w:val="bottom"/>
          </w:tcPr>
          <w:p w14:paraId="3973D6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61" w14:textId="77777777">
        <w:tc>
          <w:tcPr>
            <w:tcW w:w="4442" w:type="pct"/>
            <w:shd w:val="clear" w:color="auto" w:fill="FFFFFF"/>
            <w:tcMar>
              <w:top w:w="15" w:type="dxa"/>
              <w:right w:w="15" w:type="dxa"/>
            </w:tcMar>
          </w:tcPr>
          <w:p w14:paraId="3973D65C"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Stock-based awards granted and assumed</w:t>
            </w:r>
          </w:p>
        </w:tc>
        <w:tc>
          <w:tcPr>
            <w:tcW w:w="71" w:type="pct"/>
            <w:shd w:val="clear" w:color="auto" w:fill="FFFFFF"/>
            <w:tcMar>
              <w:top w:w="15" w:type="dxa"/>
              <w:right w:w="15" w:type="dxa"/>
            </w:tcMar>
            <w:vAlign w:val="bottom"/>
          </w:tcPr>
          <w:p w14:paraId="3973D65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6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FFFFFF"/>
            <w:noWrap/>
            <w:tcMar>
              <w:top w:w="15" w:type="dxa"/>
              <w:right w:w="15" w:type="dxa"/>
            </w:tcMar>
            <w:vAlign w:val="bottom"/>
          </w:tcPr>
          <w:p w14:paraId="3973D65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w:t>
            </w:r>
          </w:p>
        </w:tc>
        <w:tc>
          <w:tcPr>
            <w:tcW w:w="50" w:type="pct"/>
            <w:shd w:val="clear" w:color="auto" w:fill="FFFFFF"/>
            <w:noWrap/>
            <w:tcMar>
              <w:top w:w="15" w:type="dxa"/>
              <w:right w:w="15" w:type="dxa"/>
            </w:tcMar>
            <w:vAlign w:val="bottom"/>
          </w:tcPr>
          <w:p w14:paraId="3973D6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67" w14:textId="77777777">
        <w:tc>
          <w:tcPr>
            <w:tcW w:w="4442" w:type="pct"/>
            <w:shd w:val="clear" w:color="auto" w:fill="CFF0FC"/>
            <w:tcMar>
              <w:top w:w="15" w:type="dxa"/>
              <w:right w:w="15" w:type="dxa"/>
            </w:tcMar>
          </w:tcPr>
          <w:p w14:paraId="3973D662"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Stock-based awards vested and issued and, if applicable, exercised</w:t>
            </w:r>
          </w:p>
        </w:tc>
        <w:tc>
          <w:tcPr>
            <w:tcW w:w="71" w:type="pct"/>
            <w:shd w:val="clear" w:color="auto" w:fill="CFF0FC"/>
            <w:tcMar>
              <w:top w:w="15" w:type="dxa"/>
              <w:right w:w="15" w:type="dxa"/>
            </w:tcMar>
            <w:vAlign w:val="bottom"/>
          </w:tcPr>
          <w:p w14:paraId="3973D6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6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CFF0FC"/>
            <w:noWrap/>
            <w:tcMar>
              <w:top w:w="15" w:type="dxa"/>
              <w:right w:w="15" w:type="dxa"/>
            </w:tcMar>
            <w:vAlign w:val="bottom"/>
          </w:tcPr>
          <w:p w14:paraId="3973D66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(211</w:t>
            </w:r>
          </w:p>
        </w:tc>
        <w:tc>
          <w:tcPr>
            <w:tcW w:w="50" w:type="pct"/>
            <w:shd w:val="clear" w:color="auto" w:fill="CFF0FC"/>
            <w:noWrap/>
            <w:tcMar>
              <w:top w:w="15" w:type="dxa"/>
              <w:right w:w="15" w:type="dxa"/>
            </w:tcMar>
            <w:vAlign w:val="bottom"/>
          </w:tcPr>
          <w:p w14:paraId="3973D6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66D" w14:textId="77777777">
        <w:tc>
          <w:tcPr>
            <w:tcW w:w="4442" w:type="pct"/>
            <w:shd w:val="clear" w:color="auto" w:fill="FFFFFF"/>
            <w:tcMar>
              <w:top w:w="15" w:type="dxa"/>
              <w:right w:w="15" w:type="dxa"/>
            </w:tcMar>
          </w:tcPr>
          <w:p w14:paraId="3973D668"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Forfeitures, cancellations and other, net</w:t>
            </w:r>
          </w:p>
        </w:tc>
        <w:tc>
          <w:tcPr>
            <w:tcW w:w="71" w:type="pct"/>
            <w:shd w:val="clear" w:color="auto" w:fill="FFFFFF"/>
            <w:tcMar>
              <w:top w:w="15" w:type="dxa"/>
              <w:right w:w="15" w:type="dxa"/>
            </w:tcMar>
            <w:vAlign w:val="bottom"/>
          </w:tcPr>
          <w:p w14:paraId="3973D6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6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tcBorders>
              <w:bottom w:val="single" w:sz="6" w:space="0" w:color="000000"/>
            </w:tcBorders>
            <w:shd w:val="clear" w:color="auto" w:fill="FFFFFF"/>
            <w:noWrap/>
            <w:tcMar>
              <w:top w:w="15" w:type="dxa"/>
              <w:right w:w="15" w:type="dxa"/>
            </w:tcMar>
            <w:vAlign w:val="bottom"/>
          </w:tcPr>
          <w:p w14:paraId="3973D66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w:t>
            </w:r>
          </w:p>
        </w:tc>
        <w:tc>
          <w:tcPr>
            <w:tcW w:w="50" w:type="pct"/>
            <w:shd w:val="clear" w:color="auto" w:fill="FFFFFF"/>
            <w:noWrap/>
            <w:tcMar>
              <w:top w:w="15" w:type="dxa"/>
              <w:right w:w="15" w:type="dxa"/>
            </w:tcMar>
            <w:vAlign w:val="bottom"/>
          </w:tcPr>
          <w:p w14:paraId="3973D6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673" w14:textId="77777777">
        <w:tc>
          <w:tcPr>
            <w:tcW w:w="4442" w:type="pct"/>
            <w:shd w:val="clear" w:color="auto" w:fill="CFF0FC"/>
            <w:tcMar>
              <w:top w:w="15" w:type="dxa"/>
              <w:right w:w="15" w:type="dxa"/>
            </w:tcMar>
          </w:tcPr>
          <w:p w14:paraId="3973D6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awards outstanding at May 31, 2022</w:t>
            </w:r>
          </w:p>
        </w:tc>
        <w:tc>
          <w:tcPr>
            <w:tcW w:w="71" w:type="pct"/>
            <w:shd w:val="clear" w:color="auto" w:fill="CFF0FC"/>
            <w:tcMar>
              <w:top w:w="15" w:type="dxa"/>
              <w:right w:w="15" w:type="dxa"/>
            </w:tcMar>
            <w:vAlign w:val="bottom"/>
          </w:tcPr>
          <w:p w14:paraId="3973D6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6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tcBorders>
              <w:top w:val="single" w:sz="6" w:space="0" w:color="000000"/>
              <w:bottom w:val="double" w:sz="6" w:space="0" w:color="000000"/>
            </w:tcBorders>
            <w:shd w:val="clear" w:color="auto" w:fill="CFF0FC"/>
            <w:noWrap/>
            <w:tcMar>
              <w:top w:w="15" w:type="dxa"/>
              <w:right w:w="15" w:type="dxa"/>
            </w:tcMar>
            <w:vAlign w:val="bottom"/>
          </w:tcPr>
          <w:p w14:paraId="3973D67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w:t>
            </w:r>
          </w:p>
        </w:tc>
        <w:tc>
          <w:tcPr>
            <w:tcW w:w="50" w:type="pct"/>
            <w:shd w:val="clear" w:color="auto" w:fill="CFF0FC"/>
            <w:noWrap/>
            <w:tcMar>
              <w:top w:w="15" w:type="dxa"/>
              <w:right w:w="15" w:type="dxa"/>
            </w:tcMar>
            <w:vAlign w:val="bottom"/>
          </w:tcPr>
          <w:p w14:paraId="3973D67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79" w14:textId="77777777">
        <w:tc>
          <w:tcPr>
            <w:tcW w:w="4442" w:type="pct"/>
            <w:shd w:val="clear" w:color="auto" w:fill="FFFFFF"/>
            <w:tcMar>
              <w:top w:w="15" w:type="dxa"/>
              <w:right w:w="15" w:type="dxa"/>
            </w:tcMar>
          </w:tcPr>
          <w:p w14:paraId="3973D6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Weighted-average annualized stock-based awards granted and assumed, net of forfeitures and cancellations</w:t>
            </w:r>
          </w:p>
        </w:tc>
        <w:tc>
          <w:tcPr>
            <w:tcW w:w="71" w:type="pct"/>
            <w:shd w:val="clear" w:color="auto" w:fill="FFFFFF"/>
            <w:tcMar>
              <w:top w:w="15" w:type="dxa"/>
              <w:right w:w="15" w:type="dxa"/>
            </w:tcMar>
            <w:vAlign w:val="bottom"/>
          </w:tcPr>
          <w:p w14:paraId="3973D67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6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tcBorders>
              <w:top w:val="double" w:sz="6" w:space="0" w:color="000000"/>
            </w:tcBorders>
            <w:shd w:val="clear" w:color="auto" w:fill="FFFFFF"/>
            <w:noWrap/>
            <w:tcMar>
              <w:top w:w="15" w:type="dxa"/>
              <w:right w:w="15" w:type="dxa"/>
            </w:tcMar>
            <w:vAlign w:val="bottom"/>
          </w:tcPr>
          <w:p w14:paraId="3973D67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w:t>
            </w:r>
          </w:p>
        </w:tc>
        <w:tc>
          <w:tcPr>
            <w:tcW w:w="50" w:type="pct"/>
            <w:shd w:val="clear" w:color="auto" w:fill="FFFFFF"/>
            <w:noWrap/>
            <w:tcMar>
              <w:top w:w="15" w:type="dxa"/>
              <w:right w:w="15" w:type="dxa"/>
            </w:tcMar>
            <w:vAlign w:val="bottom"/>
          </w:tcPr>
          <w:p w14:paraId="3973D6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7F" w14:textId="77777777">
        <w:tc>
          <w:tcPr>
            <w:tcW w:w="4442" w:type="pct"/>
            <w:shd w:val="clear" w:color="auto" w:fill="CFF0FC"/>
            <w:tcMar>
              <w:top w:w="15" w:type="dxa"/>
              <w:right w:w="15" w:type="dxa"/>
            </w:tcMar>
          </w:tcPr>
          <w:p w14:paraId="3973D6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Weighted-average annualized stock repurchases</w:t>
            </w:r>
          </w:p>
        </w:tc>
        <w:tc>
          <w:tcPr>
            <w:tcW w:w="71" w:type="pct"/>
            <w:shd w:val="clear" w:color="auto" w:fill="CFF0FC"/>
            <w:tcMar>
              <w:top w:w="15" w:type="dxa"/>
              <w:right w:w="15" w:type="dxa"/>
            </w:tcMar>
            <w:vAlign w:val="bottom"/>
          </w:tcPr>
          <w:p w14:paraId="3973D6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6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CFF0FC"/>
            <w:noWrap/>
            <w:tcMar>
              <w:top w:w="15" w:type="dxa"/>
              <w:right w:w="15" w:type="dxa"/>
            </w:tcMar>
            <w:vAlign w:val="bottom"/>
          </w:tcPr>
          <w:p w14:paraId="3973D67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(292</w:t>
            </w:r>
          </w:p>
        </w:tc>
        <w:tc>
          <w:tcPr>
            <w:tcW w:w="50" w:type="pct"/>
            <w:shd w:val="clear" w:color="auto" w:fill="CFF0FC"/>
            <w:noWrap/>
            <w:tcMar>
              <w:top w:w="15" w:type="dxa"/>
              <w:right w:w="15" w:type="dxa"/>
            </w:tcMar>
            <w:vAlign w:val="bottom"/>
          </w:tcPr>
          <w:p w14:paraId="3973D6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685" w14:textId="77777777">
        <w:tc>
          <w:tcPr>
            <w:tcW w:w="4442" w:type="pct"/>
            <w:shd w:val="clear" w:color="auto" w:fill="FFFFFF"/>
            <w:tcMar>
              <w:top w:w="15" w:type="dxa"/>
              <w:right w:w="15" w:type="dxa"/>
            </w:tcMar>
          </w:tcPr>
          <w:p w14:paraId="3973D6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Shares outstanding at May 31, 2022</w:t>
            </w:r>
          </w:p>
        </w:tc>
        <w:tc>
          <w:tcPr>
            <w:tcW w:w="71" w:type="pct"/>
            <w:shd w:val="clear" w:color="auto" w:fill="FFFFFF"/>
            <w:tcMar>
              <w:top w:w="15" w:type="dxa"/>
              <w:right w:w="15" w:type="dxa"/>
            </w:tcMar>
            <w:vAlign w:val="bottom"/>
          </w:tcPr>
          <w:p w14:paraId="3973D6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6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FFFFFF"/>
            <w:noWrap/>
            <w:tcMar>
              <w:top w:w="15" w:type="dxa"/>
              <w:right w:w="15" w:type="dxa"/>
            </w:tcMar>
            <w:vAlign w:val="bottom"/>
          </w:tcPr>
          <w:p w14:paraId="3973D68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2,665</w:t>
            </w:r>
          </w:p>
        </w:tc>
        <w:tc>
          <w:tcPr>
            <w:tcW w:w="50" w:type="pct"/>
            <w:shd w:val="clear" w:color="auto" w:fill="FFFFFF"/>
            <w:noWrap/>
            <w:tcMar>
              <w:top w:w="15" w:type="dxa"/>
              <w:right w:w="15" w:type="dxa"/>
            </w:tcMar>
            <w:vAlign w:val="bottom"/>
          </w:tcPr>
          <w:p w14:paraId="3973D68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8B" w14:textId="77777777">
        <w:tc>
          <w:tcPr>
            <w:tcW w:w="4442" w:type="pct"/>
            <w:shd w:val="clear" w:color="auto" w:fill="CFF0FC"/>
            <w:tcMar>
              <w:top w:w="15" w:type="dxa"/>
              <w:right w:w="15" w:type="dxa"/>
            </w:tcMar>
          </w:tcPr>
          <w:p w14:paraId="3973D6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Basic </w:t>
            </w:r>
            <w:r>
              <w:rPr>
                <w:rFonts w:ascii="Calibri" w:hAnsi="Calibri" w:cs="Calibri"/>
                <w:color w:val="000000"/>
                <w:sz w:val="18"/>
                <w:szCs w:val="18"/>
              </w:rPr>
              <w:t>weighted-average shares outstanding from June 1, 2019 through May 31, 2022</w:t>
            </w:r>
          </w:p>
        </w:tc>
        <w:tc>
          <w:tcPr>
            <w:tcW w:w="71" w:type="pct"/>
            <w:shd w:val="clear" w:color="auto" w:fill="CFF0FC"/>
            <w:tcMar>
              <w:top w:w="15" w:type="dxa"/>
              <w:right w:w="15" w:type="dxa"/>
            </w:tcMar>
            <w:vAlign w:val="bottom"/>
          </w:tcPr>
          <w:p w14:paraId="3973D68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6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5" w:type="pct"/>
            <w:shd w:val="clear" w:color="auto" w:fill="CFF0FC"/>
            <w:noWrap/>
            <w:tcMar>
              <w:top w:w="15" w:type="dxa"/>
              <w:right w:w="15" w:type="dxa"/>
            </w:tcMar>
            <w:vAlign w:val="bottom"/>
          </w:tcPr>
          <w:p w14:paraId="3973D68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2,952</w:t>
            </w:r>
          </w:p>
        </w:tc>
        <w:tc>
          <w:tcPr>
            <w:tcW w:w="50" w:type="pct"/>
            <w:shd w:val="clear" w:color="auto" w:fill="CFF0FC"/>
            <w:noWrap/>
            <w:tcMar>
              <w:top w:w="15" w:type="dxa"/>
              <w:right w:w="15" w:type="dxa"/>
            </w:tcMar>
            <w:vAlign w:val="bottom"/>
          </w:tcPr>
          <w:p w14:paraId="3973D6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90" w14:textId="77777777">
        <w:tc>
          <w:tcPr>
            <w:tcW w:w="4442" w:type="pct"/>
            <w:shd w:val="clear" w:color="auto" w:fill="FFFFFF"/>
            <w:tcMar>
              <w:top w:w="15" w:type="dxa"/>
              <w:right w:w="15" w:type="dxa"/>
            </w:tcMar>
          </w:tcPr>
          <w:p w14:paraId="3973D6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awards outstanding as a percent of shares outstanding at May 31, 2022</w:t>
            </w:r>
          </w:p>
        </w:tc>
        <w:tc>
          <w:tcPr>
            <w:tcW w:w="71" w:type="pct"/>
            <w:shd w:val="clear" w:color="auto" w:fill="FFFFFF"/>
            <w:tcMar>
              <w:top w:w="15" w:type="dxa"/>
              <w:right w:w="15" w:type="dxa"/>
            </w:tcMar>
            <w:vAlign w:val="bottom"/>
          </w:tcPr>
          <w:p w14:paraId="3973D68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gridSpan w:val="2"/>
            <w:shd w:val="clear" w:color="auto" w:fill="FFFFFF"/>
            <w:tcMar>
              <w:top w:w="15" w:type="dxa"/>
              <w:right w:w="15" w:type="dxa"/>
            </w:tcMar>
            <w:vAlign w:val="bottom"/>
          </w:tcPr>
          <w:p w14:paraId="3973D68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w:t>
            </w:r>
          </w:p>
        </w:tc>
        <w:tc>
          <w:tcPr>
            <w:tcW w:w="50" w:type="pct"/>
            <w:shd w:val="clear" w:color="auto" w:fill="FFFFFF"/>
            <w:noWrap/>
            <w:tcMar>
              <w:top w:w="15" w:type="dxa"/>
              <w:right w:w="15" w:type="dxa"/>
            </w:tcMar>
            <w:vAlign w:val="bottom"/>
          </w:tcPr>
          <w:p w14:paraId="3973D68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95" w14:textId="77777777">
        <w:tc>
          <w:tcPr>
            <w:tcW w:w="4442" w:type="pct"/>
            <w:shd w:val="clear" w:color="auto" w:fill="CFF0FC"/>
            <w:tcMar>
              <w:top w:w="15" w:type="dxa"/>
              <w:right w:w="15" w:type="dxa"/>
            </w:tcMar>
          </w:tcPr>
          <w:p w14:paraId="3973D691" w14:textId="77777777" w:rsidR="007B027D" w:rsidRDefault="008E0125">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Total in the money stock-based awards outstanding (based on the </w:t>
            </w:r>
            <w:r>
              <w:rPr>
                <w:rFonts w:ascii="Calibri" w:hAnsi="Calibri" w:cs="Calibri"/>
                <w:color w:val="000000"/>
                <w:sz w:val="18"/>
                <w:szCs w:val="18"/>
              </w:rPr>
              <w:t>closing price of our common stock on the last trading day of fiscal 2022) as a percent of shares outstanding at May 31, 2022</w:t>
            </w:r>
          </w:p>
        </w:tc>
        <w:tc>
          <w:tcPr>
            <w:tcW w:w="71" w:type="pct"/>
            <w:shd w:val="clear" w:color="auto" w:fill="CFF0FC"/>
            <w:tcMar>
              <w:top w:w="15" w:type="dxa"/>
              <w:right w:w="15" w:type="dxa"/>
            </w:tcMar>
            <w:vAlign w:val="bottom"/>
          </w:tcPr>
          <w:p w14:paraId="3973D6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gridSpan w:val="2"/>
            <w:shd w:val="clear" w:color="auto" w:fill="CFF0FC"/>
            <w:tcMar>
              <w:top w:w="15" w:type="dxa"/>
              <w:right w:w="15" w:type="dxa"/>
            </w:tcMar>
            <w:vAlign w:val="bottom"/>
          </w:tcPr>
          <w:p w14:paraId="3973D69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w:t>
            </w:r>
          </w:p>
        </w:tc>
        <w:tc>
          <w:tcPr>
            <w:tcW w:w="50" w:type="pct"/>
            <w:shd w:val="clear" w:color="auto" w:fill="CFF0FC"/>
            <w:noWrap/>
            <w:tcMar>
              <w:top w:w="15" w:type="dxa"/>
              <w:right w:w="15" w:type="dxa"/>
            </w:tcMar>
            <w:vAlign w:val="bottom"/>
          </w:tcPr>
          <w:p w14:paraId="3973D6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9A" w14:textId="77777777">
        <w:tc>
          <w:tcPr>
            <w:tcW w:w="4442" w:type="pct"/>
            <w:shd w:val="clear" w:color="auto" w:fill="FFFFFF"/>
            <w:tcMar>
              <w:top w:w="15" w:type="dxa"/>
              <w:right w:w="15" w:type="dxa"/>
            </w:tcMar>
          </w:tcPr>
          <w:p w14:paraId="3973D696" w14:textId="77777777" w:rsidR="007B027D" w:rsidRDefault="008E0125">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Weighted-average annualized stock-based awards granted and assumed, net of forfeitures and cancellations and before </w:t>
            </w:r>
            <w:r>
              <w:rPr>
                <w:rFonts w:ascii="Calibri" w:hAnsi="Calibri" w:cs="Calibri"/>
                <w:color w:val="000000"/>
                <w:sz w:val="18"/>
                <w:szCs w:val="18"/>
              </w:rPr>
              <w:t>stock repurchases, as a percent of weighted-average shares outstanding from June 1, 2019 through May 31, 2022</w:t>
            </w:r>
          </w:p>
        </w:tc>
        <w:tc>
          <w:tcPr>
            <w:tcW w:w="71" w:type="pct"/>
            <w:shd w:val="clear" w:color="auto" w:fill="FFFFFF"/>
            <w:tcMar>
              <w:top w:w="15" w:type="dxa"/>
              <w:right w:w="15" w:type="dxa"/>
            </w:tcMar>
            <w:vAlign w:val="bottom"/>
          </w:tcPr>
          <w:p w14:paraId="3973D69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gridSpan w:val="2"/>
            <w:shd w:val="clear" w:color="auto" w:fill="FFFFFF"/>
            <w:tcMar>
              <w:top w:w="15" w:type="dxa"/>
              <w:right w:w="15" w:type="dxa"/>
            </w:tcMar>
            <w:vAlign w:val="bottom"/>
          </w:tcPr>
          <w:p w14:paraId="3973D69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3973D69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69F" w14:textId="77777777">
        <w:tc>
          <w:tcPr>
            <w:tcW w:w="4442" w:type="pct"/>
            <w:shd w:val="clear" w:color="auto" w:fill="CFF0FC"/>
            <w:tcMar>
              <w:top w:w="15" w:type="dxa"/>
              <w:right w:w="15" w:type="dxa"/>
            </w:tcMar>
          </w:tcPr>
          <w:p w14:paraId="3973D69B" w14:textId="77777777" w:rsidR="007B027D" w:rsidRDefault="008E0125">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Weighted-average annualized stock-based awards granted and assumed, net of forfeitures and cancellations and after stock </w:t>
            </w:r>
            <w:r>
              <w:rPr>
                <w:rFonts w:ascii="Calibri" w:hAnsi="Calibri" w:cs="Calibri"/>
                <w:color w:val="000000"/>
                <w:sz w:val="18"/>
                <w:szCs w:val="18"/>
              </w:rPr>
              <w:t>repurchases, as a percent of weighted-average shares outstanding from June 1, 2019 through May 31, 2022</w:t>
            </w:r>
          </w:p>
        </w:tc>
        <w:tc>
          <w:tcPr>
            <w:tcW w:w="71" w:type="pct"/>
            <w:shd w:val="clear" w:color="auto" w:fill="CFF0FC"/>
            <w:tcMar>
              <w:top w:w="15" w:type="dxa"/>
              <w:right w:w="15" w:type="dxa"/>
            </w:tcMar>
            <w:vAlign w:val="bottom"/>
          </w:tcPr>
          <w:p w14:paraId="3973D6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4" w:type="pct"/>
            <w:gridSpan w:val="2"/>
            <w:shd w:val="clear" w:color="auto" w:fill="CFF0FC"/>
            <w:tcMar>
              <w:top w:w="15" w:type="dxa"/>
              <w:right w:w="15" w:type="dxa"/>
            </w:tcMar>
            <w:vAlign w:val="bottom"/>
          </w:tcPr>
          <w:p w14:paraId="3973D69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CFF0FC"/>
            <w:noWrap/>
            <w:tcMar>
              <w:top w:w="15" w:type="dxa"/>
              <w:right w:w="15" w:type="dxa"/>
            </w:tcMar>
            <w:vAlign w:val="bottom"/>
          </w:tcPr>
          <w:p w14:paraId="3973D69E"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6A0" w14:textId="77777777" w:rsidR="007B027D" w:rsidRDefault="008E0125">
      <w:pPr>
        <w:pStyle w:val="a3"/>
        <w:spacing w:beforeAutospacing="0" w:afterAutospacing="0"/>
        <w:rPr>
          <w:sz w:val="12"/>
          <w:szCs w:val="12"/>
        </w:rPr>
      </w:pPr>
      <w:r>
        <w:rPr>
          <w:sz w:val="12"/>
          <w:szCs w:val="12"/>
        </w:rPr>
        <w:t> </w:t>
      </w:r>
    </w:p>
    <w:p w14:paraId="3973D6A1"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3973D6A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information with respect to recent accounting pronouncements, if any, and the impact of these </w:t>
      </w:r>
      <w:r>
        <w:rPr>
          <w:rFonts w:ascii="Calibri" w:hAnsi="Calibri" w:cs="Calibri"/>
          <w:sz w:val="20"/>
          <w:szCs w:val="20"/>
        </w:rPr>
        <w:t>pronouncements on our consolidated financial statements, if any, see Note 1 of Notes to Consolidated Financial Statements included elsewhere in this Annual Report.</w:t>
      </w:r>
    </w:p>
    <w:tbl>
      <w:tblPr>
        <w:tblW w:w="5000" w:type="pct"/>
        <w:tblCellMar>
          <w:left w:w="0" w:type="dxa"/>
          <w:right w:w="0" w:type="dxa"/>
        </w:tblCellMar>
        <w:tblLook w:val="04A0" w:firstRow="1" w:lastRow="0" w:firstColumn="1" w:lastColumn="0" w:noHBand="0" w:noVBand="1"/>
      </w:tblPr>
      <w:tblGrid>
        <w:gridCol w:w="708"/>
        <w:gridCol w:w="7598"/>
      </w:tblGrid>
      <w:tr w:rsidR="007B027D" w14:paraId="3973D6A5" w14:textId="77777777">
        <w:tc>
          <w:tcPr>
            <w:tcW w:w="213" w:type="pct"/>
            <w:shd w:val="clear" w:color="auto" w:fill="auto"/>
            <w:noWrap/>
          </w:tcPr>
          <w:p w14:paraId="3973D6A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7A.</w:t>
            </w:r>
          </w:p>
        </w:tc>
        <w:tc>
          <w:tcPr>
            <w:tcW w:w="0" w:type="auto"/>
            <w:shd w:val="clear" w:color="auto" w:fill="auto"/>
          </w:tcPr>
          <w:p w14:paraId="3973D6A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3973D6A6"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Equity Price Risk</w:t>
      </w:r>
    </w:p>
    <w:p w14:paraId="3973D6A7"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Marke</w:t>
      </w:r>
      <w:r>
        <w:rPr>
          <w:rFonts w:ascii="Calibri" w:hAnsi="Calibri" w:cs="Calibri"/>
          <w:b/>
          <w:bCs/>
          <w:sz w:val="20"/>
          <w:szCs w:val="20"/>
          <w:u w:val="single"/>
        </w:rPr>
        <w:t>table and Non-Marketable Equity Investments</w:t>
      </w:r>
    </w:p>
    <w:p w14:paraId="3973D6A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marketable and non-marketable equity securities investments totaled $1.1 billion and $946 million as of May 31, 2022 and 2021, respectively. Our marketable equity securities investments in publicly </w:t>
      </w:r>
      <w:r>
        <w:rPr>
          <w:rFonts w:ascii="Calibri" w:hAnsi="Calibri" w:cs="Calibri"/>
          <w:sz w:val="20"/>
          <w:szCs w:val="20"/>
        </w:rPr>
        <w:t>traded companies are recorded at fair value, which is subject to market price volatility. Our non-marketable equity securities investments in private companies not accounted for under the equity method are adjusted to fair value for observable transactions</w:t>
      </w:r>
      <w:r>
        <w:rPr>
          <w:rFonts w:ascii="Calibri" w:hAnsi="Calibri" w:cs="Calibri"/>
          <w:sz w:val="20"/>
          <w:szCs w:val="20"/>
        </w:rPr>
        <w:t xml:space="preserve"> for identical or similar investments of the same issuer or for impairment. Our non-marketable equity securities investments accounted for under the equity method, primarily in a related party entity, generally do not fluctuate based on market price change</w:t>
      </w:r>
      <w:r>
        <w:rPr>
          <w:rFonts w:ascii="Calibri" w:hAnsi="Calibri" w:cs="Calibri"/>
          <w:sz w:val="20"/>
          <w:szCs w:val="20"/>
        </w:rPr>
        <w:t>s. However, these equity method investments could be impaired if the carrying value exceeds the fair value and is not expected to recover. The timing and amounts of changes in fair value, if any, of our marketable and non-marketable equity investments depe</w:t>
      </w:r>
      <w:r>
        <w:rPr>
          <w:rFonts w:ascii="Calibri" w:hAnsi="Calibri" w:cs="Calibri"/>
          <w:sz w:val="20"/>
          <w:szCs w:val="20"/>
        </w:rPr>
        <w:t>nds on factors beyond our control, including the perceived and actual performance of the companies in which we invest. For additional disclosure regarding the impact to our quarterly results of operations from investment volatility, please refer to Item 1A</w:t>
      </w:r>
      <w:r>
        <w:rPr>
          <w:rFonts w:ascii="Calibri" w:hAnsi="Calibri" w:cs="Calibri"/>
          <w:sz w:val="20"/>
          <w:szCs w:val="20"/>
        </w:rPr>
        <w:t xml:space="preserve"> Risk Factors included elsewhere in this Annual Report.</w:t>
      </w:r>
    </w:p>
    <w:p w14:paraId="3973D6A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Currency Risk </w:t>
      </w:r>
    </w:p>
    <w:p w14:paraId="3973D6AA"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Foreign Currency Translation Risk </w:t>
      </w:r>
    </w:p>
    <w:p w14:paraId="3973D6A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described under “Constant Currency Presentation” above, our international operations have provided and are expected to continue to provide a signif</w:t>
      </w:r>
      <w:r>
        <w:rPr>
          <w:rFonts w:ascii="Calibri" w:hAnsi="Calibri" w:cs="Calibri"/>
          <w:sz w:val="20"/>
          <w:szCs w:val="20"/>
        </w:rPr>
        <w:t>icant portion of our consolidated revenues and expenses that we report in U.S. Dollars. As a result, our consolidated revenues and expenses are affected and will continue to be affected by changes in the U.S. Dollar against major foreign currencies. Fluctu</w:t>
      </w:r>
      <w:r>
        <w:rPr>
          <w:rFonts w:ascii="Calibri" w:hAnsi="Calibri" w:cs="Calibri"/>
          <w:sz w:val="20"/>
          <w:szCs w:val="20"/>
        </w:rPr>
        <w:t>ations in foreign currencies impact the amount of total assets, liabilities, earnings and cash flows that we report for our foreign subsidiaries upon the translation of these amounts into U.S. Dollars for, and as of the end of, each reporting period. In pa</w:t>
      </w:r>
      <w:r>
        <w:rPr>
          <w:rFonts w:ascii="Calibri" w:hAnsi="Calibri" w:cs="Calibri"/>
          <w:sz w:val="20"/>
          <w:szCs w:val="20"/>
        </w:rPr>
        <w:t xml:space="preserve">rticular, the strengthening of </w:t>
      </w:r>
    </w:p>
    <w:p w14:paraId="3973D6A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57</w:t>
      </w:r>
    </w:p>
    <w:p w14:paraId="3973D6AD" w14:textId="77777777" w:rsidR="007B027D" w:rsidRDefault="008E0125">
      <w:r>
        <w:rPr>
          <w:rFonts w:ascii="Calibri" w:hAnsi="Calibri" w:cs="Calibri"/>
          <w:sz w:val="20"/>
          <w:szCs w:val="20"/>
        </w:rPr>
        <w:pict w14:anchorId="39740074">
          <v:rect id="_x0000_i1083" style="width:415.3pt;height:1.5pt" o:hralign="center" o:hrstd="t" o:hr="t" fillcolor="#a0a0a0" stroked="f"/>
        </w:pict>
      </w:r>
    </w:p>
    <w:p w14:paraId="3973D6AE" w14:textId="77777777" w:rsidR="007B027D" w:rsidRDefault="008E0125">
      <w:pPr>
        <w:pStyle w:val="a3"/>
        <w:spacing w:beforeAutospacing="0" w:after="120" w:afterAutospacing="0"/>
        <w:rPr>
          <w:rFonts w:ascii="Calibri" w:hAnsi="Calibri" w:cs="Calibri"/>
          <w:sz w:val="18"/>
          <w:szCs w:val="18"/>
        </w:rPr>
      </w:pPr>
      <w:hyperlink r:id="rId143" w:anchor="TABLE_OF_CONTENTS" w:history="1">
        <w:r>
          <w:rPr>
            <w:rStyle w:val="a5"/>
            <w:rFonts w:ascii="Calibri" w:hAnsi="Calibri" w:cs="Calibri"/>
            <w:sz w:val="18"/>
            <w:szCs w:val="18"/>
          </w:rPr>
          <w:t>Table of Contents</w:t>
        </w:r>
      </w:hyperlink>
    </w:p>
    <w:p w14:paraId="3973D6AF" w14:textId="77777777" w:rsidR="007B027D" w:rsidRDefault="008E0125">
      <w:pPr>
        <w:pStyle w:val="a3"/>
        <w:spacing w:beforeAutospacing="0" w:afterAutospacing="0"/>
        <w:rPr>
          <w:rFonts w:ascii="Calibri" w:hAnsi="Calibri" w:cs="Calibri"/>
          <w:sz w:val="18"/>
          <w:szCs w:val="18"/>
        </w:rPr>
      </w:pPr>
      <w:hyperlink r:id="rId144" w:anchor="ITEM_15_EXHIBITS_FINANCIAL_STATEMENT_SCH" w:history="1">
        <w:r>
          <w:rPr>
            <w:rStyle w:val="a5"/>
            <w:rFonts w:ascii="Calibri" w:hAnsi="Calibri" w:cs="Calibri"/>
            <w:sz w:val="18"/>
            <w:szCs w:val="18"/>
          </w:rPr>
          <w:t>Index to Financial Statements</w:t>
        </w:r>
      </w:hyperlink>
    </w:p>
    <w:p w14:paraId="3973D6B0"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6B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U.S. Dollar generally will reduce the reported amount of our foreign-denominated cash, cash equivalents, marketable </w:t>
      </w:r>
      <w:r>
        <w:rPr>
          <w:rFonts w:ascii="Calibri" w:hAnsi="Calibri" w:cs="Calibri"/>
          <w:sz w:val="20"/>
          <w:szCs w:val="20"/>
        </w:rPr>
        <w:t>securities, total revenues and total expenses that we translate into U.S. Dollars and report in our consolidated financial statements for, and as of the end of, each reporting period.</w:t>
      </w:r>
    </w:p>
    <w:p w14:paraId="3973D6B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Foreign Currency Transaction Risk </w:t>
      </w:r>
    </w:p>
    <w:p w14:paraId="3973D6B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transact business in various forei</w:t>
      </w:r>
      <w:r>
        <w:rPr>
          <w:rFonts w:ascii="Calibri" w:hAnsi="Calibri" w:cs="Calibri"/>
          <w:sz w:val="20"/>
          <w:szCs w:val="20"/>
        </w:rPr>
        <w:t>gn currencies. Our principal currency exposures include the Euro, Japanese Yen, Saudi Arabian Riyal, Indian Rupee and British Pound. Our foreign currency exposures primarily arise from various intercompany transactions. We have established a program that p</w:t>
      </w:r>
      <w:r>
        <w:rPr>
          <w:rFonts w:ascii="Calibri" w:hAnsi="Calibri" w:cs="Calibri"/>
          <w:sz w:val="20"/>
          <w:szCs w:val="20"/>
        </w:rPr>
        <w:t>rimarily utilizes foreign currency forward contracts to offset the risks that arise from the aforementioned transactions. Under this program, our strategy is to enter into foreign currency forward contracts for major currencies in which we have an exposure</w:t>
      </w:r>
      <w:r>
        <w:rPr>
          <w:rFonts w:ascii="Calibri" w:hAnsi="Calibri" w:cs="Calibri"/>
          <w:sz w:val="20"/>
          <w:szCs w:val="20"/>
        </w:rPr>
        <w:t xml:space="preserve"> so that increases or decreases in our foreign currency exposures are offset by gains or losses on the foreign currency forward contracts which mitigate the risks and volatility associated with our foreign currency transactions. We may suspend this program</w:t>
      </w:r>
      <w:r>
        <w:rPr>
          <w:rFonts w:ascii="Calibri" w:hAnsi="Calibri" w:cs="Calibri"/>
          <w:sz w:val="20"/>
          <w:szCs w:val="20"/>
        </w:rPr>
        <w:t xml:space="preserve"> from time to time. Our foreign currency forward contracts are generally short-term in duration and we do not use them for trading purposes.</w:t>
      </w:r>
    </w:p>
    <w:p w14:paraId="3973D6B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realize gains or losses with respect to our foreign currency exposures, net of gains or losses from our foreign </w:t>
      </w:r>
      <w:r>
        <w:rPr>
          <w:rFonts w:ascii="Calibri" w:hAnsi="Calibri" w:cs="Calibri"/>
          <w:sz w:val="20"/>
          <w:szCs w:val="20"/>
        </w:rPr>
        <w:t>currency forward contracts, and we also incur costs to enter into these foreign currency forward contracts, substantially all of which are included in non-operating expenses or income, net in our consolidated financial statements. Our ultimate realized gai</w:t>
      </w:r>
      <w:r>
        <w:rPr>
          <w:rFonts w:ascii="Calibri" w:hAnsi="Calibri" w:cs="Calibri"/>
          <w:sz w:val="20"/>
          <w:szCs w:val="20"/>
        </w:rPr>
        <w:t>n or loss with respect to foreign currency exposures will generally depend on the size and type of cross-currency transactions that we enter into, the currency exchange rates associated with these exposures and changes in those rates, the net realized gain</w:t>
      </w:r>
      <w:r>
        <w:rPr>
          <w:rFonts w:ascii="Calibri" w:hAnsi="Calibri" w:cs="Calibri"/>
          <w:sz w:val="20"/>
          <w:szCs w:val="20"/>
        </w:rPr>
        <w:t xml:space="preserve"> or loss on our foreign currency forward contracts and other factors. Furthermore, as a large portion of our consolidated operations are international, we could experience additional foreign currency volatility in the future, in which the amounts and timin</w:t>
      </w:r>
      <w:r>
        <w:rPr>
          <w:rFonts w:ascii="Calibri" w:hAnsi="Calibri" w:cs="Calibri"/>
          <w:sz w:val="20"/>
          <w:szCs w:val="20"/>
        </w:rPr>
        <w:t>g are unknown. Refer to Note 1 of Notes to Consolidated Financial Statements included elsewhere in this Annual Report for additional details about our foreign currency forward contracts.</w:t>
      </w:r>
    </w:p>
    <w:p w14:paraId="3973D6B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Sensitivity Analysis</w:t>
      </w:r>
    </w:p>
    <w:p w14:paraId="3973D6B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sets forth the hypothetical </w:t>
      </w:r>
      <w:r>
        <w:rPr>
          <w:rFonts w:ascii="Calibri" w:hAnsi="Calibri" w:cs="Calibri"/>
          <w:sz w:val="20"/>
          <w:szCs w:val="20"/>
        </w:rPr>
        <w:t>potential losses that we consider to be the most material to the reported fair values and/or future earnings of our interest rate, equity price and foreign currency influenced holdings, prior to any income tax effects, resulting from hypothetical changes i</w:t>
      </w:r>
      <w:r>
        <w:rPr>
          <w:rFonts w:ascii="Calibri" w:hAnsi="Calibri" w:cs="Calibri"/>
          <w:sz w:val="20"/>
          <w:szCs w:val="20"/>
        </w:rPr>
        <w:t>n relevant market rates as of or for the reporting periods below:</w:t>
      </w:r>
    </w:p>
    <w:p w14:paraId="3973D6B7" w14:textId="77777777" w:rsidR="007B027D" w:rsidRDefault="008E0125">
      <w:pPr>
        <w:pStyle w:val="a3"/>
        <w:spacing w:beforeAutospacing="0" w:afterAutospacing="0"/>
        <w:jc w:val="both"/>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954"/>
        <w:gridCol w:w="164"/>
        <w:gridCol w:w="2682"/>
        <w:gridCol w:w="165"/>
        <w:gridCol w:w="776"/>
        <w:gridCol w:w="165"/>
        <w:gridCol w:w="92"/>
        <w:gridCol w:w="425"/>
        <w:gridCol w:w="82"/>
        <w:gridCol w:w="165"/>
        <w:gridCol w:w="92"/>
        <w:gridCol w:w="477"/>
        <w:gridCol w:w="82"/>
      </w:tblGrid>
      <w:tr w:rsidR="007B027D" w14:paraId="3973D6C0" w14:textId="77777777">
        <w:tc>
          <w:tcPr>
            <w:tcW w:w="1775" w:type="pct"/>
            <w:shd w:val="clear" w:color="auto" w:fill="FFFFFF"/>
            <w:tcMar>
              <w:top w:w="15" w:type="dxa"/>
              <w:right w:w="15" w:type="dxa"/>
            </w:tcMar>
            <w:vAlign w:val="bottom"/>
          </w:tcPr>
          <w:p w14:paraId="3973D6B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100" w:type="pct"/>
            <w:shd w:val="clear" w:color="auto" w:fill="FFFFFF"/>
            <w:tcMar>
              <w:top w:w="15" w:type="dxa"/>
              <w:right w:w="15" w:type="dxa"/>
            </w:tcMar>
            <w:vAlign w:val="bottom"/>
          </w:tcPr>
          <w:p w14:paraId="3973D6B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1612" w:type="pct"/>
            <w:shd w:val="clear" w:color="auto" w:fill="FFFFFF"/>
            <w:tcMar>
              <w:top w:w="15" w:type="dxa"/>
              <w:right w:w="15" w:type="dxa"/>
            </w:tcMar>
            <w:vAlign w:val="bottom"/>
          </w:tcPr>
          <w:p w14:paraId="3973D6B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100" w:type="pct"/>
            <w:shd w:val="clear" w:color="auto" w:fill="FFFFFF"/>
            <w:tcMar>
              <w:top w:w="15" w:type="dxa"/>
              <w:right w:w="15" w:type="dxa"/>
            </w:tcMar>
            <w:vAlign w:val="bottom"/>
          </w:tcPr>
          <w:p w14:paraId="3973D6B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7" w:type="pct"/>
            <w:shd w:val="clear" w:color="auto" w:fill="FFFFFF"/>
            <w:tcMar>
              <w:top w:w="15" w:type="dxa"/>
              <w:right w:w="15" w:type="dxa"/>
            </w:tcMar>
            <w:vAlign w:val="bottom"/>
          </w:tcPr>
          <w:p w14:paraId="3973D6BC"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100" w:type="pct"/>
            <w:shd w:val="clear" w:color="auto" w:fill="FFFFFF"/>
            <w:tcMar>
              <w:top w:w="15" w:type="dxa"/>
              <w:right w:w="15" w:type="dxa"/>
            </w:tcMar>
            <w:vAlign w:val="bottom"/>
          </w:tcPr>
          <w:p w14:paraId="3973D6B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93" w:type="pct"/>
            <w:gridSpan w:val="6"/>
            <w:tcBorders>
              <w:bottom w:val="single" w:sz="6" w:space="0" w:color="000000"/>
            </w:tcBorders>
            <w:shd w:val="clear" w:color="auto" w:fill="FFFFFF"/>
            <w:tcMar>
              <w:top w:w="15" w:type="dxa"/>
              <w:right w:w="15" w:type="dxa"/>
            </w:tcMar>
            <w:vAlign w:val="center"/>
          </w:tcPr>
          <w:p w14:paraId="3973D6B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center"/>
          </w:tcPr>
          <w:p w14:paraId="3973D6B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6CC" w14:textId="77777777">
        <w:tc>
          <w:tcPr>
            <w:tcW w:w="1775" w:type="pct"/>
            <w:tcBorders>
              <w:bottom w:val="single" w:sz="6" w:space="0" w:color="000000"/>
            </w:tcBorders>
            <w:shd w:val="clear" w:color="auto" w:fill="FFFFFF"/>
            <w:tcMar>
              <w:top w:w="15" w:type="dxa"/>
              <w:right w:w="15" w:type="dxa"/>
            </w:tcMar>
            <w:vAlign w:val="center"/>
          </w:tcPr>
          <w:p w14:paraId="3973D6C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100" w:type="pct"/>
            <w:shd w:val="clear" w:color="auto" w:fill="FFFFFF"/>
            <w:tcMar>
              <w:top w:w="15" w:type="dxa"/>
              <w:right w:w="15" w:type="dxa"/>
            </w:tcMar>
            <w:vAlign w:val="bottom"/>
          </w:tcPr>
          <w:p w14:paraId="3973D6C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1612" w:type="pct"/>
            <w:tcBorders>
              <w:bottom w:val="single" w:sz="6" w:space="0" w:color="000000"/>
            </w:tcBorders>
            <w:shd w:val="clear" w:color="auto" w:fill="FFFFFF"/>
            <w:tcMar>
              <w:top w:w="15" w:type="dxa"/>
              <w:right w:w="15" w:type="dxa"/>
            </w:tcMar>
            <w:vAlign w:val="center"/>
          </w:tcPr>
          <w:p w14:paraId="3973D6C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Hypothetical Change</w:t>
            </w:r>
          </w:p>
        </w:tc>
        <w:tc>
          <w:tcPr>
            <w:tcW w:w="100" w:type="pct"/>
            <w:shd w:val="clear" w:color="auto" w:fill="FFFFFF"/>
            <w:tcMar>
              <w:top w:w="15" w:type="dxa"/>
              <w:right w:w="15" w:type="dxa"/>
            </w:tcMar>
            <w:vAlign w:val="bottom"/>
          </w:tcPr>
          <w:p w14:paraId="3973D6C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7" w:type="pct"/>
            <w:tcBorders>
              <w:bottom w:val="single" w:sz="6" w:space="0" w:color="000000"/>
            </w:tcBorders>
            <w:shd w:val="clear" w:color="auto" w:fill="FFFFFF"/>
            <w:tcMar>
              <w:top w:w="15" w:type="dxa"/>
              <w:right w:w="15" w:type="dxa"/>
            </w:tcMar>
            <w:vAlign w:val="center"/>
          </w:tcPr>
          <w:p w14:paraId="3973D6C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Impact</w:t>
            </w:r>
          </w:p>
        </w:tc>
        <w:tc>
          <w:tcPr>
            <w:tcW w:w="100" w:type="pct"/>
            <w:shd w:val="clear" w:color="auto" w:fill="FFFFFF"/>
            <w:tcMar>
              <w:top w:w="15" w:type="dxa"/>
              <w:right w:w="15" w:type="dxa"/>
            </w:tcMar>
            <w:vAlign w:val="bottom"/>
          </w:tcPr>
          <w:p w14:paraId="3973D6C6"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06" w:type="pct"/>
            <w:gridSpan w:val="2"/>
            <w:tcBorders>
              <w:top w:val="single" w:sz="6" w:space="0" w:color="000000"/>
              <w:bottom w:val="single" w:sz="6" w:space="0" w:color="000000"/>
            </w:tcBorders>
            <w:shd w:val="clear" w:color="auto" w:fill="FFFFFF"/>
            <w:tcMar>
              <w:top w:w="15" w:type="dxa"/>
              <w:right w:w="15" w:type="dxa"/>
            </w:tcMar>
            <w:vAlign w:val="center"/>
          </w:tcPr>
          <w:p w14:paraId="3973D6C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center"/>
          </w:tcPr>
          <w:p w14:paraId="3973D6C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0" w:type="pct"/>
            <w:tcBorders>
              <w:top w:val="single" w:sz="6" w:space="0" w:color="000000"/>
            </w:tcBorders>
            <w:shd w:val="clear" w:color="auto" w:fill="FFFFFF"/>
            <w:tcMar>
              <w:top w:w="15" w:type="dxa"/>
              <w:right w:w="15" w:type="dxa"/>
            </w:tcMar>
            <w:vAlign w:val="bottom"/>
          </w:tcPr>
          <w:p w14:paraId="3973D6C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center"/>
          </w:tcPr>
          <w:p w14:paraId="3973D6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center"/>
          </w:tcPr>
          <w:p w14:paraId="3973D6C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6DA" w14:textId="77777777">
        <w:tc>
          <w:tcPr>
            <w:tcW w:w="1775" w:type="pct"/>
            <w:shd w:val="clear" w:color="auto" w:fill="CFF0FC"/>
            <w:tcMar>
              <w:top w:w="15" w:type="dxa"/>
              <w:right w:w="15" w:type="dxa"/>
            </w:tcMar>
            <w:vAlign w:val="bottom"/>
          </w:tcPr>
          <w:p w14:paraId="3973D6C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Equity price risk:</w:t>
            </w:r>
          </w:p>
        </w:tc>
        <w:tc>
          <w:tcPr>
            <w:tcW w:w="100" w:type="pct"/>
            <w:shd w:val="clear" w:color="auto" w:fill="CFF0FC"/>
            <w:tcMar>
              <w:top w:w="15" w:type="dxa"/>
              <w:right w:w="15" w:type="dxa"/>
            </w:tcMar>
            <w:vAlign w:val="bottom"/>
          </w:tcPr>
          <w:p w14:paraId="3973D6C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12" w:type="pct"/>
            <w:shd w:val="clear" w:color="auto" w:fill="CFF0FC"/>
            <w:tcMar>
              <w:top w:w="15" w:type="dxa"/>
              <w:right w:w="15" w:type="dxa"/>
            </w:tcMar>
            <w:vAlign w:val="bottom"/>
          </w:tcPr>
          <w:p w14:paraId="3973D6C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D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7" w:type="pct"/>
            <w:shd w:val="clear" w:color="auto" w:fill="CFF0FC"/>
            <w:tcMar>
              <w:top w:w="15" w:type="dxa"/>
              <w:right w:w="15" w:type="dxa"/>
            </w:tcMar>
            <w:vAlign w:val="bottom"/>
          </w:tcPr>
          <w:p w14:paraId="3973D6D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D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CFF0FC"/>
            <w:noWrap/>
            <w:tcMar>
              <w:top w:w="15" w:type="dxa"/>
              <w:right w:w="15" w:type="dxa"/>
            </w:tcMar>
            <w:vAlign w:val="bottom"/>
          </w:tcPr>
          <w:p w14:paraId="3973D6D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double" w:sz="6" w:space="0" w:color="000000"/>
            </w:tcBorders>
            <w:shd w:val="clear" w:color="auto" w:fill="CFF0FC"/>
            <w:noWrap/>
            <w:tcMar>
              <w:top w:w="15" w:type="dxa"/>
              <w:right w:w="15" w:type="dxa"/>
            </w:tcMar>
            <w:vAlign w:val="bottom"/>
          </w:tcPr>
          <w:p w14:paraId="3973D6D4"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D6D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D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CFF0FC"/>
            <w:noWrap/>
            <w:tcMar>
              <w:top w:w="15" w:type="dxa"/>
              <w:right w:w="15" w:type="dxa"/>
            </w:tcMar>
            <w:vAlign w:val="bottom"/>
          </w:tcPr>
          <w:p w14:paraId="3973D6D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6" w:type="pct"/>
            <w:tcBorders>
              <w:top w:val="double" w:sz="6" w:space="0" w:color="000000"/>
            </w:tcBorders>
            <w:shd w:val="clear" w:color="auto" w:fill="CFF0FC"/>
            <w:noWrap/>
            <w:tcMar>
              <w:top w:w="15" w:type="dxa"/>
              <w:right w:w="15" w:type="dxa"/>
            </w:tcMar>
            <w:vAlign w:val="bottom"/>
          </w:tcPr>
          <w:p w14:paraId="3973D6D8"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D6D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D6E8" w14:textId="77777777">
        <w:tc>
          <w:tcPr>
            <w:tcW w:w="1775" w:type="pct"/>
            <w:shd w:val="clear" w:color="auto" w:fill="FFFFFF"/>
            <w:tcMar>
              <w:top w:w="15" w:type="dxa"/>
              <w:right w:w="15" w:type="dxa"/>
            </w:tcMar>
            <w:vAlign w:val="bottom"/>
          </w:tcPr>
          <w:p w14:paraId="3973D6DB" w14:textId="77777777" w:rsidR="007B027D" w:rsidRDefault="008E0125">
            <w:pPr>
              <w:pStyle w:val="a3"/>
              <w:spacing w:beforeAutospacing="0" w:afterAutospacing="0"/>
              <w:ind w:left="418" w:hanging="144"/>
              <w:rPr>
                <w:rFonts w:ascii="Calibri" w:hAnsi="Calibri" w:cs="Calibri"/>
                <w:color w:val="000000"/>
                <w:sz w:val="15"/>
                <w:szCs w:val="15"/>
              </w:rPr>
            </w:pPr>
            <w:r>
              <w:rPr>
                <w:rFonts w:ascii="Calibri" w:hAnsi="Calibri" w:cs="Calibri"/>
                <w:color w:val="000000"/>
                <w:sz w:val="15"/>
                <w:szCs w:val="15"/>
              </w:rPr>
              <w:t xml:space="preserve">Marketable and non-marketable equity </w:t>
            </w:r>
            <w:r>
              <w:rPr>
                <w:rFonts w:ascii="Calibri" w:hAnsi="Calibri" w:cs="Calibri"/>
                <w:color w:val="000000"/>
                <w:sz w:val="15"/>
                <w:szCs w:val="15"/>
              </w:rPr>
              <w:t>investments</w:t>
            </w:r>
          </w:p>
        </w:tc>
        <w:tc>
          <w:tcPr>
            <w:tcW w:w="100" w:type="pct"/>
            <w:shd w:val="clear" w:color="auto" w:fill="FFFFFF"/>
            <w:tcMar>
              <w:top w:w="15" w:type="dxa"/>
              <w:right w:w="15" w:type="dxa"/>
            </w:tcMar>
            <w:vAlign w:val="bottom"/>
          </w:tcPr>
          <w:p w14:paraId="3973D6D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12" w:type="pct"/>
            <w:shd w:val="clear" w:color="auto" w:fill="FFFFFF"/>
            <w:tcMar>
              <w:top w:w="15" w:type="dxa"/>
              <w:right w:w="15" w:type="dxa"/>
            </w:tcMar>
            <w:vAlign w:val="bottom"/>
          </w:tcPr>
          <w:p w14:paraId="3973D6D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25% decrease in market price and fair values</w:t>
            </w:r>
          </w:p>
        </w:tc>
        <w:tc>
          <w:tcPr>
            <w:tcW w:w="100" w:type="pct"/>
            <w:shd w:val="clear" w:color="auto" w:fill="FFFFFF"/>
            <w:tcMar>
              <w:top w:w="15" w:type="dxa"/>
              <w:right w:w="15" w:type="dxa"/>
            </w:tcMar>
            <w:vAlign w:val="bottom"/>
          </w:tcPr>
          <w:p w14:paraId="3973D6D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7" w:type="pct"/>
            <w:shd w:val="clear" w:color="auto" w:fill="FFFFFF"/>
            <w:tcMar>
              <w:top w:w="15" w:type="dxa"/>
              <w:right w:w="15" w:type="dxa"/>
            </w:tcMar>
            <w:vAlign w:val="bottom"/>
          </w:tcPr>
          <w:p w14:paraId="3973D6D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Earnings</w:t>
            </w:r>
          </w:p>
        </w:tc>
        <w:tc>
          <w:tcPr>
            <w:tcW w:w="100" w:type="pct"/>
            <w:shd w:val="clear" w:color="auto" w:fill="FFFFFF"/>
            <w:tcMar>
              <w:top w:w="15" w:type="dxa"/>
              <w:right w:w="15" w:type="dxa"/>
            </w:tcMar>
            <w:vAlign w:val="bottom"/>
          </w:tcPr>
          <w:p w14:paraId="3973D6E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double" w:sz="6" w:space="0" w:color="000000"/>
            </w:tcBorders>
            <w:shd w:val="clear" w:color="auto" w:fill="FFFFFF"/>
            <w:noWrap/>
            <w:tcMar>
              <w:top w:w="15" w:type="dxa"/>
              <w:right w:w="15" w:type="dxa"/>
            </w:tcMar>
            <w:vAlign w:val="bottom"/>
          </w:tcPr>
          <w:p w14:paraId="3973D6E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6" w:type="pct"/>
            <w:tcBorders>
              <w:bottom w:val="double" w:sz="6" w:space="0" w:color="000000"/>
            </w:tcBorders>
            <w:shd w:val="clear" w:color="auto" w:fill="FFFFFF"/>
            <w:noWrap/>
            <w:tcMar>
              <w:top w:w="15" w:type="dxa"/>
              <w:right w:w="15" w:type="dxa"/>
            </w:tcMar>
            <w:vAlign w:val="bottom"/>
          </w:tcPr>
          <w:p w14:paraId="3973D6E2"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(277</w:t>
            </w:r>
          </w:p>
        </w:tc>
        <w:tc>
          <w:tcPr>
            <w:tcW w:w="50" w:type="pct"/>
            <w:shd w:val="clear" w:color="auto" w:fill="FFFFFF"/>
            <w:noWrap/>
            <w:tcMar>
              <w:top w:w="15" w:type="dxa"/>
              <w:right w:w="15" w:type="dxa"/>
            </w:tcMar>
            <w:vAlign w:val="bottom"/>
          </w:tcPr>
          <w:p w14:paraId="3973D6E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100" w:type="pct"/>
            <w:shd w:val="clear" w:color="auto" w:fill="FFFFFF"/>
            <w:tcMar>
              <w:top w:w="15" w:type="dxa"/>
              <w:right w:w="15" w:type="dxa"/>
            </w:tcMar>
            <w:vAlign w:val="bottom"/>
          </w:tcPr>
          <w:p w14:paraId="3973D6E4"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double" w:sz="6" w:space="0" w:color="000000"/>
            </w:tcBorders>
            <w:shd w:val="clear" w:color="auto" w:fill="FFFFFF"/>
            <w:noWrap/>
            <w:tcMar>
              <w:top w:w="15" w:type="dxa"/>
              <w:right w:w="15" w:type="dxa"/>
            </w:tcMar>
            <w:vAlign w:val="bottom"/>
          </w:tcPr>
          <w:p w14:paraId="3973D6E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6" w:type="pct"/>
            <w:tcBorders>
              <w:bottom w:val="double" w:sz="6" w:space="0" w:color="000000"/>
            </w:tcBorders>
            <w:shd w:val="clear" w:color="auto" w:fill="FFFFFF"/>
            <w:noWrap/>
            <w:tcMar>
              <w:top w:w="15" w:type="dxa"/>
              <w:right w:w="15" w:type="dxa"/>
            </w:tcMar>
            <w:vAlign w:val="bottom"/>
          </w:tcPr>
          <w:p w14:paraId="3973D6E6"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(236</w:t>
            </w:r>
          </w:p>
        </w:tc>
        <w:tc>
          <w:tcPr>
            <w:tcW w:w="50" w:type="pct"/>
            <w:shd w:val="clear" w:color="auto" w:fill="FFFFFF"/>
            <w:noWrap/>
            <w:tcMar>
              <w:top w:w="15" w:type="dxa"/>
              <w:right w:w="15" w:type="dxa"/>
            </w:tcMar>
            <w:vAlign w:val="bottom"/>
          </w:tcPr>
          <w:p w14:paraId="3973D6E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r>
      <w:tr w:rsidR="007B027D" w14:paraId="3973D6F6" w14:textId="77777777">
        <w:tc>
          <w:tcPr>
            <w:tcW w:w="1775" w:type="pct"/>
            <w:shd w:val="clear" w:color="auto" w:fill="CFF0FC"/>
            <w:tcMar>
              <w:top w:w="15" w:type="dxa"/>
              <w:right w:w="15" w:type="dxa"/>
            </w:tcMar>
            <w:vAlign w:val="bottom"/>
          </w:tcPr>
          <w:p w14:paraId="3973D6E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Foreign currency risk:</w:t>
            </w:r>
          </w:p>
        </w:tc>
        <w:tc>
          <w:tcPr>
            <w:tcW w:w="100" w:type="pct"/>
            <w:shd w:val="clear" w:color="auto" w:fill="CFF0FC"/>
            <w:tcMar>
              <w:top w:w="15" w:type="dxa"/>
              <w:right w:w="15" w:type="dxa"/>
            </w:tcMar>
            <w:vAlign w:val="bottom"/>
          </w:tcPr>
          <w:p w14:paraId="3973D6E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12" w:type="pct"/>
            <w:shd w:val="clear" w:color="auto" w:fill="CFF0FC"/>
            <w:tcMar>
              <w:top w:w="15" w:type="dxa"/>
              <w:right w:w="15" w:type="dxa"/>
            </w:tcMar>
            <w:vAlign w:val="bottom"/>
          </w:tcPr>
          <w:p w14:paraId="3973D6E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E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7" w:type="pct"/>
            <w:shd w:val="clear" w:color="auto" w:fill="CFF0FC"/>
            <w:tcMar>
              <w:top w:w="15" w:type="dxa"/>
              <w:right w:w="15" w:type="dxa"/>
            </w:tcMar>
            <w:vAlign w:val="bottom"/>
          </w:tcPr>
          <w:p w14:paraId="3973D6E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E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CFF0FC"/>
            <w:noWrap/>
            <w:tcMar>
              <w:top w:w="15" w:type="dxa"/>
              <w:right w:w="15" w:type="dxa"/>
            </w:tcMar>
            <w:vAlign w:val="bottom"/>
          </w:tcPr>
          <w:p w14:paraId="3973D6E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double" w:sz="6" w:space="0" w:color="000000"/>
            </w:tcBorders>
            <w:shd w:val="clear" w:color="auto" w:fill="CFF0FC"/>
            <w:noWrap/>
            <w:tcMar>
              <w:top w:w="15" w:type="dxa"/>
              <w:right w:w="15" w:type="dxa"/>
            </w:tcMar>
            <w:vAlign w:val="bottom"/>
          </w:tcPr>
          <w:p w14:paraId="3973D6F0"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D6F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 w:type="pct"/>
            <w:shd w:val="clear" w:color="auto" w:fill="CFF0FC"/>
            <w:tcMar>
              <w:top w:w="15" w:type="dxa"/>
              <w:right w:w="15" w:type="dxa"/>
            </w:tcMar>
            <w:vAlign w:val="bottom"/>
          </w:tcPr>
          <w:p w14:paraId="3973D6F2"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CFF0FC"/>
            <w:noWrap/>
            <w:tcMar>
              <w:top w:w="15" w:type="dxa"/>
              <w:right w:w="15" w:type="dxa"/>
            </w:tcMar>
            <w:vAlign w:val="bottom"/>
          </w:tcPr>
          <w:p w14:paraId="3973D6F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6" w:type="pct"/>
            <w:tcBorders>
              <w:top w:val="double" w:sz="6" w:space="0" w:color="000000"/>
            </w:tcBorders>
            <w:shd w:val="clear" w:color="auto" w:fill="CFF0FC"/>
            <w:noWrap/>
            <w:tcMar>
              <w:top w:w="15" w:type="dxa"/>
              <w:right w:w="15" w:type="dxa"/>
            </w:tcMar>
            <w:vAlign w:val="bottom"/>
          </w:tcPr>
          <w:p w14:paraId="3973D6F4"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3973D6F5"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7B027D" w14:paraId="3973D704" w14:textId="77777777">
        <w:tc>
          <w:tcPr>
            <w:tcW w:w="1775" w:type="pct"/>
            <w:shd w:val="clear" w:color="auto" w:fill="FFFFFF"/>
            <w:tcMar>
              <w:top w:w="15" w:type="dxa"/>
              <w:right w:w="15" w:type="dxa"/>
            </w:tcMar>
            <w:vAlign w:val="bottom"/>
          </w:tcPr>
          <w:p w14:paraId="3973D6F7" w14:textId="77777777" w:rsidR="007B027D" w:rsidRDefault="008E0125">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Total revenues</w:t>
            </w:r>
          </w:p>
        </w:tc>
        <w:tc>
          <w:tcPr>
            <w:tcW w:w="100" w:type="pct"/>
            <w:shd w:val="clear" w:color="auto" w:fill="FFFFFF"/>
            <w:tcMar>
              <w:top w:w="15" w:type="dxa"/>
              <w:right w:w="15" w:type="dxa"/>
            </w:tcMar>
            <w:vAlign w:val="bottom"/>
          </w:tcPr>
          <w:p w14:paraId="3973D6F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12" w:type="pct"/>
            <w:shd w:val="clear" w:color="auto" w:fill="FFFFFF"/>
            <w:tcMar>
              <w:top w:w="15" w:type="dxa"/>
              <w:right w:w="15" w:type="dxa"/>
            </w:tcMar>
            <w:vAlign w:val="bottom"/>
          </w:tcPr>
          <w:p w14:paraId="3973D6F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10% decrease in foreign exchange rates</w:t>
            </w:r>
          </w:p>
        </w:tc>
        <w:tc>
          <w:tcPr>
            <w:tcW w:w="100" w:type="pct"/>
            <w:shd w:val="clear" w:color="auto" w:fill="FFFFFF"/>
            <w:tcMar>
              <w:top w:w="15" w:type="dxa"/>
              <w:right w:w="15" w:type="dxa"/>
            </w:tcMar>
            <w:vAlign w:val="bottom"/>
          </w:tcPr>
          <w:p w14:paraId="3973D6F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7" w:type="pct"/>
            <w:shd w:val="clear" w:color="auto" w:fill="FFFFFF"/>
            <w:tcMar>
              <w:top w:w="15" w:type="dxa"/>
              <w:right w:w="15" w:type="dxa"/>
            </w:tcMar>
            <w:vAlign w:val="bottom"/>
          </w:tcPr>
          <w:p w14:paraId="3973D6F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Earnings</w:t>
            </w:r>
          </w:p>
        </w:tc>
        <w:tc>
          <w:tcPr>
            <w:tcW w:w="100" w:type="pct"/>
            <w:shd w:val="clear" w:color="auto" w:fill="FFFFFF"/>
            <w:tcMar>
              <w:top w:w="15" w:type="dxa"/>
              <w:right w:w="15" w:type="dxa"/>
            </w:tcMar>
            <w:vAlign w:val="bottom"/>
          </w:tcPr>
          <w:p w14:paraId="3973D6FC"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double" w:sz="6" w:space="0" w:color="000000"/>
            </w:tcBorders>
            <w:shd w:val="clear" w:color="auto" w:fill="FFFFFF"/>
            <w:noWrap/>
            <w:tcMar>
              <w:top w:w="15" w:type="dxa"/>
              <w:right w:w="15" w:type="dxa"/>
            </w:tcMar>
            <w:vAlign w:val="bottom"/>
          </w:tcPr>
          <w:p w14:paraId="3973D6F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6" w:type="pct"/>
            <w:tcBorders>
              <w:bottom w:val="double" w:sz="6" w:space="0" w:color="000000"/>
            </w:tcBorders>
            <w:shd w:val="clear" w:color="auto" w:fill="FFFFFF"/>
            <w:noWrap/>
            <w:tcMar>
              <w:top w:w="15" w:type="dxa"/>
              <w:right w:w="15" w:type="dxa"/>
            </w:tcMar>
            <w:vAlign w:val="bottom"/>
          </w:tcPr>
          <w:p w14:paraId="3973D6FE"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(2,107</w:t>
            </w:r>
          </w:p>
        </w:tc>
        <w:tc>
          <w:tcPr>
            <w:tcW w:w="50" w:type="pct"/>
            <w:shd w:val="clear" w:color="auto" w:fill="FFFFFF"/>
            <w:noWrap/>
            <w:tcMar>
              <w:top w:w="15" w:type="dxa"/>
              <w:right w:w="15" w:type="dxa"/>
            </w:tcMar>
            <w:vAlign w:val="bottom"/>
          </w:tcPr>
          <w:p w14:paraId="3973D6F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100" w:type="pct"/>
            <w:shd w:val="clear" w:color="auto" w:fill="FFFFFF"/>
            <w:tcMar>
              <w:top w:w="15" w:type="dxa"/>
              <w:right w:w="15" w:type="dxa"/>
            </w:tcMar>
            <w:vAlign w:val="bottom"/>
          </w:tcPr>
          <w:p w14:paraId="3973D700"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double" w:sz="6" w:space="0" w:color="000000"/>
            </w:tcBorders>
            <w:shd w:val="clear" w:color="auto" w:fill="FFFFFF"/>
            <w:noWrap/>
            <w:tcMar>
              <w:top w:w="15" w:type="dxa"/>
              <w:right w:w="15" w:type="dxa"/>
            </w:tcMar>
            <w:vAlign w:val="bottom"/>
          </w:tcPr>
          <w:p w14:paraId="3973D70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6" w:type="pct"/>
            <w:tcBorders>
              <w:bottom w:val="double" w:sz="6" w:space="0" w:color="000000"/>
            </w:tcBorders>
            <w:shd w:val="clear" w:color="auto" w:fill="FFFFFF"/>
            <w:noWrap/>
            <w:tcMar>
              <w:top w:w="15" w:type="dxa"/>
              <w:right w:w="15" w:type="dxa"/>
            </w:tcMar>
            <w:vAlign w:val="bottom"/>
          </w:tcPr>
          <w:p w14:paraId="3973D702"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(2,061</w:t>
            </w:r>
          </w:p>
        </w:tc>
        <w:tc>
          <w:tcPr>
            <w:tcW w:w="50" w:type="pct"/>
            <w:shd w:val="clear" w:color="auto" w:fill="FFFFFF"/>
            <w:noWrap/>
            <w:tcMar>
              <w:top w:w="15" w:type="dxa"/>
              <w:right w:w="15" w:type="dxa"/>
            </w:tcMar>
            <w:vAlign w:val="bottom"/>
          </w:tcPr>
          <w:p w14:paraId="3973D703"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r>
      <w:tr w:rsidR="007B027D" w14:paraId="3973D712" w14:textId="77777777">
        <w:tc>
          <w:tcPr>
            <w:tcW w:w="1775" w:type="pct"/>
            <w:shd w:val="clear" w:color="auto" w:fill="CFF0FC"/>
            <w:tcMar>
              <w:top w:w="15" w:type="dxa"/>
              <w:right w:w="15" w:type="dxa"/>
            </w:tcMar>
            <w:vAlign w:val="bottom"/>
          </w:tcPr>
          <w:p w14:paraId="3973D705" w14:textId="77777777" w:rsidR="007B027D" w:rsidRDefault="008E0125">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 xml:space="preserve">Cash, cash </w:t>
            </w:r>
            <w:r>
              <w:rPr>
                <w:rFonts w:ascii="Calibri" w:hAnsi="Calibri" w:cs="Calibri"/>
                <w:color w:val="000000"/>
                <w:sz w:val="15"/>
                <w:szCs w:val="15"/>
              </w:rPr>
              <w:t>equivalents and marketable securities</w:t>
            </w:r>
          </w:p>
        </w:tc>
        <w:tc>
          <w:tcPr>
            <w:tcW w:w="100" w:type="pct"/>
            <w:shd w:val="clear" w:color="auto" w:fill="CFF0FC"/>
            <w:tcMar>
              <w:top w:w="15" w:type="dxa"/>
              <w:right w:w="15" w:type="dxa"/>
            </w:tcMar>
            <w:vAlign w:val="bottom"/>
          </w:tcPr>
          <w:p w14:paraId="3973D706"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12" w:type="pct"/>
            <w:shd w:val="clear" w:color="auto" w:fill="CFF0FC"/>
            <w:tcMar>
              <w:top w:w="15" w:type="dxa"/>
              <w:right w:w="15" w:type="dxa"/>
            </w:tcMar>
            <w:vAlign w:val="bottom"/>
          </w:tcPr>
          <w:p w14:paraId="3973D707"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10% decrease in foreign exchange rates</w:t>
            </w:r>
          </w:p>
        </w:tc>
        <w:tc>
          <w:tcPr>
            <w:tcW w:w="100" w:type="pct"/>
            <w:shd w:val="clear" w:color="auto" w:fill="CFF0FC"/>
            <w:tcMar>
              <w:top w:w="15" w:type="dxa"/>
              <w:right w:w="15" w:type="dxa"/>
            </w:tcMar>
            <w:vAlign w:val="bottom"/>
          </w:tcPr>
          <w:p w14:paraId="3973D708"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7" w:type="pct"/>
            <w:shd w:val="clear" w:color="auto" w:fill="CFF0FC"/>
            <w:tcMar>
              <w:top w:w="15" w:type="dxa"/>
              <w:right w:w="15" w:type="dxa"/>
            </w:tcMar>
            <w:vAlign w:val="bottom"/>
          </w:tcPr>
          <w:p w14:paraId="3973D709"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Fair values</w:t>
            </w:r>
          </w:p>
        </w:tc>
        <w:tc>
          <w:tcPr>
            <w:tcW w:w="100" w:type="pct"/>
            <w:shd w:val="clear" w:color="auto" w:fill="CFF0FC"/>
            <w:tcMar>
              <w:top w:w="15" w:type="dxa"/>
              <w:right w:w="15" w:type="dxa"/>
            </w:tcMar>
            <w:vAlign w:val="bottom"/>
          </w:tcPr>
          <w:p w14:paraId="3973D70A"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D70B"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6" w:type="pct"/>
            <w:tcBorders>
              <w:top w:val="double" w:sz="6" w:space="0" w:color="000000"/>
              <w:bottom w:val="double" w:sz="6" w:space="0" w:color="000000"/>
            </w:tcBorders>
            <w:shd w:val="clear" w:color="auto" w:fill="CFF0FC"/>
            <w:noWrap/>
            <w:tcMar>
              <w:top w:w="15" w:type="dxa"/>
              <w:right w:w="15" w:type="dxa"/>
            </w:tcMar>
            <w:vAlign w:val="bottom"/>
          </w:tcPr>
          <w:p w14:paraId="3973D70C"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(421</w:t>
            </w:r>
          </w:p>
        </w:tc>
        <w:tc>
          <w:tcPr>
            <w:tcW w:w="50" w:type="pct"/>
            <w:shd w:val="clear" w:color="auto" w:fill="CFF0FC"/>
            <w:noWrap/>
            <w:tcMar>
              <w:top w:w="15" w:type="dxa"/>
              <w:right w:w="15" w:type="dxa"/>
            </w:tcMar>
            <w:vAlign w:val="bottom"/>
          </w:tcPr>
          <w:p w14:paraId="3973D70D"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100" w:type="pct"/>
            <w:shd w:val="clear" w:color="auto" w:fill="CFF0FC"/>
            <w:tcMar>
              <w:top w:w="15" w:type="dxa"/>
              <w:right w:w="15" w:type="dxa"/>
            </w:tcMar>
            <w:vAlign w:val="bottom"/>
          </w:tcPr>
          <w:p w14:paraId="3973D70E"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D70F"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3973D710" w14:textId="77777777" w:rsidR="007B027D" w:rsidRDefault="008E012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(650</w:t>
            </w:r>
          </w:p>
        </w:tc>
        <w:tc>
          <w:tcPr>
            <w:tcW w:w="50" w:type="pct"/>
            <w:shd w:val="clear" w:color="auto" w:fill="CFF0FC"/>
            <w:noWrap/>
            <w:tcMar>
              <w:top w:w="15" w:type="dxa"/>
              <w:right w:w="15" w:type="dxa"/>
            </w:tcMar>
            <w:vAlign w:val="bottom"/>
          </w:tcPr>
          <w:p w14:paraId="3973D711" w14:textId="77777777" w:rsidR="007B027D" w:rsidRDefault="008E012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r>
    </w:tbl>
    <w:p w14:paraId="3973D71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D716" w14:textId="77777777">
        <w:tc>
          <w:tcPr>
            <w:tcW w:w="213" w:type="pct"/>
            <w:shd w:val="clear" w:color="auto" w:fill="auto"/>
            <w:noWrap/>
          </w:tcPr>
          <w:p w14:paraId="3973D71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8.</w:t>
            </w:r>
          </w:p>
        </w:tc>
        <w:tc>
          <w:tcPr>
            <w:tcW w:w="0" w:type="auto"/>
            <w:shd w:val="clear" w:color="auto" w:fill="auto"/>
          </w:tcPr>
          <w:p w14:paraId="3973D71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Financial Statements and Supplementary Data</w:t>
            </w:r>
          </w:p>
        </w:tc>
      </w:tr>
    </w:tbl>
    <w:p w14:paraId="3973D71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response to this item is submitted as a separate section of this Annual </w:t>
      </w:r>
      <w:r>
        <w:rPr>
          <w:rFonts w:ascii="Calibri" w:hAnsi="Calibri" w:cs="Calibri"/>
          <w:sz w:val="20"/>
          <w:szCs w:val="20"/>
        </w:rPr>
        <w:t>Report. See Part IV, Item 15.</w:t>
      </w:r>
    </w:p>
    <w:tbl>
      <w:tblPr>
        <w:tblW w:w="5000" w:type="pct"/>
        <w:tblCellMar>
          <w:left w:w="0" w:type="dxa"/>
          <w:right w:w="0" w:type="dxa"/>
        </w:tblCellMar>
        <w:tblLook w:val="04A0" w:firstRow="1" w:lastRow="0" w:firstColumn="1" w:lastColumn="0" w:noHBand="0" w:noVBand="1"/>
      </w:tblPr>
      <w:tblGrid>
        <w:gridCol w:w="587"/>
        <w:gridCol w:w="7719"/>
      </w:tblGrid>
      <w:tr w:rsidR="007B027D" w14:paraId="3973D71A" w14:textId="77777777">
        <w:tc>
          <w:tcPr>
            <w:tcW w:w="213" w:type="pct"/>
            <w:shd w:val="clear" w:color="auto" w:fill="auto"/>
            <w:noWrap/>
          </w:tcPr>
          <w:p w14:paraId="3973D71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w:t>
            </w:r>
          </w:p>
        </w:tc>
        <w:tc>
          <w:tcPr>
            <w:tcW w:w="0" w:type="auto"/>
            <w:shd w:val="clear" w:color="auto" w:fill="auto"/>
          </w:tcPr>
          <w:p w14:paraId="3973D71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Changes In and Disagreements with Accountants on Accounting and</w:t>
            </w:r>
            <w:r>
              <w:rPr>
                <w:rFonts w:ascii="Calibri" w:hAnsi="Calibri" w:cs="Calibri"/>
                <w:sz w:val="20"/>
                <w:szCs w:val="20"/>
              </w:rPr>
              <w:t xml:space="preserve"> </w:t>
            </w:r>
            <w:r>
              <w:rPr>
                <w:rFonts w:ascii="Calibri" w:hAnsi="Calibri" w:cs="Calibri"/>
                <w:b/>
                <w:bCs/>
                <w:sz w:val="20"/>
                <w:szCs w:val="20"/>
              </w:rPr>
              <w:t>Financial Disclosure</w:t>
            </w:r>
          </w:p>
        </w:tc>
      </w:tr>
    </w:tbl>
    <w:p w14:paraId="3973D71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None. </w:t>
      </w:r>
    </w:p>
    <w:p w14:paraId="3973D71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58</w:t>
      </w:r>
    </w:p>
    <w:p w14:paraId="3973D71D" w14:textId="77777777" w:rsidR="007B027D" w:rsidRDefault="008E0125">
      <w:r>
        <w:rPr>
          <w:rFonts w:ascii="Calibri" w:hAnsi="Calibri" w:cs="Calibri"/>
          <w:sz w:val="20"/>
          <w:szCs w:val="20"/>
        </w:rPr>
        <w:pict w14:anchorId="39740075">
          <v:rect id="_x0000_i1084" style="width:415.3pt;height:1.5pt" o:hralign="center" o:hrstd="t" o:hr="t" fillcolor="#a0a0a0" stroked="f"/>
        </w:pict>
      </w:r>
    </w:p>
    <w:p w14:paraId="3973D71E" w14:textId="77777777" w:rsidR="007B027D" w:rsidRDefault="008E0125">
      <w:pPr>
        <w:pStyle w:val="a3"/>
        <w:spacing w:beforeAutospacing="0" w:after="120" w:afterAutospacing="0"/>
        <w:rPr>
          <w:rFonts w:ascii="Calibri" w:hAnsi="Calibri" w:cs="Calibri"/>
          <w:sz w:val="18"/>
          <w:szCs w:val="18"/>
        </w:rPr>
      </w:pPr>
      <w:hyperlink r:id="rId145" w:anchor="TABLE_OF_CONTENTS" w:history="1">
        <w:r>
          <w:rPr>
            <w:rStyle w:val="a5"/>
            <w:rFonts w:ascii="Calibri" w:hAnsi="Calibri" w:cs="Calibri"/>
            <w:sz w:val="18"/>
            <w:szCs w:val="18"/>
          </w:rPr>
          <w:t>Table of Contents</w:t>
        </w:r>
      </w:hyperlink>
    </w:p>
    <w:p w14:paraId="3973D71F" w14:textId="77777777" w:rsidR="007B027D" w:rsidRDefault="008E0125">
      <w:pPr>
        <w:pStyle w:val="a3"/>
        <w:spacing w:beforeAutospacing="0" w:afterAutospacing="0"/>
        <w:rPr>
          <w:rFonts w:ascii="Calibri" w:hAnsi="Calibri" w:cs="Calibri"/>
          <w:sz w:val="18"/>
          <w:szCs w:val="18"/>
        </w:rPr>
      </w:pPr>
      <w:hyperlink r:id="rId146" w:anchor="ITEM_15_EXHIBITS_FINANCIAL_STATEMENT_SCH" w:history="1">
        <w:r>
          <w:rPr>
            <w:rStyle w:val="a5"/>
            <w:rFonts w:ascii="Calibri" w:hAnsi="Calibri" w:cs="Calibri"/>
            <w:sz w:val="18"/>
            <w:szCs w:val="18"/>
          </w:rPr>
          <w:t>Index to Financial Statements</w:t>
        </w:r>
      </w:hyperlink>
    </w:p>
    <w:p w14:paraId="3973D720"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08"/>
        <w:gridCol w:w="7598"/>
      </w:tblGrid>
      <w:tr w:rsidR="007B027D" w14:paraId="3973D723" w14:textId="77777777">
        <w:tc>
          <w:tcPr>
            <w:tcW w:w="213" w:type="pct"/>
            <w:shd w:val="clear" w:color="auto" w:fill="auto"/>
            <w:noWrap/>
          </w:tcPr>
          <w:p w14:paraId="3973D72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9A.</w:t>
            </w:r>
          </w:p>
        </w:tc>
        <w:tc>
          <w:tcPr>
            <w:tcW w:w="0" w:type="auto"/>
            <w:shd w:val="clear" w:color="auto" w:fill="auto"/>
          </w:tcPr>
          <w:p w14:paraId="3973D72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Controls and Procedures </w:t>
            </w:r>
          </w:p>
        </w:tc>
      </w:tr>
    </w:tbl>
    <w:p w14:paraId="3973D724"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p>
    <w:p w14:paraId="3973D72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of the end of the period covered by this Annual Report on Form 10-K, we carried out an evaluation under the supervision and with the participation of our Disclosure Committee and our management, including our Principal Executive and Financial Officer, o</w:t>
      </w:r>
      <w:r>
        <w:rPr>
          <w:rFonts w:ascii="Calibri" w:hAnsi="Calibri" w:cs="Calibri"/>
          <w:sz w:val="20"/>
          <w:szCs w:val="20"/>
        </w:rPr>
        <w:t xml:space="preserve">f the effectiveness of the design and operation of our disclosure controls and procedures pursuant to Exchange Act Rules 13a-15(e) and 15d-15(e). </w:t>
      </w:r>
    </w:p>
    <w:p w14:paraId="3973D72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Based on our management’s evaluation (with the participation of our Principal Executive and Financial Officer</w:t>
      </w:r>
      <w:r>
        <w:rPr>
          <w:rFonts w:ascii="Calibri" w:hAnsi="Calibri" w:cs="Calibri"/>
          <w:sz w:val="20"/>
          <w:szCs w:val="20"/>
        </w:rPr>
        <w:t>), as of the end of the period covered by this report, our Principal Executive and Financial Officer has concluded that our disclosure controls and procedures were effective as of May 31, 2022 to provide reasonable assurance that information required to be</w:t>
      </w:r>
      <w:r>
        <w:rPr>
          <w:rFonts w:ascii="Calibri" w:hAnsi="Calibri" w:cs="Calibri"/>
          <w:sz w:val="20"/>
          <w:szCs w:val="20"/>
        </w:rPr>
        <w:t xml:space="preserve"> disclosed by us in reports that we file or submit under the Exchange Act is (i) recorded, processed, summarized and reported within the time periods specified in the SEC rules and forms and (ii) accumulated and communicated to our management, including ou</w:t>
      </w:r>
      <w:r>
        <w:rPr>
          <w:rFonts w:ascii="Calibri" w:hAnsi="Calibri" w:cs="Calibri"/>
          <w:sz w:val="20"/>
          <w:szCs w:val="20"/>
        </w:rPr>
        <w:t>r Principal Executive and Financial Officer as appropriate to allow timely decisions regarding required disclosure.</w:t>
      </w:r>
    </w:p>
    <w:p w14:paraId="3973D72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Management’s Report on Internal Control over Financial Reporting</w:t>
      </w:r>
    </w:p>
    <w:p w14:paraId="3973D72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management is responsible for establishing and maintaining adequate int</w:t>
      </w:r>
      <w:r>
        <w:rPr>
          <w:rFonts w:ascii="Calibri" w:hAnsi="Calibri" w:cs="Calibri"/>
          <w:sz w:val="20"/>
          <w:szCs w:val="20"/>
        </w:rPr>
        <w:t>ernal control over financial reporting, as such term is defined in Exchange Act Rules 13a-15(f) and 15d-15(f). Under the supervision and with the participation of our management, including our Principal Executive and Financial Officer, we conducted an eval</w:t>
      </w:r>
      <w:r>
        <w:rPr>
          <w:rFonts w:ascii="Calibri" w:hAnsi="Calibri" w:cs="Calibri"/>
          <w:sz w:val="20"/>
          <w:szCs w:val="20"/>
        </w:rPr>
        <w:t xml:space="preserve">uation of the effectiveness of our internal control over financial reporting as of May 31, 2022 based on the guidelines established in </w:t>
      </w:r>
      <w:r>
        <w:rPr>
          <w:rFonts w:ascii="Calibri" w:hAnsi="Calibri" w:cs="Calibri"/>
          <w:i/>
          <w:iCs/>
          <w:sz w:val="20"/>
          <w:szCs w:val="20"/>
        </w:rPr>
        <w:t>Internal Control—Integrated Framework</w:t>
      </w:r>
      <w:r>
        <w:rPr>
          <w:rFonts w:ascii="Calibri" w:hAnsi="Calibri" w:cs="Calibri"/>
          <w:sz w:val="20"/>
          <w:szCs w:val="20"/>
        </w:rPr>
        <w:t xml:space="preserve"> issued by the Committee of Sponsoring Organizations of the Treadway Commission’s 20</w:t>
      </w:r>
      <w:r>
        <w:rPr>
          <w:rFonts w:ascii="Calibri" w:hAnsi="Calibri" w:cs="Calibri"/>
          <w:sz w:val="20"/>
          <w:szCs w:val="20"/>
        </w:rPr>
        <w:t>13 framework. Our internal control over financial reporting includes policies and procedures that provide reasonable assurance regarding the reliability of financial reporting and the preparation of financial statements for external reporting purposes in a</w:t>
      </w:r>
      <w:r>
        <w:rPr>
          <w:rFonts w:ascii="Calibri" w:hAnsi="Calibri" w:cs="Calibri"/>
          <w:sz w:val="20"/>
          <w:szCs w:val="20"/>
        </w:rPr>
        <w:t xml:space="preserve">ccordance with U.S. GAAP. </w:t>
      </w:r>
    </w:p>
    <w:p w14:paraId="3973D72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Based on the results of our evaluation, our management concluded that our internal control over financial reporting was effective as of May 31, 2022. We reviewed the results of management’s assessment with our Finance and Audit C</w:t>
      </w:r>
      <w:r>
        <w:rPr>
          <w:rFonts w:ascii="Calibri" w:hAnsi="Calibri" w:cs="Calibri"/>
          <w:sz w:val="20"/>
          <w:szCs w:val="20"/>
        </w:rPr>
        <w:t>ommittee.</w:t>
      </w:r>
    </w:p>
    <w:p w14:paraId="3973D72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effectiveness of our internal control over financial reporting as of May 31, 2022 has been audited by Ernst &amp; Young LLP, an independent registered public accounting firm, as stated in their report which is included in Part IV, Item 15 of this</w:t>
      </w:r>
      <w:r>
        <w:rPr>
          <w:rFonts w:ascii="Calibri" w:hAnsi="Calibri" w:cs="Calibri"/>
          <w:sz w:val="20"/>
          <w:szCs w:val="20"/>
        </w:rPr>
        <w:t xml:space="preserve"> Annual Report.</w:t>
      </w:r>
    </w:p>
    <w:p w14:paraId="3973D72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p>
    <w:p w14:paraId="3973D72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There were no changes in our internal control over financial reporting identified in connection with the evaluation required by paragraph (d) of Exchange Act Rules 13a-15 or 15d-15 that o</w:t>
      </w:r>
      <w:r>
        <w:rPr>
          <w:rFonts w:ascii="Calibri" w:hAnsi="Calibri" w:cs="Calibri"/>
          <w:sz w:val="20"/>
          <w:szCs w:val="20"/>
        </w:rPr>
        <w:t xml:space="preserve">ccurred during our last fiscal quarter that have materially affected, or are reasonably likely to materially affect, our internal control over financial reporting. </w:t>
      </w:r>
    </w:p>
    <w:p w14:paraId="3973D72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p>
    <w:p w14:paraId="3973D72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management, including our Principal E</w:t>
      </w:r>
      <w:r>
        <w:rPr>
          <w:rFonts w:ascii="Calibri" w:hAnsi="Calibri" w:cs="Calibri"/>
          <w:sz w:val="20"/>
          <w:szCs w:val="20"/>
        </w:rPr>
        <w:t>xecutive and Financial Officer, believes that our disclosure controls and procedures and internal control over financial reporting are designed to provide reasonable assurance of achieving their objectives and are effective at the reasonable assurance leve</w:t>
      </w:r>
      <w:r>
        <w:rPr>
          <w:rFonts w:ascii="Calibri" w:hAnsi="Calibri" w:cs="Calibri"/>
          <w:sz w:val="20"/>
          <w:szCs w:val="20"/>
        </w:rPr>
        <w:t>l. However, our management does not expect that our disclosure controls and procedures or our internal control over financial reporting will prevent all errors and all fraud. A control system, no matter how well conceived and operated, can provide only rea</w:t>
      </w:r>
      <w:r>
        <w:rPr>
          <w:rFonts w:ascii="Calibri" w:hAnsi="Calibri" w:cs="Calibri"/>
          <w:sz w:val="20"/>
          <w:szCs w:val="20"/>
        </w:rPr>
        <w:t>sonable, not absolute, assurance that the objectives of the control system are met. Further, the design of a control system must reflect the fact that there are resource constraints and the benefits of controls must be considered relative to their costs. B</w:t>
      </w:r>
      <w:r>
        <w:rPr>
          <w:rFonts w:ascii="Calibri" w:hAnsi="Calibri" w:cs="Calibri"/>
          <w:sz w:val="20"/>
          <w:szCs w:val="20"/>
        </w:rPr>
        <w:t xml:space="preserve">ecause of the inherent limitations in all control systems, no evaluation of controls can provide absolute assurance that all control issues and instances of fraud, if any, have been detected. These inherent limitations include the realities that judgments </w:t>
      </w:r>
      <w:r>
        <w:rPr>
          <w:rFonts w:ascii="Calibri" w:hAnsi="Calibri" w:cs="Calibri"/>
          <w:sz w:val="20"/>
          <w:szCs w:val="20"/>
        </w:rPr>
        <w:t>in decision-making can be faulty and that breakdowns can occur because of a simple error or mistake. Additionally, controls can be circumvented by the individual acts of some persons, by collusion of two or more people or by management override of the cont</w:t>
      </w:r>
      <w:r>
        <w:rPr>
          <w:rFonts w:ascii="Calibri" w:hAnsi="Calibri" w:cs="Calibri"/>
          <w:sz w:val="20"/>
          <w:szCs w:val="20"/>
        </w:rPr>
        <w:t xml:space="preserve">rols. The design of any system of controls </w:t>
      </w:r>
    </w:p>
    <w:p w14:paraId="3973D72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59</w:t>
      </w:r>
    </w:p>
    <w:p w14:paraId="3973D730" w14:textId="77777777" w:rsidR="007B027D" w:rsidRDefault="008E0125">
      <w:r>
        <w:rPr>
          <w:rFonts w:ascii="Calibri" w:hAnsi="Calibri" w:cs="Calibri"/>
          <w:sz w:val="20"/>
          <w:szCs w:val="20"/>
        </w:rPr>
        <w:pict w14:anchorId="39740076">
          <v:rect id="_x0000_i1085" style="width:415.3pt;height:1.5pt" o:hralign="center" o:hrstd="t" o:hr="t" fillcolor="#a0a0a0" stroked="f"/>
        </w:pict>
      </w:r>
    </w:p>
    <w:p w14:paraId="3973D731" w14:textId="77777777" w:rsidR="007B027D" w:rsidRDefault="008E0125">
      <w:pPr>
        <w:pStyle w:val="a3"/>
        <w:spacing w:beforeAutospacing="0" w:after="120" w:afterAutospacing="0"/>
        <w:rPr>
          <w:rFonts w:ascii="Calibri" w:hAnsi="Calibri" w:cs="Calibri"/>
          <w:sz w:val="18"/>
          <w:szCs w:val="18"/>
        </w:rPr>
      </w:pPr>
      <w:hyperlink r:id="rId147" w:anchor="TABLE_OF_CONTENTS" w:history="1">
        <w:r>
          <w:rPr>
            <w:rStyle w:val="a5"/>
            <w:rFonts w:ascii="Calibri" w:hAnsi="Calibri" w:cs="Calibri"/>
            <w:sz w:val="18"/>
            <w:szCs w:val="18"/>
          </w:rPr>
          <w:t>Table of Contents</w:t>
        </w:r>
      </w:hyperlink>
    </w:p>
    <w:p w14:paraId="3973D732" w14:textId="77777777" w:rsidR="007B027D" w:rsidRDefault="008E0125">
      <w:pPr>
        <w:pStyle w:val="a3"/>
        <w:spacing w:beforeAutospacing="0" w:afterAutospacing="0"/>
        <w:rPr>
          <w:rFonts w:ascii="Calibri" w:hAnsi="Calibri" w:cs="Calibri"/>
          <w:sz w:val="18"/>
          <w:szCs w:val="18"/>
        </w:rPr>
      </w:pPr>
      <w:hyperlink r:id="rId148" w:anchor="ITEM_15_EXHIBITS_FINANCIAL_STATEMENT_SCH" w:history="1">
        <w:r>
          <w:rPr>
            <w:rStyle w:val="a5"/>
            <w:rFonts w:ascii="Calibri" w:hAnsi="Calibri" w:cs="Calibri"/>
            <w:sz w:val="18"/>
            <w:szCs w:val="18"/>
          </w:rPr>
          <w:t>Index to Financial Statements</w:t>
        </w:r>
      </w:hyperlink>
    </w:p>
    <w:p w14:paraId="3973D73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3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also is based in part upon certain assumptions about the likelihood of future events and there can be no assurance that any design will succeed in achieving its stated goals under all potential future conditions; over time, controls may become inadequate b</w:t>
      </w:r>
      <w:r>
        <w:rPr>
          <w:rFonts w:ascii="Calibri" w:hAnsi="Calibri" w:cs="Calibri"/>
          <w:sz w:val="20"/>
          <w:szCs w:val="20"/>
        </w:rPr>
        <w:t xml:space="preserve">ecause of changes in conditions, or the degree of compliance with policies or procedures may deteriorate. Because of the inherent limitations in a cost-effective control system, misstatements due to error or fraud may occur and not be detected. </w:t>
      </w:r>
    </w:p>
    <w:tbl>
      <w:tblPr>
        <w:tblW w:w="5000" w:type="pct"/>
        <w:tblCellMar>
          <w:left w:w="0" w:type="dxa"/>
          <w:right w:w="0" w:type="dxa"/>
        </w:tblCellMar>
        <w:tblLook w:val="04A0" w:firstRow="1" w:lastRow="0" w:firstColumn="1" w:lastColumn="0" w:noHBand="0" w:noVBand="1"/>
      </w:tblPr>
      <w:tblGrid>
        <w:gridCol w:w="699"/>
        <w:gridCol w:w="7607"/>
      </w:tblGrid>
      <w:tr w:rsidR="007B027D" w14:paraId="3973D737" w14:textId="77777777">
        <w:tc>
          <w:tcPr>
            <w:tcW w:w="213" w:type="pct"/>
            <w:shd w:val="clear" w:color="auto" w:fill="auto"/>
            <w:noWrap/>
          </w:tcPr>
          <w:p w14:paraId="3973D73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9B.</w:t>
            </w:r>
          </w:p>
        </w:tc>
        <w:tc>
          <w:tcPr>
            <w:tcW w:w="0" w:type="auto"/>
            <w:shd w:val="clear" w:color="auto" w:fill="auto"/>
          </w:tcPr>
          <w:p w14:paraId="3973D73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w:t>
            </w:r>
            <w:r>
              <w:rPr>
                <w:rFonts w:ascii="Calibri" w:hAnsi="Calibri" w:cs="Calibri"/>
                <w:b/>
                <w:bCs/>
                <w:sz w:val="20"/>
                <w:szCs w:val="20"/>
              </w:rPr>
              <w:t>ther Information</w:t>
            </w:r>
          </w:p>
        </w:tc>
      </w:tr>
    </w:tbl>
    <w:p w14:paraId="3973D73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None.</w:t>
      </w:r>
    </w:p>
    <w:p w14:paraId="3973D73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60</w:t>
      </w:r>
    </w:p>
    <w:p w14:paraId="3973D73A" w14:textId="77777777" w:rsidR="007B027D" w:rsidRDefault="008E0125">
      <w:r>
        <w:rPr>
          <w:rFonts w:ascii="Calibri" w:hAnsi="Calibri" w:cs="Calibri"/>
          <w:sz w:val="20"/>
          <w:szCs w:val="20"/>
        </w:rPr>
        <w:pict w14:anchorId="39740077">
          <v:rect id="_x0000_i1086" style="width:415.3pt;height:1.5pt" o:hralign="center" o:hrstd="t" o:hr="t" fillcolor="#a0a0a0" stroked="f"/>
        </w:pict>
      </w:r>
    </w:p>
    <w:p w14:paraId="3973D73B" w14:textId="77777777" w:rsidR="007B027D" w:rsidRDefault="008E0125">
      <w:pPr>
        <w:pStyle w:val="a3"/>
        <w:spacing w:beforeAutospacing="0" w:after="120" w:afterAutospacing="0"/>
        <w:rPr>
          <w:rFonts w:ascii="Calibri" w:hAnsi="Calibri" w:cs="Calibri"/>
          <w:sz w:val="18"/>
          <w:szCs w:val="18"/>
        </w:rPr>
      </w:pPr>
      <w:hyperlink r:id="rId149" w:anchor="TABLE_OF_CONTENTS" w:history="1">
        <w:r>
          <w:rPr>
            <w:rStyle w:val="a5"/>
            <w:rFonts w:ascii="Calibri" w:hAnsi="Calibri" w:cs="Calibri"/>
            <w:sz w:val="18"/>
            <w:szCs w:val="18"/>
          </w:rPr>
          <w:t>Table of Contents</w:t>
        </w:r>
      </w:hyperlink>
    </w:p>
    <w:p w14:paraId="3973D73C" w14:textId="77777777" w:rsidR="007B027D" w:rsidRDefault="008E0125">
      <w:pPr>
        <w:pStyle w:val="a3"/>
        <w:spacing w:beforeAutospacing="0" w:afterAutospacing="0"/>
        <w:rPr>
          <w:rFonts w:ascii="Calibri" w:hAnsi="Calibri" w:cs="Calibri"/>
          <w:sz w:val="18"/>
          <w:szCs w:val="18"/>
        </w:rPr>
      </w:pPr>
      <w:hyperlink r:id="rId150" w:anchor="ITEM_15_EXHIBITS_FINANCIAL_STATEMENT_SCH" w:history="1">
        <w:r>
          <w:rPr>
            <w:rStyle w:val="a5"/>
            <w:rFonts w:ascii="Calibri" w:hAnsi="Calibri" w:cs="Calibri"/>
            <w:sz w:val="18"/>
            <w:szCs w:val="18"/>
          </w:rPr>
          <w:t>Index to Financial Statements</w:t>
        </w:r>
      </w:hyperlink>
    </w:p>
    <w:p w14:paraId="3973D73D"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3E"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PART III</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41" w14:textId="77777777">
        <w:tc>
          <w:tcPr>
            <w:tcW w:w="213" w:type="pct"/>
            <w:shd w:val="clear" w:color="auto" w:fill="auto"/>
            <w:noWrap/>
          </w:tcPr>
          <w:p w14:paraId="3973D73F"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10.</w:t>
            </w:r>
          </w:p>
        </w:tc>
        <w:tc>
          <w:tcPr>
            <w:tcW w:w="0" w:type="auto"/>
            <w:shd w:val="clear" w:color="auto" w:fill="auto"/>
          </w:tcPr>
          <w:p w14:paraId="3973D740"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Directors, Executive Officers and Corporate Governance</w:t>
            </w:r>
          </w:p>
        </w:tc>
      </w:tr>
    </w:tbl>
    <w:p w14:paraId="3973D74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General Instruction G(3) of Form 10-K, the </w:t>
      </w:r>
      <w:r>
        <w:rPr>
          <w:rFonts w:ascii="Calibri" w:hAnsi="Calibri" w:cs="Calibri"/>
          <w:sz w:val="20"/>
          <w:szCs w:val="20"/>
        </w:rPr>
        <w:t>information required by this item relating to our executive officers is included under the caption “Executive Officers of the Registrant” in Part I of this Annual Report.</w:t>
      </w:r>
    </w:p>
    <w:p w14:paraId="3973D74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other information required by this Item 10 is incorporated herein by reference fr</w:t>
      </w:r>
      <w:r>
        <w:rPr>
          <w:rFonts w:ascii="Calibri" w:hAnsi="Calibri" w:cs="Calibri"/>
          <w:sz w:val="20"/>
          <w:szCs w:val="20"/>
        </w:rPr>
        <w:t>om the information contained in our Proxy Statement to be filed with the U.S. Securities and Exchange Commission in connection with the solicitation of proxies for our 2022 Annual Meeting of Stockholders (2022 Proxy Statement).</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46" w14:textId="77777777">
        <w:tc>
          <w:tcPr>
            <w:tcW w:w="213" w:type="pct"/>
            <w:shd w:val="clear" w:color="auto" w:fill="auto"/>
            <w:noWrap/>
          </w:tcPr>
          <w:p w14:paraId="3973D744"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11.</w:t>
            </w:r>
          </w:p>
        </w:tc>
        <w:tc>
          <w:tcPr>
            <w:tcW w:w="0" w:type="auto"/>
            <w:shd w:val="clear" w:color="auto" w:fill="auto"/>
          </w:tcPr>
          <w:p w14:paraId="3973D74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Executive Compensat</w:t>
            </w:r>
            <w:r>
              <w:rPr>
                <w:rFonts w:ascii="Calibri" w:hAnsi="Calibri" w:cs="Calibri"/>
                <w:b/>
                <w:bCs/>
                <w:sz w:val="20"/>
                <w:szCs w:val="20"/>
              </w:rPr>
              <w:t>ion</w:t>
            </w:r>
          </w:p>
        </w:tc>
      </w:tr>
    </w:tbl>
    <w:p w14:paraId="3973D74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information required by this Item 11 is incorporated herein by reference from the information to be contained in our 2022 Proxy Statement.</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4A" w14:textId="77777777">
        <w:tc>
          <w:tcPr>
            <w:tcW w:w="213" w:type="pct"/>
            <w:shd w:val="clear" w:color="auto" w:fill="auto"/>
            <w:noWrap/>
          </w:tcPr>
          <w:p w14:paraId="3973D74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12.</w:t>
            </w:r>
          </w:p>
        </w:tc>
        <w:tc>
          <w:tcPr>
            <w:tcW w:w="0" w:type="auto"/>
            <w:shd w:val="clear" w:color="auto" w:fill="auto"/>
          </w:tcPr>
          <w:p w14:paraId="3973D74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Security Ownership of Certain Beneficial Owners and Management</w:t>
            </w:r>
            <w:r>
              <w:rPr>
                <w:rFonts w:ascii="Calibri" w:hAnsi="Calibri" w:cs="Calibri"/>
                <w:sz w:val="20"/>
                <w:szCs w:val="20"/>
              </w:rPr>
              <w:t xml:space="preserve"> </w:t>
            </w:r>
            <w:r>
              <w:rPr>
                <w:rFonts w:ascii="Calibri" w:hAnsi="Calibri" w:cs="Calibri"/>
                <w:b/>
                <w:bCs/>
                <w:sz w:val="20"/>
                <w:szCs w:val="20"/>
              </w:rPr>
              <w:t>and Related Stockholder Matters</w:t>
            </w:r>
          </w:p>
        </w:tc>
      </w:tr>
    </w:tbl>
    <w:p w14:paraId="3973D74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w:t>
      </w:r>
      <w:r>
        <w:rPr>
          <w:rFonts w:ascii="Calibri" w:hAnsi="Calibri" w:cs="Calibri"/>
          <w:sz w:val="20"/>
          <w:szCs w:val="20"/>
        </w:rPr>
        <w:t xml:space="preserve"> information required by this Item 12 is incorporated herein by reference from the information to be contained in our 2022 Proxy Statement.</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4E" w14:textId="77777777">
        <w:tc>
          <w:tcPr>
            <w:tcW w:w="213" w:type="pct"/>
            <w:shd w:val="clear" w:color="auto" w:fill="auto"/>
            <w:noWrap/>
          </w:tcPr>
          <w:p w14:paraId="3973D74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13.</w:t>
            </w:r>
          </w:p>
        </w:tc>
        <w:tc>
          <w:tcPr>
            <w:tcW w:w="0" w:type="auto"/>
            <w:shd w:val="clear" w:color="auto" w:fill="auto"/>
          </w:tcPr>
          <w:p w14:paraId="3973D74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Certain Relationships and Related Transactions, and Director</w:t>
            </w:r>
            <w:r>
              <w:rPr>
                <w:rFonts w:ascii="Calibri" w:hAnsi="Calibri" w:cs="Calibri"/>
                <w:sz w:val="20"/>
                <w:szCs w:val="20"/>
              </w:rPr>
              <w:t xml:space="preserve"> </w:t>
            </w:r>
            <w:r>
              <w:rPr>
                <w:rFonts w:ascii="Calibri" w:hAnsi="Calibri" w:cs="Calibri"/>
                <w:b/>
                <w:bCs/>
                <w:sz w:val="20"/>
                <w:szCs w:val="20"/>
              </w:rPr>
              <w:t>Independence</w:t>
            </w:r>
          </w:p>
        </w:tc>
      </w:tr>
    </w:tbl>
    <w:p w14:paraId="3973D74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information required by </w:t>
      </w:r>
      <w:r>
        <w:rPr>
          <w:rFonts w:ascii="Calibri" w:hAnsi="Calibri" w:cs="Calibri"/>
          <w:sz w:val="20"/>
          <w:szCs w:val="20"/>
        </w:rPr>
        <w:t>this Item 13 is incorporated herein by reference from the information to be contained in our 2022 Proxy Statement.</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52" w14:textId="77777777">
        <w:tc>
          <w:tcPr>
            <w:tcW w:w="213" w:type="pct"/>
            <w:shd w:val="clear" w:color="auto" w:fill="auto"/>
            <w:noWrap/>
          </w:tcPr>
          <w:p w14:paraId="3973D75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14.</w:t>
            </w:r>
          </w:p>
        </w:tc>
        <w:tc>
          <w:tcPr>
            <w:tcW w:w="0" w:type="auto"/>
            <w:shd w:val="clear" w:color="auto" w:fill="auto"/>
          </w:tcPr>
          <w:p w14:paraId="3973D75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Principal Accountant Fees and Services</w:t>
            </w:r>
          </w:p>
        </w:tc>
      </w:tr>
    </w:tbl>
    <w:p w14:paraId="3973D75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information required by this Item 14 is incorporated herein by reference from the inform</w:t>
      </w:r>
      <w:r>
        <w:rPr>
          <w:rFonts w:ascii="Calibri" w:hAnsi="Calibri" w:cs="Calibri"/>
          <w:sz w:val="20"/>
          <w:szCs w:val="20"/>
        </w:rPr>
        <w:t>ation to be contained in our 2022 Proxy Statement.</w:t>
      </w:r>
    </w:p>
    <w:p w14:paraId="3973D75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61</w:t>
      </w:r>
    </w:p>
    <w:p w14:paraId="3973D755" w14:textId="77777777" w:rsidR="007B027D" w:rsidRDefault="008E0125">
      <w:r>
        <w:rPr>
          <w:rFonts w:ascii="Calibri" w:hAnsi="Calibri" w:cs="Calibri"/>
          <w:sz w:val="20"/>
          <w:szCs w:val="20"/>
        </w:rPr>
        <w:pict w14:anchorId="39740078">
          <v:rect id="_x0000_i1087" style="width:415.3pt;height:1.5pt" o:hralign="center" o:hrstd="t" o:hr="t" fillcolor="#a0a0a0" stroked="f"/>
        </w:pict>
      </w:r>
    </w:p>
    <w:p w14:paraId="3973D756" w14:textId="77777777" w:rsidR="007B027D" w:rsidRDefault="008E0125">
      <w:pPr>
        <w:pStyle w:val="a3"/>
        <w:spacing w:beforeAutospacing="0" w:after="120" w:afterAutospacing="0"/>
        <w:rPr>
          <w:rFonts w:ascii="Calibri" w:hAnsi="Calibri" w:cs="Calibri"/>
          <w:sz w:val="18"/>
          <w:szCs w:val="18"/>
        </w:rPr>
      </w:pPr>
      <w:hyperlink r:id="rId151" w:anchor="TABLE_OF_CONTENTS" w:history="1">
        <w:r>
          <w:rPr>
            <w:rStyle w:val="a5"/>
            <w:rFonts w:ascii="Calibri" w:hAnsi="Calibri" w:cs="Calibri"/>
            <w:sz w:val="18"/>
            <w:szCs w:val="18"/>
          </w:rPr>
          <w:t>Table of Contents</w:t>
        </w:r>
      </w:hyperlink>
    </w:p>
    <w:p w14:paraId="3973D757" w14:textId="77777777" w:rsidR="007B027D" w:rsidRDefault="008E0125">
      <w:pPr>
        <w:pStyle w:val="a3"/>
        <w:spacing w:beforeAutospacing="0" w:afterAutospacing="0"/>
        <w:rPr>
          <w:rFonts w:ascii="Calibri" w:hAnsi="Calibri" w:cs="Calibri"/>
          <w:sz w:val="18"/>
          <w:szCs w:val="18"/>
        </w:rPr>
      </w:pPr>
      <w:hyperlink r:id="rId152" w:anchor="ITEM_15_EXHIBITS_FINANCIAL_STATEMENT_SCH" w:history="1">
        <w:r>
          <w:rPr>
            <w:rStyle w:val="a5"/>
            <w:rFonts w:ascii="Calibri" w:hAnsi="Calibri" w:cs="Calibri"/>
            <w:sz w:val="18"/>
            <w:szCs w:val="18"/>
          </w:rPr>
          <w:t>Index to Financial Statements</w:t>
        </w:r>
      </w:hyperlink>
    </w:p>
    <w:p w14:paraId="3973D758"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59" w14:textId="77777777" w:rsidR="007B027D" w:rsidRDefault="008E0125">
      <w:pPr>
        <w:pStyle w:val="a3"/>
        <w:spacing w:beforeAutospacing="0" w:afterAutospacing="0"/>
        <w:rPr>
          <w:rFonts w:ascii="Calibri" w:hAnsi="Calibri" w:cs="Calibri"/>
          <w:b/>
          <w:bCs/>
          <w:sz w:val="20"/>
          <w:szCs w:val="20"/>
        </w:rPr>
      </w:pPr>
      <w:r>
        <w:rPr>
          <w:rFonts w:ascii="Calibri" w:hAnsi="Calibri" w:cs="Calibri"/>
          <w:b/>
          <w:bCs/>
          <w:sz w:val="20"/>
          <w:szCs w:val="20"/>
        </w:rPr>
        <w:t>PART IV</w:t>
      </w:r>
    </w:p>
    <w:tbl>
      <w:tblPr>
        <w:tblW w:w="5000" w:type="pct"/>
        <w:tblCellMar>
          <w:left w:w="0" w:type="dxa"/>
          <w:right w:w="0" w:type="dxa"/>
        </w:tblCellMar>
        <w:tblLook w:val="04A0" w:firstRow="1" w:lastRow="0" w:firstColumn="1" w:lastColumn="0" w:noHBand="0" w:noVBand="1"/>
      </w:tblPr>
      <w:tblGrid>
        <w:gridCol w:w="688"/>
        <w:gridCol w:w="7618"/>
      </w:tblGrid>
      <w:tr w:rsidR="007B027D" w14:paraId="3973D75C" w14:textId="77777777">
        <w:tc>
          <w:tcPr>
            <w:tcW w:w="213" w:type="pct"/>
            <w:shd w:val="clear" w:color="auto" w:fill="auto"/>
            <w:noWrap/>
          </w:tcPr>
          <w:p w14:paraId="3973D75A"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Item 15.</w:t>
            </w:r>
          </w:p>
        </w:tc>
        <w:tc>
          <w:tcPr>
            <w:tcW w:w="0" w:type="auto"/>
            <w:shd w:val="clear" w:color="auto" w:fill="auto"/>
          </w:tcPr>
          <w:p w14:paraId="3973D75B"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Exhibits and Financial Statement Schedules</w:t>
            </w:r>
          </w:p>
        </w:tc>
      </w:tr>
    </w:tbl>
    <w:p w14:paraId="3973D75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D760" w14:textId="77777777">
        <w:tc>
          <w:tcPr>
            <w:tcW w:w="192" w:type="pct"/>
            <w:shd w:val="clear" w:color="auto" w:fill="auto"/>
            <w:noWrap/>
          </w:tcPr>
          <w:p w14:paraId="3973D75E"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w:t>
            </w:r>
          </w:p>
        </w:tc>
        <w:tc>
          <w:tcPr>
            <w:tcW w:w="0" w:type="auto"/>
            <w:shd w:val="clear" w:color="auto" w:fill="auto"/>
          </w:tcPr>
          <w:p w14:paraId="3973D75F" w14:textId="77777777" w:rsidR="007B027D" w:rsidRDefault="008E0125">
            <w:pPr>
              <w:pStyle w:val="a3"/>
              <w:spacing w:before="120" w:beforeAutospacing="0" w:afterAutospacing="0"/>
              <w:jc w:val="both"/>
              <w:rPr>
                <w:rFonts w:ascii="Times New Roman" w:hAnsi="Times New Roman"/>
                <w:b/>
                <w:bCs/>
                <w:sz w:val="20"/>
                <w:szCs w:val="20"/>
              </w:rPr>
            </w:pPr>
            <w:r>
              <w:rPr>
                <w:rFonts w:ascii="Calibri" w:hAnsi="Calibri" w:cs="Calibri"/>
                <w:b/>
                <w:bCs/>
                <w:color w:val="000000"/>
                <w:sz w:val="20"/>
                <w:szCs w:val="20"/>
              </w:rPr>
              <w:t>1. Financial Statements</w:t>
            </w:r>
          </w:p>
        </w:tc>
      </w:tr>
    </w:tbl>
    <w:p w14:paraId="3973D76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financial statements are filed as a part of this report: </w:t>
      </w:r>
    </w:p>
    <w:p w14:paraId="3973D762" w14:textId="77777777" w:rsidR="007B027D" w:rsidRDefault="008E0125">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7808"/>
        <w:gridCol w:w="83"/>
        <w:gridCol w:w="415"/>
      </w:tblGrid>
      <w:tr w:rsidR="007B027D" w14:paraId="3973D766" w14:textId="77777777">
        <w:tc>
          <w:tcPr>
            <w:tcW w:w="4700" w:type="pct"/>
            <w:shd w:val="clear" w:color="auto" w:fill="auto"/>
          </w:tcPr>
          <w:p w14:paraId="3973D763" w14:textId="77777777" w:rsidR="007B027D" w:rsidRDefault="008E0125">
            <w:pPr>
              <w:pStyle w:val="a3"/>
              <w:spacing w:beforeAutospacing="0" w:afterAutospacing="0"/>
              <w:rPr>
                <w:rFonts w:ascii="Calibri" w:hAnsi="Calibri" w:cs="Calibri"/>
                <w:b/>
                <w:bCs/>
                <w:sz w:val="16"/>
                <w:szCs w:val="16"/>
              </w:rPr>
            </w:pPr>
            <w:r>
              <w:rPr>
                <w:rFonts w:ascii="Calibri" w:hAnsi="Calibri" w:cs="Calibri"/>
                <w:b/>
                <w:bCs/>
                <w:sz w:val="16"/>
                <w:szCs w:val="16"/>
              </w:rPr>
              <w:t> </w:t>
            </w:r>
          </w:p>
        </w:tc>
        <w:tc>
          <w:tcPr>
            <w:tcW w:w="50" w:type="pct"/>
            <w:shd w:val="clear" w:color="auto" w:fill="auto"/>
          </w:tcPr>
          <w:p w14:paraId="3973D764" w14:textId="77777777" w:rsidR="007B027D" w:rsidRDefault="008E0125">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50" w:type="pct"/>
            <w:shd w:val="clear" w:color="auto" w:fill="auto"/>
          </w:tcPr>
          <w:p w14:paraId="3973D765"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u w:val="single"/>
              </w:rPr>
              <w:t>Page</w:t>
            </w:r>
          </w:p>
        </w:tc>
      </w:tr>
      <w:tr w:rsidR="007B027D" w14:paraId="3973D76A" w14:textId="77777777">
        <w:tc>
          <w:tcPr>
            <w:tcW w:w="4700" w:type="pct"/>
            <w:shd w:val="clear" w:color="auto" w:fill="auto"/>
          </w:tcPr>
          <w:p w14:paraId="3973D767" w14:textId="77777777" w:rsidR="007B027D" w:rsidRDefault="008E0125">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3973D768" w14:textId="77777777" w:rsidR="007B027D" w:rsidRDefault="008E0125">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250" w:type="pct"/>
            <w:shd w:val="clear" w:color="auto" w:fill="auto"/>
          </w:tcPr>
          <w:p w14:paraId="3973D769" w14:textId="77777777" w:rsidR="007B027D" w:rsidRDefault="008E0125">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r>
      <w:tr w:rsidR="007B027D" w14:paraId="3973D76E" w14:textId="77777777">
        <w:tc>
          <w:tcPr>
            <w:tcW w:w="4700" w:type="pct"/>
            <w:shd w:val="clear" w:color="auto" w:fill="auto"/>
          </w:tcPr>
          <w:p w14:paraId="3973D76B" w14:textId="77777777" w:rsidR="007B027D" w:rsidRDefault="008E0125">
            <w:pPr>
              <w:pStyle w:val="a3"/>
              <w:spacing w:beforeAutospacing="0" w:afterAutospacing="0"/>
              <w:rPr>
                <w:rFonts w:ascii="Calibri" w:hAnsi="Calibri" w:cs="Calibri"/>
                <w:sz w:val="20"/>
                <w:szCs w:val="20"/>
              </w:rPr>
            </w:pPr>
            <w:hyperlink r:id="rId153" w:anchor="REPORT_INDEPENDENT_REGISTERED_PUBLIC_ACC" w:history="1">
              <w:r>
                <w:rPr>
                  <w:rStyle w:val="a5"/>
                  <w:rFonts w:ascii="Calibri" w:hAnsi="Calibri" w:cs="Calibri"/>
                  <w:sz w:val="20"/>
                  <w:szCs w:val="20"/>
                </w:rPr>
                <w:t>Reports of Independent Registered Public Accounting Firm</w:t>
              </w:r>
            </w:hyperlink>
            <w:r>
              <w:rPr>
                <w:rFonts w:ascii="Calibri" w:hAnsi="Calibri" w:cs="Calibri"/>
                <w:sz w:val="20"/>
                <w:szCs w:val="20"/>
              </w:rPr>
              <w:t xml:space="preserve"> (PCAOB ID: 42)</w:t>
            </w:r>
          </w:p>
        </w:tc>
        <w:tc>
          <w:tcPr>
            <w:tcW w:w="50" w:type="pct"/>
            <w:shd w:val="clear" w:color="auto" w:fill="auto"/>
          </w:tcPr>
          <w:p w14:paraId="3973D76C"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6D"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63</w:t>
            </w:r>
          </w:p>
        </w:tc>
      </w:tr>
      <w:tr w:rsidR="007B027D" w14:paraId="3973D772" w14:textId="77777777">
        <w:tc>
          <w:tcPr>
            <w:tcW w:w="4700" w:type="pct"/>
            <w:shd w:val="clear" w:color="auto" w:fill="auto"/>
          </w:tcPr>
          <w:p w14:paraId="3973D76F"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Consolidated Financial Statements:</w:t>
            </w:r>
          </w:p>
        </w:tc>
        <w:tc>
          <w:tcPr>
            <w:tcW w:w="50" w:type="pct"/>
            <w:shd w:val="clear" w:color="auto" w:fill="auto"/>
          </w:tcPr>
          <w:p w14:paraId="3973D770"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71"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r>
      <w:tr w:rsidR="007B027D" w14:paraId="3973D776" w14:textId="77777777">
        <w:tc>
          <w:tcPr>
            <w:tcW w:w="4700" w:type="pct"/>
            <w:shd w:val="clear" w:color="auto" w:fill="auto"/>
          </w:tcPr>
          <w:p w14:paraId="3973D773" w14:textId="77777777" w:rsidR="007B027D" w:rsidRDefault="008E0125">
            <w:pPr>
              <w:pStyle w:val="a3"/>
              <w:spacing w:beforeAutospacing="0" w:afterAutospacing="0"/>
              <w:ind w:left="490"/>
              <w:rPr>
                <w:rFonts w:ascii="Calibri" w:hAnsi="Calibri" w:cs="Calibri"/>
                <w:sz w:val="20"/>
                <w:szCs w:val="20"/>
              </w:rPr>
            </w:pPr>
            <w:hyperlink r:id="rId154" w:anchor="CONSOLIDATED_BALANCE_SHEETS" w:history="1">
              <w:r>
                <w:rPr>
                  <w:rStyle w:val="a5"/>
                  <w:rFonts w:ascii="Calibri" w:hAnsi="Calibri" w:cs="Calibri"/>
                  <w:sz w:val="20"/>
                  <w:szCs w:val="20"/>
                </w:rPr>
                <w:t>Balance Sheets as of May 31, 2022 and 2021</w:t>
              </w:r>
            </w:hyperlink>
          </w:p>
        </w:tc>
        <w:tc>
          <w:tcPr>
            <w:tcW w:w="50" w:type="pct"/>
            <w:shd w:val="clear" w:color="auto" w:fill="auto"/>
          </w:tcPr>
          <w:p w14:paraId="3973D774"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75"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66</w:t>
            </w:r>
          </w:p>
        </w:tc>
      </w:tr>
      <w:tr w:rsidR="007B027D" w14:paraId="3973D77A" w14:textId="77777777">
        <w:tc>
          <w:tcPr>
            <w:tcW w:w="4700" w:type="pct"/>
            <w:shd w:val="clear" w:color="auto" w:fill="auto"/>
          </w:tcPr>
          <w:p w14:paraId="3973D777" w14:textId="77777777" w:rsidR="007B027D" w:rsidRDefault="008E0125">
            <w:pPr>
              <w:pStyle w:val="a3"/>
              <w:spacing w:beforeAutospacing="0" w:afterAutospacing="0"/>
              <w:ind w:left="490"/>
              <w:rPr>
                <w:rFonts w:ascii="Calibri" w:hAnsi="Calibri" w:cs="Calibri"/>
                <w:sz w:val="20"/>
                <w:szCs w:val="20"/>
              </w:rPr>
            </w:pPr>
            <w:hyperlink r:id="rId155" w:anchor="CONSOLIDATED_STATEMENTS_OPERATIONS" w:history="1">
              <w:r>
                <w:rPr>
                  <w:rStyle w:val="a5"/>
                  <w:rFonts w:ascii="Calibri" w:hAnsi="Calibri" w:cs="Calibri"/>
                  <w:sz w:val="20"/>
                  <w:szCs w:val="20"/>
                </w:rPr>
                <w:t>Statements of Operations for the years ended May 31, 2022, 2021 and 2020</w:t>
              </w:r>
            </w:hyperlink>
          </w:p>
        </w:tc>
        <w:tc>
          <w:tcPr>
            <w:tcW w:w="50" w:type="pct"/>
            <w:shd w:val="clear" w:color="auto" w:fill="auto"/>
          </w:tcPr>
          <w:p w14:paraId="3973D778"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79"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67</w:t>
            </w:r>
          </w:p>
        </w:tc>
      </w:tr>
      <w:tr w:rsidR="007B027D" w14:paraId="3973D77E" w14:textId="77777777">
        <w:tc>
          <w:tcPr>
            <w:tcW w:w="4700" w:type="pct"/>
            <w:shd w:val="clear" w:color="auto" w:fill="auto"/>
          </w:tcPr>
          <w:p w14:paraId="3973D77B" w14:textId="77777777" w:rsidR="007B027D" w:rsidRDefault="008E0125">
            <w:pPr>
              <w:pStyle w:val="a3"/>
              <w:spacing w:beforeAutospacing="0" w:afterAutospacing="0"/>
              <w:ind w:left="490"/>
              <w:rPr>
                <w:rFonts w:ascii="Calibri" w:hAnsi="Calibri" w:cs="Calibri"/>
                <w:sz w:val="20"/>
                <w:szCs w:val="20"/>
              </w:rPr>
            </w:pPr>
            <w:hyperlink r:id="rId156" w:anchor="CONSOLIDATED_STATEMENTS_COMPREHENSIVE_IN" w:history="1">
              <w:r>
                <w:rPr>
                  <w:rStyle w:val="a5"/>
                  <w:rFonts w:ascii="Calibri" w:hAnsi="Calibri" w:cs="Calibri"/>
                  <w:sz w:val="20"/>
                  <w:szCs w:val="20"/>
                </w:rPr>
                <w:t>Statements of Comprehensive Income for the years ended May 31, 2022, 2021 and 2020</w:t>
              </w:r>
            </w:hyperlink>
          </w:p>
        </w:tc>
        <w:tc>
          <w:tcPr>
            <w:tcW w:w="50" w:type="pct"/>
            <w:shd w:val="clear" w:color="auto" w:fill="auto"/>
          </w:tcPr>
          <w:p w14:paraId="3973D77C"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7D"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68</w:t>
            </w:r>
          </w:p>
        </w:tc>
      </w:tr>
      <w:tr w:rsidR="007B027D" w14:paraId="3973D782" w14:textId="77777777">
        <w:tc>
          <w:tcPr>
            <w:tcW w:w="4700" w:type="pct"/>
            <w:shd w:val="clear" w:color="auto" w:fill="auto"/>
          </w:tcPr>
          <w:p w14:paraId="3973D77F" w14:textId="77777777" w:rsidR="007B027D" w:rsidRDefault="008E0125">
            <w:pPr>
              <w:pStyle w:val="a3"/>
              <w:spacing w:beforeAutospacing="0" w:afterAutospacing="0"/>
              <w:ind w:left="490"/>
              <w:rPr>
                <w:rFonts w:ascii="Calibri" w:hAnsi="Calibri" w:cs="Calibri"/>
                <w:sz w:val="20"/>
                <w:szCs w:val="20"/>
              </w:rPr>
            </w:pPr>
            <w:hyperlink r:id="rId157" w:anchor="CONSOLIDATED_STATEMENTS_EQUITY" w:history="1">
              <w:r>
                <w:rPr>
                  <w:rStyle w:val="a5"/>
                  <w:rFonts w:ascii="Calibri" w:hAnsi="Calibri" w:cs="Calibri"/>
                  <w:sz w:val="20"/>
                  <w:szCs w:val="20"/>
                </w:rPr>
                <w:t>Statements of Stockholders’ (Deficit) Equity for the years ended May 31, 2022, 2021 and 2020</w:t>
              </w:r>
            </w:hyperlink>
          </w:p>
        </w:tc>
        <w:tc>
          <w:tcPr>
            <w:tcW w:w="50" w:type="pct"/>
            <w:shd w:val="clear" w:color="auto" w:fill="auto"/>
          </w:tcPr>
          <w:p w14:paraId="3973D780"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81"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69</w:t>
            </w:r>
          </w:p>
        </w:tc>
      </w:tr>
      <w:tr w:rsidR="007B027D" w14:paraId="3973D786" w14:textId="77777777">
        <w:tc>
          <w:tcPr>
            <w:tcW w:w="4700" w:type="pct"/>
            <w:shd w:val="clear" w:color="auto" w:fill="auto"/>
          </w:tcPr>
          <w:p w14:paraId="3973D783" w14:textId="77777777" w:rsidR="007B027D" w:rsidRDefault="008E0125">
            <w:pPr>
              <w:pStyle w:val="a3"/>
              <w:spacing w:beforeAutospacing="0" w:afterAutospacing="0"/>
              <w:ind w:left="490"/>
              <w:rPr>
                <w:rFonts w:ascii="Calibri" w:hAnsi="Calibri" w:cs="Calibri"/>
                <w:sz w:val="20"/>
                <w:szCs w:val="20"/>
              </w:rPr>
            </w:pPr>
            <w:hyperlink r:id="rId158" w:anchor="CONSOLIDATED_STATEMENTS_CASH_FLOWS" w:history="1">
              <w:r>
                <w:rPr>
                  <w:rStyle w:val="a5"/>
                  <w:rFonts w:ascii="Calibri" w:hAnsi="Calibri" w:cs="Calibri"/>
                  <w:sz w:val="20"/>
                  <w:szCs w:val="20"/>
                </w:rPr>
                <w:t>Statements of Cash Flows for the years ended May 31, 2022, 2021 and 2020</w:t>
              </w:r>
            </w:hyperlink>
          </w:p>
        </w:tc>
        <w:tc>
          <w:tcPr>
            <w:tcW w:w="50" w:type="pct"/>
            <w:shd w:val="clear" w:color="auto" w:fill="auto"/>
          </w:tcPr>
          <w:p w14:paraId="3973D784"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85"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70</w:t>
            </w:r>
          </w:p>
        </w:tc>
      </w:tr>
      <w:tr w:rsidR="007B027D" w14:paraId="3973D78A" w14:textId="77777777">
        <w:tc>
          <w:tcPr>
            <w:tcW w:w="4700" w:type="pct"/>
            <w:shd w:val="clear" w:color="auto" w:fill="auto"/>
          </w:tcPr>
          <w:p w14:paraId="3973D787" w14:textId="77777777" w:rsidR="007B027D" w:rsidRDefault="008E0125">
            <w:pPr>
              <w:pStyle w:val="a3"/>
              <w:spacing w:beforeAutospacing="0" w:afterAutospacing="0"/>
              <w:ind w:left="490"/>
              <w:rPr>
                <w:rFonts w:ascii="Calibri" w:hAnsi="Calibri" w:cs="Calibri"/>
                <w:sz w:val="20"/>
                <w:szCs w:val="20"/>
              </w:rPr>
            </w:pPr>
            <w:hyperlink r:id="rId159" w:anchor="N1_ORGANIZATION_SIGNIFICANT_ACCOUNTING_P" w:history="1">
              <w:r>
                <w:rPr>
                  <w:rStyle w:val="a5"/>
                  <w:rFonts w:ascii="Calibri" w:hAnsi="Calibri" w:cs="Calibri"/>
                  <w:sz w:val="20"/>
                  <w:szCs w:val="20"/>
                </w:rPr>
                <w:t>Notes to Consolidated Financial Statements</w:t>
              </w:r>
            </w:hyperlink>
          </w:p>
        </w:tc>
        <w:tc>
          <w:tcPr>
            <w:tcW w:w="50" w:type="pct"/>
            <w:shd w:val="clear" w:color="auto" w:fill="auto"/>
          </w:tcPr>
          <w:p w14:paraId="3973D788" w14:textId="77777777" w:rsidR="007B027D" w:rsidRDefault="008E0125">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3973D789"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71</w:t>
            </w:r>
          </w:p>
        </w:tc>
      </w:tr>
    </w:tbl>
    <w:p w14:paraId="3973D78B"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78C" w14:textId="77777777" w:rsidR="007B027D" w:rsidRDefault="008E0125">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2. Financial Statement Schedules</w:t>
      </w:r>
    </w:p>
    <w:p w14:paraId="3973D78D"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p w14:paraId="3973D78E"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All </w:t>
      </w:r>
      <w:r>
        <w:rPr>
          <w:rFonts w:ascii="Calibri" w:hAnsi="Calibri" w:cs="Calibri"/>
          <w:sz w:val="20"/>
          <w:szCs w:val="20"/>
        </w:rPr>
        <w:t>schedules are omitted because the information required to be set forth therein is not applicable or is shown in the financial statements or notes herein or not present in amounts sufficient to require submission of the schedule.</w:t>
      </w:r>
    </w:p>
    <w:p w14:paraId="3973D78F"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 xml:space="preserve">(b) Exhibits </w:t>
      </w:r>
    </w:p>
    <w:p w14:paraId="3973D79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informati</w:t>
      </w:r>
      <w:r>
        <w:rPr>
          <w:rFonts w:ascii="Calibri" w:hAnsi="Calibri" w:cs="Calibri"/>
          <w:sz w:val="20"/>
          <w:szCs w:val="20"/>
        </w:rPr>
        <w:t xml:space="preserve">on required by this Item is set forth in the Index of Exhibits that is after Item 16 of this Annual Report. </w:t>
      </w:r>
    </w:p>
    <w:p w14:paraId="3973D791" w14:textId="77777777" w:rsidR="007B027D" w:rsidRDefault="008E0125">
      <w:pPr>
        <w:pStyle w:val="a3"/>
        <w:spacing w:before="120" w:beforeAutospacing="0" w:afterAutospacing="0"/>
        <w:jc w:val="both"/>
        <w:rPr>
          <w:rFonts w:ascii="Times New Roman" w:hAnsi="Times New Roman"/>
        </w:rPr>
      </w:pPr>
      <w:r>
        <w:rPr>
          <w:rFonts w:ascii="Times New Roman" w:hAnsi="Times New Roman"/>
        </w:rPr>
        <w:t> </w:t>
      </w:r>
    </w:p>
    <w:p w14:paraId="3973D792"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62</w:t>
      </w:r>
    </w:p>
    <w:p w14:paraId="3973D793" w14:textId="77777777" w:rsidR="007B027D" w:rsidRDefault="008E0125">
      <w:r>
        <w:rPr>
          <w:rFonts w:ascii="Calibri" w:hAnsi="Calibri" w:cs="Calibri"/>
          <w:sz w:val="20"/>
          <w:szCs w:val="20"/>
        </w:rPr>
        <w:pict w14:anchorId="39740079">
          <v:rect id="_x0000_i1088" style="width:415.3pt;height:1.5pt" o:hralign="center" o:hrstd="t" o:hr="t" fillcolor="#a0a0a0" stroked="f"/>
        </w:pict>
      </w:r>
    </w:p>
    <w:p w14:paraId="3973D794" w14:textId="77777777" w:rsidR="007B027D" w:rsidRDefault="008E0125">
      <w:pPr>
        <w:pStyle w:val="a3"/>
        <w:spacing w:beforeAutospacing="0" w:after="120" w:afterAutospacing="0"/>
        <w:rPr>
          <w:rFonts w:ascii="Calibri" w:hAnsi="Calibri" w:cs="Calibri"/>
          <w:sz w:val="18"/>
          <w:szCs w:val="18"/>
        </w:rPr>
      </w:pPr>
      <w:hyperlink r:id="rId160" w:anchor="TABLE_OF_CONTENTS" w:history="1">
        <w:r>
          <w:rPr>
            <w:rStyle w:val="a5"/>
            <w:rFonts w:ascii="Calibri" w:hAnsi="Calibri" w:cs="Calibri"/>
            <w:sz w:val="18"/>
            <w:szCs w:val="18"/>
          </w:rPr>
          <w:t>Table of Contents</w:t>
        </w:r>
      </w:hyperlink>
    </w:p>
    <w:p w14:paraId="3973D795" w14:textId="77777777" w:rsidR="007B027D" w:rsidRDefault="008E0125">
      <w:pPr>
        <w:pStyle w:val="a3"/>
        <w:spacing w:beforeAutospacing="0" w:afterAutospacing="0"/>
        <w:rPr>
          <w:rFonts w:ascii="Calibri" w:hAnsi="Calibri" w:cs="Calibri"/>
          <w:sz w:val="18"/>
          <w:szCs w:val="18"/>
        </w:rPr>
      </w:pPr>
      <w:hyperlink r:id="rId161" w:anchor="ITEM_15_EXHIBITS_FINANCIAL_STATEMENT_SCH" w:history="1">
        <w:r>
          <w:rPr>
            <w:rStyle w:val="a5"/>
            <w:rFonts w:ascii="Calibri" w:hAnsi="Calibri" w:cs="Calibri"/>
            <w:sz w:val="18"/>
            <w:szCs w:val="18"/>
          </w:rPr>
          <w:t>Index to Financial Statements</w:t>
        </w:r>
      </w:hyperlink>
    </w:p>
    <w:p w14:paraId="3973D796"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9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798" w14:textId="77777777" w:rsidR="007B027D" w:rsidRDefault="008E0125">
      <w:pPr>
        <w:pStyle w:val="a3"/>
        <w:spacing w:beforeAutospacing="0" w:afterAutospacing="0"/>
        <w:jc w:val="center"/>
        <w:rPr>
          <w:rFonts w:ascii="Calibri" w:hAnsi="Calibri" w:cs="Calibri"/>
          <w:b/>
          <w:bCs/>
          <w:sz w:val="19"/>
          <w:szCs w:val="19"/>
        </w:rPr>
      </w:pPr>
      <w:r>
        <w:rPr>
          <w:rFonts w:ascii="Calibri" w:hAnsi="Calibri" w:cs="Calibri"/>
          <w:b/>
          <w:bCs/>
          <w:sz w:val="19"/>
          <w:szCs w:val="19"/>
        </w:rPr>
        <w:t>Report of Independent Registered Public Accounting Firm</w:t>
      </w:r>
    </w:p>
    <w:p w14:paraId="3973D799" w14:textId="77777777" w:rsidR="007B027D" w:rsidRDefault="008E0125">
      <w:pPr>
        <w:pStyle w:val="a3"/>
        <w:spacing w:before="120" w:beforeAutospacing="0" w:after="120" w:afterAutospacing="0"/>
        <w:rPr>
          <w:rFonts w:ascii="Calibri" w:hAnsi="Calibri" w:cs="Calibri"/>
          <w:sz w:val="12"/>
          <w:szCs w:val="12"/>
        </w:rPr>
      </w:pPr>
      <w:r>
        <w:rPr>
          <w:rFonts w:ascii="Calibri" w:hAnsi="Calibri" w:cs="Calibri"/>
          <w:sz w:val="12"/>
          <w:szCs w:val="12"/>
        </w:rPr>
        <w:br/>
      </w:r>
      <w:r>
        <w:rPr>
          <w:rFonts w:ascii="Calibri" w:hAnsi="Calibri" w:cs="Calibri"/>
          <w:sz w:val="19"/>
          <w:szCs w:val="19"/>
        </w:rPr>
        <w:t>To the</w:t>
      </w:r>
      <w:r>
        <w:rPr>
          <w:rFonts w:ascii="Calibri" w:hAnsi="Calibri" w:cs="Calibri"/>
          <w:sz w:val="19"/>
          <w:szCs w:val="19"/>
        </w:rPr>
        <w:t xml:space="preserve"> Stockholders and the Board of Directors of Oracle Corporation</w:t>
      </w:r>
    </w:p>
    <w:p w14:paraId="3973D79A" w14:textId="77777777" w:rsidR="007B027D" w:rsidRDefault="008E0125">
      <w:pPr>
        <w:pStyle w:val="a3"/>
        <w:spacing w:before="120" w:beforeAutospacing="0" w:after="120" w:afterAutospacing="0"/>
        <w:rPr>
          <w:rFonts w:ascii="Calibri" w:hAnsi="Calibri" w:cs="Calibri"/>
          <w:b/>
          <w:bCs/>
          <w:sz w:val="19"/>
          <w:szCs w:val="19"/>
        </w:rPr>
      </w:pPr>
      <w:r>
        <w:rPr>
          <w:rFonts w:ascii="Calibri" w:hAnsi="Calibri" w:cs="Calibri"/>
          <w:b/>
          <w:bCs/>
          <w:sz w:val="19"/>
          <w:szCs w:val="19"/>
        </w:rPr>
        <w:t xml:space="preserve">Opinion on the Financial Statements </w:t>
      </w:r>
    </w:p>
    <w:p w14:paraId="3973D79B" w14:textId="77777777" w:rsidR="007B027D" w:rsidRDefault="008E0125">
      <w:pPr>
        <w:pStyle w:val="a3"/>
        <w:spacing w:before="120" w:beforeAutospacing="0" w:after="120" w:afterAutospacing="0"/>
        <w:jc w:val="both"/>
        <w:rPr>
          <w:rFonts w:ascii="Calibri" w:hAnsi="Calibri" w:cs="Calibri"/>
          <w:sz w:val="19"/>
          <w:szCs w:val="19"/>
        </w:rPr>
      </w:pPr>
      <w:r>
        <w:rPr>
          <w:rFonts w:ascii="Calibri" w:hAnsi="Calibri" w:cs="Calibri"/>
          <w:sz w:val="19"/>
          <w:szCs w:val="19"/>
        </w:rPr>
        <w:t>We have audited the accompanying consolidated balance sheets of Oracle Corporation (the Company) as of May 31, 2022 and 2021, the related consolidated statements of operations, comprehensive income, equity, and cash flows for each of the three years in the</w:t>
      </w:r>
      <w:r>
        <w:rPr>
          <w:rFonts w:ascii="Calibri" w:hAnsi="Calibri" w:cs="Calibri"/>
          <w:sz w:val="19"/>
          <w:szCs w:val="19"/>
        </w:rPr>
        <w:t xml:space="preserve"> period ended May 31, 2022, and the related notes (collectively referred to as the “financial statements”). In our opinion, the financial statements present fairly, in all material respects, the financial position of the Company at May 31, 2022 and 2021, a</w:t>
      </w:r>
      <w:r>
        <w:rPr>
          <w:rFonts w:ascii="Calibri" w:hAnsi="Calibri" w:cs="Calibri"/>
          <w:sz w:val="19"/>
          <w:szCs w:val="19"/>
        </w:rPr>
        <w:t xml:space="preserve">nd the results of its operations and its cash flows for each of the three years in the period ended May 31, 2022, in conformity with U.S. generally accepted accounting principles. </w:t>
      </w:r>
    </w:p>
    <w:p w14:paraId="3973D79C" w14:textId="77777777" w:rsidR="007B027D" w:rsidRDefault="008E0125">
      <w:pPr>
        <w:pStyle w:val="a3"/>
        <w:spacing w:before="120" w:beforeAutospacing="0" w:after="120" w:afterAutospacing="0"/>
        <w:jc w:val="both"/>
        <w:rPr>
          <w:rFonts w:ascii="Calibri" w:hAnsi="Calibri" w:cs="Calibri"/>
          <w:sz w:val="19"/>
          <w:szCs w:val="19"/>
        </w:rPr>
      </w:pPr>
      <w:r>
        <w:rPr>
          <w:rFonts w:ascii="Calibri" w:hAnsi="Calibri" w:cs="Calibri"/>
          <w:sz w:val="19"/>
          <w:szCs w:val="19"/>
        </w:rPr>
        <w:t>We also have audited, in accordance with the standards of the Public Compan</w:t>
      </w:r>
      <w:r>
        <w:rPr>
          <w:rFonts w:ascii="Calibri" w:hAnsi="Calibri" w:cs="Calibri"/>
          <w:sz w:val="19"/>
          <w:szCs w:val="19"/>
        </w:rPr>
        <w:t xml:space="preserve">y Accounting Oversight Board (United States) (PCAOB), the Company's internal control over financial reporting as of May 31, 2022, based on criteria established in Internal Control-Integrated Framework issued by the Committee of Sponsoring Organizations of </w:t>
      </w:r>
      <w:r>
        <w:rPr>
          <w:rFonts w:ascii="Calibri" w:hAnsi="Calibri" w:cs="Calibri"/>
          <w:sz w:val="19"/>
          <w:szCs w:val="19"/>
        </w:rPr>
        <w:t>the Treadway Commission (2013 framework) and our report dated June 21, 2022 expressed an unqualified opinion thereon.</w:t>
      </w:r>
    </w:p>
    <w:p w14:paraId="3973D79D" w14:textId="77777777" w:rsidR="007B027D" w:rsidRDefault="008E0125">
      <w:pPr>
        <w:pStyle w:val="a3"/>
        <w:spacing w:before="120" w:beforeAutospacing="0" w:after="120" w:afterAutospacing="0"/>
        <w:rPr>
          <w:rFonts w:ascii="Calibri" w:hAnsi="Calibri" w:cs="Calibri"/>
          <w:b/>
          <w:bCs/>
          <w:sz w:val="19"/>
          <w:szCs w:val="19"/>
        </w:rPr>
      </w:pPr>
      <w:r>
        <w:rPr>
          <w:rFonts w:ascii="Calibri" w:hAnsi="Calibri" w:cs="Calibri"/>
          <w:b/>
          <w:bCs/>
          <w:sz w:val="19"/>
          <w:szCs w:val="19"/>
        </w:rPr>
        <w:t xml:space="preserve">Basis for Opinion </w:t>
      </w:r>
    </w:p>
    <w:p w14:paraId="3973D79E" w14:textId="77777777" w:rsidR="007B027D" w:rsidRDefault="008E0125">
      <w:pPr>
        <w:pStyle w:val="a3"/>
        <w:shd w:val="clear" w:color="auto" w:fill="FFFFFF"/>
        <w:spacing w:before="120" w:beforeAutospacing="0" w:after="120" w:afterAutospacing="0"/>
        <w:jc w:val="both"/>
        <w:rPr>
          <w:rFonts w:ascii="Calibri" w:hAnsi="Calibri" w:cs="Calibri"/>
          <w:sz w:val="19"/>
          <w:szCs w:val="19"/>
        </w:rPr>
      </w:pPr>
      <w:r>
        <w:rPr>
          <w:rFonts w:ascii="Calibri" w:hAnsi="Calibri" w:cs="Calibri"/>
          <w:sz w:val="19"/>
          <w:szCs w:val="19"/>
          <w:shd w:val="clear" w:color="auto" w:fill="FFFFFF"/>
        </w:rPr>
        <w:t>These financial statements are the responsibility of the Company's management. Our responsibility is to express an opin</w:t>
      </w:r>
      <w:r>
        <w:rPr>
          <w:rFonts w:ascii="Calibri" w:hAnsi="Calibri" w:cs="Calibri"/>
          <w:sz w:val="19"/>
          <w:szCs w:val="19"/>
          <w:shd w:val="clear" w:color="auto" w:fill="FFFFFF"/>
        </w:rPr>
        <w:t>ion on the Company’s financial statements based on our audits. We are a public accounting firm registered with the PCAOB and are required to be independent with respect to the Company in accordance with the U.S. federal securities laws and the applicable r</w:t>
      </w:r>
      <w:r>
        <w:rPr>
          <w:rFonts w:ascii="Calibri" w:hAnsi="Calibri" w:cs="Calibri"/>
          <w:sz w:val="19"/>
          <w:szCs w:val="19"/>
          <w:shd w:val="clear" w:color="auto" w:fill="FFFFFF"/>
        </w:rPr>
        <w:t xml:space="preserve">ules and regulations of the Securities and Exchange Commission and the PCAOB. </w:t>
      </w:r>
    </w:p>
    <w:p w14:paraId="3973D79F" w14:textId="77777777" w:rsidR="007B027D" w:rsidRDefault="008E0125">
      <w:pPr>
        <w:pStyle w:val="a3"/>
        <w:shd w:val="clear" w:color="auto" w:fill="FFFFFF"/>
        <w:spacing w:before="120" w:beforeAutospacing="0" w:afterAutospacing="0"/>
        <w:jc w:val="both"/>
        <w:rPr>
          <w:rFonts w:ascii="Calibri" w:hAnsi="Calibri" w:cs="Calibri"/>
          <w:sz w:val="19"/>
          <w:szCs w:val="19"/>
        </w:rPr>
      </w:pPr>
      <w:r>
        <w:rPr>
          <w:rFonts w:ascii="Calibri" w:hAnsi="Calibri" w:cs="Calibri"/>
          <w:sz w:val="19"/>
          <w:szCs w:val="19"/>
          <w:shd w:val="clear" w:color="auto" w:fill="FFFFFF"/>
        </w:rPr>
        <w:t>We conducted our audits in accordance with the standards of the PCAOB. Those standards require that we plan and perform the audit to obtain reasonable assurance about whether th</w:t>
      </w:r>
      <w:r>
        <w:rPr>
          <w:rFonts w:ascii="Calibri" w:hAnsi="Calibri" w:cs="Calibri"/>
          <w:sz w:val="19"/>
          <w:szCs w:val="19"/>
          <w:shd w:val="clear" w:color="auto" w:fill="FFFFFF"/>
        </w:rPr>
        <w:t>e financial statements are free of material misstatement, whether due to error or fraud. Our audits included performing procedures to assess the risks of material misstatement of the financial statements, whether due to error or fraud, and performing proce</w:t>
      </w:r>
      <w:r>
        <w:rPr>
          <w:rFonts w:ascii="Calibri" w:hAnsi="Calibri" w:cs="Calibri"/>
          <w:sz w:val="19"/>
          <w:szCs w:val="19"/>
          <w:shd w:val="clear" w:color="auto" w:fill="FFFFFF"/>
        </w:rPr>
        <w:t>dures that respond to those risks. Such procedures included examining, on a test basis, evidence regarding the amounts and disclosures in the financial statements. Our audits also included evaluating the accounting principles used and significant estimates</w:t>
      </w:r>
      <w:r>
        <w:rPr>
          <w:rFonts w:ascii="Calibri" w:hAnsi="Calibri" w:cs="Calibri"/>
          <w:sz w:val="19"/>
          <w:szCs w:val="19"/>
          <w:shd w:val="clear" w:color="auto" w:fill="FFFFFF"/>
        </w:rPr>
        <w:t xml:space="preserve"> made by management, as well as evaluating the overall presentation of the financial statements. We believe that our audits provide a reasonable basis for our opinion. </w:t>
      </w:r>
    </w:p>
    <w:p w14:paraId="3973D7A0" w14:textId="77777777" w:rsidR="007B027D" w:rsidRDefault="008E0125">
      <w:pPr>
        <w:pStyle w:val="a3"/>
        <w:spacing w:before="120" w:beforeAutospacing="0" w:after="120" w:afterAutospacing="0"/>
        <w:rPr>
          <w:rFonts w:ascii="Calibri" w:hAnsi="Calibri" w:cs="Calibri"/>
          <w:b/>
          <w:bCs/>
          <w:sz w:val="19"/>
          <w:szCs w:val="19"/>
        </w:rPr>
      </w:pPr>
      <w:r>
        <w:rPr>
          <w:rFonts w:ascii="Calibri" w:hAnsi="Calibri" w:cs="Calibri"/>
          <w:b/>
          <w:bCs/>
          <w:sz w:val="19"/>
          <w:szCs w:val="19"/>
        </w:rPr>
        <w:t>Critical Audit Matter</w:t>
      </w:r>
    </w:p>
    <w:p w14:paraId="3973D7A1" w14:textId="77777777" w:rsidR="007B027D" w:rsidRDefault="008E0125">
      <w:pPr>
        <w:pStyle w:val="a3"/>
        <w:spacing w:beforeAutospacing="0" w:afterAutospacing="0"/>
        <w:jc w:val="both"/>
        <w:rPr>
          <w:rFonts w:ascii="Calibri" w:hAnsi="Calibri" w:cs="Calibri"/>
          <w:sz w:val="19"/>
          <w:szCs w:val="19"/>
        </w:rPr>
      </w:pPr>
      <w:r>
        <w:rPr>
          <w:rFonts w:ascii="Calibri" w:hAnsi="Calibri" w:cs="Calibri"/>
          <w:sz w:val="19"/>
          <w:szCs w:val="19"/>
        </w:rPr>
        <w:t xml:space="preserve">The critical audit matter communicated below is a matter arising </w:t>
      </w:r>
      <w:r>
        <w:rPr>
          <w:rFonts w:ascii="Calibri" w:hAnsi="Calibri" w:cs="Calibri"/>
          <w:sz w:val="19"/>
          <w:szCs w:val="19"/>
        </w:rPr>
        <w:t>from the current period audit of the financial statements that was communicated or required to be communicated to the audit committee and that: (1) relates to accounts or disclosures that are material to the financial statements and (2) involved our especi</w:t>
      </w:r>
      <w:r>
        <w:rPr>
          <w:rFonts w:ascii="Calibri" w:hAnsi="Calibri" w:cs="Calibri"/>
          <w:sz w:val="19"/>
          <w:szCs w:val="19"/>
        </w:rPr>
        <w:t>ally challenging, subjective, or complex judgments. The communication of the critical audit matter does not alter in any way our opinion on the financial statements, taken as a whole, and we are not, by communicating the critical audit matter below, provid</w:t>
      </w:r>
      <w:r>
        <w:rPr>
          <w:rFonts w:ascii="Calibri" w:hAnsi="Calibri" w:cs="Calibri"/>
          <w:sz w:val="19"/>
          <w:szCs w:val="19"/>
        </w:rPr>
        <w:t>ing a separate opinion on the critical audit matter or on the accounts or disclosures to which it relates.</w:t>
      </w:r>
    </w:p>
    <w:p w14:paraId="3973D7A2" w14:textId="77777777" w:rsidR="007B027D" w:rsidRDefault="008E0125">
      <w:pPr>
        <w:pStyle w:val="a3"/>
        <w:spacing w:beforeAutospacing="0" w:afterAutospacing="0"/>
        <w:rPr>
          <w:rFonts w:ascii="Times New Roman" w:hAnsi="Times New Roman"/>
          <w:sz w:val="19"/>
          <w:szCs w:val="19"/>
        </w:rPr>
      </w:pPr>
      <w:r>
        <w:rPr>
          <w:rFonts w:ascii="Times New Roman" w:hAnsi="Times New Roman"/>
          <w:sz w:val="19"/>
          <w:szCs w:val="19"/>
        </w:rPr>
        <w:t> </w:t>
      </w:r>
    </w:p>
    <w:tbl>
      <w:tblPr>
        <w:tblW w:w="5000" w:type="pct"/>
        <w:tblCellMar>
          <w:left w:w="0" w:type="dxa"/>
          <w:right w:w="0" w:type="dxa"/>
        </w:tblCellMar>
        <w:tblLook w:val="04A0" w:firstRow="1" w:lastRow="0" w:firstColumn="1" w:lastColumn="0" w:noHBand="0" w:noVBand="1"/>
      </w:tblPr>
      <w:tblGrid>
        <w:gridCol w:w="1038"/>
        <w:gridCol w:w="239"/>
        <w:gridCol w:w="7029"/>
      </w:tblGrid>
      <w:tr w:rsidR="007B027D" w14:paraId="3973D7A6" w14:textId="77777777">
        <w:tc>
          <w:tcPr>
            <w:tcW w:w="625" w:type="pct"/>
            <w:shd w:val="clear" w:color="auto" w:fill="auto"/>
            <w:vAlign w:val="center"/>
          </w:tcPr>
          <w:p w14:paraId="3973D7A3" w14:textId="77777777" w:rsidR="007B027D" w:rsidRDefault="007B027D">
            <w:pPr>
              <w:rPr>
                <w:rFonts w:ascii="宋体"/>
              </w:rPr>
            </w:pPr>
          </w:p>
        </w:tc>
        <w:tc>
          <w:tcPr>
            <w:tcW w:w="144" w:type="pct"/>
            <w:shd w:val="clear" w:color="auto" w:fill="auto"/>
            <w:vAlign w:val="center"/>
          </w:tcPr>
          <w:p w14:paraId="3973D7A4" w14:textId="77777777" w:rsidR="007B027D" w:rsidRDefault="007B027D">
            <w:pPr>
              <w:rPr>
                <w:rFonts w:ascii="宋体"/>
              </w:rPr>
            </w:pPr>
          </w:p>
        </w:tc>
        <w:tc>
          <w:tcPr>
            <w:tcW w:w="4231" w:type="pct"/>
            <w:shd w:val="clear" w:color="auto" w:fill="auto"/>
            <w:vAlign w:val="center"/>
          </w:tcPr>
          <w:p w14:paraId="3973D7A5" w14:textId="77777777" w:rsidR="007B027D" w:rsidRDefault="007B027D">
            <w:pPr>
              <w:rPr>
                <w:rFonts w:ascii="宋体"/>
              </w:rPr>
            </w:pPr>
          </w:p>
        </w:tc>
      </w:tr>
      <w:tr w:rsidR="007B027D" w14:paraId="3973D7AA" w14:textId="77777777">
        <w:tc>
          <w:tcPr>
            <w:tcW w:w="0" w:type="auto"/>
            <w:shd w:val="clear" w:color="auto" w:fill="auto"/>
          </w:tcPr>
          <w:p w14:paraId="3973D7A7" w14:textId="77777777" w:rsidR="007B027D" w:rsidRDefault="008E0125">
            <w:pPr>
              <w:pStyle w:val="a3"/>
              <w:spacing w:beforeAutospacing="0" w:after="12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3973D7A8" w14:textId="77777777" w:rsidR="007B027D" w:rsidRDefault="008E0125">
            <w:pPr>
              <w:pStyle w:val="a3"/>
              <w:spacing w:beforeAutospacing="0" w:after="12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3973D7A9" w14:textId="77777777" w:rsidR="007B027D" w:rsidRDefault="008E0125">
            <w:pPr>
              <w:pStyle w:val="a3"/>
              <w:spacing w:beforeAutospacing="0" w:after="120" w:afterAutospacing="0"/>
              <w:jc w:val="both"/>
              <w:rPr>
                <w:rFonts w:ascii="Calibri" w:hAnsi="Calibri" w:cs="Calibri"/>
                <w:b/>
                <w:bCs/>
                <w:i/>
                <w:iCs/>
                <w:sz w:val="19"/>
                <w:szCs w:val="19"/>
              </w:rPr>
            </w:pPr>
            <w:r>
              <w:rPr>
                <w:rFonts w:ascii="Calibri" w:hAnsi="Calibri" w:cs="Calibri"/>
                <w:b/>
                <w:bCs/>
                <w:i/>
                <w:iCs/>
                <w:sz w:val="19"/>
                <w:szCs w:val="19"/>
              </w:rPr>
              <w:t>Income Tax – Uncertain tax positions</w:t>
            </w:r>
          </w:p>
        </w:tc>
      </w:tr>
      <w:tr w:rsidR="007B027D" w14:paraId="3973D7AF" w14:textId="77777777">
        <w:tc>
          <w:tcPr>
            <w:tcW w:w="0" w:type="auto"/>
            <w:shd w:val="clear" w:color="auto" w:fill="auto"/>
          </w:tcPr>
          <w:p w14:paraId="3973D7AB" w14:textId="77777777" w:rsidR="007B027D" w:rsidRDefault="008E0125">
            <w:pPr>
              <w:pStyle w:val="a3"/>
              <w:spacing w:beforeAutospacing="0" w:afterAutospacing="0"/>
              <w:rPr>
                <w:rFonts w:ascii="Calibri" w:hAnsi="Calibri" w:cs="Calibri"/>
                <w:i/>
                <w:iCs/>
                <w:sz w:val="19"/>
                <w:szCs w:val="19"/>
              </w:rPr>
            </w:pPr>
            <w:r>
              <w:rPr>
                <w:rFonts w:ascii="Calibri" w:hAnsi="Calibri" w:cs="Calibri"/>
                <w:i/>
                <w:iCs/>
                <w:sz w:val="19"/>
                <w:szCs w:val="19"/>
              </w:rPr>
              <w:t>Description of the matter</w:t>
            </w:r>
          </w:p>
        </w:tc>
        <w:tc>
          <w:tcPr>
            <w:tcW w:w="0" w:type="auto"/>
            <w:shd w:val="clear" w:color="auto" w:fill="auto"/>
          </w:tcPr>
          <w:p w14:paraId="3973D7AC" w14:textId="77777777" w:rsidR="007B027D" w:rsidRDefault="008E0125">
            <w:pPr>
              <w:pStyle w:val="a3"/>
              <w:spacing w:beforeAutospacing="0" w:after="24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3973D7AD" w14:textId="77777777" w:rsidR="007B027D" w:rsidRDefault="008E0125">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 xml:space="preserve">As discussed in Note 13 of the financial statements, the Company </w:t>
            </w:r>
            <w:r>
              <w:rPr>
                <w:rFonts w:ascii="Calibri" w:hAnsi="Calibri" w:cs="Calibri"/>
                <w:color w:val="000000"/>
                <w:sz w:val="19"/>
                <w:szCs w:val="19"/>
              </w:rPr>
              <w:t>recognizes uncertain tax positions and measures unrecognized tax benefits related to various domestic and foreign matters. As of May 31, 2022, the total amount of unrecognized tax benefits was $7.3 billion, of which $4.3 billion, if recognized would impact</w:t>
            </w:r>
            <w:r>
              <w:rPr>
                <w:rFonts w:ascii="Calibri" w:hAnsi="Calibri" w:cs="Calibri"/>
                <w:color w:val="000000"/>
                <w:sz w:val="19"/>
                <w:szCs w:val="19"/>
              </w:rPr>
              <w:t xml:space="preserve"> the Company’s effective tax rate. The Company uses significant judgment in the accounting for uncertain tax positions including the interpretation and application of tax laws and legal rulings in various jurisdictions.</w:t>
            </w:r>
          </w:p>
          <w:p w14:paraId="3973D7AE" w14:textId="77777777" w:rsidR="007B027D" w:rsidRDefault="008E0125">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 xml:space="preserve">Auditing management’s evaluation of </w:t>
            </w:r>
            <w:r>
              <w:rPr>
                <w:rFonts w:ascii="Calibri" w:hAnsi="Calibri" w:cs="Calibri"/>
                <w:color w:val="000000"/>
                <w:sz w:val="19"/>
                <w:szCs w:val="19"/>
              </w:rPr>
              <w:t>whether an uncertain tax position is more likely than not to be sustained and the measurement of the benefit of various tax positions was complex, involved significant judgment, and was based on interpretations and application of tax laws and legal rulings</w:t>
            </w:r>
            <w:r>
              <w:rPr>
                <w:rFonts w:ascii="Calibri" w:hAnsi="Calibri" w:cs="Calibri"/>
                <w:color w:val="000000"/>
                <w:sz w:val="19"/>
                <w:szCs w:val="19"/>
              </w:rPr>
              <w:t>.</w:t>
            </w:r>
          </w:p>
        </w:tc>
      </w:tr>
    </w:tbl>
    <w:p w14:paraId="3973D7B0"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63</w:t>
      </w:r>
    </w:p>
    <w:p w14:paraId="3973D7B1" w14:textId="77777777" w:rsidR="007B027D" w:rsidRDefault="008E0125">
      <w:r>
        <w:rPr>
          <w:rFonts w:ascii="Calibri" w:hAnsi="Calibri" w:cs="Calibri"/>
          <w:sz w:val="20"/>
          <w:szCs w:val="20"/>
        </w:rPr>
        <w:pict w14:anchorId="3974007A">
          <v:rect id="_x0000_i1089" style="width:415.3pt;height:1.5pt" o:hralign="center" o:hrstd="t" o:hr="t" fillcolor="#a0a0a0" stroked="f"/>
        </w:pict>
      </w:r>
    </w:p>
    <w:p w14:paraId="3973D7B2" w14:textId="77777777" w:rsidR="007B027D" w:rsidRDefault="008E0125">
      <w:pPr>
        <w:pStyle w:val="a3"/>
        <w:spacing w:beforeAutospacing="0" w:after="120" w:afterAutospacing="0"/>
        <w:rPr>
          <w:rFonts w:ascii="Calibri" w:hAnsi="Calibri" w:cs="Calibri"/>
          <w:sz w:val="18"/>
          <w:szCs w:val="18"/>
        </w:rPr>
      </w:pPr>
      <w:hyperlink r:id="rId162" w:anchor="TABLE_OF_CONTENTS" w:history="1">
        <w:r>
          <w:rPr>
            <w:rStyle w:val="a5"/>
            <w:rFonts w:ascii="Calibri" w:hAnsi="Calibri" w:cs="Calibri"/>
            <w:sz w:val="18"/>
            <w:szCs w:val="18"/>
          </w:rPr>
          <w:t>Table of Contents</w:t>
        </w:r>
      </w:hyperlink>
    </w:p>
    <w:p w14:paraId="3973D7B3" w14:textId="77777777" w:rsidR="007B027D" w:rsidRDefault="008E0125">
      <w:pPr>
        <w:pStyle w:val="a3"/>
        <w:spacing w:beforeAutospacing="0" w:afterAutospacing="0"/>
        <w:rPr>
          <w:rFonts w:ascii="Calibri" w:hAnsi="Calibri" w:cs="Calibri"/>
          <w:sz w:val="18"/>
          <w:szCs w:val="18"/>
        </w:rPr>
      </w:pPr>
      <w:hyperlink r:id="rId163" w:anchor="ITEM_15_EXHIBITS_FINANCIAL_STATEMENT_SCH" w:history="1">
        <w:r>
          <w:rPr>
            <w:rStyle w:val="a5"/>
            <w:rFonts w:ascii="Calibri" w:hAnsi="Calibri" w:cs="Calibri"/>
            <w:sz w:val="18"/>
            <w:szCs w:val="18"/>
          </w:rPr>
          <w:t>Index to Financial Statements</w:t>
        </w:r>
      </w:hyperlink>
    </w:p>
    <w:p w14:paraId="3973D7B4"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1038"/>
        <w:gridCol w:w="239"/>
        <w:gridCol w:w="7029"/>
      </w:tblGrid>
      <w:tr w:rsidR="007B027D" w14:paraId="3973D7B8" w14:textId="77777777">
        <w:tc>
          <w:tcPr>
            <w:tcW w:w="625" w:type="pct"/>
            <w:shd w:val="clear" w:color="auto" w:fill="auto"/>
            <w:vAlign w:val="center"/>
          </w:tcPr>
          <w:p w14:paraId="3973D7B5" w14:textId="77777777" w:rsidR="007B027D" w:rsidRDefault="007B027D">
            <w:pPr>
              <w:rPr>
                <w:rFonts w:ascii="宋体"/>
              </w:rPr>
            </w:pPr>
          </w:p>
        </w:tc>
        <w:tc>
          <w:tcPr>
            <w:tcW w:w="144" w:type="pct"/>
            <w:shd w:val="clear" w:color="auto" w:fill="auto"/>
            <w:vAlign w:val="center"/>
          </w:tcPr>
          <w:p w14:paraId="3973D7B6" w14:textId="77777777" w:rsidR="007B027D" w:rsidRDefault="007B027D">
            <w:pPr>
              <w:rPr>
                <w:rFonts w:ascii="宋体"/>
              </w:rPr>
            </w:pPr>
          </w:p>
        </w:tc>
        <w:tc>
          <w:tcPr>
            <w:tcW w:w="4231" w:type="pct"/>
            <w:shd w:val="clear" w:color="auto" w:fill="auto"/>
            <w:vAlign w:val="center"/>
          </w:tcPr>
          <w:p w14:paraId="3973D7B7" w14:textId="77777777" w:rsidR="007B027D" w:rsidRDefault="007B027D">
            <w:pPr>
              <w:rPr>
                <w:rFonts w:ascii="宋体"/>
              </w:rPr>
            </w:pPr>
          </w:p>
        </w:tc>
      </w:tr>
      <w:tr w:rsidR="007B027D" w14:paraId="3973D7BE" w14:textId="77777777">
        <w:tc>
          <w:tcPr>
            <w:tcW w:w="0" w:type="auto"/>
            <w:shd w:val="clear" w:color="auto" w:fill="auto"/>
          </w:tcPr>
          <w:p w14:paraId="3973D7B9" w14:textId="77777777" w:rsidR="007B027D" w:rsidRDefault="008E0125">
            <w:pPr>
              <w:pStyle w:val="a3"/>
              <w:spacing w:beforeAutospacing="0" w:afterAutospacing="0"/>
              <w:rPr>
                <w:rFonts w:ascii="Calibri" w:hAnsi="Calibri" w:cs="Calibri"/>
                <w:i/>
                <w:iCs/>
                <w:sz w:val="19"/>
                <w:szCs w:val="19"/>
              </w:rPr>
            </w:pPr>
            <w:r>
              <w:rPr>
                <w:rFonts w:ascii="Calibri" w:hAnsi="Calibri" w:cs="Calibri"/>
                <w:i/>
                <w:iCs/>
                <w:sz w:val="19"/>
                <w:szCs w:val="19"/>
              </w:rPr>
              <w:t>How we addressed the matter in our audit</w:t>
            </w:r>
          </w:p>
        </w:tc>
        <w:tc>
          <w:tcPr>
            <w:tcW w:w="0" w:type="auto"/>
            <w:shd w:val="clear" w:color="auto" w:fill="auto"/>
          </w:tcPr>
          <w:p w14:paraId="3973D7BA" w14:textId="77777777" w:rsidR="007B027D" w:rsidRDefault="008E0125">
            <w:pPr>
              <w:pStyle w:val="a3"/>
              <w:spacing w:beforeAutospacing="0" w:after="24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3973D7BB" w14:textId="77777777" w:rsidR="007B027D" w:rsidRDefault="008E0125">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 xml:space="preserve">We </w:t>
            </w:r>
            <w:r>
              <w:rPr>
                <w:rFonts w:ascii="Calibri" w:hAnsi="Calibri" w:cs="Calibri"/>
                <w:color w:val="000000"/>
                <w:sz w:val="19"/>
                <w:szCs w:val="19"/>
              </w:rPr>
              <w:t>obtained an understanding, evaluated the design, and tested the operating effectiveness of the controls over management’s process for interpretation and application of tax laws and legal rulings, as well as development of the assumptions and estimates used</w:t>
            </w:r>
            <w:r>
              <w:rPr>
                <w:rFonts w:ascii="Calibri" w:hAnsi="Calibri" w:cs="Calibri"/>
                <w:color w:val="000000"/>
                <w:sz w:val="19"/>
                <w:szCs w:val="19"/>
              </w:rPr>
              <w:t xml:space="preserve"> in the measurement of uncertain tax positions.</w:t>
            </w:r>
          </w:p>
          <w:p w14:paraId="3973D7BC" w14:textId="77777777" w:rsidR="007B027D" w:rsidRDefault="008E0125">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 xml:space="preserve">To test management’s assessment of which uncertain tax positions are more likely than not to be sustained, we performed audit procedures that included, among others reading and evaluating management’s assumptions and analysis, including any communications </w:t>
            </w:r>
            <w:r>
              <w:rPr>
                <w:rFonts w:ascii="Calibri" w:hAnsi="Calibri" w:cs="Calibri"/>
                <w:color w:val="000000"/>
                <w:sz w:val="19"/>
                <w:szCs w:val="19"/>
              </w:rPr>
              <w:t>with taxing authorities that detailed the basis and technical merits of the uncertain tax positions. We involved our tax subject matter professionals in assessing the technical merits of certain tax positions based on our knowledge of relevant tax laws and</w:t>
            </w:r>
            <w:r>
              <w:rPr>
                <w:rFonts w:ascii="Calibri" w:hAnsi="Calibri" w:cs="Calibri"/>
                <w:color w:val="000000"/>
                <w:sz w:val="19"/>
                <w:szCs w:val="19"/>
              </w:rPr>
              <w:t xml:space="preserve"> experience with related taxing authorities. </w:t>
            </w:r>
          </w:p>
          <w:p w14:paraId="3973D7BD" w14:textId="77777777" w:rsidR="007B027D" w:rsidRDefault="008E0125">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In addition, we also evaluated the Company’s disclosures in relation to these matters included in Note 13 of the financial statements.</w:t>
            </w:r>
          </w:p>
        </w:tc>
      </w:tr>
    </w:tbl>
    <w:p w14:paraId="3973D7BF" w14:textId="77777777" w:rsidR="007B027D" w:rsidRDefault="008E0125">
      <w:pPr>
        <w:pStyle w:val="a3"/>
        <w:shd w:val="clear" w:color="auto" w:fill="FFFFFF"/>
        <w:spacing w:beforeAutospacing="0" w:afterAutospacing="0"/>
        <w:jc w:val="both"/>
        <w:rPr>
          <w:rFonts w:ascii="Times New Roman" w:hAnsi="Times New Roman"/>
          <w:sz w:val="19"/>
          <w:szCs w:val="19"/>
        </w:rPr>
      </w:pPr>
      <w:r>
        <w:rPr>
          <w:rFonts w:ascii="Times New Roman" w:hAnsi="Times New Roman"/>
          <w:sz w:val="19"/>
          <w:szCs w:val="19"/>
          <w:shd w:val="clear" w:color="auto" w:fill="FFFFFF"/>
        </w:rPr>
        <w:t> </w:t>
      </w:r>
    </w:p>
    <w:p w14:paraId="3973D7C0" w14:textId="77777777" w:rsidR="007B027D" w:rsidRDefault="008E0125">
      <w:pPr>
        <w:pStyle w:val="a3"/>
        <w:shd w:val="clear" w:color="auto" w:fill="FFFFFF"/>
        <w:spacing w:beforeAutospacing="0" w:afterAutospacing="0"/>
        <w:rPr>
          <w:rFonts w:ascii="Times New Roman" w:hAnsi="Times New Roman"/>
          <w:sz w:val="19"/>
          <w:szCs w:val="19"/>
        </w:rPr>
      </w:pPr>
      <w:r>
        <w:rPr>
          <w:rFonts w:ascii="Times New Roman" w:hAnsi="Times New Roman"/>
          <w:sz w:val="19"/>
          <w:szCs w:val="19"/>
          <w:shd w:val="clear" w:color="auto" w:fill="FFFFFF"/>
        </w:rPr>
        <w:t> </w:t>
      </w:r>
    </w:p>
    <w:p w14:paraId="3973D7C1" w14:textId="77777777" w:rsidR="007B027D" w:rsidRDefault="008E0125">
      <w:pPr>
        <w:pStyle w:val="a3"/>
        <w:shd w:val="clear" w:color="auto" w:fill="FFFFFF"/>
        <w:spacing w:beforeAutospacing="0" w:after="120" w:afterAutospacing="0"/>
        <w:rPr>
          <w:rFonts w:ascii="Calibri" w:hAnsi="Calibri" w:cs="Calibri"/>
          <w:color w:val="000000"/>
          <w:sz w:val="19"/>
          <w:szCs w:val="19"/>
        </w:rPr>
      </w:pPr>
      <w:r>
        <w:rPr>
          <w:rFonts w:ascii="Calibri" w:hAnsi="Calibri" w:cs="Calibri"/>
          <w:color w:val="000000"/>
          <w:sz w:val="19"/>
          <w:szCs w:val="19"/>
          <w:shd w:val="clear" w:color="auto" w:fill="FFFFFF"/>
        </w:rPr>
        <w:t xml:space="preserve">/s/ Ernst &amp; Young LLP </w:t>
      </w:r>
    </w:p>
    <w:p w14:paraId="3973D7C2" w14:textId="77777777" w:rsidR="007B027D" w:rsidRDefault="008E0125">
      <w:pPr>
        <w:pStyle w:val="a3"/>
        <w:spacing w:beforeAutospacing="0" w:after="160" w:afterAutospacing="0"/>
        <w:rPr>
          <w:rFonts w:ascii="Calibri" w:hAnsi="Calibri" w:cs="Calibri"/>
          <w:sz w:val="19"/>
          <w:szCs w:val="19"/>
        </w:rPr>
      </w:pPr>
      <w:r>
        <w:rPr>
          <w:rFonts w:ascii="Calibri" w:hAnsi="Calibri" w:cs="Calibri"/>
          <w:sz w:val="19"/>
          <w:szCs w:val="19"/>
        </w:rPr>
        <w:t xml:space="preserve">We have served as the Company’s auditor </w:t>
      </w:r>
      <w:r>
        <w:rPr>
          <w:rFonts w:ascii="Calibri" w:hAnsi="Calibri" w:cs="Calibri"/>
          <w:sz w:val="19"/>
          <w:szCs w:val="19"/>
        </w:rPr>
        <w:t>since 2002.</w:t>
      </w:r>
    </w:p>
    <w:p w14:paraId="3973D7C3" w14:textId="77777777" w:rsidR="007B027D" w:rsidRDefault="008E0125">
      <w:pPr>
        <w:pStyle w:val="a3"/>
        <w:spacing w:before="80" w:beforeAutospacing="0" w:after="100" w:afterAutospacing="0"/>
        <w:rPr>
          <w:rFonts w:ascii="Calibri" w:hAnsi="Calibri" w:cs="Calibri"/>
          <w:sz w:val="19"/>
          <w:szCs w:val="19"/>
        </w:rPr>
      </w:pPr>
      <w:r>
        <w:rPr>
          <w:rFonts w:ascii="Calibri" w:hAnsi="Calibri" w:cs="Calibri"/>
          <w:sz w:val="19"/>
          <w:szCs w:val="19"/>
        </w:rPr>
        <w:t xml:space="preserve">San Jose, California </w:t>
      </w:r>
    </w:p>
    <w:p w14:paraId="3973D7C4" w14:textId="77777777" w:rsidR="007B027D" w:rsidRDefault="008E0125">
      <w:pPr>
        <w:pStyle w:val="a3"/>
        <w:spacing w:beforeAutospacing="0" w:after="160" w:afterAutospacing="0"/>
        <w:rPr>
          <w:rFonts w:ascii="Calibri" w:hAnsi="Calibri" w:cs="Calibri"/>
          <w:color w:val="000000"/>
          <w:sz w:val="19"/>
          <w:szCs w:val="19"/>
        </w:rPr>
      </w:pPr>
      <w:r>
        <w:rPr>
          <w:rFonts w:ascii="Calibri" w:hAnsi="Calibri" w:cs="Calibri"/>
          <w:color w:val="000000"/>
          <w:sz w:val="19"/>
          <w:szCs w:val="19"/>
        </w:rPr>
        <w:t xml:space="preserve">June 21, 2022 </w:t>
      </w:r>
    </w:p>
    <w:p w14:paraId="3973D7C5" w14:textId="77777777" w:rsidR="007B027D" w:rsidRDefault="008E0125">
      <w:pPr>
        <w:pStyle w:val="a3"/>
        <w:spacing w:beforeAutospacing="0" w:afterAutospacing="0"/>
        <w:jc w:val="both"/>
        <w:rPr>
          <w:rFonts w:ascii="Times New Roman" w:hAnsi="Times New Roman"/>
          <w:b/>
          <w:bCs/>
          <w:sz w:val="19"/>
          <w:szCs w:val="19"/>
        </w:rPr>
      </w:pPr>
      <w:r>
        <w:rPr>
          <w:rFonts w:ascii="Times New Roman" w:hAnsi="Times New Roman"/>
          <w:b/>
          <w:bCs/>
          <w:sz w:val="19"/>
          <w:szCs w:val="19"/>
        </w:rPr>
        <w:t> </w:t>
      </w:r>
    </w:p>
    <w:p w14:paraId="3973D7C6"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64</w:t>
      </w:r>
    </w:p>
    <w:p w14:paraId="3973D7C7" w14:textId="77777777" w:rsidR="007B027D" w:rsidRDefault="008E0125">
      <w:r>
        <w:rPr>
          <w:rFonts w:ascii="Calibri" w:hAnsi="Calibri" w:cs="Calibri"/>
          <w:sz w:val="20"/>
          <w:szCs w:val="20"/>
        </w:rPr>
        <w:pict w14:anchorId="3974007B">
          <v:rect id="_x0000_i1090" style="width:415.3pt;height:1.5pt" o:hralign="center" o:hrstd="t" o:hr="t" fillcolor="#a0a0a0" stroked="f"/>
        </w:pict>
      </w:r>
    </w:p>
    <w:p w14:paraId="3973D7C8" w14:textId="77777777" w:rsidR="007B027D" w:rsidRDefault="008E0125">
      <w:pPr>
        <w:pStyle w:val="a3"/>
        <w:spacing w:beforeAutospacing="0" w:after="120" w:afterAutospacing="0"/>
        <w:rPr>
          <w:rFonts w:ascii="Calibri" w:hAnsi="Calibri" w:cs="Calibri"/>
          <w:sz w:val="18"/>
          <w:szCs w:val="18"/>
        </w:rPr>
      </w:pPr>
      <w:hyperlink r:id="rId164" w:anchor="TABLE_OF_CONTENTS" w:history="1">
        <w:r>
          <w:rPr>
            <w:rStyle w:val="a5"/>
            <w:rFonts w:ascii="Calibri" w:hAnsi="Calibri" w:cs="Calibri"/>
            <w:sz w:val="18"/>
            <w:szCs w:val="18"/>
          </w:rPr>
          <w:t>Table of Contents</w:t>
        </w:r>
      </w:hyperlink>
    </w:p>
    <w:p w14:paraId="3973D7C9" w14:textId="77777777" w:rsidR="007B027D" w:rsidRDefault="008E0125">
      <w:pPr>
        <w:pStyle w:val="a3"/>
        <w:spacing w:beforeAutospacing="0" w:afterAutospacing="0"/>
        <w:rPr>
          <w:rFonts w:ascii="Calibri" w:hAnsi="Calibri" w:cs="Calibri"/>
          <w:sz w:val="18"/>
          <w:szCs w:val="18"/>
        </w:rPr>
      </w:pPr>
      <w:hyperlink r:id="rId165" w:anchor="ITEM_15_EXHIBITS_FINANCIAL_STATEMENT_SCH" w:history="1">
        <w:r>
          <w:rPr>
            <w:rStyle w:val="a5"/>
            <w:rFonts w:ascii="Calibri" w:hAnsi="Calibri" w:cs="Calibri"/>
            <w:sz w:val="18"/>
            <w:szCs w:val="18"/>
          </w:rPr>
          <w:t>Index to Financial Statements</w:t>
        </w:r>
      </w:hyperlink>
    </w:p>
    <w:p w14:paraId="3973D7CA"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CB"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7CC" w14:textId="77777777" w:rsidR="007B027D" w:rsidRDefault="008E0125">
      <w:pPr>
        <w:pStyle w:val="a3"/>
        <w:spacing w:beforeAutospacing="0" w:afterAutospacing="0"/>
        <w:jc w:val="center"/>
        <w:rPr>
          <w:rFonts w:ascii="Calibri" w:hAnsi="Calibri" w:cs="Calibri"/>
          <w:b/>
          <w:bCs/>
          <w:sz w:val="19"/>
          <w:szCs w:val="19"/>
        </w:rPr>
      </w:pPr>
      <w:r>
        <w:rPr>
          <w:rFonts w:ascii="Calibri" w:hAnsi="Calibri" w:cs="Calibri"/>
          <w:b/>
          <w:bCs/>
          <w:sz w:val="19"/>
          <w:szCs w:val="19"/>
        </w:rPr>
        <w:t>Report of Independent Registered Public Accounting Firm</w:t>
      </w:r>
    </w:p>
    <w:p w14:paraId="3973D7CD" w14:textId="77777777" w:rsidR="007B027D" w:rsidRDefault="008E0125">
      <w:pPr>
        <w:pStyle w:val="a3"/>
        <w:spacing w:before="120" w:beforeAutospacing="0" w:afterAutospacing="0"/>
        <w:jc w:val="both"/>
        <w:rPr>
          <w:rFonts w:ascii="Calibri" w:hAnsi="Calibri" w:cs="Calibri"/>
          <w:sz w:val="19"/>
          <w:szCs w:val="19"/>
        </w:rPr>
      </w:pPr>
      <w:r>
        <w:rPr>
          <w:rFonts w:ascii="Calibri" w:hAnsi="Calibri" w:cs="Calibri"/>
          <w:sz w:val="19"/>
          <w:szCs w:val="19"/>
        </w:rPr>
        <w:t>To the Stockholders and the Board of Directors of Oracle Corporation</w:t>
      </w:r>
    </w:p>
    <w:p w14:paraId="3973D7CE" w14:textId="77777777" w:rsidR="007B027D" w:rsidRDefault="008E0125">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 xml:space="preserve">Opinion on Internal Control Over Financial Reporting </w:t>
      </w:r>
    </w:p>
    <w:p w14:paraId="3973D7CF" w14:textId="77777777" w:rsidR="007B027D" w:rsidRDefault="008E0125">
      <w:pPr>
        <w:pStyle w:val="a3"/>
        <w:spacing w:before="160" w:beforeAutospacing="0" w:afterAutospacing="0"/>
        <w:jc w:val="both"/>
        <w:rPr>
          <w:rFonts w:ascii="Calibri" w:hAnsi="Calibri" w:cs="Calibri"/>
          <w:sz w:val="19"/>
          <w:szCs w:val="19"/>
        </w:rPr>
      </w:pPr>
      <w:r>
        <w:rPr>
          <w:rFonts w:ascii="Calibri" w:hAnsi="Calibri" w:cs="Calibri"/>
          <w:sz w:val="19"/>
          <w:szCs w:val="19"/>
        </w:rPr>
        <w:t>We have audited Oracle Corporation’s internal control over financial reporting as of May 31, 2022, based on criteria established in Internal Control — Integrated Framework issued by the Committee of Spo</w:t>
      </w:r>
      <w:r>
        <w:rPr>
          <w:rFonts w:ascii="Calibri" w:hAnsi="Calibri" w:cs="Calibri"/>
          <w:sz w:val="19"/>
          <w:szCs w:val="19"/>
        </w:rPr>
        <w:t>nsoring Organizations of the Treadway Commission (2013 framework) (the COSO criteria). In our opinion, Oracle Corporation (the Company) maintained, in all material respects, effective internal control over financial reporting as of May 31, 2022, based on t</w:t>
      </w:r>
      <w:r>
        <w:rPr>
          <w:rFonts w:ascii="Calibri" w:hAnsi="Calibri" w:cs="Calibri"/>
          <w:sz w:val="19"/>
          <w:szCs w:val="19"/>
        </w:rPr>
        <w:t xml:space="preserve">he COSO criteria. </w:t>
      </w:r>
    </w:p>
    <w:p w14:paraId="3973D7D0" w14:textId="77777777" w:rsidR="007B027D" w:rsidRDefault="008E0125">
      <w:pPr>
        <w:pStyle w:val="a3"/>
        <w:spacing w:before="160" w:beforeAutospacing="0" w:afterAutospacing="0"/>
        <w:jc w:val="both"/>
        <w:rPr>
          <w:rFonts w:ascii="Calibri" w:hAnsi="Calibri" w:cs="Calibri"/>
          <w:sz w:val="19"/>
          <w:szCs w:val="19"/>
        </w:rPr>
      </w:pPr>
      <w:r>
        <w:rPr>
          <w:rFonts w:ascii="Calibri" w:hAnsi="Calibri" w:cs="Calibri"/>
          <w:sz w:val="19"/>
          <w:szCs w:val="19"/>
        </w:rPr>
        <w:t xml:space="preserve">We also have audited, in accordance with the standards of the Public Company Accounting Oversight Board (United States) (PCAOB), the consolidated balance sheets of Oracle Corporation as of May 31, 2022 and 2021, the related consolidated </w:t>
      </w:r>
      <w:r>
        <w:rPr>
          <w:rFonts w:ascii="Calibri" w:hAnsi="Calibri" w:cs="Calibri"/>
          <w:sz w:val="19"/>
          <w:szCs w:val="19"/>
        </w:rPr>
        <w:t xml:space="preserve">statements of operations, comprehensive income, equity, and cash flows for each of the three years in the period ended May 31, 2022, and the related notes and our report dated June 21, 2022 expressed an unqualified opinion thereon. </w:t>
      </w:r>
    </w:p>
    <w:p w14:paraId="3973D7D1" w14:textId="77777777" w:rsidR="007B027D" w:rsidRDefault="008E0125">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 xml:space="preserve">Basis for Opinion </w:t>
      </w:r>
    </w:p>
    <w:p w14:paraId="3973D7D2" w14:textId="77777777" w:rsidR="007B027D" w:rsidRDefault="008E0125">
      <w:pPr>
        <w:pStyle w:val="a3"/>
        <w:spacing w:before="160" w:beforeAutospacing="0" w:afterAutospacing="0"/>
        <w:jc w:val="both"/>
        <w:rPr>
          <w:rFonts w:ascii="Calibri" w:hAnsi="Calibri" w:cs="Calibri"/>
          <w:sz w:val="19"/>
          <w:szCs w:val="19"/>
        </w:rPr>
      </w:pPr>
      <w:r>
        <w:rPr>
          <w:rFonts w:ascii="Calibri" w:hAnsi="Calibri" w:cs="Calibri"/>
          <w:sz w:val="19"/>
          <w:szCs w:val="19"/>
        </w:rPr>
        <w:t xml:space="preserve">The </w:t>
      </w:r>
      <w:r>
        <w:rPr>
          <w:rFonts w:ascii="Calibri" w:hAnsi="Calibri" w:cs="Calibri"/>
          <w:sz w:val="19"/>
          <w:szCs w:val="19"/>
        </w:rPr>
        <w:t>Company’s management is responsible for maintaining effective internal control over financial reporting and for its assessment of the effectiveness of internal control over financial reporting included in the accompanying Management’s Report on Internal Co</w:t>
      </w:r>
      <w:r>
        <w:rPr>
          <w:rFonts w:ascii="Calibri" w:hAnsi="Calibri" w:cs="Calibri"/>
          <w:sz w:val="19"/>
          <w:szCs w:val="19"/>
        </w:rPr>
        <w:t>ntrol Over Financial Reporting. Our responsibility is to express an opinion on the Company’s internal control over financial reporting based on our audit. We are a public accounting firm registered with the PCAOB and are required to be independent with res</w:t>
      </w:r>
      <w:r>
        <w:rPr>
          <w:rFonts w:ascii="Calibri" w:hAnsi="Calibri" w:cs="Calibri"/>
          <w:sz w:val="19"/>
          <w:szCs w:val="19"/>
        </w:rPr>
        <w:t xml:space="preserve">pect to the Company in accordance with the U.S. federal securities laws and the applicable rules and regulations of the Securities and Exchange Commission and the PCAOB. </w:t>
      </w:r>
    </w:p>
    <w:p w14:paraId="3973D7D3" w14:textId="77777777" w:rsidR="007B027D" w:rsidRDefault="008E0125">
      <w:pPr>
        <w:pStyle w:val="a3"/>
        <w:spacing w:before="160" w:beforeAutospacing="0" w:afterAutospacing="0"/>
        <w:jc w:val="both"/>
        <w:rPr>
          <w:rFonts w:ascii="Calibri" w:hAnsi="Calibri" w:cs="Calibri"/>
          <w:sz w:val="19"/>
          <w:szCs w:val="19"/>
        </w:rPr>
      </w:pPr>
      <w:r>
        <w:rPr>
          <w:rFonts w:ascii="Calibri" w:hAnsi="Calibri" w:cs="Calibri"/>
          <w:sz w:val="19"/>
          <w:szCs w:val="19"/>
        </w:rPr>
        <w:t>We conducted our audit in accordance with the standards of the PCAOB. Those standards</w:t>
      </w:r>
      <w:r>
        <w:rPr>
          <w:rFonts w:ascii="Calibri" w:hAnsi="Calibri" w:cs="Calibri"/>
          <w:sz w:val="19"/>
          <w:szCs w:val="19"/>
        </w:rPr>
        <w:t xml:space="preserve"> require that we plan and perform the audit to obtain reasonable assurance about whether effective internal control over financial reporting was maintained in all material respects. </w:t>
      </w:r>
    </w:p>
    <w:p w14:paraId="3973D7D4" w14:textId="77777777" w:rsidR="007B027D" w:rsidRDefault="008E0125">
      <w:pPr>
        <w:pStyle w:val="a3"/>
        <w:spacing w:before="160" w:beforeAutospacing="0" w:afterAutospacing="0"/>
        <w:jc w:val="both"/>
        <w:rPr>
          <w:rFonts w:ascii="Calibri" w:hAnsi="Calibri" w:cs="Calibri"/>
          <w:sz w:val="19"/>
          <w:szCs w:val="19"/>
        </w:rPr>
      </w:pPr>
      <w:r>
        <w:rPr>
          <w:rFonts w:ascii="Calibri" w:hAnsi="Calibri" w:cs="Calibri"/>
          <w:sz w:val="19"/>
          <w:szCs w:val="19"/>
        </w:rPr>
        <w:t>Our audit included obtaining an understanding of internal control over fi</w:t>
      </w:r>
      <w:r>
        <w:rPr>
          <w:rFonts w:ascii="Calibri" w:hAnsi="Calibri" w:cs="Calibri"/>
          <w:sz w:val="19"/>
          <w:szCs w:val="19"/>
        </w:rPr>
        <w:t>nancial reporting, assessing the risk that a material weakness exists, testing and evaluating the design and operating effectiveness of internal control based on the assessed risk, and performing such other procedures as we considered necessary in the circ</w:t>
      </w:r>
      <w:r>
        <w:rPr>
          <w:rFonts w:ascii="Calibri" w:hAnsi="Calibri" w:cs="Calibri"/>
          <w:sz w:val="19"/>
          <w:szCs w:val="19"/>
        </w:rPr>
        <w:t xml:space="preserve">umstances. We believe that our audit provides a reasonable basis for our opinion. </w:t>
      </w:r>
    </w:p>
    <w:p w14:paraId="3973D7D5" w14:textId="77777777" w:rsidR="007B027D" w:rsidRDefault="008E0125">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 xml:space="preserve">Definition and Limitations of Internal Control Over Financial Reporting </w:t>
      </w:r>
    </w:p>
    <w:p w14:paraId="3973D7D6" w14:textId="77777777" w:rsidR="007B027D" w:rsidRDefault="008E0125">
      <w:pPr>
        <w:pStyle w:val="a3"/>
        <w:shd w:val="clear" w:color="auto" w:fill="FFFFFF"/>
        <w:spacing w:before="160" w:beforeAutospacing="0" w:afterAutospacing="0"/>
        <w:jc w:val="both"/>
        <w:rPr>
          <w:rFonts w:ascii="Calibri" w:hAnsi="Calibri" w:cs="Calibri"/>
          <w:sz w:val="19"/>
          <w:szCs w:val="19"/>
        </w:rPr>
      </w:pPr>
      <w:r>
        <w:rPr>
          <w:rFonts w:ascii="Calibri" w:hAnsi="Calibri" w:cs="Calibri"/>
          <w:sz w:val="19"/>
          <w:szCs w:val="19"/>
          <w:shd w:val="clear" w:color="auto" w:fill="FFFFFF"/>
        </w:rPr>
        <w:t>A company’s internal control over financial reporting is a process designed to provide reasonable as</w:t>
      </w:r>
      <w:r>
        <w:rPr>
          <w:rFonts w:ascii="Calibri" w:hAnsi="Calibri" w:cs="Calibri"/>
          <w:sz w:val="19"/>
          <w:szCs w:val="19"/>
          <w:shd w:val="clear" w:color="auto" w:fill="FFFFFF"/>
        </w:rPr>
        <w:t>surance regarding the reliability of financial reporting and the preparation of financial statements for external purposes in accordance with generally accepted accounting principles. A company’s internal control over financial reporting includes those pol</w:t>
      </w:r>
      <w:r>
        <w:rPr>
          <w:rFonts w:ascii="Calibri" w:hAnsi="Calibri" w:cs="Calibri"/>
          <w:sz w:val="19"/>
          <w:szCs w:val="19"/>
          <w:shd w:val="clear" w:color="auto" w:fill="FFFFFF"/>
        </w:rPr>
        <w:t>icies and procedures that (1) pertain to the maintenance of records that, in reasonable detail, accurately and fairly reflect the transactions and dispositions of the assets of the company; (2) provide reasonable assurance that transactions are recorded as</w:t>
      </w:r>
      <w:r>
        <w:rPr>
          <w:rFonts w:ascii="Calibri" w:hAnsi="Calibri" w:cs="Calibri"/>
          <w:sz w:val="19"/>
          <w:szCs w:val="19"/>
          <w:shd w:val="clear" w:color="auto" w:fill="FFFFFF"/>
        </w:rPr>
        <w:t xml:space="preserve"> necessary to permit preparation of financial statements in accordance with generally accepted accounting principles, and that receipts and expenditures of the company are being made only in accordance with authorizations of management and directors of the</w:t>
      </w:r>
      <w:r>
        <w:rPr>
          <w:rFonts w:ascii="Calibri" w:hAnsi="Calibri" w:cs="Calibri"/>
          <w:sz w:val="19"/>
          <w:szCs w:val="19"/>
          <w:shd w:val="clear" w:color="auto" w:fill="FFFFFF"/>
        </w:rPr>
        <w:t xml:space="preserve"> company; and (3) provide reasonable assurance regarding prevention or timely detection of unauthorized acquisition, use, or disposition of the company’s assets that could have a material effect on the financial statements. </w:t>
      </w:r>
    </w:p>
    <w:p w14:paraId="3973D7D7" w14:textId="77777777" w:rsidR="007B027D" w:rsidRDefault="008E0125">
      <w:pPr>
        <w:pStyle w:val="a3"/>
        <w:shd w:val="clear" w:color="auto" w:fill="FFFFFF"/>
        <w:spacing w:before="160" w:beforeAutospacing="0" w:afterAutospacing="0"/>
        <w:jc w:val="both"/>
        <w:rPr>
          <w:rFonts w:ascii="Calibri" w:hAnsi="Calibri" w:cs="Calibri"/>
          <w:sz w:val="19"/>
          <w:szCs w:val="19"/>
        </w:rPr>
      </w:pPr>
      <w:r>
        <w:rPr>
          <w:rFonts w:ascii="Calibri" w:hAnsi="Calibri" w:cs="Calibri"/>
          <w:sz w:val="19"/>
          <w:szCs w:val="19"/>
          <w:shd w:val="clear" w:color="auto" w:fill="FFFFFF"/>
        </w:rPr>
        <w:t>Because of its inherent limitat</w:t>
      </w:r>
      <w:r>
        <w:rPr>
          <w:rFonts w:ascii="Calibri" w:hAnsi="Calibri" w:cs="Calibri"/>
          <w:sz w:val="19"/>
          <w:szCs w:val="19"/>
          <w:shd w:val="clear" w:color="auto" w:fill="FFFFFF"/>
        </w:rPr>
        <w:t>ions, internal control over financial reporting may not prevent or detect misstatements. Also, projections of any evaluation of effectiveness to future periods are subject to the risk that controls may become inadequate because of changes in conditions, or</w:t>
      </w:r>
      <w:r>
        <w:rPr>
          <w:rFonts w:ascii="Calibri" w:hAnsi="Calibri" w:cs="Calibri"/>
          <w:sz w:val="19"/>
          <w:szCs w:val="19"/>
          <w:shd w:val="clear" w:color="auto" w:fill="FFFFFF"/>
        </w:rPr>
        <w:t xml:space="preserve"> that the degree of compliance with the policies or procedures may deteriorate. </w:t>
      </w:r>
    </w:p>
    <w:p w14:paraId="3973D7D8" w14:textId="77777777" w:rsidR="007B027D" w:rsidRDefault="008E0125">
      <w:pPr>
        <w:pStyle w:val="a3"/>
        <w:shd w:val="clear" w:color="auto" w:fill="FFFFFF"/>
        <w:spacing w:before="160" w:beforeAutospacing="0" w:afterAutospacing="0"/>
        <w:jc w:val="both"/>
        <w:rPr>
          <w:rFonts w:ascii="Calibri" w:hAnsi="Calibri" w:cs="Calibri"/>
          <w:color w:val="000000"/>
          <w:sz w:val="19"/>
          <w:szCs w:val="19"/>
        </w:rPr>
      </w:pPr>
      <w:r>
        <w:rPr>
          <w:rFonts w:ascii="Calibri" w:hAnsi="Calibri" w:cs="Calibri"/>
          <w:color w:val="000000"/>
          <w:sz w:val="19"/>
          <w:szCs w:val="19"/>
          <w:shd w:val="clear" w:color="auto" w:fill="FFFFFF"/>
        </w:rPr>
        <w:t xml:space="preserve">/s/ Ernst &amp; Young LLP </w:t>
      </w:r>
    </w:p>
    <w:p w14:paraId="3973D7D9" w14:textId="77777777" w:rsidR="007B027D" w:rsidRDefault="008E0125">
      <w:pPr>
        <w:pStyle w:val="a3"/>
        <w:spacing w:before="160" w:beforeAutospacing="0" w:after="100" w:afterAutospacing="0"/>
        <w:rPr>
          <w:rFonts w:ascii="Calibri" w:hAnsi="Calibri" w:cs="Calibri"/>
          <w:sz w:val="19"/>
          <w:szCs w:val="19"/>
        </w:rPr>
      </w:pPr>
      <w:r>
        <w:rPr>
          <w:rFonts w:ascii="Calibri" w:hAnsi="Calibri" w:cs="Calibri"/>
          <w:sz w:val="19"/>
          <w:szCs w:val="19"/>
        </w:rPr>
        <w:t xml:space="preserve">San Jose, California </w:t>
      </w:r>
    </w:p>
    <w:p w14:paraId="3973D7DA" w14:textId="77777777" w:rsidR="007B027D" w:rsidRDefault="008E0125">
      <w:pPr>
        <w:pStyle w:val="a3"/>
        <w:spacing w:before="160" w:beforeAutospacing="0" w:after="160" w:afterAutospacing="0"/>
        <w:rPr>
          <w:rFonts w:ascii="Calibri" w:hAnsi="Calibri" w:cs="Calibri"/>
          <w:color w:val="000000"/>
          <w:sz w:val="19"/>
          <w:szCs w:val="19"/>
        </w:rPr>
      </w:pPr>
      <w:r>
        <w:rPr>
          <w:rFonts w:ascii="Calibri" w:hAnsi="Calibri" w:cs="Calibri"/>
          <w:color w:val="000000"/>
          <w:sz w:val="19"/>
          <w:szCs w:val="19"/>
        </w:rPr>
        <w:t>June 21, 2022</w:t>
      </w:r>
    </w:p>
    <w:p w14:paraId="3973D7D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65</w:t>
      </w:r>
    </w:p>
    <w:p w14:paraId="3973D7DC" w14:textId="77777777" w:rsidR="007B027D" w:rsidRDefault="008E0125">
      <w:r>
        <w:rPr>
          <w:rFonts w:ascii="Calibri" w:hAnsi="Calibri" w:cs="Calibri"/>
          <w:sz w:val="20"/>
          <w:szCs w:val="20"/>
        </w:rPr>
        <w:pict w14:anchorId="3974007C">
          <v:rect id="_x0000_i1091" style="width:415.3pt;height:1.5pt" o:hralign="center" o:hrstd="t" o:hr="t" fillcolor="#a0a0a0" stroked="f"/>
        </w:pict>
      </w:r>
    </w:p>
    <w:p w14:paraId="3973D7DD" w14:textId="77777777" w:rsidR="007B027D" w:rsidRDefault="008E0125">
      <w:pPr>
        <w:pStyle w:val="a3"/>
        <w:spacing w:beforeAutospacing="0" w:after="120" w:afterAutospacing="0"/>
        <w:rPr>
          <w:rFonts w:ascii="Calibri" w:hAnsi="Calibri" w:cs="Calibri"/>
          <w:sz w:val="18"/>
          <w:szCs w:val="18"/>
        </w:rPr>
      </w:pPr>
      <w:hyperlink r:id="rId166" w:anchor="TABLE_OF_CONTENTS" w:history="1">
        <w:r>
          <w:rPr>
            <w:rStyle w:val="a5"/>
            <w:rFonts w:ascii="Calibri" w:hAnsi="Calibri" w:cs="Calibri"/>
            <w:sz w:val="18"/>
            <w:szCs w:val="18"/>
          </w:rPr>
          <w:t>Table of Contents</w:t>
        </w:r>
      </w:hyperlink>
    </w:p>
    <w:p w14:paraId="3973D7DE" w14:textId="77777777" w:rsidR="007B027D" w:rsidRDefault="008E0125">
      <w:pPr>
        <w:pStyle w:val="a3"/>
        <w:spacing w:beforeAutospacing="0" w:afterAutospacing="0"/>
        <w:rPr>
          <w:rFonts w:ascii="Calibri" w:hAnsi="Calibri" w:cs="Calibri"/>
          <w:sz w:val="18"/>
          <w:szCs w:val="18"/>
        </w:rPr>
      </w:pPr>
      <w:hyperlink r:id="rId167" w:anchor="ITEM_15_EXHIBITS_FINANCIAL_STATEMENT_SCH" w:history="1">
        <w:r>
          <w:rPr>
            <w:rStyle w:val="a5"/>
            <w:rFonts w:ascii="Calibri" w:hAnsi="Calibri" w:cs="Calibri"/>
            <w:sz w:val="18"/>
            <w:szCs w:val="18"/>
          </w:rPr>
          <w:t>Index to Financial Statements</w:t>
        </w:r>
      </w:hyperlink>
    </w:p>
    <w:p w14:paraId="3973D7DF"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7E0"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D7E1"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BALANCE SHEETS</w:t>
      </w:r>
    </w:p>
    <w:p w14:paraId="3973D7E2"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As of May 31, 2022 and 2021</w:t>
      </w:r>
    </w:p>
    <w:p w14:paraId="3973D7E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939"/>
        <w:gridCol w:w="123"/>
        <w:gridCol w:w="107"/>
        <w:gridCol w:w="883"/>
        <w:gridCol w:w="77"/>
        <w:gridCol w:w="124"/>
        <w:gridCol w:w="107"/>
        <w:gridCol w:w="884"/>
        <w:gridCol w:w="77"/>
      </w:tblGrid>
      <w:tr w:rsidR="007B027D" w14:paraId="3973D7E8" w14:textId="77777777">
        <w:tc>
          <w:tcPr>
            <w:tcW w:w="3571" w:type="pct"/>
            <w:shd w:val="clear" w:color="auto" w:fill="FFFFFF"/>
            <w:tcMar>
              <w:top w:w="15" w:type="dxa"/>
              <w:right w:w="15" w:type="dxa"/>
            </w:tcMar>
            <w:vAlign w:val="bottom"/>
          </w:tcPr>
          <w:p w14:paraId="3973D7E4"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8" w:type="pct"/>
            <w:shd w:val="clear" w:color="auto" w:fill="FFFFFF"/>
            <w:tcMar>
              <w:top w:w="15" w:type="dxa"/>
              <w:right w:w="15" w:type="dxa"/>
            </w:tcMar>
            <w:vAlign w:val="bottom"/>
          </w:tcPr>
          <w:p w14:paraId="3973D7E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98" w:type="pct"/>
            <w:gridSpan w:val="6"/>
            <w:tcBorders>
              <w:bottom w:val="single" w:sz="6" w:space="0" w:color="000000"/>
            </w:tcBorders>
            <w:shd w:val="clear" w:color="auto" w:fill="FFFFFF"/>
            <w:tcMar>
              <w:top w:w="15" w:type="dxa"/>
              <w:right w:w="15" w:type="dxa"/>
            </w:tcMar>
            <w:vAlign w:val="bottom"/>
          </w:tcPr>
          <w:p w14:paraId="3973D7E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D7E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7F0" w14:textId="77777777">
        <w:tc>
          <w:tcPr>
            <w:tcW w:w="3571" w:type="pct"/>
            <w:tcBorders>
              <w:bottom w:val="single" w:sz="6" w:space="0" w:color="000000"/>
            </w:tcBorders>
            <w:shd w:val="clear" w:color="auto" w:fill="FFFFFF"/>
            <w:tcMar>
              <w:top w:w="15" w:type="dxa"/>
              <w:right w:w="15" w:type="dxa"/>
            </w:tcMar>
            <w:vAlign w:val="bottom"/>
          </w:tcPr>
          <w:p w14:paraId="3973D7E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8" w:type="pct"/>
            <w:shd w:val="clear" w:color="auto" w:fill="FFFFFF"/>
            <w:tcMar>
              <w:top w:w="15" w:type="dxa"/>
              <w:right w:w="15" w:type="dxa"/>
            </w:tcMar>
            <w:vAlign w:val="bottom"/>
          </w:tcPr>
          <w:p w14:paraId="3973D7E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5" w:type="pct"/>
            <w:gridSpan w:val="2"/>
            <w:tcBorders>
              <w:top w:val="single" w:sz="6" w:space="0" w:color="000000"/>
              <w:bottom w:val="single" w:sz="6" w:space="0" w:color="000000"/>
            </w:tcBorders>
            <w:shd w:val="clear" w:color="auto" w:fill="FFFFFF"/>
            <w:tcMar>
              <w:top w:w="15" w:type="dxa"/>
              <w:right w:w="15" w:type="dxa"/>
            </w:tcMar>
            <w:vAlign w:val="bottom"/>
          </w:tcPr>
          <w:p w14:paraId="3973D7E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7E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3973D7E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85" w:type="pct"/>
            <w:gridSpan w:val="2"/>
            <w:tcBorders>
              <w:top w:val="single" w:sz="6" w:space="0" w:color="000000"/>
              <w:bottom w:val="single" w:sz="6" w:space="0" w:color="000000"/>
            </w:tcBorders>
            <w:shd w:val="clear" w:color="auto" w:fill="FFFFFF"/>
            <w:tcMar>
              <w:top w:w="15" w:type="dxa"/>
              <w:right w:w="15" w:type="dxa"/>
            </w:tcMar>
            <w:vAlign w:val="bottom"/>
          </w:tcPr>
          <w:p w14:paraId="3973D7E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7E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7FA" w14:textId="77777777">
        <w:tc>
          <w:tcPr>
            <w:tcW w:w="3571" w:type="pct"/>
            <w:tcBorders>
              <w:top w:val="single" w:sz="6" w:space="0" w:color="000000"/>
            </w:tcBorders>
            <w:shd w:val="clear" w:color="auto" w:fill="CFF0FC"/>
            <w:tcMar>
              <w:top w:w="15" w:type="dxa"/>
              <w:right w:w="15" w:type="dxa"/>
            </w:tcMar>
          </w:tcPr>
          <w:p w14:paraId="3973D7F1" w14:textId="77777777" w:rsidR="007B027D" w:rsidRDefault="008E012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ASSETS</w:t>
            </w:r>
          </w:p>
        </w:tc>
        <w:tc>
          <w:tcPr>
            <w:tcW w:w="78" w:type="pct"/>
            <w:shd w:val="clear" w:color="auto" w:fill="CFF0FC"/>
            <w:tcMar>
              <w:top w:w="15" w:type="dxa"/>
              <w:right w:w="15" w:type="dxa"/>
            </w:tcMar>
            <w:vAlign w:val="bottom"/>
          </w:tcPr>
          <w:p w14:paraId="3973D7F2"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7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CFF0FC"/>
            <w:noWrap/>
            <w:tcMar>
              <w:top w:w="15" w:type="dxa"/>
              <w:right w:w="15" w:type="dxa"/>
            </w:tcMar>
            <w:vAlign w:val="bottom"/>
          </w:tcPr>
          <w:p w14:paraId="3973D7F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7F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7F6"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7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CFF0FC"/>
            <w:noWrap/>
            <w:tcMar>
              <w:top w:w="15" w:type="dxa"/>
              <w:right w:w="15" w:type="dxa"/>
            </w:tcMar>
            <w:vAlign w:val="bottom"/>
          </w:tcPr>
          <w:p w14:paraId="3973D7F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7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04" w14:textId="77777777">
        <w:tc>
          <w:tcPr>
            <w:tcW w:w="3571" w:type="pct"/>
            <w:shd w:val="clear" w:color="auto" w:fill="FFFFFF"/>
            <w:tcMar>
              <w:top w:w="15" w:type="dxa"/>
              <w:right w:w="15" w:type="dxa"/>
            </w:tcMar>
          </w:tcPr>
          <w:p w14:paraId="3973D7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Current assets:</w:t>
            </w:r>
          </w:p>
        </w:tc>
        <w:tc>
          <w:tcPr>
            <w:tcW w:w="78" w:type="pct"/>
            <w:shd w:val="clear" w:color="auto" w:fill="FFFFFF"/>
            <w:tcMar>
              <w:top w:w="15" w:type="dxa"/>
              <w:right w:w="15" w:type="dxa"/>
            </w:tcMar>
            <w:vAlign w:val="bottom"/>
          </w:tcPr>
          <w:p w14:paraId="3973D7FC"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FFFFFF"/>
            <w:noWrap/>
            <w:tcMar>
              <w:top w:w="15" w:type="dxa"/>
              <w:right w:w="15" w:type="dxa"/>
            </w:tcMar>
            <w:vAlign w:val="bottom"/>
          </w:tcPr>
          <w:p w14:paraId="3973D7F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7F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7F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00"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3973D8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0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0E" w14:textId="77777777">
        <w:tc>
          <w:tcPr>
            <w:tcW w:w="3571" w:type="pct"/>
            <w:shd w:val="clear" w:color="auto" w:fill="CFF0FC"/>
            <w:tcMar>
              <w:top w:w="15" w:type="dxa"/>
              <w:right w:w="15" w:type="dxa"/>
            </w:tcMar>
          </w:tcPr>
          <w:p w14:paraId="3973D80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Cash and cash equivalents</w:t>
            </w:r>
          </w:p>
        </w:tc>
        <w:tc>
          <w:tcPr>
            <w:tcW w:w="78" w:type="pct"/>
            <w:shd w:val="clear" w:color="auto" w:fill="CFF0FC"/>
            <w:tcMar>
              <w:top w:w="15" w:type="dxa"/>
              <w:right w:w="15" w:type="dxa"/>
            </w:tcMar>
            <w:vAlign w:val="bottom"/>
          </w:tcPr>
          <w:p w14:paraId="3973D8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shd w:val="clear" w:color="auto" w:fill="CFF0FC"/>
            <w:noWrap/>
            <w:tcMar>
              <w:top w:w="15" w:type="dxa"/>
              <w:right w:w="15" w:type="dxa"/>
            </w:tcMar>
            <w:vAlign w:val="bottom"/>
          </w:tcPr>
          <w:p w14:paraId="3973D80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21,383</w:t>
            </w:r>
          </w:p>
        </w:tc>
        <w:tc>
          <w:tcPr>
            <w:tcW w:w="50" w:type="pct"/>
            <w:shd w:val="clear" w:color="auto" w:fill="CFF0FC"/>
            <w:noWrap/>
            <w:tcMar>
              <w:top w:w="15" w:type="dxa"/>
              <w:right w:w="15" w:type="dxa"/>
            </w:tcMar>
            <w:vAlign w:val="bottom"/>
          </w:tcPr>
          <w:p w14:paraId="3973D80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shd w:val="clear" w:color="auto" w:fill="CFF0FC"/>
            <w:noWrap/>
            <w:tcMar>
              <w:top w:w="15" w:type="dxa"/>
              <w:right w:w="15" w:type="dxa"/>
            </w:tcMar>
            <w:vAlign w:val="bottom"/>
          </w:tcPr>
          <w:p w14:paraId="3973D80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30,098</w:t>
            </w:r>
          </w:p>
        </w:tc>
        <w:tc>
          <w:tcPr>
            <w:tcW w:w="50" w:type="pct"/>
            <w:shd w:val="clear" w:color="auto" w:fill="CFF0FC"/>
            <w:noWrap/>
            <w:tcMar>
              <w:top w:w="15" w:type="dxa"/>
              <w:right w:w="15" w:type="dxa"/>
            </w:tcMar>
            <w:vAlign w:val="bottom"/>
          </w:tcPr>
          <w:p w14:paraId="3973D8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18" w14:textId="77777777">
        <w:tc>
          <w:tcPr>
            <w:tcW w:w="3571" w:type="pct"/>
            <w:shd w:val="clear" w:color="auto" w:fill="FFFFFF"/>
            <w:tcMar>
              <w:top w:w="15" w:type="dxa"/>
              <w:right w:w="15" w:type="dxa"/>
            </w:tcMar>
          </w:tcPr>
          <w:p w14:paraId="3973D80F"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Marketable securities</w:t>
            </w:r>
          </w:p>
        </w:tc>
        <w:tc>
          <w:tcPr>
            <w:tcW w:w="78" w:type="pct"/>
            <w:shd w:val="clear" w:color="auto" w:fill="FFFFFF"/>
            <w:tcMar>
              <w:top w:w="15" w:type="dxa"/>
              <w:right w:w="15" w:type="dxa"/>
            </w:tcMar>
            <w:vAlign w:val="bottom"/>
          </w:tcPr>
          <w:p w14:paraId="3973D81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1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519</w:t>
            </w:r>
          </w:p>
        </w:tc>
        <w:tc>
          <w:tcPr>
            <w:tcW w:w="50" w:type="pct"/>
            <w:shd w:val="clear" w:color="auto" w:fill="FFFFFF"/>
            <w:noWrap/>
            <w:tcMar>
              <w:top w:w="15" w:type="dxa"/>
              <w:right w:w="15" w:type="dxa"/>
            </w:tcMar>
            <w:vAlign w:val="bottom"/>
          </w:tcPr>
          <w:p w14:paraId="3973D81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1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1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16,456</w:t>
            </w:r>
          </w:p>
        </w:tc>
        <w:tc>
          <w:tcPr>
            <w:tcW w:w="50" w:type="pct"/>
            <w:shd w:val="clear" w:color="auto" w:fill="FFFFFF"/>
            <w:noWrap/>
            <w:tcMar>
              <w:top w:w="15" w:type="dxa"/>
              <w:right w:w="15" w:type="dxa"/>
            </w:tcMar>
            <w:vAlign w:val="bottom"/>
          </w:tcPr>
          <w:p w14:paraId="3973D81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22" w14:textId="77777777">
        <w:tc>
          <w:tcPr>
            <w:tcW w:w="3571" w:type="pct"/>
            <w:shd w:val="clear" w:color="auto" w:fill="CFF0FC"/>
            <w:tcMar>
              <w:top w:w="15" w:type="dxa"/>
              <w:right w:w="15" w:type="dxa"/>
            </w:tcMar>
          </w:tcPr>
          <w:p w14:paraId="3973D819" w14:textId="77777777" w:rsidR="007B027D" w:rsidRDefault="008E0125">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 xml:space="preserve">Trade receivables, net of allowances for credit losses of $362 and $373 as of May 31, 2022 and May 31, 2021, </w:t>
            </w:r>
            <w:r>
              <w:rPr>
                <w:rFonts w:ascii="Calibri" w:hAnsi="Calibri" w:cs="Calibri"/>
                <w:color w:val="000000"/>
                <w:sz w:val="18"/>
                <w:szCs w:val="18"/>
              </w:rPr>
              <w:t>respectively</w:t>
            </w:r>
          </w:p>
        </w:tc>
        <w:tc>
          <w:tcPr>
            <w:tcW w:w="78" w:type="pct"/>
            <w:shd w:val="clear" w:color="auto" w:fill="CFF0FC"/>
            <w:tcMar>
              <w:top w:w="15" w:type="dxa"/>
              <w:right w:w="15" w:type="dxa"/>
            </w:tcMar>
            <w:vAlign w:val="bottom"/>
          </w:tcPr>
          <w:p w14:paraId="3973D8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1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5,953</w:t>
            </w:r>
          </w:p>
        </w:tc>
        <w:tc>
          <w:tcPr>
            <w:tcW w:w="50" w:type="pct"/>
            <w:shd w:val="clear" w:color="auto" w:fill="CFF0FC"/>
            <w:noWrap/>
            <w:tcMar>
              <w:top w:w="15" w:type="dxa"/>
              <w:right w:w="15" w:type="dxa"/>
            </w:tcMar>
            <w:vAlign w:val="bottom"/>
          </w:tcPr>
          <w:p w14:paraId="3973D8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1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2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5,409</w:t>
            </w:r>
          </w:p>
        </w:tc>
        <w:tc>
          <w:tcPr>
            <w:tcW w:w="50" w:type="pct"/>
            <w:shd w:val="clear" w:color="auto" w:fill="CFF0FC"/>
            <w:noWrap/>
            <w:tcMar>
              <w:top w:w="15" w:type="dxa"/>
              <w:right w:w="15" w:type="dxa"/>
            </w:tcMar>
            <w:vAlign w:val="bottom"/>
          </w:tcPr>
          <w:p w14:paraId="3973D8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2C" w14:textId="77777777">
        <w:tc>
          <w:tcPr>
            <w:tcW w:w="3571" w:type="pct"/>
            <w:shd w:val="clear" w:color="auto" w:fill="FFFFFF"/>
            <w:tcMar>
              <w:top w:w="15" w:type="dxa"/>
              <w:right w:w="15" w:type="dxa"/>
            </w:tcMar>
          </w:tcPr>
          <w:p w14:paraId="3973D823"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Prepaid expenses and other current assets</w:t>
            </w:r>
          </w:p>
        </w:tc>
        <w:tc>
          <w:tcPr>
            <w:tcW w:w="78" w:type="pct"/>
            <w:shd w:val="clear" w:color="auto" w:fill="FFFFFF"/>
            <w:tcMar>
              <w:top w:w="15" w:type="dxa"/>
              <w:right w:w="15" w:type="dxa"/>
            </w:tcMar>
            <w:vAlign w:val="bottom"/>
          </w:tcPr>
          <w:p w14:paraId="3973D82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82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82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3,778</w:t>
            </w:r>
          </w:p>
        </w:tc>
        <w:tc>
          <w:tcPr>
            <w:tcW w:w="50" w:type="pct"/>
            <w:shd w:val="clear" w:color="auto" w:fill="FFFFFF"/>
            <w:noWrap/>
            <w:tcMar>
              <w:top w:w="15" w:type="dxa"/>
              <w:right w:w="15" w:type="dxa"/>
            </w:tcMar>
            <w:vAlign w:val="bottom"/>
          </w:tcPr>
          <w:p w14:paraId="3973D8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8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82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3,604</w:t>
            </w:r>
          </w:p>
        </w:tc>
        <w:tc>
          <w:tcPr>
            <w:tcW w:w="50" w:type="pct"/>
            <w:shd w:val="clear" w:color="auto" w:fill="FFFFFF"/>
            <w:noWrap/>
            <w:tcMar>
              <w:top w:w="15" w:type="dxa"/>
              <w:right w:w="15" w:type="dxa"/>
            </w:tcMar>
            <w:vAlign w:val="bottom"/>
          </w:tcPr>
          <w:p w14:paraId="3973D8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36" w14:textId="77777777">
        <w:tc>
          <w:tcPr>
            <w:tcW w:w="3571" w:type="pct"/>
            <w:shd w:val="clear" w:color="auto" w:fill="CFF0FC"/>
            <w:tcMar>
              <w:top w:w="15" w:type="dxa"/>
              <w:right w:w="15" w:type="dxa"/>
            </w:tcMar>
          </w:tcPr>
          <w:p w14:paraId="3973D82D"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current assets</w:t>
            </w:r>
          </w:p>
        </w:tc>
        <w:tc>
          <w:tcPr>
            <w:tcW w:w="78" w:type="pct"/>
            <w:shd w:val="clear" w:color="auto" w:fill="CFF0FC"/>
            <w:tcMar>
              <w:top w:w="15" w:type="dxa"/>
              <w:right w:w="15" w:type="dxa"/>
            </w:tcMar>
            <w:vAlign w:val="bottom"/>
          </w:tcPr>
          <w:p w14:paraId="3973D82E"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8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83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31,633</w:t>
            </w:r>
          </w:p>
        </w:tc>
        <w:tc>
          <w:tcPr>
            <w:tcW w:w="50" w:type="pct"/>
            <w:shd w:val="clear" w:color="auto" w:fill="CFF0FC"/>
            <w:noWrap/>
            <w:tcMar>
              <w:top w:w="15" w:type="dxa"/>
              <w:right w:w="15" w:type="dxa"/>
            </w:tcMar>
            <w:vAlign w:val="bottom"/>
          </w:tcPr>
          <w:p w14:paraId="3973D8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32"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8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83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55,567</w:t>
            </w:r>
          </w:p>
        </w:tc>
        <w:tc>
          <w:tcPr>
            <w:tcW w:w="50" w:type="pct"/>
            <w:shd w:val="clear" w:color="auto" w:fill="CFF0FC"/>
            <w:noWrap/>
            <w:tcMar>
              <w:top w:w="15" w:type="dxa"/>
              <w:right w:w="15" w:type="dxa"/>
            </w:tcMar>
            <w:vAlign w:val="bottom"/>
          </w:tcPr>
          <w:p w14:paraId="3973D83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40" w14:textId="77777777">
        <w:tc>
          <w:tcPr>
            <w:tcW w:w="3571" w:type="pct"/>
            <w:shd w:val="clear" w:color="auto" w:fill="FFFFFF"/>
            <w:tcMar>
              <w:top w:w="15" w:type="dxa"/>
              <w:right w:w="15" w:type="dxa"/>
            </w:tcMar>
          </w:tcPr>
          <w:p w14:paraId="3973D8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Non-current assets:</w:t>
            </w:r>
          </w:p>
        </w:tc>
        <w:tc>
          <w:tcPr>
            <w:tcW w:w="78" w:type="pct"/>
            <w:shd w:val="clear" w:color="auto" w:fill="FFFFFF"/>
            <w:tcMar>
              <w:top w:w="15" w:type="dxa"/>
              <w:right w:w="15" w:type="dxa"/>
            </w:tcMar>
            <w:vAlign w:val="bottom"/>
          </w:tcPr>
          <w:p w14:paraId="3973D838"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D8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83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3C"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D8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83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4A" w14:textId="77777777">
        <w:tc>
          <w:tcPr>
            <w:tcW w:w="3571" w:type="pct"/>
            <w:shd w:val="clear" w:color="auto" w:fill="CFF0FC"/>
            <w:tcMar>
              <w:top w:w="15" w:type="dxa"/>
              <w:right w:w="15" w:type="dxa"/>
            </w:tcMar>
          </w:tcPr>
          <w:p w14:paraId="3973D841"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Property, plant and equipment, net</w:t>
            </w:r>
          </w:p>
        </w:tc>
        <w:tc>
          <w:tcPr>
            <w:tcW w:w="78" w:type="pct"/>
            <w:shd w:val="clear" w:color="auto" w:fill="CFF0FC"/>
            <w:tcMar>
              <w:top w:w="15" w:type="dxa"/>
              <w:right w:w="15" w:type="dxa"/>
            </w:tcMar>
            <w:vAlign w:val="bottom"/>
          </w:tcPr>
          <w:p w14:paraId="3973D8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4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4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9,716</w:t>
            </w:r>
          </w:p>
        </w:tc>
        <w:tc>
          <w:tcPr>
            <w:tcW w:w="50" w:type="pct"/>
            <w:shd w:val="clear" w:color="auto" w:fill="CFF0FC"/>
            <w:noWrap/>
            <w:tcMar>
              <w:top w:w="15" w:type="dxa"/>
              <w:right w:w="15" w:type="dxa"/>
            </w:tcMar>
            <w:vAlign w:val="bottom"/>
          </w:tcPr>
          <w:p w14:paraId="3973D8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4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4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7,049</w:t>
            </w:r>
          </w:p>
        </w:tc>
        <w:tc>
          <w:tcPr>
            <w:tcW w:w="50" w:type="pct"/>
            <w:shd w:val="clear" w:color="auto" w:fill="CFF0FC"/>
            <w:noWrap/>
            <w:tcMar>
              <w:top w:w="15" w:type="dxa"/>
              <w:right w:w="15" w:type="dxa"/>
            </w:tcMar>
            <w:vAlign w:val="bottom"/>
          </w:tcPr>
          <w:p w14:paraId="3973D8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54" w14:textId="77777777">
        <w:tc>
          <w:tcPr>
            <w:tcW w:w="3571" w:type="pct"/>
            <w:shd w:val="clear" w:color="auto" w:fill="FFFFFF"/>
            <w:tcMar>
              <w:top w:w="15" w:type="dxa"/>
              <w:right w:w="15" w:type="dxa"/>
            </w:tcMar>
          </w:tcPr>
          <w:p w14:paraId="3973D84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Intangible assets, net</w:t>
            </w:r>
          </w:p>
        </w:tc>
        <w:tc>
          <w:tcPr>
            <w:tcW w:w="78" w:type="pct"/>
            <w:shd w:val="clear" w:color="auto" w:fill="FFFFFF"/>
            <w:tcMar>
              <w:top w:w="15" w:type="dxa"/>
              <w:right w:w="15" w:type="dxa"/>
            </w:tcMar>
            <w:vAlign w:val="bottom"/>
          </w:tcPr>
          <w:p w14:paraId="3973D8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4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1,440</w:t>
            </w:r>
          </w:p>
        </w:tc>
        <w:tc>
          <w:tcPr>
            <w:tcW w:w="50" w:type="pct"/>
            <w:shd w:val="clear" w:color="auto" w:fill="FFFFFF"/>
            <w:noWrap/>
            <w:tcMar>
              <w:top w:w="15" w:type="dxa"/>
              <w:right w:w="15" w:type="dxa"/>
            </w:tcMar>
            <w:vAlign w:val="bottom"/>
          </w:tcPr>
          <w:p w14:paraId="3973D84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5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2,430</w:t>
            </w:r>
          </w:p>
        </w:tc>
        <w:tc>
          <w:tcPr>
            <w:tcW w:w="50" w:type="pct"/>
            <w:shd w:val="clear" w:color="auto" w:fill="FFFFFF"/>
            <w:noWrap/>
            <w:tcMar>
              <w:top w:w="15" w:type="dxa"/>
              <w:right w:w="15" w:type="dxa"/>
            </w:tcMar>
            <w:vAlign w:val="bottom"/>
          </w:tcPr>
          <w:p w14:paraId="3973D85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5E" w14:textId="77777777">
        <w:tc>
          <w:tcPr>
            <w:tcW w:w="3571" w:type="pct"/>
            <w:shd w:val="clear" w:color="auto" w:fill="CFF0FC"/>
            <w:tcMar>
              <w:top w:w="15" w:type="dxa"/>
              <w:right w:w="15" w:type="dxa"/>
            </w:tcMar>
          </w:tcPr>
          <w:p w14:paraId="3973D85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Goodwill, net</w:t>
            </w:r>
          </w:p>
        </w:tc>
        <w:tc>
          <w:tcPr>
            <w:tcW w:w="78" w:type="pct"/>
            <w:shd w:val="clear" w:color="auto" w:fill="CFF0FC"/>
            <w:tcMar>
              <w:top w:w="15" w:type="dxa"/>
              <w:right w:w="15" w:type="dxa"/>
            </w:tcMar>
            <w:vAlign w:val="bottom"/>
          </w:tcPr>
          <w:p w14:paraId="3973D8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5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43,811</w:t>
            </w:r>
          </w:p>
        </w:tc>
        <w:tc>
          <w:tcPr>
            <w:tcW w:w="50" w:type="pct"/>
            <w:shd w:val="clear" w:color="auto" w:fill="CFF0FC"/>
            <w:noWrap/>
            <w:tcMar>
              <w:top w:w="15" w:type="dxa"/>
              <w:right w:w="15" w:type="dxa"/>
            </w:tcMar>
            <w:vAlign w:val="bottom"/>
          </w:tcPr>
          <w:p w14:paraId="3973D8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5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43,935</w:t>
            </w:r>
          </w:p>
        </w:tc>
        <w:tc>
          <w:tcPr>
            <w:tcW w:w="50" w:type="pct"/>
            <w:shd w:val="clear" w:color="auto" w:fill="CFF0FC"/>
            <w:noWrap/>
            <w:tcMar>
              <w:top w:w="15" w:type="dxa"/>
              <w:right w:w="15" w:type="dxa"/>
            </w:tcMar>
            <w:vAlign w:val="bottom"/>
          </w:tcPr>
          <w:p w14:paraId="3973D85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68" w14:textId="77777777">
        <w:tc>
          <w:tcPr>
            <w:tcW w:w="3571" w:type="pct"/>
            <w:shd w:val="clear" w:color="auto" w:fill="FFFFFF"/>
            <w:tcMar>
              <w:top w:w="15" w:type="dxa"/>
              <w:right w:w="15" w:type="dxa"/>
            </w:tcMar>
          </w:tcPr>
          <w:p w14:paraId="3973D85F"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Deferred tax assets</w:t>
            </w:r>
          </w:p>
        </w:tc>
        <w:tc>
          <w:tcPr>
            <w:tcW w:w="78" w:type="pct"/>
            <w:shd w:val="clear" w:color="auto" w:fill="FFFFFF"/>
            <w:tcMar>
              <w:top w:w="15" w:type="dxa"/>
              <w:right w:w="15" w:type="dxa"/>
            </w:tcMar>
            <w:vAlign w:val="bottom"/>
          </w:tcPr>
          <w:p w14:paraId="3973D8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6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12,782</w:t>
            </w:r>
          </w:p>
        </w:tc>
        <w:tc>
          <w:tcPr>
            <w:tcW w:w="50" w:type="pct"/>
            <w:shd w:val="clear" w:color="auto" w:fill="FFFFFF"/>
            <w:noWrap/>
            <w:tcMar>
              <w:top w:w="15" w:type="dxa"/>
              <w:right w:w="15" w:type="dxa"/>
            </w:tcMar>
            <w:vAlign w:val="bottom"/>
          </w:tcPr>
          <w:p w14:paraId="3973D8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6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13,636</w:t>
            </w:r>
          </w:p>
        </w:tc>
        <w:tc>
          <w:tcPr>
            <w:tcW w:w="50" w:type="pct"/>
            <w:shd w:val="clear" w:color="auto" w:fill="FFFFFF"/>
            <w:noWrap/>
            <w:tcMar>
              <w:top w:w="15" w:type="dxa"/>
              <w:right w:w="15" w:type="dxa"/>
            </w:tcMar>
            <w:vAlign w:val="bottom"/>
          </w:tcPr>
          <w:p w14:paraId="3973D8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72" w14:textId="77777777">
        <w:tc>
          <w:tcPr>
            <w:tcW w:w="3571" w:type="pct"/>
            <w:shd w:val="clear" w:color="auto" w:fill="CFF0FC"/>
            <w:tcMar>
              <w:top w:w="15" w:type="dxa"/>
              <w:right w:w="15" w:type="dxa"/>
            </w:tcMar>
          </w:tcPr>
          <w:p w14:paraId="3973D869"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non-current assets</w:t>
            </w:r>
          </w:p>
        </w:tc>
        <w:tc>
          <w:tcPr>
            <w:tcW w:w="78" w:type="pct"/>
            <w:shd w:val="clear" w:color="auto" w:fill="CFF0FC"/>
            <w:tcMar>
              <w:top w:w="15" w:type="dxa"/>
              <w:right w:w="15" w:type="dxa"/>
            </w:tcMar>
            <w:vAlign w:val="bottom"/>
          </w:tcPr>
          <w:p w14:paraId="3973D8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8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CFF0FC"/>
            <w:noWrap/>
            <w:tcMar>
              <w:top w:w="15" w:type="dxa"/>
              <w:right w:w="15" w:type="dxa"/>
            </w:tcMar>
            <w:vAlign w:val="bottom"/>
          </w:tcPr>
          <w:p w14:paraId="3973D86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9,915</w:t>
            </w:r>
          </w:p>
        </w:tc>
        <w:tc>
          <w:tcPr>
            <w:tcW w:w="50" w:type="pct"/>
            <w:shd w:val="clear" w:color="auto" w:fill="CFF0FC"/>
            <w:noWrap/>
            <w:tcMar>
              <w:top w:w="15" w:type="dxa"/>
              <w:right w:w="15" w:type="dxa"/>
            </w:tcMar>
            <w:vAlign w:val="bottom"/>
          </w:tcPr>
          <w:p w14:paraId="3973D8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D8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CFF0FC"/>
            <w:noWrap/>
            <w:tcMar>
              <w:top w:w="15" w:type="dxa"/>
              <w:right w:w="15" w:type="dxa"/>
            </w:tcMar>
            <w:vAlign w:val="bottom"/>
          </w:tcPr>
          <w:p w14:paraId="3973D87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8,490</w:t>
            </w:r>
          </w:p>
        </w:tc>
        <w:tc>
          <w:tcPr>
            <w:tcW w:w="50" w:type="pct"/>
            <w:shd w:val="clear" w:color="auto" w:fill="CFF0FC"/>
            <w:noWrap/>
            <w:tcMar>
              <w:top w:w="15" w:type="dxa"/>
              <w:right w:w="15" w:type="dxa"/>
            </w:tcMar>
            <w:vAlign w:val="bottom"/>
          </w:tcPr>
          <w:p w14:paraId="3973D8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7C" w14:textId="77777777">
        <w:tc>
          <w:tcPr>
            <w:tcW w:w="3571" w:type="pct"/>
            <w:shd w:val="clear" w:color="auto" w:fill="FFFFFF"/>
            <w:tcMar>
              <w:top w:w="15" w:type="dxa"/>
              <w:right w:w="15" w:type="dxa"/>
            </w:tcMar>
          </w:tcPr>
          <w:p w14:paraId="3973D873"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non-current assets</w:t>
            </w:r>
          </w:p>
        </w:tc>
        <w:tc>
          <w:tcPr>
            <w:tcW w:w="78" w:type="pct"/>
            <w:shd w:val="clear" w:color="auto" w:fill="FFFFFF"/>
            <w:tcMar>
              <w:top w:w="15" w:type="dxa"/>
              <w:right w:w="15" w:type="dxa"/>
            </w:tcMar>
            <w:vAlign w:val="bottom"/>
          </w:tcPr>
          <w:p w14:paraId="3973D874"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87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87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77,664</w:t>
            </w:r>
          </w:p>
        </w:tc>
        <w:tc>
          <w:tcPr>
            <w:tcW w:w="50" w:type="pct"/>
            <w:shd w:val="clear" w:color="auto" w:fill="FFFFFF"/>
            <w:noWrap/>
            <w:tcMar>
              <w:top w:w="15" w:type="dxa"/>
              <w:right w:w="15" w:type="dxa"/>
            </w:tcMar>
            <w:vAlign w:val="bottom"/>
          </w:tcPr>
          <w:p w14:paraId="3973D8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78"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87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87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75,540</w:t>
            </w:r>
          </w:p>
        </w:tc>
        <w:tc>
          <w:tcPr>
            <w:tcW w:w="50" w:type="pct"/>
            <w:shd w:val="clear" w:color="auto" w:fill="FFFFFF"/>
            <w:noWrap/>
            <w:tcMar>
              <w:top w:w="15" w:type="dxa"/>
              <w:right w:w="15" w:type="dxa"/>
            </w:tcMar>
            <w:vAlign w:val="bottom"/>
          </w:tcPr>
          <w:p w14:paraId="3973D8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86" w14:textId="77777777">
        <w:tc>
          <w:tcPr>
            <w:tcW w:w="3571" w:type="pct"/>
            <w:shd w:val="clear" w:color="auto" w:fill="CFF0FC"/>
            <w:tcMar>
              <w:top w:w="15" w:type="dxa"/>
              <w:right w:w="15" w:type="dxa"/>
            </w:tcMar>
          </w:tcPr>
          <w:p w14:paraId="3973D87D" w14:textId="77777777" w:rsidR="007B027D" w:rsidRDefault="008E0125">
            <w:pPr>
              <w:pStyle w:val="a3"/>
              <w:spacing w:beforeAutospacing="0" w:afterAutospacing="0"/>
              <w:ind w:left="958"/>
              <w:rPr>
                <w:rFonts w:ascii="Calibri" w:hAnsi="Calibri" w:cs="Calibri"/>
                <w:color w:val="000000"/>
                <w:sz w:val="18"/>
                <w:szCs w:val="18"/>
              </w:rPr>
            </w:pPr>
            <w:r>
              <w:rPr>
                <w:rFonts w:ascii="Calibri" w:hAnsi="Calibri" w:cs="Calibri"/>
                <w:color w:val="000000"/>
                <w:sz w:val="18"/>
                <w:szCs w:val="18"/>
              </w:rPr>
              <w:t>Total assets</w:t>
            </w:r>
          </w:p>
        </w:tc>
        <w:tc>
          <w:tcPr>
            <w:tcW w:w="78" w:type="pct"/>
            <w:shd w:val="clear" w:color="auto" w:fill="CFF0FC"/>
            <w:tcMar>
              <w:top w:w="15" w:type="dxa"/>
              <w:right w:w="15" w:type="dxa"/>
            </w:tcMar>
            <w:vAlign w:val="bottom"/>
          </w:tcPr>
          <w:p w14:paraId="3973D8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87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tcBorders>
              <w:top w:val="single" w:sz="6" w:space="0" w:color="000000"/>
              <w:bottom w:val="double" w:sz="6" w:space="0" w:color="000000"/>
            </w:tcBorders>
            <w:shd w:val="clear" w:color="auto" w:fill="CFF0FC"/>
            <w:noWrap/>
            <w:tcMar>
              <w:top w:w="15" w:type="dxa"/>
              <w:right w:w="15" w:type="dxa"/>
            </w:tcMar>
            <w:vAlign w:val="bottom"/>
          </w:tcPr>
          <w:p w14:paraId="3973D88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109,297</w:t>
            </w:r>
          </w:p>
        </w:tc>
        <w:tc>
          <w:tcPr>
            <w:tcW w:w="50" w:type="pct"/>
            <w:shd w:val="clear" w:color="auto" w:fill="CFF0FC"/>
            <w:noWrap/>
            <w:tcMar>
              <w:top w:w="15" w:type="dxa"/>
              <w:right w:w="15" w:type="dxa"/>
            </w:tcMar>
            <w:vAlign w:val="bottom"/>
          </w:tcPr>
          <w:p w14:paraId="3973D8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88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tcBorders>
              <w:top w:val="single" w:sz="6" w:space="0" w:color="000000"/>
              <w:bottom w:val="double" w:sz="6" w:space="0" w:color="000000"/>
            </w:tcBorders>
            <w:shd w:val="clear" w:color="auto" w:fill="CFF0FC"/>
            <w:noWrap/>
            <w:tcMar>
              <w:top w:w="15" w:type="dxa"/>
              <w:right w:w="15" w:type="dxa"/>
            </w:tcMar>
            <w:vAlign w:val="bottom"/>
          </w:tcPr>
          <w:p w14:paraId="3973D88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131,107</w:t>
            </w:r>
          </w:p>
        </w:tc>
        <w:tc>
          <w:tcPr>
            <w:tcW w:w="50" w:type="pct"/>
            <w:shd w:val="clear" w:color="auto" w:fill="CFF0FC"/>
            <w:noWrap/>
            <w:tcMar>
              <w:top w:w="15" w:type="dxa"/>
              <w:right w:w="15" w:type="dxa"/>
            </w:tcMar>
            <w:vAlign w:val="bottom"/>
          </w:tcPr>
          <w:p w14:paraId="3973D8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90" w14:textId="77777777">
        <w:tc>
          <w:tcPr>
            <w:tcW w:w="3571" w:type="pct"/>
            <w:shd w:val="clear" w:color="auto" w:fill="FFFFFF"/>
            <w:tcMar>
              <w:top w:w="15" w:type="dxa"/>
              <w:right w:w="15" w:type="dxa"/>
            </w:tcMar>
            <w:vAlign w:val="bottom"/>
          </w:tcPr>
          <w:p w14:paraId="3973D887" w14:textId="77777777" w:rsidR="007B027D" w:rsidRDefault="008E012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LIABILITIES AND STOCKHOLDERS' (DEFICIT) EQUITY</w:t>
            </w:r>
          </w:p>
        </w:tc>
        <w:tc>
          <w:tcPr>
            <w:tcW w:w="78" w:type="pct"/>
            <w:shd w:val="clear" w:color="auto" w:fill="FFFFFF"/>
            <w:tcMar>
              <w:top w:w="15" w:type="dxa"/>
              <w:right w:w="15" w:type="dxa"/>
            </w:tcMar>
            <w:vAlign w:val="bottom"/>
          </w:tcPr>
          <w:p w14:paraId="3973D888"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3973D8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double" w:sz="6" w:space="0" w:color="000000"/>
            </w:tcBorders>
            <w:shd w:val="clear" w:color="auto" w:fill="FFFFFF"/>
            <w:noWrap/>
            <w:tcMar>
              <w:top w:w="15" w:type="dxa"/>
              <w:right w:w="15" w:type="dxa"/>
            </w:tcMar>
            <w:vAlign w:val="bottom"/>
          </w:tcPr>
          <w:p w14:paraId="3973D88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8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8C"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88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double" w:sz="6" w:space="0" w:color="000000"/>
            </w:tcBorders>
            <w:shd w:val="clear" w:color="auto" w:fill="FFFFFF"/>
            <w:noWrap/>
            <w:tcMar>
              <w:top w:w="15" w:type="dxa"/>
              <w:right w:w="15" w:type="dxa"/>
            </w:tcMar>
            <w:vAlign w:val="bottom"/>
          </w:tcPr>
          <w:p w14:paraId="3973D88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8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9A" w14:textId="77777777">
        <w:tc>
          <w:tcPr>
            <w:tcW w:w="3571" w:type="pct"/>
            <w:shd w:val="clear" w:color="auto" w:fill="CFF0FC"/>
            <w:tcMar>
              <w:top w:w="15" w:type="dxa"/>
              <w:right w:w="15" w:type="dxa"/>
            </w:tcMar>
          </w:tcPr>
          <w:p w14:paraId="3973D89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Current liabilities:</w:t>
            </w:r>
          </w:p>
        </w:tc>
        <w:tc>
          <w:tcPr>
            <w:tcW w:w="78" w:type="pct"/>
            <w:shd w:val="clear" w:color="auto" w:fill="CFF0FC"/>
            <w:tcMar>
              <w:top w:w="15" w:type="dxa"/>
              <w:right w:w="15" w:type="dxa"/>
            </w:tcMar>
            <w:vAlign w:val="bottom"/>
          </w:tcPr>
          <w:p w14:paraId="3973D892"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D8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9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9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96"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3973D89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9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9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A4" w14:textId="77777777">
        <w:tc>
          <w:tcPr>
            <w:tcW w:w="3571" w:type="pct"/>
            <w:shd w:val="clear" w:color="auto" w:fill="FFFFFF"/>
            <w:tcMar>
              <w:top w:w="15" w:type="dxa"/>
              <w:right w:w="15" w:type="dxa"/>
            </w:tcMar>
          </w:tcPr>
          <w:p w14:paraId="3973D89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Notes payable, current</w:t>
            </w:r>
          </w:p>
        </w:tc>
        <w:tc>
          <w:tcPr>
            <w:tcW w:w="78" w:type="pct"/>
            <w:shd w:val="clear" w:color="auto" w:fill="FFFFFF"/>
            <w:tcMar>
              <w:top w:w="15" w:type="dxa"/>
              <w:right w:w="15" w:type="dxa"/>
            </w:tcMar>
            <w:vAlign w:val="bottom"/>
          </w:tcPr>
          <w:p w14:paraId="3973D89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9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shd w:val="clear" w:color="auto" w:fill="FFFFFF"/>
            <w:noWrap/>
            <w:tcMar>
              <w:top w:w="15" w:type="dxa"/>
              <w:right w:w="15" w:type="dxa"/>
            </w:tcMar>
            <w:vAlign w:val="bottom"/>
          </w:tcPr>
          <w:p w14:paraId="3973D89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3,749</w:t>
            </w:r>
          </w:p>
        </w:tc>
        <w:tc>
          <w:tcPr>
            <w:tcW w:w="50" w:type="pct"/>
            <w:shd w:val="clear" w:color="auto" w:fill="FFFFFF"/>
            <w:noWrap/>
            <w:tcMar>
              <w:top w:w="15" w:type="dxa"/>
              <w:right w:w="15" w:type="dxa"/>
            </w:tcMar>
            <w:vAlign w:val="bottom"/>
          </w:tcPr>
          <w:p w14:paraId="3973D89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A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shd w:val="clear" w:color="auto" w:fill="FFFFFF"/>
            <w:noWrap/>
            <w:tcMar>
              <w:top w:w="15" w:type="dxa"/>
              <w:right w:w="15" w:type="dxa"/>
            </w:tcMar>
            <w:vAlign w:val="bottom"/>
          </w:tcPr>
          <w:p w14:paraId="3973D8A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8,250</w:t>
            </w:r>
          </w:p>
        </w:tc>
        <w:tc>
          <w:tcPr>
            <w:tcW w:w="50" w:type="pct"/>
            <w:shd w:val="clear" w:color="auto" w:fill="FFFFFF"/>
            <w:noWrap/>
            <w:tcMar>
              <w:top w:w="15" w:type="dxa"/>
              <w:right w:w="15" w:type="dxa"/>
            </w:tcMar>
            <w:vAlign w:val="bottom"/>
          </w:tcPr>
          <w:p w14:paraId="3973D8A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AE" w14:textId="77777777">
        <w:tc>
          <w:tcPr>
            <w:tcW w:w="3571" w:type="pct"/>
            <w:shd w:val="clear" w:color="auto" w:fill="CFF0FC"/>
            <w:tcMar>
              <w:top w:w="15" w:type="dxa"/>
              <w:right w:w="15" w:type="dxa"/>
            </w:tcMar>
          </w:tcPr>
          <w:p w14:paraId="3973D8A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Accounts payable</w:t>
            </w:r>
          </w:p>
        </w:tc>
        <w:tc>
          <w:tcPr>
            <w:tcW w:w="78" w:type="pct"/>
            <w:shd w:val="clear" w:color="auto" w:fill="CFF0FC"/>
            <w:tcMar>
              <w:top w:w="15" w:type="dxa"/>
              <w:right w:w="15" w:type="dxa"/>
            </w:tcMar>
            <w:vAlign w:val="bottom"/>
          </w:tcPr>
          <w:p w14:paraId="3973D8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A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1,317</w:t>
            </w:r>
          </w:p>
        </w:tc>
        <w:tc>
          <w:tcPr>
            <w:tcW w:w="50" w:type="pct"/>
            <w:shd w:val="clear" w:color="auto" w:fill="CFF0FC"/>
            <w:noWrap/>
            <w:tcMar>
              <w:top w:w="15" w:type="dxa"/>
              <w:right w:w="15" w:type="dxa"/>
            </w:tcMar>
            <w:vAlign w:val="bottom"/>
          </w:tcPr>
          <w:p w14:paraId="3973D8A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A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A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745</w:t>
            </w:r>
          </w:p>
        </w:tc>
        <w:tc>
          <w:tcPr>
            <w:tcW w:w="50" w:type="pct"/>
            <w:shd w:val="clear" w:color="auto" w:fill="CFF0FC"/>
            <w:noWrap/>
            <w:tcMar>
              <w:top w:w="15" w:type="dxa"/>
              <w:right w:w="15" w:type="dxa"/>
            </w:tcMar>
            <w:vAlign w:val="bottom"/>
          </w:tcPr>
          <w:p w14:paraId="3973D8A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B8" w14:textId="77777777">
        <w:tc>
          <w:tcPr>
            <w:tcW w:w="3571" w:type="pct"/>
            <w:shd w:val="clear" w:color="auto" w:fill="FFFFFF"/>
            <w:tcMar>
              <w:top w:w="15" w:type="dxa"/>
              <w:right w:w="15" w:type="dxa"/>
            </w:tcMar>
          </w:tcPr>
          <w:p w14:paraId="3973D8AF"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Accrued compensation and related </w:t>
            </w:r>
            <w:r>
              <w:rPr>
                <w:rFonts w:ascii="Calibri" w:hAnsi="Calibri" w:cs="Calibri"/>
                <w:color w:val="000000"/>
                <w:sz w:val="18"/>
                <w:szCs w:val="18"/>
              </w:rPr>
              <w:t>benefits</w:t>
            </w:r>
          </w:p>
        </w:tc>
        <w:tc>
          <w:tcPr>
            <w:tcW w:w="78" w:type="pct"/>
            <w:shd w:val="clear" w:color="auto" w:fill="FFFFFF"/>
            <w:tcMar>
              <w:top w:w="15" w:type="dxa"/>
              <w:right w:w="15" w:type="dxa"/>
            </w:tcMar>
            <w:vAlign w:val="bottom"/>
          </w:tcPr>
          <w:p w14:paraId="3973D8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B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B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1,944</w:t>
            </w:r>
          </w:p>
        </w:tc>
        <w:tc>
          <w:tcPr>
            <w:tcW w:w="50" w:type="pct"/>
            <w:shd w:val="clear" w:color="auto" w:fill="FFFFFF"/>
            <w:noWrap/>
            <w:tcMar>
              <w:top w:w="15" w:type="dxa"/>
              <w:right w:w="15" w:type="dxa"/>
            </w:tcMar>
            <w:vAlign w:val="bottom"/>
          </w:tcPr>
          <w:p w14:paraId="3973D8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B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B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2,017</w:t>
            </w:r>
          </w:p>
        </w:tc>
        <w:tc>
          <w:tcPr>
            <w:tcW w:w="50" w:type="pct"/>
            <w:shd w:val="clear" w:color="auto" w:fill="FFFFFF"/>
            <w:noWrap/>
            <w:tcMar>
              <w:top w:w="15" w:type="dxa"/>
              <w:right w:w="15" w:type="dxa"/>
            </w:tcMar>
            <w:vAlign w:val="bottom"/>
          </w:tcPr>
          <w:p w14:paraId="3973D8B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C2" w14:textId="77777777">
        <w:tc>
          <w:tcPr>
            <w:tcW w:w="3571" w:type="pct"/>
            <w:shd w:val="clear" w:color="auto" w:fill="CFF0FC"/>
            <w:tcMar>
              <w:top w:w="15" w:type="dxa"/>
              <w:right w:w="15" w:type="dxa"/>
            </w:tcMar>
          </w:tcPr>
          <w:p w14:paraId="3973D8B9"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Deferred revenues</w:t>
            </w:r>
          </w:p>
        </w:tc>
        <w:tc>
          <w:tcPr>
            <w:tcW w:w="78" w:type="pct"/>
            <w:shd w:val="clear" w:color="auto" w:fill="CFF0FC"/>
            <w:tcMar>
              <w:top w:w="15" w:type="dxa"/>
              <w:right w:w="15" w:type="dxa"/>
            </w:tcMar>
            <w:vAlign w:val="bottom"/>
          </w:tcPr>
          <w:p w14:paraId="3973D8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B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8,357</w:t>
            </w:r>
          </w:p>
        </w:tc>
        <w:tc>
          <w:tcPr>
            <w:tcW w:w="50" w:type="pct"/>
            <w:shd w:val="clear" w:color="auto" w:fill="CFF0FC"/>
            <w:noWrap/>
            <w:tcMar>
              <w:top w:w="15" w:type="dxa"/>
              <w:right w:w="15" w:type="dxa"/>
            </w:tcMar>
            <w:vAlign w:val="bottom"/>
          </w:tcPr>
          <w:p w14:paraId="3973D8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B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C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8,775</w:t>
            </w:r>
          </w:p>
        </w:tc>
        <w:tc>
          <w:tcPr>
            <w:tcW w:w="50" w:type="pct"/>
            <w:shd w:val="clear" w:color="auto" w:fill="CFF0FC"/>
            <w:noWrap/>
            <w:tcMar>
              <w:top w:w="15" w:type="dxa"/>
              <w:right w:w="15" w:type="dxa"/>
            </w:tcMar>
            <w:vAlign w:val="bottom"/>
          </w:tcPr>
          <w:p w14:paraId="3973D8C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CC" w14:textId="77777777">
        <w:tc>
          <w:tcPr>
            <w:tcW w:w="3571" w:type="pct"/>
            <w:shd w:val="clear" w:color="auto" w:fill="FFFFFF"/>
            <w:tcMar>
              <w:top w:w="15" w:type="dxa"/>
              <w:right w:w="15" w:type="dxa"/>
            </w:tcMar>
          </w:tcPr>
          <w:p w14:paraId="3973D8C3"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current liabilities</w:t>
            </w:r>
          </w:p>
        </w:tc>
        <w:tc>
          <w:tcPr>
            <w:tcW w:w="78" w:type="pct"/>
            <w:shd w:val="clear" w:color="auto" w:fill="FFFFFF"/>
            <w:tcMar>
              <w:top w:w="15" w:type="dxa"/>
              <w:right w:w="15" w:type="dxa"/>
            </w:tcMar>
            <w:vAlign w:val="bottom"/>
          </w:tcPr>
          <w:p w14:paraId="3973D8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8C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8C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4,144</w:t>
            </w:r>
          </w:p>
        </w:tc>
        <w:tc>
          <w:tcPr>
            <w:tcW w:w="50" w:type="pct"/>
            <w:shd w:val="clear" w:color="auto" w:fill="FFFFFF"/>
            <w:noWrap/>
            <w:tcMar>
              <w:top w:w="15" w:type="dxa"/>
              <w:right w:w="15" w:type="dxa"/>
            </w:tcMar>
            <w:vAlign w:val="bottom"/>
          </w:tcPr>
          <w:p w14:paraId="3973D8C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8C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8C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4,377</w:t>
            </w:r>
          </w:p>
        </w:tc>
        <w:tc>
          <w:tcPr>
            <w:tcW w:w="50" w:type="pct"/>
            <w:shd w:val="clear" w:color="auto" w:fill="FFFFFF"/>
            <w:noWrap/>
            <w:tcMar>
              <w:top w:w="15" w:type="dxa"/>
              <w:right w:w="15" w:type="dxa"/>
            </w:tcMar>
            <w:vAlign w:val="bottom"/>
          </w:tcPr>
          <w:p w14:paraId="3973D8C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D6" w14:textId="77777777">
        <w:tc>
          <w:tcPr>
            <w:tcW w:w="3571" w:type="pct"/>
            <w:shd w:val="clear" w:color="auto" w:fill="CFF0FC"/>
            <w:tcMar>
              <w:top w:w="15" w:type="dxa"/>
              <w:right w:w="15" w:type="dxa"/>
            </w:tcMar>
          </w:tcPr>
          <w:p w14:paraId="3973D8CD"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current liabilities</w:t>
            </w:r>
          </w:p>
        </w:tc>
        <w:tc>
          <w:tcPr>
            <w:tcW w:w="78" w:type="pct"/>
            <w:shd w:val="clear" w:color="auto" w:fill="CFF0FC"/>
            <w:tcMar>
              <w:top w:w="15" w:type="dxa"/>
              <w:right w:w="15" w:type="dxa"/>
            </w:tcMar>
            <w:vAlign w:val="bottom"/>
          </w:tcPr>
          <w:p w14:paraId="3973D8CE"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8C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8D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19,511</w:t>
            </w:r>
          </w:p>
        </w:tc>
        <w:tc>
          <w:tcPr>
            <w:tcW w:w="50" w:type="pct"/>
            <w:shd w:val="clear" w:color="auto" w:fill="CFF0FC"/>
            <w:noWrap/>
            <w:tcMar>
              <w:top w:w="15" w:type="dxa"/>
              <w:right w:w="15" w:type="dxa"/>
            </w:tcMar>
            <w:vAlign w:val="bottom"/>
          </w:tcPr>
          <w:p w14:paraId="3973D8D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D2"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8D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8D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24,164</w:t>
            </w:r>
          </w:p>
        </w:tc>
        <w:tc>
          <w:tcPr>
            <w:tcW w:w="50" w:type="pct"/>
            <w:shd w:val="clear" w:color="auto" w:fill="CFF0FC"/>
            <w:noWrap/>
            <w:tcMar>
              <w:top w:w="15" w:type="dxa"/>
              <w:right w:w="15" w:type="dxa"/>
            </w:tcMar>
            <w:vAlign w:val="bottom"/>
          </w:tcPr>
          <w:p w14:paraId="3973D8D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E0" w14:textId="77777777">
        <w:tc>
          <w:tcPr>
            <w:tcW w:w="3571" w:type="pct"/>
            <w:shd w:val="clear" w:color="auto" w:fill="FFFFFF"/>
            <w:tcMar>
              <w:top w:w="15" w:type="dxa"/>
              <w:right w:w="15" w:type="dxa"/>
            </w:tcMar>
          </w:tcPr>
          <w:p w14:paraId="3973D8D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Non-current liabilities:</w:t>
            </w:r>
          </w:p>
        </w:tc>
        <w:tc>
          <w:tcPr>
            <w:tcW w:w="78" w:type="pct"/>
            <w:shd w:val="clear" w:color="auto" w:fill="FFFFFF"/>
            <w:tcMar>
              <w:top w:w="15" w:type="dxa"/>
              <w:right w:w="15" w:type="dxa"/>
            </w:tcMar>
            <w:vAlign w:val="bottom"/>
          </w:tcPr>
          <w:p w14:paraId="3973D8D8"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D8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8D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D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DC"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D8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8D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D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EA" w14:textId="77777777">
        <w:tc>
          <w:tcPr>
            <w:tcW w:w="3571" w:type="pct"/>
            <w:shd w:val="clear" w:color="auto" w:fill="CFF0FC"/>
            <w:tcMar>
              <w:top w:w="15" w:type="dxa"/>
              <w:right w:w="15" w:type="dxa"/>
            </w:tcMar>
          </w:tcPr>
          <w:p w14:paraId="3973D8E1"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Notes payable and other </w:t>
            </w:r>
            <w:r>
              <w:rPr>
                <w:rFonts w:ascii="Calibri" w:hAnsi="Calibri" w:cs="Calibri"/>
                <w:color w:val="000000"/>
                <w:sz w:val="18"/>
                <w:szCs w:val="18"/>
              </w:rPr>
              <w:t>borrowings, non-current</w:t>
            </w:r>
          </w:p>
        </w:tc>
        <w:tc>
          <w:tcPr>
            <w:tcW w:w="78" w:type="pct"/>
            <w:shd w:val="clear" w:color="auto" w:fill="CFF0FC"/>
            <w:tcMar>
              <w:top w:w="15" w:type="dxa"/>
              <w:right w:w="15" w:type="dxa"/>
            </w:tcMar>
            <w:vAlign w:val="bottom"/>
          </w:tcPr>
          <w:p w14:paraId="3973D8E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E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E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72,110</w:t>
            </w:r>
          </w:p>
        </w:tc>
        <w:tc>
          <w:tcPr>
            <w:tcW w:w="50" w:type="pct"/>
            <w:shd w:val="clear" w:color="auto" w:fill="CFF0FC"/>
            <w:noWrap/>
            <w:tcMar>
              <w:top w:w="15" w:type="dxa"/>
              <w:right w:w="15" w:type="dxa"/>
            </w:tcMar>
            <w:vAlign w:val="bottom"/>
          </w:tcPr>
          <w:p w14:paraId="3973D8E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E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75,995</w:t>
            </w:r>
          </w:p>
        </w:tc>
        <w:tc>
          <w:tcPr>
            <w:tcW w:w="50" w:type="pct"/>
            <w:shd w:val="clear" w:color="auto" w:fill="CFF0FC"/>
            <w:noWrap/>
            <w:tcMar>
              <w:top w:w="15" w:type="dxa"/>
              <w:right w:w="15" w:type="dxa"/>
            </w:tcMar>
            <w:vAlign w:val="bottom"/>
          </w:tcPr>
          <w:p w14:paraId="3973D8E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F4" w14:textId="77777777">
        <w:tc>
          <w:tcPr>
            <w:tcW w:w="3571" w:type="pct"/>
            <w:shd w:val="clear" w:color="auto" w:fill="FFFFFF"/>
            <w:tcMar>
              <w:top w:w="15" w:type="dxa"/>
              <w:right w:w="15" w:type="dxa"/>
            </w:tcMar>
          </w:tcPr>
          <w:p w14:paraId="3973D8E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Income taxes payable</w:t>
            </w:r>
          </w:p>
        </w:tc>
        <w:tc>
          <w:tcPr>
            <w:tcW w:w="78" w:type="pct"/>
            <w:shd w:val="clear" w:color="auto" w:fill="FFFFFF"/>
            <w:tcMar>
              <w:top w:w="15" w:type="dxa"/>
              <w:right w:w="15" w:type="dxa"/>
            </w:tcMar>
            <w:vAlign w:val="bottom"/>
          </w:tcPr>
          <w:p w14:paraId="3973D8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8E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E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12,210</w:t>
            </w:r>
          </w:p>
        </w:tc>
        <w:tc>
          <w:tcPr>
            <w:tcW w:w="50" w:type="pct"/>
            <w:shd w:val="clear" w:color="auto" w:fill="FFFFFF"/>
            <w:noWrap/>
            <w:tcMar>
              <w:top w:w="15" w:type="dxa"/>
              <w:right w:w="15" w:type="dxa"/>
            </w:tcMar>
            <w:vAlign w:val="bottom"/>
          </w:tcPr>
          <w:p w14:paraId="3973D8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8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8F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8F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12,345</w:t>
            </w:r>
          </w:p>
        </w:tc>
        <w:tc>
          <w:tcPr>
            <w:tcW w:w="50" w:type="pct"/>
            <w:shd w:val="clear" w:color="auto" w:fill="FFFFFF"/>
            <w:noWrap/>
            <w:tcMar>
              <w:top w:w="15" w:type="dxa"/>
              <w:right w:w="15" w:type="dxa"/>
            </w:tcMar>
            <w:vAlign w:val="bottom"/>
          </w:tcPr>
          <w:p w14:paraId="3973D8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8FE" w14:textId="77777777">
        <w:tc>
          <w:tcPr>
            <w:tcW w:w="3571" w:type="pct"/>
            <w:shd w:val="clear" w:color="auto" w:fill="CFF0FC"/>
            <w:tcMar>
              <w:top w:w="15" w:type="dxa"/>
              <w:right w:w="15" w:type="dxa"/>
            </w:tcMar>
          </w:tcPr>
          <w:p w14:paraId="3973D8F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Deferred tax liabilities</w:t>
            </w:r>
          </w:p>
        </w:tc>
        <w:tc>
          <w:tcPr>
            <w:tcW w:w="78" w:type="pct"/>
            <w:shd w:val="clear" w:color="auto" w:fill="CFF0FC"/>
            <w:tcMar>
              <w:top w:w="15" w:type="dxa"/>
              <w:right w:w="15" w:type="dxa"/>
            </w:tcMar>
            <w:vAlign w:val="bottom"/>
          </w:tcPr>
          <w:p w14:paraId="3973D8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8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F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6,031</w:t>
            </w:r>
          </w:p>
        </w:tc>
        <w:tc>
          <w:tcPr>
            <w:tcW w:w="50" w:type="pct"/>
            <w:shd w:val="clear" w:color="auto" w:fill="CFF0FC"/>
            <w:noWrap/>
            <w:tcMar>
              <w:top w:w="15" w:type="dxa"/>
              <w:right w:w="15" w:type="dxa"/>
            </w:tcMar>
            <w:vAlign w:val="bottom"/>
          </w:tcPr>
          <w:p w14:paraId="3973D8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8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8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8F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7,864</w:t>
            </w:r>
          </w:p>
        </w:tc>
        <w:tc>
          <w:tcPr>
            <w:tcW w:w="50" w:type="pct"/>
            <w:shd w:val="clear" w:color="auto" w:fill="CFF0FC"/>
            <w:noWrap/>
            <w:tcMar>
              <w:top w:w="15" w:type="dxa"/>
              <w:right w:w="15" w:type="dxa"/>
            </w:tcMar>
            <w:vAlign w:val="bottom"/>
          </w:tcPr>
          <w:p w14:paraId="3973D8F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08" w14:textId="77777777">
        <w:tc>
          <w:tcPr>
            <w:tcW w:w="3571" w:type="pct"/>
            <w:shd w:val="clear" w:color="auto" w:fill="FFFFFF"/>
            <w:tcMar>
              <w:top w:w="15" w:type="dxa"/>
              <w:right w:w="15" w:type="dxa"/>
            </w:tcMar>
          </w:tcPr>
          <w:p w14:paraId="3973D8FF"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non-current liabilities</w:t>
            </w:r>
          </w:p>
        </w:tc>
        <w:tc>
          <w:tcPr>
            <w:tcW w:w="78" w:type="pct"/>
            <w:shd w:val="clear" w:color="auto" w:fill="FFFFFF"/>
            <w:tcMar>
              <w:top w:w="15" w:type="dxa"/>
              <w:right w:w="15" w:type="dxa"/>
            </w:tcMar>
            <w:vAlign w:val="bottom"/>
          </w:tcPr>
          <w:p w14:paraId="3973D9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9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90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5,203</w:t>
            </w:r>
          </w:p>
        </w:tc>
        <w:tc>
          <w:tcPr>
            <w:tcW w:w="50" w:type="pct"/>
            <w:shd w:val="clear" w:color="auto" w:fill="FFFFFF"/>
            <w:noWrap/>
            <w:tcMar>
              <w:top w:w="15" w:type="dxa"/>
              <w:right w:w="15" w:type="dxa"/>
            </w:tcMar>
            <w:vAlign w:val="bottom"/>
          </w:tcPr>
          <w:p w14:paraId="3973D9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9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9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FFFFFF"/>
            <w:noWrap/>
            <w:tcMar>
              <w:top w:w="15" w:type="dxa"/>
              <w:right w:w="15" w:type="dxa"/>
            </w:tcMar>
            <w:vAlign w:val="bottom"/>
          </w:tcPr>
          <w:p w14:paraId="3973D90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4,787</w:t>
            </w:r>
          </w:p>
        </w:tc>
        <w:tc>
          <w:tcPr>
            <w:tcW w:w="50" w:type="pct"/>
            <w:shd w:val="clear" w:color="auto" w:fill="FFFFFF"/>
            <w:noWrap/>
            <w:tcMar>
              <w:top w:w="15" w:type="dxa"/>
              <w:right w:w="15" w:type="dxa"/>
            </w:tcMar>
            <w:vAlign w:val="bottom"/>
          </w:tcPr>
          <w:p w14:paraId="3973D9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12" w14:textId="77777777">
        <w:tc>
          <w:tcPr>
            <w:tcW w:w="3571" w:type="pct"/>
            <w:shd w:val="clear" w:color="auto" w:fill="CFF0FC"/>
            <w:tcMar>
              <w:top w:w="15" w:type="dxa"/>
              <w:right w:w="15" w:type="dxa"/>
            </w:tcMar>
          </w:tcPr>
          <w:p w14:paraId="3973D909"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non-current liabilities</w:t>
            </w:r>
          </w:p>
        </w:tc>
        <w:tc>
          <w:tcPr>
            <w:tcW w:w="78" w:type="pct"/>
            <w:shd w:val="clear" w:color="auto" w:fill="CFF0FC"/>
            <w:tcMar>
              <w:top w:w="15" w:type="dxa"/>
              <w:right w:w="15" w:type="dxa"/>
            </w:tcMar>
            <w:vAlign w:val="bottom"/>
          </w:tcPr>
          <w:p w14:paraId="3973D90A"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9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90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95,554</w:t>
            </w:r>
          </w:p>
        </w:tc>
        <w:tc>
          <w:tcPr>
            <w:tcW w:w="50" w:type="pct"/>
            <w:shd w:val="clear" w:color="auto" w:fill="CFF0FC"/>
            <w:noWrap/>
            <w:tcMar>
              <w:top w:w="15" w:type="dxa"/>
              <w:right w:w="15" w:type="dxa"/>
            </w:tcMar>
            <w:vAlign w:val="bottom"/>
          </w:tcPr>
          <w:p w14:paraId="3973D9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90E"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90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91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100,991</w:t>
            </w:r>
          </w:p>
        </w:tc>
        <w:tc>
          <w:tcPr>
            <w:tcW w:w="50" w:type="pct"/>
            <w:shd w:val="clear" w:color="auto" w:fill="CFF0FC"/>
            <w:noWrap/>
            <w:tcMar>
              <w:top w:w="15" w:type="dxa"/>
              <w:right w:w="15" w:type="dxa"/>
            </w:tcMar>
            <w:vAlign w:val="bottom"/>
          </w:tcPr>
          <w:p w14:paraId="3973D9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1C" w14:textId="77777777">
        <w:tc>
          <w:tcPr>
            <w:tcW w:w="3571" w:type="pct"/>
            <w:shd w:val="clear" w:color="auto" w:fill="FFFFFF"/>
            <w:tcMar>
              <w:top w:w="15" w:type="dxa"/>
              <w:right w:w="15" w:type="dxa"/>
            </w:tcMar>
          </w:tcPr>
          <w:p w14:paraId="3973D91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Commitments and contingencies</w:t>
            </w:r>
          </w:p>
        </w:tc>
        <w:tc>
          <w:tcPr>
            <w:tcW w:w="78" w:type="pct"/>
            <w:shd w:val="clear" w:color="auto" w:fill="FFFFFF"/>
            <w:tcMar>
              <w:top w:w="15" w:type="dxa"/>
              <w:right w:w="15" w:type="dxa"/>
            </w:tcMar>
            <w:vAlign w:val="bottom"/>
          </w:tcPr>
          <w:p w14:paraId="3973D914"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D9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91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1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918"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D91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tcBorders>
            <w:shd w:val="clear" w:color="auto" w:fill="FFFFFF"/>
            <w:noWrap/>
            <w:tcMar>
              <w:top w:w="15" w:type="dxa"/>
              <w:right w:w="15" w:type="dxa"/>
            </w:tcMar>
            <w:vAlign w:val="bottom"/>
          </w:tcPr>
          <w:p w14:paraId="3973D91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26" w14:textId="77777777">
        <w:tc>
          <w:tcPr>
            <w:tcW w:w="3571" w:type="pct"/>
            <w:shd w:val="clear" w:color="auto" w:fill="CFF0FC"/>
            <w:tcMar>
              <w:top w:w="15" w:type="dxa"/>
              <w:right w:w="15" w:type="dxa"/>
            </w:tcMar>
          </w:tcPr>
          <w:p w14:paraId="3973D9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Oracle Corporation stockholders' (deficit) equity:</w:t>
            </w:r>
          </w:p>
        </w:tc>
        <w:tc>
          <w:tcPr>
            <w:tcW w:w="78" w:type="pct"/>
            <w:shd w:val="clear" w:color="auto" w:fill="CFF0FC"/>
            <w:tcMar>
              <w:top w:w="15" w:type="dxa"/>
              <w:right w:w="15" w:type="dxa"/>
            </w:tcMar>
            <w:vAlign w:val="bottom"/>
          </w:tcPr>
          <w:p w14:paraId="3973D91E"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D9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92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922"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3973D9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92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2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30" w14:textId="77777777">
        <w:tc>
          <w:tcPr>
            <w:tcW w:w="3571" w:type="pct"/>
            <w:shd w:val="clear" w:color="auto" w:fill="FFFFFF"/>
            <w:tcMar>
              <w:top w:w="15" w:type="dxa"/>
              <w:right w:w="15" w:type="dxa"/>
            </w:tcMar>
          </w:tcPr>
          <w:p w14:paraId="3973D927"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Preferred stock, $0.01 par value—authorized: 1.0 shares; outstanding: none</w:t>
            </w:r>
          </w:p>
        </w:tc>
        <w:tc>
          <w:tcPr>
            <w:tcW w:w="78" w:type="pct"/>
            <w:shd w:val="clear" w:color="auto" w:fill="FFFFFF"/>
            <w:tcMar>
              <w:top w:w="15" w:type="dxa"/>
              <w:right w:w="15" w:type="dxa"/>
            </w:tcMar>
            <w:vAlign w:val="bottom"/>
          </w:tcPr>
          <w:p w14:paraId="3973D9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9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92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D9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3973D92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92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D9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3A" w14:textId="77777777">
        <w:tc>
          <w:tcPr>
            <w:tcW w:w="3571" w:type="pct"/>
            <w:shd w:val="clear" w:color="auto" w:fill="CFF0FC"/>
            <w:tcMar>
              <w:top w:w="15" w:type="dxa"/>
              <w:right w:w="15" w:type="dxa"/>
            </w:tcMar>
          </w:tcPr>
          <w:p w14:paraId="3973D931" w14:textId="77777777" w:rsidR="007B027D" w:rsidRDefault="008E0125">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 xml:space="preserve">Common stock, $0.01 par value and </w:t>
            </w:r>
            <w:r>
              <w:rPr>
                <w:rFonts w:ascii="Calibri" w:hAnsi="Calibri" w:cs="Calibri"/>
                <w:color w:val="000000"/>
                <w:sz w:val="18"/>
                <w:szCs w:val="18"/>
              </w:rPr>
              <w:t>additional paid in capital—authorized: 11,000 shares; outstanding: 2,665 shares and 2,814 shares as of May 31, 2022 and 2021, respectively</w:t>
            </w:r>
          </w:p>
        </w:tc>
        <w:tc>
          <w:tcPr>
            <w:tcW w:w="78" w:type="pct"/>
            <w:shd w:val="clear" w:color="auto" w:fill="CFF0FC"/>
            <w:tcMar>
              <w:top w:w="15" w:type="dxa"/>
              <w:right w:w="15" w:type="dxa"/>
            </w:tcMar>
            <w:vAlign w:val="bottom"/>
          </w:tcPr>
          <w:p w14:paraId="3973D9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9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93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26,808</w:t>
            </w:r>
          </w:p>
        </w:tc>
        <w:tc>
          <w:tcPr>
            <w:tcW w:w="50" w:type="pct"/>
            <w:shd w:val="clear" w:color="auto" w:fill="CFF0FC"/>
            <w:noWrap/>
            <w:tcMar>
              <w:top w:w="15" w:type="dxa"/>
              <w:right w:w="15" w:type="dxa"/>
            </w:tcMar>
            <w:vAlign w:val="bottom"/>
          </w:tcPr>
          <w:p w14:paraId="3973D93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9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CFF0FC"/>
            <w:noWrap/>
            <w:tcMar>
              <w:top w:w="15" w:type="dxa"/>
              <w:right w:w="15" w:type="dxa"/>
            </w:tcMar>
            <w:vAlign w:val="bottom"/>
          </w:tcPr>
          <w:p w14:paraId="3973D93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CFF0FC"/>
            <w:noWrap/>
            <w:tcMar>
              <w:top w:w="15" w:type="dxa"/>
              <w:right w:w="15" w:type="dxa"/>
            </w:tcMar>
            <w:vAlign w:val="bottom"/>
          </w:tcPr>
          <w:p w14:paraId="3973D9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44" w14:textId="77777777">
        <w:tc>
          <w:tcPr>
            <w:tcW w:w="3571" w:type="pct"/>
            <w:shd w:val="clear" w:color="auto" w:fill="FFFFFF"/>
            <w:tcMar>
              <w:top w:w="15" w:type="dxa"/>
              <w:right w:w="15" w:type="dxa"/>
            </w:tcMar>
          </w:tcPr>
          <w:p w14:paraId="3973D93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Accumulated deficit</w:t>
            </w:r>
          </w:p>
        </w:tc>
        <w:tc>
          <w:tcPr>
            <w:tcW w:w="78" w:type="pct"/>
            <w:shd w:val="clear" w:color="auto" w:fill="FFFFFF"/>
            <w:tcMar>
              <w:top w:w="15" w:type="dxa"/>
              <w:right w:w="15" w:type="dxa"/>
            </w:tcMar>
            <w:vAlign w:val="bottom"/>
          </w:tcPr>
          <w:p w14:paraId="3973D9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9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93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(31,336</w:t>
            </w:r>
          </w:p>
        </w:tc>
        <w:tc>
          <w:tcPr>
            <w:tcW w:w="50" w:type="pct"/>
            <w:shd w:val="clear" w:color="auto" w:fill="FFFFFF"/>
            <w:noWrap/>
            <w:tcMar>
              <w:top w:w="15" w:type="dxa"/>
              <w:right w:w="15" w:type="dxa"/>
            </w:tcMar>
            <w:vAlign w:val="bottom"/>
          </w:tcPr>
          <w:p w14:paraId="3973D9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3973D9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4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shd w:val="clear" w:color="auto" w:fill="FFFFFF"/>
            <w:noWrap/>
            <w:tcMar>
              <w:top w:w="15" w:type="dxa"/>
              <w:right w:w="15" w:type="dxa"/>
            </w:tcMar>
            <w:vAlign w:val="bottom"/>
          </w:tcPr>
          <w:p w14:paraId="3973D94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FFFFFF"/>
            <w:noWrap/>
            <w:tcMar>
              <w:top w:w="15" w:type="dxa"/>
              <w:right w:w="15" w:type="dxa"/>
            </w:tcMar>
            <w:vAlign w:val="bottom"/>
          </w:tcPr>
          <w:p w14:paraId="3973D94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94E" w14:textId="77777777">
        <w:tc>
          <w:tcPr>
            <w:tcW w:w="3571" w:type="pct"/>
            <w:shd w:val="clear" w:color="auto" w:fill="CFF0FC"/>
            <w:tcMar>
              <w:top w:w="15" w:type="dxa"/>
              <w:right w:w="15" w:type="dxa"/>
            </w:tcMar>
          </w:tcPr>
          <w:p w14:paraId="3973D94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Accumulated other </w:t>
            </w:r>
            <w:r>
              <w:rPr>
                <w:rFonts w:ascii="Calibri" w:hAnsi="Calibri" w:cs="Calibri"/>
                <w:color w:val="000000"/>
                <w:sz w:val="18"/>
                <w:szCs w:val="18"/>
              </w:rPr>
              <w:t>comprehensive loss</w:t>
            </w:r>
          </w:p>
        </w:tc>
        <w:tc>
          <w:tcPr>
            <w:tcW w:w="78" w:type="pct"/>
            <w:shd w:val="clear" w:color="auto" w:fill="CFF0FC"/>
            <w:tcMar>
              <w:top w:w="15" w:type="dxa"/>
              <w:right w:w="15" w:type="dxa"/>
            </w:tcMar>
            <w:vAlign w:val="bottom"/>
          </w:tcPr>
          <w:p w14:paraId="3973D94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94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CFF0FC"/>
            <w:noWrap/>
            <w:tcMar>
              <w:top w:w="15" w:type="dxa"/>
              <w:right w:w="15" w:type="dxa"/>
            </w:tcMar>
            <w:vAlign w:val="bottom"/>
          </w:tcPr>
          <w:p w14:paraId="3973D94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(1,692</w:t>
            </w:r>
          </w:p>
        </w:tc>
        <w:tc>
          <w:tcPr>
            <w:tcW w:w="50" w:type="pct"/>
            <w:shd w:val="clear" w:color="auto" w:fill="CFF0FC"/>
            <w:noWrap/>
            <w:tcMar>
              <w:top w:w="15" w:type="dxa"/>
              <w:right w:w="15" w:type="dxa"/>
            </w:tcMar>
            <w:vAlign w:val="bottom"/>
          </w:tcPr>
          <w:p w14:paraId="3973D9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CFF0FC"/>
            <w:tcMar>
              <w:top w:w="15" w:type="dxa"/>
              <w:right w:w="15" w:type="dxa"/>
            </w:tcMar>
            <w:vAlign w:val="bottom"/>
          </w:tcPr>
          <w:p w14:paraId="3973D9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D94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bottom w:val="single" w:sz="6" w:space="0" w:color="000000"/>
            </w:tcBorders>
            <w:shd w:val="clear" w:color="auto" w:fill="CFF0FC"/>
            <w:noWrap/>
            <w:tcMar>
              <w:top w:w="15" w:type="dxa"/>
              <w:right w:w="15" w:type="dxa"/>
            </w:tcMar>
            <w:vAlign w:val="bottom"/>
          </w:tcPr>
          <w:p w14:paraId="3973D94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(1,175</w:t>
            </w:r>
          </w:p>
        </w:tc>
        <w:tc>
          <w:tcPr>
            <w:tcW w:w="50" w:type="pct"/>
            <w:shd w:val="clear" w:color="auto" w:fill="CFF0FC"/>
            <w:noWrap/>
            <w:tcMar>
              <w:top w:w="15" w:type="dxa"/>
              <w:right w:w="15" w:type="dxa"/>
            </w:tcMar>
            <w:vAlign w:val="bottom"/>
          </w:tcPr>
          <w:p w14:paraId="3973D9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958" w14:textId="77777777">
        <w:tc>
          <w:tcPr>
            <w:tcW w:w="3571" w:type="pct"/>
            <w:shd w:val="clear" w:color="auto" w:fill="FFFFFF"/>
            <w:tcMar>
              <w:top w:w="15" w:type="dxa"/>
              <w:right w:w="15" w:type="dxa"/>
            </w:tcMar>
          </w:tcPr>
          <w:p w14:paraId="3973D94F"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Oracle Corporation stockholders' (deficit) equity</w:t>
            </w:r>
          </w:p>
        </w:tc>
        <w:tc>
          <w:tcPr>
            <w:tcW w:w="78" w:type="pct"/>
            <w:shd w:val="clear" w:color="auto" w:fill="FFFFFF"/>
            <w:tcMar>
              <w:top w:w="15" w:type="dxa"/>
              <w:right w:w="15" w:type="dxa"/>
            </w:tcMar>
            <w:vAlign w:val="bottom"/>
          </w:tcPr>
          <w:p w14:paraId="3973D950"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95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(6,220</w:t>
            </w:r>
          </w:p>
        </w:tc>
        <w:tc>
          <w:tcPr>
            <w:tcW w:w="50" w:type="pct"/>
            <w:shd w:val="clear" w:color="auto" w:fill="FFFFFF"/>
            <w:noWrap/>
            <w:tcMar>
              <w:top w:w="15" w:type="dxa"/>
              <w:right w:w="15" w:type="dxa"/>
            </w:tcMar>
            <w:vAlign w:val="bottom"/>
          </w:tcPr>
          <w:p w14:paraId="3973D95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3973D954"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5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95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5,238</w:t>
            </w:r>
          </w:p>
        </w:tc>
        <w:tc>
          <w:tcPr>
            <w:tcW w:w="50" w:type="pct"/>
            <w:shd w:val="clear" w:color="auto" w:fill="FFFFFF"/>
            <w:noWrap/>
            <w:tcMar>
              <w:top w:w="15" w:type="dxa"/>
              <w:right w:w="15" w:type="dxa"/>
            </w:tcMar>
            <w:vAlign w:val="bottom"/>
          </w:tcPr>
          <w:p w14:paraId="3973D9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62" w14:textId="77777777">
        <w:tc>
          <w:tcPr>
            <w:tcW w:w="3571" w:type="pct"/>
            <w:shd w:val="clear" w:color="auto" w:fill="CFF0FC"/>
            <w:tcMar>
              <w:top w:w="15" w:type="dxa"/>
              <w:right w:w="15" w:type="dxa"/>
            </w:tcMar>
          </w:tcPr>
          <w:p w14:paraId="3973D9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Noncontrolling interests</w:t>
            </w:r>
          </w:p>
        </w:tc>
        <w:tc>
          <w:tcPr>
            <w:tcW w:w="78" w:type="pct"/>
            <w:shd w:val="clear" w:color="auto" w:fill="CFF0FC"/>
            <w:tcMar>
              <w:top w:w="15" w:type="dxa"/>
              <w:right w:w="15" w:type="dxa"/>
            </w:tcMar>
            <w:vAlign w:val="bottom"/>
          </w:tcPr>
          <w:p w14:paraId="3973D95A"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9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95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452</w:t>
            </w:r>
          </w:p>
        </w:tc>
        <w:tc>
          <w:tcPr>
            <w:tcW w:w="50" w:type="pct"/>
            <w:shd w:val="clear" w:color="auto" w:fill="CFF0FC"/>
            <w:noWrap/>
            <w:tcMar>
              <w:top w:w="15" w:type="dxa"/>
              <w:right w:w="15" w:type="dxa"/>
            </w:tcMar>
            <w:vAlign w:val="bottom"/>
          </w:tcPr>
          <w:p w14:paraId="3973D95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95E"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9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CFF0FC"/>
            <w:noWrap/>
            <w:tcMar>
              <w:top w:w="15" w:type="dxa"/>
              <w:right w:w="15" w:type="dxa"/>
            </w:tcMar>
            <w:vAlign w:val="bottom"/>
          </w:tcPr>
          <w:p w14:paraId="3973D96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714</w:t>
            </w:r>
          </w:p>
        </w:tc>
        <w:tc>
          <w:tcPr>
            <w:tcW w:w="50" w:type="pct"/>
            <w:shd w:val="clear" w:color="auto" w:fill="CFF0FC"/>
            <w:noWrap/>
            <w:tcMar>
              <w:top w:w="15" w:type="dxa"/>
              <w:right w:w="15" w:type="dxa"/>
            </w:tcMar>
            <w:vAlign w:val="bottom"/>
          </w:tcPr>
          <w:p w14:paraId="3973D9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6C" w14:textId="77777777">
        <w:tc>
          <w:tcPr>
            <w:tcW w:w="3571" w:type="pct"/>
            <w:shd w:val="clear" w:color="auto" w:fill="FFFFFF"/>
            <w:tcMar>
              <w:top w:w="15" w:type="dxa"/>
              <w:right w:w="15" w:type="dxa"/>
            </w:tcMar>
          </w:tcPr>
          <w:p w14:paraId="3973D963" w14:textId="77777777" w:rsidR="007B027D" w:rsidRDefault="008E012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stockholders' (deficit) equity</w:t>
            </w:r>
          </w:p>
        </w:tc>
        <w:tc>
          <w:tcPr>
            <w:tcW w:w="78" w:type="pct"/>
            <w:shd w:val="clear" w:color="auto" w:fill="FFFFFF"/>
            <w:tcMar>
              <w:top w:w="15" w:type="dxa"/>
              <w:right w:w="15" w:type="dxa"/>
            </w:tcMar>
            <w:vAlign w:val="bottom"/>
          </w:tcPr>
          <w:p w14:paraId="3973D964"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96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(5,768</w:t>
            </w:r>
          </w:p>
        </w:tc>
        <w:tc>
          <w:tcPr>
            <w:tcW w:w="50" w:type="pct"/>
            <w:shd w:val="clear" w:color="auto" w:fill="FFFFFF"/>
            <w:noWrap/>
            <w:tcMar>
              <w:top w:w="15" w:type="dxa"/>
              <w:right w:w="15" w:type="dxa"/>
            </w:tcMar>
            <w:vAlign w:val="bottom"/>
          </w:tcPr>
          <w:p w14:paraId="3973D9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 w:type="pct"/>
            <w:shd w:val="clear" w:color="auto" w:fill="FFFFFF"/>
            <w:tcMar>
              <w:top w:w="15" w:type="dxa"/>
              <w:right w:w="15" w:type="dxa"/>
            </w:tcMar>
            <w:vAlign w:val="bottom"/>
          </w:tcPr>
          <w:p w14:paraId="3973D968" w14:textId="77777777" w:rsidR="007B027D" w:rsidRDefault="008E012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5" w:type="pct"/>
            <w:tcBorders>
              <w:top w:val="single" w:sz="6" w:space="0" w:color="000000"/>
              <w:bottom w:val="single" w:sz="6" w:space="0" w:color="000000"/>
            </w:tcBorders>
            <w:shd w:val="clear" w:color="auto" w:fill="FFFFFF"/>
            <w:noWrap/>
            <w:tcMar>
              <w:top w:w="15" w:type="dxa"/>
              <w:right w:w="15" w:type="dxa"/>
            </w:tcMar>
            <w:vAlign w:val="bottom"/>
          </w:tcPr>
          <w:p w14:paraId="3973D96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5,952</w:t>
            </w:r>
          </w:p>
        </w:tc>
        <w:tc>
          <w:tcPr>
            <w:tcW w:w="50" w:type="pct"/>
            <w:shd w:val="clear" w:color="auto" w:fill="FFFFFF"/>
            <w:noWrap/>
            <w:tcMar>
              <w:top w:w="15" w:type="dxa"/>
              <w:right w:w="15" w:type="dxa"/>
            </w:tcMar>
            <w:vAlign w:val="bottom"/>
          </w:tcPr>
          <w:p w14:paraId="3973D9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76" w14:textId="77777777">
        <w:tc>
          <w:tcPr>
            <w:tcW w:w="3571" w:type="pct"/>
            <w:shd w:val="clear" w:color="auto" w:fill="CFF0FC"/>
            <w:tcMar>
              <w:top w:w="15" w:type="dxa"/>
              <w:right w:w="15" w:type="dxa"/>
            </w:tcMar>
          </w:tcPr>
          <w:p w14:paraId="3973D96D" w14:textId="77777777" w:rsidR="007B027D" w:rsidRDefault="008E0125">
            <w:pPr>
              <w:pStyle w:val="a3"/>
              <w:spacing w:beforeAutospacing="0" w:afterAutospacing="0"/>
              <w:ind w:left="958"/>
              <w:rPr>
                <w:rFonts w:ascii="Calibri" w:hAnsi="Calibri" w:cs="Calibri"/>
                <w:color w:val="000000"/>
                <w:sz w:val="18"/>
                <w:szCs w:val="18"/>
              </w:rPr>
            </w:pPr>
            <w:r>
              <w:rPr>
                <w:rFonts w:ascii="Calibri" w:hAnsi="Calibri" w:cs="Calibri"/>
                <w:color w:val="000000"/>
                <w:sz w:val="18"/>
                <w:szCs w:val="18"/>
              </w:rPr>
              <w:t xml:space="preserve">Total </w:t>
            </w:r>
            <w:r>
              <w:rPr>
                <w:rFonts w:ascii="Calibri" w:hAnsi="Calibri" w:cs="Calibri"/>
                <w:color w:val="000000"/>
                <w:sz w:val="18"/>
                <w:szCs w:val="18"/>
              </w:rPr>
              <w:t>liabilities and stockholders' (deficit) equity</w:t>
            </w:r>
          </w:p>
        </w:tc>
        <w:tc>
          <w:tcPr>
            <w:tcW w:w="78" w:type="pct"/>
            <w:shd w:val="clear" w:color="auto" w:fill="CFF0FC"/>
            <w:tcMar>
              <w:top w:w="15" w:type="dxa"/>
              <w:right w:w="15" w:type="dxa"/>
            </w:tcMar>
            <w:vAlign w:val="bottom"/>
          </w:tcPr>
          <w:p w14:paraId="3973D9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9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tcBorders>
              <w:top w:val="single" w:sz="6" w:space="0" w:color="000000"/>
              <w:bottom w:val="double" w:sz="6" w:space="0" w:color="000000"/>
            </w:tcBorders>
            <w:shd w:val="clear" w:color="auto" w:fill="CFF0FC"/>
            <w:noWrap/>
            <w:tcMar>
              <w:top w:w="15" w:type="dxa"/>
              <w:right w:w="15" w:type="dxa"/>
            </w:tcMar>
            <w:vAlign w:val="bottom"/>
          </w:tcPr>
          <w:p w14:paraId="3973D97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109,297</w:t>
            </w:r>
          </w:p>
        </w:tc>
        <w:tc>
          <w:tcPr>
            <w:tcW w:w="50" w:type="pct"/>
            <w:shd w:val="clear" w:color="auto" w:fill="CFF0FC"/>
            <w:noWrap/>
            <w:tcMar>
              <w:top w:w="15" w:type="dxa"/>
              <w:right w:w="15" w:type="dxa"/>
            </w:tcMar>
            <w:vAlign w:val="bottom"/>
          </w:tcPr>
          <w:p w14:paraId="3973D9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3973D97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9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5" w:type="pct"/>
            <w:tcBorders>
              <w:top w:val="single" w:sz="6" w:space="0" w:color="000000"/>
              <w:bottom w:val="double" w:sz="6" w:space="0" w:color="000000"/>
            </w:tcBorders>
            <w:shd w:val="clear" w:color="auto" w:fill="CFF0FC"/>
            <w:noWrap/>
            <w:tcMar>
              <w:top w:w="15" w:type="dxa"/>
              <w:right w:w="15" w:type="dxa"/>
            </w:tcMar>
            <w:vAlign w:val="bottom"/>
          </w:tcPr>
          <w:p w14:paraId="3973D97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131,107</w:t>
            </w:r>
          </w:p>
        </w:tc>
        <w:tc>
          <w:tcPr>
            <w:tcW w:w="50" w:type="pct"/>
            <w:shd w:val="clear" w:color="auto" w:fill="CFF0FC"/>
            <w:noWrap/>
            <w:tcMar>
              <w:top w:w="15" w:type="dxa"/>
              <w:right w:w="15" w:type="dxa"/>
            </w:tcMar>
            <w:vAlign w:val="bottom"/>
          </w:tcPr>
          <w:p w14:paraId="3973D975"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977"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p w14:paraId="3973D97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See notes to consolidated financial statements.</w:t>
      </w:r>
    </w:p>
    <w:p w14:paraId="3973D97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66</w:t>
      </w:r>
    </w:p>
    <w:p w14:paraId="3973D97A" w14:textId="77777777" w:rsidR="007B027D" w:rsidRDefault="008E0125">
      <w:r>
        <w:rPr>
          <w:rFonts w:ascii="Calibri" w:hAnsi="Calibri" w:cs="Calibri"/>
          <w:sz w:val="20"/>
          <w:szCs w:val="20"/>
        </w:rPr>
        <w:pict w14:anchorId="3974007D">
          <v:rect id="_x0000_i1092" style="width:415.3pt;height:1.5pt" o:hralign="center" o:hrstd="t" o:hr="t" fillcolor="#a0a0a0" stroked="f"/>
        </w:pict>
      </w:r>
    </w:p>
    <w:p w14:paraId="3973D97B" w14:textId="77777777" w:rsidR="007B027D" w:rsidRDefault="008E0125">
      <w:pPr>
        <w:pStyle w:val="a3"/>
        <w:spacing w:beforeAutospacing="0" w:after="120" w:afterAutospacing="0"/>
        <w:rPr>
          <w:rFonts w:ascii="Calibri" w:hAnsi="Calibri" w:cs="Calibri"/>
          <w:sz w:val="18"/>
          <w:szCs w:val="18"/>
        </w:rPr>
      </w:pPr>
      <w:hyperlink r:id="rId168" w:anchor="TABLE_OF_CONTENTS" w:history="1">
        <w:r>
          <w:rPr>
            <w:rStyle w:val="a5"/>
            <w:rFonts w:ascii="Calibri" w:hAnsi="Calibri" w:cs="Calibri"/>
            <w:sz w:val="18"/>
            <w:szCs w:val="18"/>
          </w:rPr>
          <w:t>Table of Contents</w:t>
        </w:r>
      </w:hyperlink>
    </w:p>
    <w:p w14:paraId="3973D97C" w14:textId="77777777" w:rsidR="007B027D" w:rsidRDefault="008E0125">
      <w:pPr>
        <w:pStyle w:val="a3"/>
        <w:spacing w:beforeAutospacing="0" w:afterAutospacing="0"/>
        <w:rPr>
          <w:rFonts w:ascii="Calibri" w:hAnsi="Calibri" w:cs="Calibri"/>
          <w:sz w:val="18"/>
          <w:szCs w:val="18"/>
        </w:rPr>
      </w:pPr>
      <w:hyperlink r:id="rId169" w:anchor="ITEM_15_EXHIBITS_FINANCIAL_STATEMENT_SCH" w:history="1">
        <w:r>
          <w:rPr>
            <w:rStyle w:val="a5"/>
            <w:rFonts w:ascii="Calibri" w:hAnsi="Calibri" w:cs="Calibri"/>
            <w:sz w:val="18"/>
            <w:szCs w:val="18"/>
          </w:rPr>
          <w:t>Index to Financial Statements</w:t>
        </w:r>
      </w:hyperlink>
    </w:p>
    <w:p w14:paraId="3973D97D"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97E"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D97F"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CONSOLIDATED STATEMENTS OF </w:t>
      </w:r>
      <w:r>
        <w:rPr>
          <w:rFonts w:ascii="Calibri" w:hAnsi="Calibri" w:cs="Calibri"/>
          <w:b/>
          <w:bCs/>
          <w:sz w:val="20"/>
          <w:szCs w:val="20"/>
        </w:rPr>
        <w:t>OPERATIONS</w:t>
      </w:r>
    </w:p>
    <w:p w14:paraId="3973D980"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2022, 2021 and 2020</w:t>
      </w:r>
    </w:p>
    <w:p w14:paraId="3973D981"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788"/>
        <w:gridCol w:w="105"/>
        <w:gridCol w:w="107"/>
        <w:gridCol w:w="888"/>
        <w:gridCol w:w="76"/>
        <w:gridCol w:w="105"/>
        <w:gridCol w:w="107"/>
        <w:gridCol w:w="888"/>
        <w:gridCol w:w="76"/>
        <w:gridCol w:w="105"/>
        <w:gridCol w:w="107"/>
        <w:gridCol w:w="893"/>
        <w:gridCol w:w="76"/>
      </w:tblGrid>
      <w:tr w:rsidR="007B027D" w14:paraId="3973D986" w14:textId="77777777">
        <w:tc>
          <w:tcPr>
            <w:tcW w:w="2880" w:type="pct"/>
            <w:shd w:val="clear" w:color="auto" w:fill="FFFFFF"/>
            <w:tcMar>
              <w:top w:w="15" w:type="dxa"/>
              <w:right w:w="15" w:type="dxa"/>
            </w:tcMar>
            <w:vAlign w:val="bottom"/>
          </w:tcPr>
          <w:p w14:paraId="3973D98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3973D98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01" w:type="pct"/>
            <w:gridSpan w:val="10"/>
            <w:tcBorders>
              <w:bottom w:val="single" w:sz="6" w:space="0" w:color="000000"/>
            </w:tcBorders>
            <w:shd w:val="clear" w:color="auto" w:fill="FFFFFF"/>
            <w:tcMar>
              <w:top w:w="15" w:type="dxa"/>
              <w:right w:w="15" w:type="dxa"/>
            </w:tcMar>
            <w:vAlign w:val="bottom"/>
          </w:tcPr>
          <w:p w14:paraId="3973D98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98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991" w14:textId="77777777">
        <w:tc>
          <w:tcPr>
            <w:tcW w:w="2880" w:type="pct"/>
            <w:tcBorders>
              <w:bottom w:val="single" w:sz="6" w:space="0" w:color="000000"/>
            </w:tcBorders>
            <w:shd w:val="clear" w:color="auto" w:fill="FFFFFF"/>
            <w:tcMar>
              <w:top w:w="15" w:type="dxa"/>
              <w:right w:w="15" w:type="dxa"/>
            </w:tcMar>
            <w:vAlign w:val="bottom"/>
          </w:tcPr>
          <w:p w14:paraId="3973D98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right w:w="15" w:type="dxa"/>
            </w:tcMar>
            <w:vAlign w:val="bottom"/>
          </w:tcPr>
          <w:p w14:paraId="3973D98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D98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98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3973D98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D98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98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3973D98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D98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D99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99F" w14:textId="77777777">
        <w:tc>
          <w:tcPr>
            <w:tcW w:w="2880" w:type="pct"/>
            <w:tcBorders>
              <w:top w:val="single" w:sz="6" w:space="0" w:color="000000"/>
            </w:tcBorders>
            <w:shd w:val="clear" w:color="auto" w:fill="CFF0FC"/>
            <w:tcMar>
              <w:top w:w="15" w:type="dxa"/>
              <w:right w:w="15" w:type="dxa"/>
            </w:tcMar>
          </w:tcPr>
          <w:p w14:paraId="3973D9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Revenues:</w:t>
            </w:r>
          </w:p>
        </w:tc>
        <w:tc>
          <w:tcPr>
            <w:tcW w:w="67" w:type="pct"/>
            <w:shd w:val="clear" w:color="auto" w:fill="CFF0FC"/>
            <w:tcMar>
              <w:top w:w="15" w:type="dxa"/>
              <w:right w:w="15" w:type="dxa"/>
            </w:tcMar>
            <w:vAlign w:val="bottom"/>
          </w:tcPr>
          <w:p w14:paraId="3973D9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9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9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9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9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9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9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9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9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AD" w14:textId="77777777">
        <w:tc>
          <w:tcPr>
            <w:tcW w:w="2880" w:type="pct"/>
            <w:shd w:val="clear" w:color="auto" w:fill="FFFFFF"/>
            <w:tcMar>
              <w:top w:w="15" w:type="dxa"/>
              <w:right w:w="15" w:type="dxa"/>
            </w:tcMar>
          </w:tcPr>
          <w:p w14:paraId="3973D9A0"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7" w:type="pct"/>
            <w:shd w:val="clear" w:color="auto" w:fill="FFFFFF"/>
            <w:tcMar>
              <w:top w:w="15" w:type="dxa"/>
              <w:right w:w="15" w:type="dxa"/>
            </w:tcMar>
            <w:vAlign w:val="bottom"/>
          </w:tcPr>
          <w:p w14:paraId="3973D9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9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3973D9A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30,174</w:t>
            </w:r>
          </w:p>
        </w:tc>
        <w:tc>
          <w:tcPr>
            <w:tcW w:w="50" w:type="pct"/>
            <w:shd w:val="clear" w:color="auto" w:fill="FFFFFF"/>
            <w:noWrap/>
            <w:tcMar>
              <w:top w:w="15" w:type="dxa"/>
              <w:right w:w="15" w:type="dxa"/>
            </w:tcMar>
            <w:vAlign w:val="bottom"/>
          </w:tcPr>
          <w:p w14:paraId="3973D9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A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3973D9A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28,700</w:t>
            </w:r>
          </w:p>
        </w:tc>
        <w:tc>
          <w:tcPr>
            <w:tcW w:w="50" w:type="pct"/>
            <w:shd w:val="clear" w:color="auto" w:fill="FFFFFF"/>
            <w:noWrap/>
            <w:tcMar>
              <w:top w:w="15" w:type="dxa"/>
              <w:right w:w="15" w:type="dxa"/>
            </w:tcMar>
            <w:vAlign w:val="bottom"/>
          </w:tcPr>
          <w:p w14:paraId="3973D9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A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3973D9A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27,392</w:t>
            </w:r>
          </w:p>
        </w:tc>
        <w:tc>
          <w:tcPr>
            <w:tcW w:w="50" w:type="pct"/>
            <w:shd w:val="clear" w:color="auto" w:fill="FFFFFF"/>
            <w:noWrap/>
            <w:tcMar>
              <w:top w:w="15" w:type="dxa"/>
              <w:right w:w="15" w:type="dxa"/>
            </w:tcMar>
            <w:vAlign w:val="bottom"/>
          </w:tcPr>
          <w:p w14:paraId="3973D9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BB" w14:textId="77777777">
        <w:tc>
          <w:tcPr>
            <w:tcW w:w="2880" w:type="pct"/>
            <w:shd w:val="clear" w:color="auto" w:fill="CFF0FC"/>
            <w:tcMar>
              <w:top w:w="15" w:type="dxa"/>
              <w:right w:w="15" w:type="dxa"/>
            </w:tcMar>
          </w:tcPr>
          <w:p w14:paraId="3973D9AE"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license and on-premise license</w:t>
            </w:r>
          </w:p>
        </w:tc>
        <w:tc>
          <w:tcPr>
            <w:tcW w:w="67" w:type="pct"/>
            <w:shd w:val="clear" w:color="auto" w:fill="CFF0FC"/>
            <w:tcMar>
              <w:top w:w="15" w:type="dxa"/>
              <w:right w:w="15" w:type="dxa"/>
            </w:tcMar>
            <w:vAlign w:val="bottom"/>
          </w:tcPr>
          <w:p w14:paraId="3973D9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9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9B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5,878</w:t>
            </w:r>
          </w:p>
        </w:tc>
        <w:tc>
          <w:tcPr>
            <w:tcW w:w="50" w:type="pct"/>
            <w:shd w:val="clear" w:color="auto" w:fill="CFF0FC"/>
            <w:noWrap/>
            <w:tcMar>
              <w:top w:w="15" w:type="dxa"/>
              <w:right w:w="15" w:type="dxa"/>
            </w:tcMar>
            <w:vAlign w:val="bottom"/>
          </w:tcPr>
          <w:p w14:paraId="3973D9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9B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5,399</w:t>
            </w:r>
          </w:p>
        </w:tc>
        <w:tc>
          <w:tcPr>
            <w:tcW w:w="50" w:type="pct"/>
            <w:shd w:val="clear" w:color="auto" w:fill="CFF0FC"/>
            <w:noWrap/>
            <w:tcMar>
              <w:top w:w="15" w:type="dxa"/>
              <w:right w:w="15" w:type="dxa"/>
            </w:tcMar>
            <w:vAlign w:val="bottom"/>
          </w:tcPr>
          <w:p w14:paraId="3973D9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B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9B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5,127</w:t>
            </w:r>
          </w:p>
        </w:tc>
        <w:tc>
          <w:tcPr>
            <w:tcW w:w="50" w:type="pct"/>
            <w:shd w:val="clear" w:color="auto" w:fill="CFF0FC"/>
            <w:noWrap/>
            <w:tcMar>
              <w:top w:w="15" w:type="dxa"/>
              <w:right w:w="15" w:type="dxa"/>
            </w:tcMar>
            <w:vAlign w:val="bottom"/>
          </w:tcPr>
          <w:p w14:paraId="3973D9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C9" w14:textId="77777777">
        <w:tc>
          <w:tcPr>
            <w:tcW w:w="2880" w:type="pct"/>
            <w:shd w:val="clear" w:color="auto" w:fill="FFFFFF"/>
            <w:tcMar>
              <w:top w:w="15" w:type="dxa"/>
              <w:right w:w="15" w:type="dxa"/>
            </w:tcMar>
          </w:tcPr>
          <w:p w14:paraId="3973D9BC"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67" w:type="pct"/>
            <w:shd w:val="clear" w:color="auto" w:fill="FFFFFF"/>
            <w:tcMar>
              <w:top w:w="15" w:type="dxa"/>
              <w:right w:w="15" w:type="dxa"/>
            </w:tcMar>
            <w:vAlign w:val="bottom"/>
          </w:tcPr>
          <w:p w14:paraId="3973D9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9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B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3,183</w:t>
            </w:r>
          </w:p>
        </w:tc>
        <w:tc>
          <w:tcPr>
            <w:tcW w:w="50" w:type="pct"/>
            <w:shd w:val="clear" w:color="auto" w:fill="FFFFFF"/>
            <w:noWrap/>
            <w:tcMar>
              <w:top w:w="15" w:type="dxa"/>
              <w:right w:w="15" w:type="dxa"/>
            </w:tcMar>
            <w:vAlign w:val="bottom"/>
          </w:tcPr>
          <w:p w14:paraId="3973D9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C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C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FFFFFF"/>
            <w:noWrap/>
            <w:tcMar>
              <w:top w:w="15" w:type="dxa"/>
              <w:right w:w="15" w:type="dxa"/>
            </w:tcMar>
            <w:vAlign w:val="bottom"/>
          </w:tcPr>
          <w:p w14:paraId="3973D9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C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C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3,443</w:t>
            </w:r>
          </w:p>
        </w:tc>
        <w:tc>
          <w:tcPr>
            <w:tcW w:w="50" w:type="pct"/>
            <w:shd w:val="clear" w:color="auto" w:fill="FFFFFF"/>
            <w:noWrap/>
            <w:tcMar>
              <w:top w:w="15" w:type="dxa"/>
              <w:right w:w="15" w:type="dxa"/>
            </w:tcMar>
            <w:vAlign w:val="bottom"/>
          </w:tcPr>
          <w:p w14:paraId="3973D9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D7" w14:textId="77777777">
        <w:tc>
          <w:tcPr>
            <w:tcW w:w="2880" w:type="pct"/>
            <w:shd w:val="clear" w:color="auto" w:fill="CFF0FC"/>
            <w:tcMar>
              <w:top w:w="15" w:type="dxa"/>
              <w:right w:w="15" w:type="dxa"/>
            </w:tcMar>
          </w:tcPr>
          <w:p w14:paraId="3973D9CA"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67" w:type="pct"/>
            <w:shd w:val="clear" w:color="auto" w:fill="CFF0FC"/>
            <w:tcMar>
              <w:top w:w="15" w:type="dxa"/>
              <w:right w:w="15" w:type="dxa"/>
            </w:tcMar>
            <w:vAlign w:val="bottom"/>
          </w:tcPr>
          <w:p w14:paraId="3973D9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D9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3973D9C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3,205</w:t>
            </w:r>
          </w:p>
        </w:tc>
        <w:tc>
          <w:tcPr>
            <w:tcW w:w="50" w:type="pct"/>
            <w:shd w:val="clear" w:color="auto" w:fill="CFF0FC"/>
            <w:noWrap/>
            <w:tcMar>
              <w:top w:w="15" w:type="dxa"/>
              <w:right w:w="15" w:type="dxa"/>
            </w:tcMar>
            <w:vAlign w:val="bottom"/>
          </w:tcPr>
          <w:p w14:paraId="3973D9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C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D9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3973D9D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3,021</w:t>
            </w:r>
          </w:p>
        </w:tc>
        <w:tc>
          <w:tcPr>
            <w:tcW w:w="50" w:type="pct"/>
            <w:shd w:val="clear" w:color="auto" w:fill="CFF0FC"/>
            <w:noWrap/>
            <w:tcMar>
              <w:top w:w="15" w:type="dxa"/>
              <w:right w:w="15" w:type="dxa"/>
            </w:tcMar>
            <w:vAlign w:val="bottom"/>
          </w:tcPr>
          <w:p w14:paraId="3973D9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D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D9D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3973D9D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3,106</w:t>
            </w:r>
          </w:p>
        </w:tc>
        <w:tc>
          <w:tcPr>
            <w:tcW w:w="50" w:type="pct"/>
            <w:shd w:val="clear" w:color="auto" w:fill="CFF0FC"/>
            <w:noWrap/>
            <w:tcMar>
              <w:top w:w="15" w:type="dxa"/>
              <w:right w:w="15" w:type="dxa"/>
            </w:tcMar>
            <w:vAlign w:val="bottom"/>
          </w:tcPr>
          <w:p w14:paraId="3973D9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E5" w14:textId="77777777">
        <w:tc>
          <w:tcPr>
            <w:tcW w:w="2880" w:type="pct"/>
            <w:shd w:val="clear" w:color="auto" w:fill="FFFFFF"/>
            <w:tcMar>
              <w:top w:w="15" w:type="dxa"/>
              <w:right w:w="15" w:type="dxa"/>
            </w:tcMar>
          </w:tcPr>
          <w:p w14:paraId="3973D9D8" w14:textId="77777777" w:rsidR="007B027D" w:rsidRDefault="008E012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7" w:type="pct"/>
            <w:shd w:val="clear" w:color="auto" w:fill="FFFFFF"/>
            <w:tcMar>
              <w:top w:w="15" w:type="dxa"/>
              <w:right w:w="15" w:type="dxa"/>
            </w:tcMar>
            <w:vAlign w:val="bottom"/>
          </w:tcPr>
          <w:p w14:paraId="3973D9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9D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FFFFFF"/>
            <w:noWrap/>
            <w:tcMar>
              <w:top w:w="15" w:type="dxa"/>
              <w:right w:w="15" w:type="dxa"/>
            </w:tcMar>
            <w:vAlign w:val="bottom"/>
          </w:tcPr>
          <w:p w14:paraId="3973D9D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D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9D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40,479</w:t>
            </w:r>
          </w:p>
        </w:tc>
        <w:tc>
          <w:tcPr>
            <w:tcW w:w="50" w:type="pct"/>
            <w:shd w:val="clear" w:color="auto" w:fill="FFFFFF"/>
            <w:noWrap/>
            <w:tcMar>
              <w:top w:w="15" w:type="dxa"/>
              <w:right w:w="15" w:type="dxa"/>
            </w:tcMar>
            <w:vAlign w:val="bottom"/>
          </w:tcPr>
          <w:p w14:paraId="3973D9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E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9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9E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FFFFFF"/>
            <w:noWrap/>
            <w:tcMar>
              <w:top w:w="15" w:type="dxa"/>
              <w:right w:w="15" w:type="dxa"/>
            </w:tcMar>
            <w:vAlign w:val="bottom"/>
          </w:tcPr>
          <w:p w14:paraId="3973D9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9F3" w14:textId="77777777">
        <w:tc>
          <w:tcPr>
            <w:tcW w:w="2880" w:type="pct"/>
            <w:shd w:val="clear" w:color="auto" w:fill="CFF0FC"/>
            <w:tcMar>
              <w:top w:w="15" w:type="dxa"/>
              <w:right w:w="15" w:type="dxa"/>
            </w:tcMar>
          </w:tcPr>
          <w:p w14:paraId="3973D9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Operating </w:t>
            </w:r>
            <w:r>
              <w:rPr>
                <w:rFonts w:ascii="Calibri" w:hAnsi="Calibri" w:cs="Calibri"/>
                <w:color w:val="000000"/>
                <w:sz w:val="18"/>
                <w:szCs w:val="18"/>
              </w:rPr>
              <w:t>expenses:</w:t>
            </w:r>
          </w:p>
        </w:tc>
        <w:tc>
          <w:tcPr>
            <w:tcW w:w="67" w:type="pct"/>
            <w:shd w:val="clear" w:color="auto" w:fill="CFF0FC"/>
            <w:tcMar>
              <w:top w:w="15" w:type="dxa"/>
              <w:right w:w="15" w:type="dxa"/>
            </w:tcMar>
            <w:vAlign w:val="bottom"/>
          </w:tcPr>
          <w:p w14:paraId="3973D9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9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E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E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9E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E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9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9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9F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9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01" w14:textId="77777777">
        <w:tc>
          <w:tcPr>
            <w:tcW w:w="2880" w:type="pct"/>
            <w:shd w:val="clear" w:color="auto" w:fill="FFFFFF"/>
            <w:tcMar>
              <w:top w:w="15" w:type="dxa"/>
              <w:right w:w="15" w:type="dxa"/>
            </w:tcMar>
          </w:tcPr>
          <w:p w14:paraId="3973D9F4"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7" w:type="pct"/>
            <w:shd w:val="clear" w:color="auto" w:fill="FFFFFF"/>
            <w:tcMar>
              <w:top w:w="15" w:type="dxa"/>
              <w:right w:w="15" w:type="dxa"/>
            </w:tcMar>
            <w:vAlign w:val="bottom"/>
          </w:tcPr>
          <w:p w14:paraId="3973D9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9F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F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5,213</w:t>
            </w:r>
          </w:p>
        </w:tc>
        <w:tc>
          <w:tcPr>
            <w:tcW w:w="50" w:type="pct"/>
            <w:shd w:val="clear" w:color="auto" w:fill="FFFFFF"/>
            <w:noWrap/>
            <w:tcMar>
              <w:top w:w="15" w:type="dxa"/>
              <w:right w:w="15" w:type="dxa"/>
            </w:tcMar>
            <w:vAlign w:val="bottom"/>
          </w:tcPr>
          <w:p w14:paraId="3973D9F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F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4,353</w:t>
            </w:r>
          </w:p>
        </w:tc>
        <w:tc>
          <w:tcPr>
            <w:tcW w:w="50" w:type="pct"/>
            <w:shd w:val="clear" w:color="auto" w:fill="FFFFFF"/>
            <w:noWrap/>
            <w:tcMar>
              <w:top w:w="15" w:type="dxa"/>
              <w:right w:w="15" w:type="dxa"/>
            </w:tcMar>
            <w:vAlign w:val="bottom"/>
          </w:tcPr>
          <w:p w14:paraId="3973D9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9F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9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9F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4,006</w:t>
            </w:r>
          </w:p>
        </w:tc>
        <w:tc>
          <w:tcPr>
            <w:tcW w:w="50" w:type="pct"/>
            <w:shd w:val="clear" w:color="auto" w:fill="FFFFFF"/>
            <w:noWrap/>
            <w:tcMar>
              <w:top w:w="15" w:type="dxa"/>
              <w:right w:w="15" w:type="dxa"/>
            </w:tcMar>
            <w:vAlign w:val="bottom"/>
          </w:tcPr>
          <w:p w14:paraId="3973DA0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0F" w14:textId="77777777">
        <w:tc>
          <w:tcPr>
            <w:tcW w:w="2880" w:type="pct"/>
            <w:shd w:val="clear" w:color="auto" w:fill="CFF0FC"/>
            <w:tcMar>
              <w:top w:w="15" w:type="dxa"/>
              <w:right w:w="15" w:type="dxa"/>
            </w:tcMar>
          </w:tcPr>
          <w:p w14:paraId="3973DA02"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3973DA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A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0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972</w:t>
            </w:r>
          </w:p>
        </w:tc>
        <w:tc>
          <w:tcPr>
            <w:tcW w:w="50" w:type="pct"/>
            <w:shd w:val="clear" w:color="auto" w:fill="CFF0FC"/>
            <w:noWrap/>
            <w:tcMar>
              <w:top w:w="15" w:type="dxa"/>
              <w:right w:w="15" w:type="dxa"/>
            </w:tcMar>
            <w:vAlign w:val="bottom"/>
          </w:tcPr>
          <w:p w14:paraId="3973DA0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0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972</w:t>
            </w:r>
          </w:p>
        </w:tc>
        <w:tc>
          <w:tcPr>
            <w:tcW w:w="50" w:type="pct"/>
            <w:shd w:val="clear" w:color="auto" w:fill="CFF0FC"/>
            <w:noWrap/>
            <w:tcMar>
              <w:top w:w="15" w:type="dxa"/>
              <w:right w:w="15" w:type="dxa"/>
            </w:tcMar>
            <w:vAlign w:val="bottom"/>
          </w:tcPr>
          <w:p w14:paraId="3973DA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0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0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1,116</w:t>
            </w:r>
          </w:p>
        </w:tc>
        <w:tc>
          <w:tcPr>
            <w:tcW w:w="50" w:type="pct"/>
            <w:shd w:val="clear" w:color="auto" w:fill="CFF0FC"/>
            <w:noWrap/>
            <w:tcMar>
              <w:top w:w="15" w:type="dxa"/>
              <w:right w:w="15" w:type="dxa"/>
            </w:tcMar>
            <w:vAlign w:val="bottom"/>
          </w:tcPr>
          <w:p w14:paraId="3973DA0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1D" w14:textId="77777777">
        <w:tc>
          <w:tcPr>
            <w:tcW w:w="2880" w:type="pct"/>
            <w:shd w:val="clear" w:color="auto" w:fill="FFFFFF"/>
            <w:tcMar>
              <w:top w:w="15" w:type="dxa"/>
              <w:right w:w="15" w:type="dxa"/>
            </w:tcMar>
          </w:tcPr>
          <w:p w14:paraId="3973DA10"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67" w:type="pct"/>
            <w:shd w:val="clear" w:color="auto" w:fill="FFFFFF"/>
            <w:tcMar>
              <w:top w:w="15" w:type="dxa"/>
              <w:right w:w="15" w:type="dxa"/>
            </w:tcMar>
            <w:vAlign w:val="bottom"/>
          </w:tcPr>
          <w:p w14:paraId="3973DA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A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1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2,692</w:t>
            </w:r>
          </w:p>
        </w:tc>
        <w:tc>
          <w:tcPr>
            <w:tcW w:w="50" w:type="pct"/>
            <w:shd w:val="clear" w:color="auto" w:fill="FFFFFF"/>
            <w:noWrap/>
            <w:tcMar>
              <w:top w:w="15" w:type="dxa"/>
              <w:right w:w="15" w:type="dxa"/>
            </w:tcMar>
            <w:vAlign w:val="bottom"/>
          </w:tcPr>
          <w:p w14:paraId="3973DA1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1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1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2,530</w:t>
            </w:r>
          </w:p>
        </w:tc>
        <w:tc>
          <w:tcPr>
            <w:tcW w:w="50" w:type="pct"/>
            <w:shd w:val="clear" w:color="auto" w:fill="FFFFFF"/>
            <w:noWrap/>
            <w:tcMar>
              <w:top w:w="15" w:type="dxa"/>
              <w:right w:w="15" w:type="dxa"/>
            </w:tcMar>
            <w:vAlign w:val="bottom"/>
          </w:tcPr>
          <w:p w14:paraId="3973DA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1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1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1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2,816</w:t>
            </w:r>
          </w:p>
        </w:tc>
        <w:tc>
          <w:tcPr>
            <w:tcW w:w="50" w:type="pct"/>
            <w:shd w:val="clear" w:color="auto" w:fill="FFFFFF"/>
            <w:noWrap/>
            <w:tcMar>
              <w:top w:w="15" w:type="dxa"/>
              <w:right w:w="15" w:type="dxa"/>
            </w:tcMar>
            <w:vAlign w:val="bottom"/>
          </w:tcPr>
          <w:p w14:paraId="3973DA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2B" w14:textId="77777777">
        <w:tc>
          <w:tcPr>
            <w:tcW w:w="2880" w:type="pct"/>
            <w:shd w:val="clear" w:color="auto" w:fill="CFF0FC"/>
            <w:tcMar>
              <w:top w:w="15" w:type="dxa"/>
              <w:right w:w="15" w:type="dxa"/>
            </w:tcMar>
          </w:tcPr>
          <w:p w14:paraId="3973DA1E"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3973DA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A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2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8,047</w:t>
            </w:r>
          </w:p>
        </w:tc>
        <w:tc>
          <w:tcPr>
            <w:tcW w:w="50" w:type="pct"/>
            <w:shd w:val="clear" w:color="auto" w:fill="CFF0FC"/>
            <w:noWrap/>
            <w:tcMar>
              <w:top w:w="15" w:type="dxa"/>
              <w:right w:w="15" w:type="dxa"/>
            </w:tcMar>
            <w:vAlign w:val="bottom"/>
          </w:tcPr>
          <w:p w14:paraId="3973DA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2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7,682</w:t>
            </w:r>
          </w:p>
        </w:tc>
        <w:tc>
          <w:tcPr>
            <w:tcW w:w="50" w:type="pct"/>
            <w:shd w:val="clear" w:color="auto" w:fill="CFF0FC"/>
            <w:noWrap/>
            <w:tcMar>
              <w:top w:w="15" w:type="dxa"/>
              <w:right w:w="15" w:type="dxa"/>
            </w:tcMar>
            <w:vAlign w:val="bottom"/>
          </w:tcPr>
          <w:p w14:paraId="3973DA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2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8,094</w:t>
            </w:r>
          </w:p>
        </w:tc>
        <w:tc>
          <w:tcPr>
            <w:tcW w:w="50" w:type="pct"/>
            <w:shd w:val="clear" w:color="auto" w:fill="CFF0FC"/>
            <w:noWrap/>
            <w:tcMar>
              <w:top w:w="15" w:type="dxa"/>
              <w:right w:w="15" w:type="dxa"/>
            </w:tcMar>
            <w:vAlign w:val="bottom"/>
          </w:tcPr>
          <w:p w14:paraId="3973DA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39" w14:textId="77777777">
        <w:tc>
          <w:tcPr>
            <w:tcW w:w="2880" w:type="pct"/>
            <w:shd w:val="clear" w:color="auto" w:fill="FFFFFF"/>
            <w:tcMar>
              <w:top w:w="15" w:type="dxa"/>
              <w:right w:w="15" w:type="dxa"/>
            </w:tcMar>
          </w:tcPr>
          <w:p w14:paraId="3973DA2C"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7" w:type="pct"/>
            <w:shd w:val="clear" w:color="auto" w:fill="FFFFFF"/>
            <w:tcMar>
              <w:top w:w="15" w:type="dxa"/>
              <w:right w:w="15" w:type="dxa"/>
            </w:tcMar>
            <w:vAlign w:val="bottom"/>
          </w:tcPr>
          <w:p w14:paraId="3973DA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A2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2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7,219</w:t>
            </w:r>
          </w:p>
        </w:tc>
        <w:tc>
          <w:tcPr>
            <w:tcW w:w="50" w:type="pct"/>
            <w:shd w:val="clear" w:color="auto" w:fill="FFFFFF"/>
            <w:noWrap/>
            <w:tcMar>
              <w:top w:w="15" w:type="dxa"/>
              <w:right w:w="15" w:type="dxa"/>
            </w:tcMar>
            <w:vAlign w:val="bottom"/>
          </w:tcPr>
          <w:p w14:paraId="3973DA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3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3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6,527</w:t>
            </w:r>
          </w:p>
        </w:tc>
        <w:tc>
          <w:tcPr>
            <w:tcW w:w="50" w:type="pct"/>
            <w:shd w:val="clear" w:color="auto" w:fill="FFFFFF"/>
            <w:noWrap/>
            <w:tcMar>
              <w:top w:w="15" w:type="dxa"/>
              <w:right w:w="15" w:type="dxa"/>
            </w:tcMar>
            <w:vAlign w:val="bottom"/>
          </w:tcPr>
          <w:p w14:paraId="3973DA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3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3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6,067</w:t>
            </w:r>
          </w:p>
        </w:tc>
        <w:tc>
          <w:tcPr>
            <w:tcW w:w="50" w:type="pct"/>
            <w:shd w:val="clear" w:color="auto" w:fill="FFFFFF"/>
            <w:noWrap/>
            <w:tcMar>
              <w:top w:w="15" w:type="dxa"/>
              <w:right w:w="15" w:type="dxa"/>
            </w:tcMar>
            <w:vAlign w:val="bottom"/>
          </w:tcPr>
          <w:p w14:paraId="3973DA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47" w14:textId="77777777">
        <w:tc>
          <w:tcPr>
            <w:tcW w:w="2880" w:type="pct"/>
            <w:shd w:val="clear" w:color="auto" w:fill="CFF0FC"/>
            <w:tcMar>
              <w:top w:w="15" w:type="dxa"/>
              <w:right w:w="15" w:type="dxa"/>
            </w:tcMar>
          </w:tcPr>
          <w:p w14:paraId="3973DA3A"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7" w:type="pct"/>
            <w:shd w:val="clear" w:color="auto" w:fill="CFF0FC"/>
            <w:tcMar>
              <w:top w:w="15" w:type="dxa"/>
              <w:right w:w="15" w:type="dxa"/>
            </w:tcMar>
            <w:vAlign w:val="bottom"/>
          </w:tcPr>
          <w:p w14:paraId="3973DA3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A3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3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1,317</w:t>
            </w:r>
          </w:p>
        </w:tc>
        <w:tc>
          <w:tcPr>
            <w:tcW w:w="50" w:type="pct"/>
            <w:shd w:val="clear" w:color="auto" w:fill="CFF0FC"/>
            <w:noWrap/>
            <w:tcMar>
              <w:top w:w="15" w:type="dxa"/>
              <w:right w:w="15" w:type="dxa"/>
            </w:tcMar>
            <w:vAlign w:val="bottom"/>
          </w:tcPr>
          <w:p w14:paraId="3973DA3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4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1,254</w:t>
            </w:r>
          </w:p>
        </w:tc>
        <w:tc>
          <w:tcPr>
            <w:tcW w:w="50" w:type="pct"/>
            <w:shd w:val="clear" w:color="auto" w:fill="CFF0FC"/>
            <w:noWrap/>
            <w:tcMar>
              <w:top w:w="15" w:type="dxa"/>
              <w:right w:w="15" w:type="dxa"/>
            </w:tcMar>
            <w:vAlign w:val="bottom"/>
          </w:tcPr>
          <w:p w14:paraId="3973DA4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4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4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1,181</w:t>
            </w:r>
          </w:p>
        </w:tc>
        <w:tc>
          <w:tcPr>
            <w:tcW w:w="50" w:type="pct"/>
            <w:shd w:val="clear" w:color="auto" w:fill="CFF0FC"/>
            <w:noWrap/>
            <w:tcMar>
              <w:top w:w="15" w:type="dxa"/>
              <w:right w:w="15" w:type="dxa"/>
            </w:tcMar>
            <w:vAlign w:val="bottom"/>
          </w:tcPr>
          <w:p w14:paraId="3973DA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55" w14:textId="77777777">
        <w:tc>
          <w:tcPr>
            <w:tcW w:w="2880" w:type="pct"/>
            <w:shd w:val="clear" w:color="auto" w:fill="FFFFFF"/>
            <w:tcMar>
              <w:top w:w="15" w:type="dxa"/>
              <w:right w:w="15" w:type="dxa"/>
            </w:tcMar>
          </w:tcPr>
          <w:p w14:paraId="3973DA48"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67" w:type="pct"/>
            <w:shd w:val="clear" w:color="auto" w:fill="FFFFFF"/>
            <w:tcMar>
              <w:top w:w="15" w:type="dxa"/>
              <w:right w:w="15" w:type="dxa"/>
            </w:tcMar>
            <w:vAlign w:val="bottom"/>
          </w:tcPr>
          <w:p w14:paraId="3973DA4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A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4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1,150</w:t>
            </w:r>
          </w:p>
        </w:tc>
        <w:tc>
          <w:tcPr>
            <w:tcW w:w="50" w:type="pct"/>
            <w:shd w:val="clear" w:color="auto" w:fill="FFFFFF"/>
            <w:noWrap/>
            <w:tcMar>
              <w:top w:w="15" w:type="dxa"/>
              <w:right w:w="15" w:type="dxa"/>
            </w:tcMar>
            <w:vAlign w:val="bottom"/>
          </w:tcPr>
          <w:p w14:paraId="3973DA4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4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1,379</w:t>
            </w:r>
          </w:p>
        </w:tc>
        <w:tc>
          <w:tcPr>
            <w:tcW w:w="50" w:type="pct"/>
            <w:shd w:val="clear" w:color="auto" w:fill="FFFFFF"/>
            <w:noWrap/>
            <w:tcMar>
              <w:top w:w="15" w:type="dxa"/>
              <w:right w:w="15" w:type="dxa"/>
            </w:tcMar>
            <w:vAlign w:val="bottom"/>
          </w:tcPr>
          <w:p w14:paraId="3973DA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3973DA5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1,586</w:t>
            </w:r>
          </w:p>
        </w:tc>
        <w:tc>
          <w:tcPr>
            <w:tcW w:w="50" w:type="pct"/>
            <w:shd w:val="clear" w:color="auto" w:fill="FFFFFF"/>
            <w:noWrap/>
            <w:tcMar>
              <w:top w:w="15" w:type="dxa"/>
              <w:right w:w="15" w:type="dxa"/>
            </w:tcMar>
            <w:vAlign w:val="bottom"/>
          </w:tcPr>
          <w:p w14:paraId="3973DA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63" w14:textId="77777777">
        <w:tc>
          <w:tcPr>
            <w:tcW w:w="2880" w:type="pct"/>
            <w:shd w:val="clear" w:color="auto" w:fill="CFF0FC"/>
            <w:tcMar>
              <w:top w:w="15" w:type="dxa"/>
              <w:right w:w="15" w:type="dxa"/>
            </w:tcMar>
          </w:tcPr>
          <w:p w14:paraId="3973DA56"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67" w:type="pct"/>
            <w:shd w:val="clear" w:color="auto" w:fill="CFF0FC"/>
            <w:tcMar>
              <w:top w:w="15" w:type="dxa"/>
              <w:right w:w="15" w:type="dxa"/>
            </w:tcMar>
            <w:vAlign w:val="bottom"/>
          </w:tcPr>
          <w:p w14:paraId="3973DA5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A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5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4,713</w:t>
            </w:r>
          </w:p>
        </w:tc>
        <w:tc>
          <w:tcPr>
            <w:tcW w:w="50" w:type="pct"/>
            <w:shd w:val="clear" w:color="auto" w:fill="CFF0FC"/>
            <w:noWrap/>
            <w:tcMar>
              <w:top w:w="15" w:type="dxa"/>
              <w:right w:w="15" w:type="dxa"/>
            </w:tcMar>
            <w:vAlign w:val="bottom"/>
          </w:tcPr>
          <w:p w14:paraId="3973DA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5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w:t>
            </w:r>
          </w:p>
        </w:tc>
        <w:tc>
          <w:tcPr>
            <w:tcW w:w="50" w:type="pct"/>
            <w:shd w:val="clear" w:color="auto" w:fill="CFF0FC"/>
            <w:noWrap/>
            <w:tcMar>
              <w:top w:w="15" w:type="dxa"/>
              <w:right w:w="15" w:type="dxa"/>
            </w:tcMar>
            <w:vAlign w:val="bottom"/>
          </w:tcPr>
          <w:p w14:paraId="3973DA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A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3973DA6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3973DA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71" w14:textId="77777777">
        <w:tc>
          <w:tcPr>
            <w:tcW w:w="2880" w:type="pct"/>
            <w:shd w:val="clear" w:color="auto" w:fill="FFFFFF"/>
            <w:tcMar>
              <w:top w:w="15" w:type="dxa"/>
              <w:right w:w="15" w:type="dxa"/>
            </w:tcMar>
          </w:tcPr>
          <w:p w14:paraId="3973DA64"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67" w:type="pct"/>
            <w:shd w:val="clear" w:color="auto" w:fill="FFFFFF"/>
            <w:tcMar>
              <w:top w:w="15" w:type="dxa"/>
              <w:right w:w="15" w:type="dxa"/>
            </w:tcMar>
            <w:vAlign w:val="bottom"/>
          </w:tcPr>
          <w:p w14:paraId="3973DA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A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6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w:t>
            </w:r>
          </w:p>
        </w:tc>
        <w:tc>
          <w:tcPr>
            <w:tcW w:w="50" w:type="pct"/>
            <w:shd w:val="clear" w:color="auto" w:fill="FFFFFF"/>
            <w:noWrap/>
            <w:tcMar>
              <w:top w:w="15" w:type="dxa"/>
              <w:right w:w="15" w:type="dxa"/>
            </w:tcMar>
            <w:vAlign w:val="bottom"/>
          </w:tcPr>
          <w:p w14:paraId="3973DA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A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6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431</w:t>
            </w:r>
          </w:p>
        </w:tc>
        <w:tc>
          <w:tcPr>
            <w:tcW w:w="50" w:type="pct"/>
            <w:shd w:val="clear" w:color="auto" w:fill="FFFFFF"/>
            <w:noWrap/>
            <w:tcMar>
              <w:top w:w="15" w:type="dxa"/>
              <w:right w:w="15" w:type="dxa"/>
            </w:tcMar>
            <w:vAlign w:val="bottom"/>
          </w:tcPr>
          <w:p w14:paraId="3973DA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A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6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w:t>
            </w:r>
          </w:p>
        </w:tc>
        <w:tc>
          <w:tcPr>
            <w:tcW w:w="50" w:type="pct"/>
            <w:shd w:val="clear" w:color="auto" w:fill="FFFFFF"/>
            <w:noWrap/>
            <w:tcMar>
              <w:top w:w="15" w:type="dxa"/>
              <w:right w:w="15" w:type="dxa"/>
            </w:tcMar>
            <w:vAlign w:val="bottom"/>
          </w:tcPr>
          <w:p w14:paraId="3973DA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7F" w14:textId="77777777">
        <w:tc>
          <w:tcPr>
            <w:tcW w:w="2880" w:type="pct"/>
            <w:shd w:val="clear" w:color="auto" w:fill="CFF0FC"/>
            <w:tcMar>
              <w:top w:w="15" w:type="dxa"/>
              <w:right w:w="15" w:type="dxa"/>
            </w:tcMar>
            <w:vAlign w:val="bottom"/>
          </w:tcPr>
          <w:p w14:paraId="3973DA72" w14:textId="77777777" w:rsidR="007B027D" w:rsidRDefault="008E012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7" w:type="pct"/>
            <w:shd w:val="clear" w:color="auto" w:fill="CFF0FC"/>
            <w:tcMar>
              <w:top w:w="15" w:type="dxa"/>
              <w:right w:w="15" w:type="dxa"/>
            </w:tcMar>
            <w:vAlign w:val="bottom"/>
          </w:tcPr>
          <w:p w14:paraId="3973DA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7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31,514</w:t>
            </w:r>
          </w:p>
        </w:tc>
        <w:tc>
          <w:tcPr>
            <w:tcW w:w="50" w:type="pct"/>
            <w:shd w:val="clear" w:color="auto" w:fill="CFF0FC"/>
            <w:noWrap/>
            <w:tcMar>
              <w:top w:w="15" w:type="dxa"/>
              <w:right w:w="15" w:type="dxa"/>
            </w:tcMar>
            <w:vAlign w:val="bottom"/>
          </w:tcPr>
          <w:p w14:paraId="3973DA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7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25,266</w:t>
            </w:r>
          </w:p>
        </w:tc>
        <w:tc>
          <w:tcPr>
            <w:tcW w:w="50" w:type="pct"/>
            <w:shd w:val="clear" w:color="auto" w:fill="CFF0FC"/>
            <w:noWrap/>
            <w:tcMar>
              <w:top w:w="15" w:type="dxa"/>
              <w:right w:w="15" w:type="dxa"/>
            </w:tcMar>
            <w:vAlign w:val="bottom"/>
          </w:tcPr>
          <w:p w14:paraId="3973DA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7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25,172</w:t>
            </w:r>
          </w:p>
        </w:tc>
        <w:tc>
          <w:tcPr>
            <w:tcW w:w="50" w:type="pct"/>
            <w:shd w:val="clear" w:color="auto" w:fill="CFF0FC"/>
            <w:noWrap/>
            <w:tcMar>
              <w:top w:w="15" w:type="dxa"/>
              <w:right w:w="15" w:type="dxa"/>
            </w:tcMar>
            <w:vAlign w:val="bottom"/>
          </w:tcPr>
          <w:p w14:paraId="3973DA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8D" w14:textId="77777777">
        <w:tc>
          <w:tcPr>
            <w:tcW w:w="2880" w:type="pct"/>
            <w:shd w:val="clear" w:color="auto" w:fill="FFFFFF"/>
            <w:tcMar>
              <w:top w:w="15" w:type="dxa"/>
              <w:right w:w="15" w:type="dxa"/>
            </w:tcMar>
          </w:tcPr>
          <w:p w14:paraId="3973DA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7" w:type="pct"/>
            <w:shd w:val="clear" w:color="auto" w:fill="FFFFFF"/>
            <w:tcMar>
              <w:top w:w="15" w:type="dxa"/>
              <w:right w:w="15" w:type="dxa"/>
            </w:tcMar>
            <w:vAlign w:val="bottom"/>
          </w:tcPr>
          <w:p w14:paraId="3973DA8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8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10,926</w:t>
            </w:r>
          </w:p>
        </w:tc>
        <w:tc>
          <w:tcPr>
            <w:tcW w:w="50" w:type="pct"/>
            <w:shd w:val="clear" w:color="auto" w:fill="FFFFFF"/>
            <w:noWrap/>
            <w:tcMar>
              <w:top w:w="15" w:type="dxa"/>
              <w:right w:w="15" w:type="dxa"/>
            </w:tcMar>
            <w:vAlign w:val="bottom"/>
          </w:tcPr>
          <w:p w14:paraId="3973DA8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8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15,213</w:t>
            </w:r>
          </w:p>
        </w:tc>
        <w:tc>
          <w:tcPr>
            <w:tcW w:w="50" w:type="pct"/>
            <w:shd w:val="clear" w:color="auto" w:fill="FFFFFF"/>
            <w:noWrap/>
            <w:tcMar>
              <w:top w:w="15" w:type="dxa"/>
              <w:right w:w="15" w:type="dxa"/>
            </w:tcMar>
            <w:vAlign w:val="bottom"/>
          </w:tcPr>
          <w:p w14:paraId="3973DA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8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13,896</w:t>
            </w:r>
          </w:p>
        </w:tc>
        <w:tc>
          <w:tcPr>
            <w:tcW w:w="50" w:type="pct"/>
            <w:shd w:val="clear" w:color="auto" w:fill="FFFFFF"/>
            <w:noWrap/>
            <w:tcMar>
              <w:top w:w="15" w:type="dxa"/>
              <w:right w:w="15" w:type="dxa"/>
            </w:tcMar>
            <w:vAlign w:val="bottom"/>
          </w:tcPr>
          <w:p w14:paraId="3973DA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9B" w14:textId="77777777">
        <w:tc>
          <w:tcPr>
            <w:tcW w:w="2880" w:type="pct"/>
            <w:shd w:val="clear" w:color="auto" w:fill="CFF0FC"/>
            <w:tcMar>
              <w:top w:w="15" w:type="dxa"/>
              <w:right w:w="15" w:type="dxa"/>
            </w:tcMar>
          </w:tcPr>
          <w:p w14:paraId="3973DA8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7" w:type="pct"/>
            <w:shd w:val="clear" w:color="auto" w:fill="CFF0FC"/>
            <w:tcMar>
              <w:top w:w="15" w:type="dxa"/>
              <w:right w:w="15" w:type="dxa"/>
            </w:tcMar>
            <w:vAlign w:val="bottom"/>
          </w:tcPr>
          <w:p w14:paraId="3973DA8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A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A9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(2,755</w:t>
            </w:r>
          </w:p>
        </w:tc>
        <w:tc>
          <w:tcPr>
            <w:tcW w:w="50" w:type="pct"/>
            <w:shd w:val="clear" w:color="auto" w:fill="CFF0FC"/>
            <w:noWrap/>
            <w:tcMar>
              <w:top w:w="15" w:type="dxa"/>
              <w:right w:w="15" w:type="dxa"/>
            </w:tcMar>
            <w:vAlign w:val="bottom"/>
          </w:tcPr>
          <w:p w14:paraId="3973DA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3973DA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A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A9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(2,496</w:t>
            </w:r>
          </w:p>
        </w:tc>
        <w:tc>
          <w:tcPr>
            <w:tcW w:w="50" w:type="pct"/>
            <w:shd w:val="clear" w:color="auto" w:fill="CFF0FC"/>
            <w:noWrap/>
            <w:tcMar>
              <w:top w:w="15" w:type="dxa"/>
              <w:right w:w="15" w:type="dxa"/>
            </w:tcMar>
            <w:vAlign w:val="bottom"/>
          </w:tcPr>
          <w:p w14:paraId="3973DA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3973DA9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A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3973DA9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(1,995</w:t>
            </w:r>
          </w:p>
        </w:tc>
        <w:tc>
          <w:tcPr>
            <w:tcW w:w="50" w:type="pct"/>
            <w:shd w:val="clear" w:color="auto" w:fill="CFF0FC"/>
            <w:noWrap/>
            <w:tcMar>
              <w:top w:w="15" w:type="dxa"/>
              <w:right w:w="15" w:type="dxa"/>
            </w:tcMar>
            <w:vAlign w:val="bottom"/>
          </w:tcPr>
          <w:p w14:paraId="3973DA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AA9" w14:textId="77777777">
        <w:tc>
          <w:tcPr>
            <w:tcW w:w="2880" w:type="pct"/>
            <w:shd w:val="clear" w:color="auto" w:fill="FFFFFF"/>
            <w:tcMar>
              <w:top w:w="15" w:type="dxa"/>
              <w:right w:w="15" w:type="dxa"/>
            </w:tcMar>
          </w:tcPr>
          <w:p w14:paraId="3973DA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67" w:type="pct"/>
            <w:shd w:val="clear" w:color="auto" w:fill="FFFFFF"/>
            <w:tcMar>
              <w:top w:w="15" w:type="dxa"/>
              <w:right w:w="15" w:type="dxa"/>
            </w:tcMar>
            <w:vAlign w:val="bottom"/>
          </w:tcPr>
          <w:p w14:paraId="3973DA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A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9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(522</w:t>
            </w:r>
          </w:p>
        </w:tc>
        <w:tc>
          <w:tcPr>
            <w:tcW w:w="50" w:type="pct"/>
            <w:shd w:val="clear" w:color="auto" w:fill="FFFFFF"/>
            <w:noWrap/>
            <w:tcMar>
              <w:top w:w="15" w:type="dxa"/>
              <w:right w:w="15" w:type="dxa"/>
            </w:tcMar>
            <w:vAlign w:val="bottom"/>
          </w:tcPr>
          <w:p w14:paraId="3973DA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3973DAA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A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A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282</w:t>
            </w:r>
          </w:p>
        </w:tc>
        <w:tc>
          <w:tcPr>
            <w:tcW w:w="50" w:type="pct"/>
            <w:shd w:val="clear" w:color="auto" w:fill="FFFFFF"/>
            <w:noWrap/>
            <w:tcMar>
              <w:top w:w="15" w:type="dxa"/>
              <w:right w:w="15" w:type="dxa"/>
            </w:tcMar>
            <w:vAlign w:val="bottom"/>
          </w:tcPr>
          <w:p w14:paraId="3973DA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A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DA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3973DAA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w:t>
            </w:r>
          </w:p>
        </w:tc>
        <w:tc>
          <w:tcPr>
            <w:tcW w:w="50" w:type="pct"/>
            <w:shd w:val="clear" w:color="auto" w:fill="FFFFFF"/>
            <w:noWrap/>
            <w:tcMar>
              <w:top w:w="15" w:type="dxa"/>
              <w:right w:w="15" w:type="dxa"/>
            </w:tcMar>
            <w:vAlign w:val="bottom"/>
          </w:tcPr>
          <w:p w14:paraId="3973DA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B7" w14:textId="77777777">
        <w:tc>
          <w:tcPr>
            <w:tcW w:w="2880" w:type="pct"/>
            <w:shd w:val="clear" w:color="auto" w:fill="CFF0FC"/>
            <w:tcMar>
              <w:top w:w="15" w:type="dxa"/>
              <w:right w:w="15" w:type="dxa"/>
            </w:tcMar>
          </w:tcPr>
          <w:p w14:paraId="3973DA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income taxes</w:t>
            </w:r>
          </w:p>
        </w:tc>
        <w:tc>
          <w:tcPr>
            <w:tcW w:w="67" w:type="pct"/>
            <w:shd w:val="clear" w:color="auto" w:fill="CFF0FC"/>
            <w:tcMar>
              <w:top w:w="15" w:type="dxa"/>
              <w:right w:w="15" w:type="dxa"/>
            </w:tcMar>
            <w:vAlign w:val="bottom"/>
          </w:tcPr>
          <w:p w14:paraId="3973DAA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A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7,649</w:t>
            </w:r>
          </w:p>
        </w:tc>
        <w:tc>
          <w:tcPr>
            <w:tcW w:w="50" w:type="pct"/>
            <w:shd w:val="clear" w:color="auto" w:fill="CFF0FC"/>
            <w:noWrap/>
            <w:tcMar>
              <w:top w:w="15" w:type="dxa"/>
              <w:right w:w="15" w:type="dxa"/>
            </w:tcMar>
            <w:vAlign w:val="bottom"/>
          </w:tcPr>
          <w:p w14:paraId="3973DA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A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B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12,999</w:t>
            </w:r>
          </w:p>
        </w:tc>
        <w:tc>
          <w:tcPr>
            <w:tcW w:w="50" w:type="pct"/>
            <w:shd w:val="clear" w:color="auto" w:fill="CFF0FC"/>
            <w:noWrap/>
            <w:tcMar>
              <w:top w:w="15" w:type="dxa"/>
              <w:right w:w="15" w:type="dxa"/>
            </w:tcMar>
            <w:vAlign w:val="bottom"/>
          </w:tcPr>
          <w:p w14:paraId="3973DA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A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3973DAB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12,063</w:t>
            </w:r>
          </w:p>
        </w:tc>
        <w:tc>
          <w:tcPr>
            <w:tcW w:w="50" w:type="pct"/>
            <w:shd w:val="clear" w:color="auto" w:fill="CFF0FC"/>
            <w:noWrap/>
            <w:tcMar>
              <w:top w:w="15" w:type="dxa"/>
              <w:right w:w="15" w:type="dxa"/>
            </w:tcMar>
            <w:vAlign w:val="bottom"/>
          </w:tcPr>
          <w:p w14:paraId="3973DA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C5" w14:textId="77777777">
        <w:tc>
          <w:tcPr>
            <w:tcW w:w="2880" w:type="pct"/>
            <w:shd w:val="clear" w:color="auto" w:fill="FFFFFF"/>
            <w:tcMar>
              <w:top w:w="15" w:type="dxa"/>
              <w:right w:w="15" w:type="dxa"/>
            </w:tcMar>
          </w:tcPr>
          <w:p w14:paraId="3973DA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benefit from income taxes</w:t>
            </w:r>
          </w:p>
        </w:tc>
        <w:tc>
          <w:tcPr>
            <w:tcW w:w="67" w:type="pct"/>
            <w:shd w:val="clear" w:color="auto" w:fill="FFFFFF"/>
            <w:tcMar>
              <w:top w:w="15" w:type="dxa"/>
              <w:right w:w="15" w:type="dxa"/>
            </w:tcMar>
            <w:vAlign w:val="bottom"/>
          </w:tcPr>
          <w:p w14:paraId="3973DA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B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(932</w:t>
            </w:r>
          </w:p>
        </w:tc>
        <w:tc>
          <w:tcPr>
            <w:tcW w:w="50" w:type="pct"/>
            <w:shd w:val="clear" w:color="auto" w:fill="FFFFFF"/>
            <w:noWrap/>
            <w:tcMar>
              <w:top w:w="15" w:type="dxa"/>
              <w:right w:w="15" w:type="dxa"/>
            </w:tcMar>
            <w:vAlign w:val="bottom"/>
          </w:tcPr>
          <w:p w14:paraId="3973DA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3973DA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B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747</w:t>
            </w:r>
          </w:p>
        </w:tc>
        <w:tc>
          <w:tcPr>
            <w:tcW w:w="50" w:type="pct"/>
            <w:shd w:val="clear" w:color="auto" w:fill="FFFFFF"/>
            <w:noWrap/>
            <w:tcMar>
              <w:top w:w="15" w:type="dxa"/>
              <w:right w:w="15" w:type="dxa"/>
            </w:tcMar>
            <w:vAlign w:val="bottom"/>
          </w:tcPr>
          <w:p w14:paraId="3973DA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C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DA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3973DAC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(1,928</w:t>
            </w:r>
          </w:p>
        </w:tc>
        <w:tc>
          <w:tcPr>
            <w:tcW w:w="50" w:type="pct"/>
            <w:shd w:val="clear" w:color="auto" w:fill="FFFFFF"/>
            <w:noWrap/>
            <w:tcMar>
              <w:top w:w="15" w:type="dxa"/>
              <w:right w:w="15" w:type="dxa"/>
            </w:tcMar>
            <w:vAlign w:val="bottom"/>
          </w:tcPr>
          <w:p w14:paraId="3973DA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DAD3" w14:textId="77777777">
        <w:tc>
          <w:tcPr>
            <w:tcW w:w="2880" w:type="pct"/>
            <w:shd w:val="clear" w:color="auto" w:fill="CFF0FC"/>
            <w:tcMar>
              <w:top w:w="15" w:type="dxa"/>
              <w:right w:w="15" w:type="dxa"/>
            </w:tcMar>
          </w:tcPr>
          <w:p w14:paraId="3973DA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7" w:type="pct"/>
            <w:shd w:val="clear" w:color="auto" w:fill="CFF0FC"/>
            <w:tcMar>
              <w:top w:w="15" w:type="dxa"/>
              <w:right w:w="15" w:type="dxa"/>
            </w:tcMar>
            <w:vAlign w:val="bottom"/>
          </w:tcPr>
          <w:p w14:paraId="3973DA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A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3973DAC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6,717</w:t>
            </w:r>
          </w:p>
        </w:tc>
        <w:tc>
          <w:tcPr>
            <w:tcW w:w="50" w:type="pct"/>
            <w:shd w:val="clear" w:color="auto" w:fill="CFF0FC"/>
            <w:noWrap/>
            <w:tcMar>
              <w:top w:w="15" w:type="dxa"/>
              <w:right w:w="15" w:type="dxa"/>
            </w:tcMar>
            <w:vAlign w:val="bottom"/>
          </w:tcPr>
          <w:p w14:paraId="3973DAC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C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A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3973DAC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13,746</w:t>
            </w:r>
          </w:p>
        </w:tc>
        <w:tc>
          <w:tcPr>
            <w:tcW w:w="50" w:type="pct"/>
            <w:shd w:val="clear" w:color="auto" w:fill="CFF0FC"/>
            <w:noWrap/>
            <w:tcMar>
              <w:top w:w="15" w:type="dxa"/>
              <w:right w:w="15" w:type="dxa"/>
            </w:tcMar>
            <w:vAlign w:val="bottom"/>
          </w:tcPr>
          <w:p w14:paraId="3973DA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C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DA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3973DAD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10,135</w:t>
            </w:r>
          </w:p>
        </w:tc>
        <w:tc>
          <w:tcPr>
            <w:tcW w:w="50" w:type="pct"/>
            <w:shd w:val="clear" w:color="auto" w:fill="CFF0FC"/>
            <w:noWrap/>
            <w:tcMar>
              <w:top w:w="15" w:type="dxa"/>
              <w:right w:w="15" w:type="dxa"/>
            </w:tcMar>
            <w:vAlign w:val="bottom"/>
          </w:tcPr>
          <w:p w14:paraId="3973DA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E1" w14:textId="77777777">
        <w:tc>
          <w:tcPr>
            <w:tcW w:w="2880" w:type="pct"/>
            <w:shd w:val="clear" w:color="auto" w:fill="FFFFFF"/>
            <w:tcMar>
              <w:top w:w="15" w:type="dxa"/>
              <w:right w:w="15" w:type="dxa"/>
            </w:tcMar>
          </w:tcPr>
          <w:p w14:paraId="3973DAD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7" w:type="pct"/>
            <w:shd w:val="clear" w:color="auto" w:fill="FFFFFF"/>
            <w:tcMar>
              <w:top w:w="15" w:type="dxa"/>
              <w:right w:w="15" w:type="dxa"/>
            </w:tcMar>
            <w:vAlign w:val="bottom"/>
          </w:tcPr>
          <w:p w14:paraId="3973DA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3973DA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3973DAD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A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3973DAD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D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3973DAD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3973DAD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A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EF" w14:textId="77777777">
        <w:tc>
          <w:tcPr>
            <w:tcW w:w="2880" w:type="pct"/>
            <w:shd w:val="clear" w:color="auto" w:fill="CFF0FC"/>
            <w:tcMar>
              <w:top w:w="15" w:type="dxa"/>
              <w:right w:w="15" w:type="dxa"/>
            </w:tcMar>
          </w:tcPr>
          <w:p w14:paraId="3973DAE2"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CFF0FC"/>
            <w:tcMar>
              <w:top w:w="15" w:type="dxa"/>
              <w:right w:w="15" w:type="dxa"/>
            </w:tcMar>
            <w:vAlign w:val="bottom"/>
          </w:tcPr>
          <w:p w14:paraId="3973DA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3973DA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3973DAE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CFF0FC"/>
            <w:noWrap/>
            <w:tcMar>
              <w:top w:w="15" w:type="dxa"/>
              <w:right w:w="15" w:type="dxa"/>
            </w:tcMar>
            <w:vAlign w:val="bottom"/>
          </w:tcPr>
          <w:p w14:paraId="3973DA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3973DA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3973DAE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4.67</w:t>
            </w:r>
          </w:p>
        </w:tc>
        <w:tc>
          <w:tcPr>
            <w:tcW w:w="50" w:type="pct"/>
            <w:shd w:val="clear" w:color="auto" w:fill="CFF0FC"/>
            <w:noWrap/>
            <w:tcMar>
              <w:top w:w="15" w:type="dxa"/>
              <w:right w:w="15" w:type="dxa"/>
            </w:tcMar>
            <w:vAlign w:val="bottom"/>
          </w:tcPr>
          <w:p w14:paraId="3973DAE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A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3973DAE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3973DAE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right w:w="15" w:type="dxa"/>
            </w:tcMar>
            <w:vAlign w:val="bottom"/>
          </w:tcPr>
          <w:p w14:paraId="3973DA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AFD" w14:textId="77777777">
        <w:tc>
          <w:tcPr>
            <w:tcW w:w="2880" w:type="pct"/>
            <w:shd w:val="clear" w:color="auto" w:fill="FFFFFF"/>
            <w:tcMar>
              <w:top w:w="15" w:type="dxa"/>
              <w:right w:w="15" w:type="dxa"/>
            </w:tcMar>
          </w:tcPr>
          <w:p w14:paraId="3973DAF0"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FFFFFF"/>
            <w:tcMar>
              <w:top w:w="15" w:type="dxa"/>
              <w:right w:w="15" w:type="dxa"/>
            </w:tcMar>
            <w:vAlign w:val="bottom"/>
          </w:tcPr>
          <w:p w14:paraId="3973DA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DA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3973DAF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2.41</w:t>
            </w:r>
          </w:p>
        </w:tc>
        <w:tc>
          <w:tcPr>
            <w:tcW w:w="50" w:type="pct"/>
            <w:shd w:val="clear" w:color="auto" w:fill="FFFFFF"/>
            <w:noWrap/>
            <w:tcMar>
              <w:top w:w="15" w:type="dxa"/>
              <w:right w:w="15" w:type="dxa"/>
            </w:tcMar>
            <w:vAlign w:val="bottom"/>
          </w:tcPr>
          <w:p w14:paraId="3973DAF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F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DAF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3973DAF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4.55</w:t>
            </w:r>
          </w:p>
        </w:tc>
        <w:tc>
          <w:tcPr>
            <w:tcW w:w="50" w:type="pct"/>
            <w:shd w:val="clear" w:color="auto" w:fill="FFFFFF"/>
            <w:noWrap/>
            <w:tcMar>
              <w:top w:w="15" w:type="dxa"/>
              <w:right w:w="15" w:type="dxa"/>
            </w:tcMar>
            <w:vAlign w:val="bottom"/>
          </w:tcPr>
          <w:p w14:paraId="3973DAF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AF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DA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3973DAF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FFFFFF"/>
            <w:noWrap/>
            <w:tcMar>
              <w:top w:w="15" w:type="dxa"/>
              <w:right w:w="15" w:type="dxa"/>
            </w:tcMar>
            <w:vAlign w:val="bottom"/>
          </w:tcPr>
          <w:p w14:paraId="3973DA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B0B" w14:textId="77777777">
        <w:tc>
          <w:tcPr>
            <w:tcW w:w="2880" w:type="pct"/>
            <w:shd w:val="clear" w:color="auto" w:fill="CFF0FC"/>
            <w:tcMar>
              <w:top w:w="15" w:type="dxa"/>
              <w:right w:w="15" w:type="dxa"/>
            </w:tcMar>
          </w:tcPr>
          <w:p w14:paraId="3973DA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7" w:type="pct"/>
            <w:shd w:val="clear" w:color="auto" w:fill="CFF0FC"/>
            <w:tcMar>
              <w:top w:w="15" w:type="dxa"/>
              <w:right w:w="15" w:type="dxa"/>
            </w:tcMar>
            <w:vAlign w:val="bottom"/>
          </w:tcPr>
          <w:p w14:paraId="3973DA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3973DB0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3973DB0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B0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B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3973DB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3973DB0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B0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B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3973DB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3973DB0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B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B19" w14:textId="77777777">
        <w:tc>
          <w:tcPr>
            <w:tcW w:w="2880" w:type="pct"/>
            <w:shd w:val="clear" w:color="auto" w:fill="FFFFFF"/>
            <w:tcMar>
              <w:top w:w="15" w:type="dxa"/>
              <w:right w:w="15" w:type="dxa"/>
            </w:tcMar>
          </w:tcPr>
          <w:p w14:paraId="3973DB0C"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FFFFFF"/>
            <w:tcMar>
              <w:top w:w="15" w:type="dxa"/>
              <w:right w:w="15" w:type="dxa"/>
            </w:tcMar>
            <w:vAlign w:val="bottom"/>
          </w:tcPr>
          <w:p w14:paraId="3973DB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DB0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3973DB0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2,700</w:t>
            </w:r>
          </w:p>
        </w:tc>
        <w:tc>
          <w:tcPr>
            <w:tcW w:w="50" w:type="pct"/>
            <w:shd w:val="clear" w:color="auto" w:fill="FFFFFF"/>
            <w:noWrap/>
            <w:tcMar>
              <w:top w:w="15" w:type="dxa"/>
              <w:right w:w="15" w:type="dxa"/>
            </w:tcMar>
            <w:vAlign w:val="bottom"/>
          </w:tcPr>
          <w:p w14:paraId="3973DB1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B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3973DB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3973DB1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2,945</w:t>
            </w:r>
          </w:p>
        </w:tc>
        <w:tc>
          <w:tcPr>
            <w:tcW w:w="50" w:type="pct"/>
            <w:shd w:val="clear" w:color="auto" w:fill="FFFFFF"/>
            <w:noWrap/>
            <w:tcMar>
              <w:top w:w="15" w:type="dxa"/>
              <w:right w:w="15" w:type="dxa"/>
            </w:tcMar>
            <w:vAlign w:val="bottom"/>
          </w:tcPr>
          <w:p w14:paraId="3973DB1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3973DB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3973DB1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3973DB1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3,211</w:t>
            </w:r>
          </w:p>
        </w:tc>
        <w:tc>
          <w:tcPr>
            <w:tcW w:w="50" w:type="pct"/>
            <w:shd w:val="clear" w:color="auto" w:fill="FFFFFF"/>
            <w:noWrap/>
            <w:tcMar>
              <w:top w:w="15" w:type="dxa"/>
              <w:right w:w="15" w:type="dxa"/>
            </w:tcMar>
            <w:vAlign w:val="bottom"/>
          </w:tcPr>
          <w:p w14:paraId="3973DB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DB27" w14:textId="77777777">
        <w:tc>
          <w:tcPr>
            <w:tcW w:w="2880" w:type="pct"/>
            <w:shd w:val="clear" w:color="auto" w:fill="CFF0FC"/>
            <w:tcMar>
              <w:top w:w="15" w:type="dxa"/>
              <w:right w:w="15" w:type="dxa"/>
            </w:tcMar>
          </w:tcPr>
          <w:p w14:paraId="3973DB1A"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CFF0FC"/>
            <w:tcMar>
              <w:top w:w="15" w:type="dxa"/>
              <w:right w:w="15" w:type="dxa"/>
            </w:tcMar>
            <w:vAlign w:val="bottom"/>
          </w:tcPr>
          <w:p w14:paraId="3973DB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DB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3973DB1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2,786</w:t>
            </w:r>
          </w:p>
        </w:tc>
        <w:tc>
          <w:tcPr>
            <w:tcW w:w="50" w:type="pct"/>
            <w:shd w:val="clear" w:color="auto" w:fill="CFF0FC"/>
            <w:noWrap/>
            <w:tcMar>
              <w:top w:w="15" w:type="dxa"/>
              <w:right w:w="15" w:type="dxa"/>
            </w:tcMar>
            <w:vAlign w:val="bottom"/>
          </w:tcPr>
          <w:p w14:paraId="3973DB1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B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DB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3973DB2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3,022</w:t>
            </w:r>
          </w:p>
        </w:tc>
        <w:tc>
          <w:tcPr>
            <w:tcW w:w="50" w:type="pct"/>
            <w:shd w:val="clear" w:color="auto" w:fill="CFF0FC"/>
            <w:noWrap/>
            <w:tcMar>
              <w:top w:w="15" w:type="dxa"/>
              <w:right w:w="15" w:type="dxa"/>
            </w:tcMar>
            <w:vAlign w:val="bottom"/>
          </w:tcPr>
          <w:p w14:paraId="3973DB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3973DB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DB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3973DB2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3,294</w:t>
            </w:r>
          </w:p>
        </w:tc>
        <w:tc>
          <w:tcPr>
            <w:tcW w:w="50" w:type="pct"/>
            <w:shd w:val="clear" w:color="auto" w:fill="CFF0FC"/>
            <w:noWrap/>
            <w:tcMar>
              <w:top w:w="15" w:type="dxa"/>
              <w:right w:w="15" w:type="dxa"/>
            </w:tcMar>
            <w:vAlign w:val="bottom"/>
          </w:tcPr>
          <w:p w14:paraId="3973DB2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B28" w14:textId="77777777" w:rsidR="007B027D" w:rsidRDefault="008E0125">
      <w:pPr>
        <w:pStyle w:val="a3"/>
        <w:pBdr>
          <w:bottom w:val="single" w:sz="8"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DB2B" w14:textId="77777777">
        <w:tc>
          <w:tcPr>
            <w:tcW w:w="262" w:type="pct"/>
            <w:shd w:val="clear" w:color="auto" w:fill="auto"/>
            <w:noWrap/>
          </w:tcPr>
          <w:p w14:paraId="3973DB29" w14:textId="77777777" w:rsidR="007B027D" w:rsidRDefault="008E0125">
            <w:pPr>
              <w:pStyle w:val="a3"/>
              <w:spacing w:before="40" w:beforeAutospacing="0" w:afterAutospacing="0"/>
              <w:jc w:val="both"/>
              <w:rPr>
                <w:rFonts w:ascii="Calibri" w:hAnsi="Calibri" w:cs="Calibri"/>
                <w:color w:val="000000"/>
                <w:sz w:val="15"/>
                <w:szCs w:val="15"/>
              </w:rPr>
            </w:pPr>
            <w:r>
              <w:rPr>
                <w:rFonts w:ascii="Calibri" w:hAnsi="Calibri" w:cs="Calibri"/>
                <w:color w:val="000000"/>
                <w:sz w:val="12"/>
                <w:szCs w:val="12"/>
              </w:rPr>
              <w:t>(1)</w:t>
            </w:r>
          </w:p>
        </w:tc>
        <w:tc>
          <w:tcPr>
            <w:tcW w:w="0" w:type="auto"/>
            <w:shd w:val="clear" w:color="auto" w:fill="auto"/>
          </w:tcPr>
          <w:p w14:paraId="3973DB2A" w14:textId="77777777" w:rsidR="007B027D" w:rsidRDefault="008E0125">
            <w:pPr>
              <w:pStyle w:val="a3"/>
              <w:spacing w:before="40" w:beforeAutospacing="0" w:afterAutospacing="0"/>
              <w:jc w:val="both"/>
              <w:rPr>
                <w:rFonts w:ascii="Calibri" w:hAnsi="Calibri" w:cs="Calibri"/>
                <w:color w:val="000000"/>
                <w:sz w:val="17"/>
                <w:szCs w:val="17"/>
              </w:rPr>
            </w:pPr>
            <w:r>
              <w:rPr>
                <w:rFonts w:ascii="Calibri" w:hAnsi="Calibri" w:cs="Calibri"/>
                <w:color w:val="000000"/>
                <w:sz w:val="15"/>
                <w:szCs w:val="15"/>
              </w:rPr>
              <w:t>Exclusive of amortization of intangible assets, which is shown separately.</w:t>
            </w:r>
          </w:p>
        </w:tc>
      </w:tr>
    </w:tbl>
    <w:p w14:paraId="3973DB2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p w14:paraId="3973DB2D"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p w14:paraId="3973DB2E"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See notes to consolidated financial statements.</w:t>
      </w:r>
    </w:p>
    <w:p w14:paraId="3973DB2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67</w:t>
      </w:r>
    </w:p>
    <w:p w14:paraId="3973DB30" w14:textId="77777777" w:rsidR="007B027D" w:rsidRDefault="008E0125">
      <w:r>
        <w:rPr>
          <w:rFonts w:ascii="Calibri" w:hAnsi="Calibri" w:cs="Calibri"/>
          <w:sz w:val="20"/>
          <w:szCs w:val="20"/>
        </w:rPr>
        <w:pict w14:anchorId="3974007E">
          <v:rect id="_x0000_i1093" style="width:415.3pt;height:1.5pt" o:hralign="center" o:hrstd="t" o:hr="t" fillcolor="#a0a0a0" stroked="f"/>
        </w:pict>
      </w:r>
    </w:p>
    <w:p w14:paraId="3973DB31" w14:textId="77777777" w:rsidR="007B027D" w:rsidRDefault="008E0125">
      <w:pPr>
        <w:pStyle w:val="a3"/>
        <w:spacing w:beforeAutospacing="0" w:after="120" w:afterAutospacing="0"/>
        <w:rPr>
          <w:rFonts w:ascii="Calibri" w:hAnsi="Calibri" w:cs="Calibri"/>
          <w:sz w:val="18"/>
          <w:szCs w:val="18"/>
        </w:rPr>
      </w:pPr>
      <w:hyperlink r:id="rId170" w:anchor="TABLE_OF_CONTENTS" w:history="1">
        <w:r>
          <w:rPr>
            <w:rStyle w:val="a5"/>
            <w:rFonts w:ascii="Calibri" w:hAnsi="Calibri" w:cs="Calibri"/>
            <w:sz w:val="18"/>
            <w:szCs w:val="18"/>
          </w:rPr>
          <w:t>Table of Contents</w:t>
        </w:r>
      </w:hyperlink>
    </w:p>
    <w:p w14:paraId="3973DB32" w14:textId="77777777" w:rsidR="007B027D" w:rsidRDefault="008E0125">
      <w:pPr>
        <w:pStyle w:val="a3"/>
        <w:spacing w:beforeAutospacing="0" w:afterAutospacing="0"/>
        <w:rPr>
          <w:rFonts w:ascii="Calibri" w:hAnsi="Calibri" w:cs="Calibri"/>
          <w:sz w:val="18"/>
          <w:szCs w:val="18"/>
        </w:rPr>
      </w:pPr>
      <w:hyperlink r:id="rId171" w:anchor="ITEM_15_EXHIBITS_FINANCIAL_STATEMENT_SCH" w:history="1">
        <w:r>
          <w:rPr>
            <w:rStyle w:val="a5"/>
            <w:rFonts w:ascii="Calibri" w:hAnsi="Calibri" w:cs="Calibri"/>
            <w:sz w:val="18"/>
            <w:szCs w:val="18"/>
          </w:rPr>
          <w:t>Index to Financial Statements</w:t>
        </w:r>
      </w:hyperlink>
    </w:p>
    <w:p w14:paraId="3973DB33"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B34"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DB35"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COMPREHENSIVE INCOME</w:t>
      </w:r>
    </w:p>
    <w:p w14:paraId="3973DB36"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2022, 2021 and 2020</w:t>
      </w:r>
    </w:p>
    <w:p w14:paraId="3973DB3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47"/>
        <w:gridCol w:w="89"/>
        <w:gridCol w:w="117"/>
        <w:gridCol w:w="841"/>
        <w:gridCol w:w="76"/>
        <w:gridCol w:w="87"/>
        <w:gridCol w:w="117"/>
        <w:gridCol w:w="842"/>
        <w:gridCol w:w="76"/>
        <w:gridCol w:w="87"/>
        <w:gridCol w:w="117"/>
        <w:gridCol w:w="849"/>
        <w:gridCol w:w="76"/>
      </w:tblGrid>
      <w:tr w:rsidR="007B027D" w14:paraId="3973DB3C" w14:textId="77777777">
        <w:tc>
          <w:tcPr>
            <w:tcW w:w="2978" w:type="pct"/>
            <w:shd w:val="clear" w:color="auto" w:fill="FFFFFF"/>
            <w:tcMar>
              <w:top w:w="15" w:type="dxa"/>
              <w:right w:w="15" w:type="dxa"/>
            </w:tcMar>
            <w:vAlign w:val="bottom"/>
          </w:tcPr>
          <w:p w14:paraId="3973DB38"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3973DB3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10" w:type="pct"/>
            <w:gridSpan w:val="10"/>
            <w:tcBorders>
              <w:bottom w:val="single" w:sz="6" w:space="0" w:color="000000"/>
            </w:tcBorders>
            <w:shd w:val="clear" w:color="auto" w:fill="FFFFFF"/>
            <w:tcMar>
              <w:top w:w="15" w:type="dxa"/>
              <w:right w:w="15" w:type="dxa"/>
            </w:tcMar>
            <w:vAlign w:val="bottom"/>
          </w:tcPr>
          <w:p w14:paraId="3973DB3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B3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B47" w14:textId="77777777">
        <w:tc>
          <w:tcPr>
            <w:tcW w:w="2978" w:type="pct"/>
            <w:tcBorders>
              <w:bottom w:val="single" w:sz="6" w:space="0" w:color="000000"/>
            </w:tcBorders>
            <w:shd w:val="clear" w:color="auto" w:fill="FFFFFF"/>
            <w:tcMar>
              <w:top w:w="15" w:type="dxa"/>
              <w:right w:w="15" w:type="dxa"/>
            </w:tcMar>
            <w:vAlign w:val="bottom"/>
          </w:tcPr>
          <w:p w14:paraId="3973DB3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3973DB3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2" w:type="pct"/>
            <w:gridSpan w:val="2"/>
            <w:tcBorders>
              <w:top w:val="single" w:sz="6" w:space="0" w:color="000000"/>
              <w:bottom w:val="single" w:sz="6" w:space="0" w:color="000000"/>
            </w:tcBorders>
            <w:shd w:val="clear" w:color="auto" w:fill="FFFFFF"/>
            <w:tcMar>
              <w:top w:w="15" w:type="dxa"/>
              <w:right w:w="15" w:type="dxa"/>
            </w:tcMar>
            <w:vAlign w:val="bottom"/>
          </w:tcPr>
          <w:p w14:paraId="3973DB3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B4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3973DB4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2" w:type="pct"/>
            <w:gridSpan w:val="2"/>
            <w:tcBorders>
              <w:top w:val="single" w:sz="6" w:space="0" w:color="000000"/>
              <w:bottom w:val="single" w:sz="6" w:space="0" w:color="000000"/>
            </w:tcBorders>
            <w:shd w:val="clear" w:color="auto" w:fill="FFFFFF"/>
            <w:tcMar>
              <w:top w:w="15" w:type="dxa"/>
              <w:right w:w="15" w:type="dxa"/>
            </w:tcMar>
            <w:vAlign w:val="bottom"/>
          </w:tcPr>
          <w:p w14:paraId="3973DB4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B4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3973DB4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2" w:type="pct"/>
            <w:gridSpan w:val="2"/>
            <w:tcBorders>
              <w:top w:val="single" w:sz="6" w:space="0" w:color="000000"/>
              <w:bottom w:val="single" w:sz="6" w:space="0" w:color="000000"/>
            </w:tcBorders>
            <w:shd w:val="clear" w:color="auto" w:fill="FFFFFF"/>
            <w:tcMar>
              <w:top w:w="15" w:type="dxa"/>
              <w:right w:w="15" w:type="dxa"/>
            </w:tcMar>
            <w:vAlign w:val="bottom"/>
          </w:tcPr>
          <w:p w14:paraId="3973DB4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DB4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B55" w14:textId="77777777">
        <w:tc>
          <w:tcPr>
            <w:tcW w:w="2978" w:type="pct"/>
            <w:tcBorders>
              <w:top w:val="single" w:sz="6" w:space="0" w:color="000000"/>
            </w:tcBorders>
            <w:shd w:val="clear" w:color="auto" w:fill="CFF0FC"/>
            <w:tcMar>
              <w:top w:w="15" w:type="dxa"/>
              <w:right w:w="15" w:type="dxa"/>
            </w:tcMar>
          </w:tcPr>
          <w:p w14:paraId="3973DB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60" w:type="pct"/>
            <w:shd w:val="clear" w:color="auto" w:fill="CFF0FC"/>
            <w:tcMar>
              <w:top w:w="15" w:type="dxa"/>
              <w:right w:w="15" w:type="dxa"/>
            </w:tcMar>
            <w:vAlign w:val="bottom"/>
          </w:tcPr>
          <w:p w14:paraId="3973DB4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DB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tcBorders>
            <w:shd w:val="clear" w:color="auto" w:fill="CFF0FC"/>
            <w:noWrap/>
            <w:tcMar>
              <w:top w:w="15" w:type="dxa"/>
              <w:right w:w="15" w:type="dxa"/>
            </w:tcMar>
            <w:vAlign w:val="bottom"/>
          </w:tcPr>
          <w:p w14:paraId="3973DB4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6,717</w:t>
            </w:r>
          </w:p>
        </w:tc>
        <w:tc>
          <w:tcPr>
            <w:tcW w:w="50" w:type="pct"/>
            <w:shd w:val="clear" w:color="auto" w:fill="CFF0FC"/>
            <w:noWrap/>
            <w:tcMar>
              <w:top w:w="15" w:type="dxa"/>
              <w:right w:w="15" w:type="dxa"/>
            </w:tcMar>
            <w:vAlign w:val="bottom"/>
          </w:tcPr>
          <w:p w14:paraId="3973DB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DB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B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tcBorders>
            <w:shd w:val="clear" w:color="auto" w:fill="CFF0FC"/>
            <w:noWrap/>
            <w:tcMar>
              <w:top w:w="15" w:type="dxa"/>
              <w:right w:w="15" w:type="dxa"/>
            </w:tcMar>
            <w:vAlign w:val="bottom"/>
          </w:tcPr>
          <w:p w14:paraId="3973DB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13,746</w:t>
            </w:r>
          </w:p>
        </w:tc>
        <w:tc>
          <w:tcPr>
            <w:tcW w:w="50" w:type="pct"/>
            <w:shd w:val="clear" w:color="auto" w:fill="CFF0FC"/>
            <w:noWrap/>
            <w:tcMar>
              <w:top w:w="15" w:type="dxa"/>
              <w:right w:w="15" w:type="dxa"/>
            </w:tcMar>
            <w:vAlign w:val="bottom"/>
          </w:tcPr>
          <w:p w14:paraId="3973DB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DB5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DB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tcBorders>
            <w:shd w:val="clear" w:color="auto" w:fill="CFF0FC"/>
            <w:noWrap/>
            <w:tcMar>
              <w:top w:w="15" w:type="dxa"/>
              <w:right w:w="15" w:type="dxa"/>
            </w:tcMar>
            <w:vAlign w:val="bottom"/>
          </w:tcPr>
          <w:p w14:paraId="3973DB5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10,135</w:t>
            </w:r>
          </w:p>
        </w:tc>
        <w:tc>
          <w:tcPr>
            <w:tcW w:w="50" w:type="pct"/>
            <w:shd w:val="clear" w:color="auto" w:fill="CFF0FC"/>
            <w:noWrap/>
            <w:tcMar>
              <w:top w:w="15" w:type="dxa"/>
              <w:right w:w="15" w:type="dxa"/>
            </w:tcMar>
            <w:vAlign w:val="bottom"/>
          </w:tcPr>
          <w:p w14:paraId="3973DB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B63" w14:textId="77777777">
        <w:tc>
          <w:tcPr>
            <w:tcW w:w="2978" w:type="pct"/>
            <w:shd w:val="clear" w:color="auto" w:fill="FFFFFF"/>
            <w:tcMar>
              <w:top w:w="15" w:type="dxa"/>
              <w:right w:w="15" w:type="dxa"/>
            </w:tcMar>
          </w:tcPr>
          <w:p w14:paraId="3973DB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comprehensive (loss) income, net of tax:</w:t>
            </w:r>
          </w:p>
        </w:tc>
        <w:tc>
          <w:tcPr>
            <w:tcW w:w="60" w:type="pct"/>
            <w:shd w:val="clear" w:color="auto" w:fill="FFFFFF"/>
            <w:tcMar>
              <w:top w:w="15" w:type="dxa"/>
              <w:right w:w="15" w:type="dxa"/>
            </w:tcMar>
            <w:vAlign w:val="bottom"/>
          </w:tcPr>
          <w:p w14:paraId="3973DB5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DB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6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B71" w14:textId="77777777">
        <w:tc>
          <w:tcPr>
            <w:tcW w:w="2978" w:type="pct"/>
            <w:shd w:val="clear" w:color="auto" w:fill="CFF0FC"/>
            <w:tcMar>
              <w:top w:w="15" w:type="dxa"/>
              <w:right w:w="15" w:type="dxa"/>
            </w:tcMar>
          </w:tcPr>
          <w:p w14:paraId="3973DB64"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foreign currency translation (losses) gains</w:t>
            </w:r>
          </w:p>
        </w:tc>
        <w:tc>
          <w:tcPr>
            <w:tcW w:w="60" w:type="pct"/>
            <w:shd w:val="clear" w:color="auto" w:fill="CFF0FC"/>
            <w:tcMar>
              <w:top w:w="15" w:type="dxa"/>
              <w:right w:w="15" w:type="dxa"/>
            </w:tcMar>
            <w:vAlign w:val="bottom"/>
          </w:tcPr>
          <w:p w14:paraId="3973DB6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DB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6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(707</w:t>
            </w:r>
          </w:p>
        </w:tc>
        <w:tc>
          <w:tcPr>
            <w:tcW w:w="50" w:type="pct"/>
            <w:shd w:val="clear" w:color="auto" w:fill="CFF0FC"/>
            <w:noWrap/>
            <w:tcMar>
              <w:top w:w="15" w:type="dxa"/>
              <w:right w:w="15" w:type="dxa"/>
            </w:tcMar>
            <w:vAlign w:val="bottom"/>
          </w:tcPr>
          <w:p w14:paraId="3973DB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3973DB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B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6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CFF0FC"/>
            <w:noWrap/>
            <w:tcMar>
              <w:top w:w="15" w:type="dxa"/>
              <w:right w:w="15" w:type="dxa"/>
            </w:tcMar>
            <w:vAlign w:val="bottom"/>
          </w:tcPr>
          <w:p w14:paraId="3973DB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DB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B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6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right w:w="15" w:type="dxa"/>
            </w:tcMar>
            <w:vAlign w:val="bottom"/>
          </w:tcPr>
          <w:p w14:paraId="3973DB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B7F" w14:textId="77777777">
        <w:tc>
          <w:tcPr>
            <w:tcW w:w="2978" w:type="pct"/>
            <w:shd w:val="clear" w:color="auto" w:fill="FFFFFF"/>
            <w:tcMar>
              <w:top w:w="15" w:type="dxa"/>
              <w:right w:w="15" w:type="dxa"/>
            </w:tcMar>
          </w:tcPr>
          <w:p w14:paraId="3973DB72"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Net unrealized gains </w:t>
            </w:r>
            <w:r>
              <w:rPr>
                <w:rFonts w:ascii="Calibri" w:hAnsi="Calibri" w:cs="Calibri"/>
                <w:color w:val="000000"/>
                <w:sz w:val="20"/>
                <w:szCs w:val="20"/>
              </w:rPr>
              <w:t>(losses) on defined benefit plans</w:t>
            </w:r>
          </w:p>
        </w:tc>
        <w:tc>
          <w:tcPr>
            <w:tcW w:w="60" w:type="pct"/>
            <w:shd w:val="clear" w:color="auto" w:fill="FFFFFF"/>
            <w:tcMar>
              <w:top w:w="15" w:type="dxa"/>
              <w:right w:w="15" w:type="dxa"/>
            </w:tcMar>
            <w:vAlign w:val="bottom"/>
          </w:tcPr>
          <w:p w14:paraId="3973DB7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DB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7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FFFFFF"/>
            <w:noWrap/>
            <w:tcMar>
              <w:top w:w="15" w:type="dxa"/>
              <w:right w:w="15" w:type="dxa"/>
            </w:tcMar>
            <w:vAlign w:val="bottom"/>
          </w:tcPr>
          <w:p w14:paraId="3973DB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3973DB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DB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FFFFFF"/>
            <w:noWrap/>
            <w:tcMar>
              <w:top w:w="15" w:type="dxa"/>
              <w:right w:w="15" w:type="dxa"/>
            </w:tcMar>
            <w:vAlign w:val="bottom"/>
          </w:tcPr>
          <w:p w14:paraId="3973DB7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FFFFFF"/>
            <w:noWrap/>
            <w:tcMar>
              <w:top w:w="15" w:type="dxa"/>
              <w:right w:w="15" w:type="dxa"/>
            </w:tcMar>
            <w:vAlign w:val="bottom"/>
          </w:tcPr>
          <w:p w14:paraId="3973DB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B8D" w14:textId="77777777">
        <w:tc>
          <w:tcPr>
            <w:tcW w:w="2978" w:type="pct"/>
            <w:shd w:val="clear" w:color="auto" w:fill="CFF0FC"/>
            <w:tcMar>
              <w:top w:w="15" w:type="dxa"/>
              <w:right w:w="15" w:type="dxa"/>
            </w:tcMar>
          </w:tcPr>
          <w:p w14:paraId="3973DB80"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unrealized (losses) gains on marketable securities</w:t>
            </w:r>
          </w:p>
        </w:tc>
        <w:tc>
          <w:tcPr>
            <w:tcW w:w="60" w:type="pct"/>
            <w:shd w:val="clear" w:color="auto" w:fill="CFF0FC"/>
            <w:tcMar>
              <w:top w:w="15" w:type="dxa"/>
              <w:right w:w="15" w:type="dxa"/>
            </w:tcMar>
            <w:vAlign w:val="bottom"/>
          </w:tcPr>
          <w:p w14:paraId="3973DB8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DB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8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DB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DB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B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8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3973DB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3973DB8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DB8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shd w:val="clear" w:color="auto" w:fill="CFF0FC"/>
            <w:noWrap/>
            <w:tcMar>
              <w:top w:w="15" w:type="dxa"/>
              <w:right w:w="15" w:type="dxa"/>
            </w:tcMar>
            <w:vAlign w:val="bottom"/>
          </w:tcPr>
          <w:p w14:paraId="3973DB8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3973DB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DB9B" w14:textId="77777777">
        <w:tc>
          <w:tcPr>
            <w:tcW w:w="2978" w:type="pct"/>
            <w:shd w:val="clear" w:color="auto" w:fill="FFFFFF"/>
            <w:tcMar>
              <w:top w:w="15" w:type="dxa"/>
              <w:right w:w="15" w:type="dxa"/>
            </w:tcMar>
          </w:tcPr>
          <w:p w14:paraId="3973DB8E"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unrealized losses on cash flow hedges</w:t>
            </w:r>
          </w:p>
        </w:tc>
        <w:tc>
          <w:tcPr>
            <w:tcW w:w="60" w:type="pct"/>
            <w:shd w:val="clear" w:color="auto" w:fill="FFFFFF"/>
            <w:tcMar>
              <w:top w:w="15" w:type="dxa"/>
              <w:right w:w="15" w:type="dxa"/>
            </w:tcMar>
            <w:vAlign w:val="bottom"/>
          </w:tcPr>
          <w:p w14:paraId="3973DB8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DB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bottom w:val="single" w:sz="6" w:space="0" w:color="000000"/>
            </w:tcBorders>
            <w:shd w:val="clear" w:color="auto" w:fill="FFFFFF"/>
            <w:noWrap/>
            <w:tcMar>
              <w:top w:w="15" w:type="dxa"/>
              <w:right w:w="15" w:type="dxa"/>
            </w:tcMar>
            <w:vAlign w:val="bottom"/>
          </w:tcPr>
          <w:p w14:paraId="3973DB9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DB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B9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bottom w:val="single" w:sz="6" w:space="0" w:color="000000"/>
            </w:tcBorders>
            <w:shd w:val="clear" w:color="auto" w:fill="FFFFFF"/>
            <w:noWrap/>
            <w:tcMar>
              <w:top w:w="15" w:type="dxa"/>
              <w:right w:w="15" w:type="dxa"/>
            </w:tcMar>
            <w:vAlign w:val="bottom"/>
          </w:tcPr>
          <w:p w14:paraId="3973DB9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3973DB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3973DB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DB9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bottom w:val="single" w:sz="6" w:space="0" w:color="000000"/>
            </w:tcBorders>
            <w:shd w:val="clear" w:color="auto" w:fill="FFFFFF"/>
            <w:noWrap/>
            <w:tcMar>
              <w:top w:w="15" w:type="dxa"/>
              <w:right w:w="15" w:type="dxa"/>
            </w:tcMar>
            <w:vAlign w:val="bottom"/>
          </w:tcPr>
          <w:p w14:paraId="3973DB9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3973DB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BA9" w14:textId="77777777">
        <w:tc>
          <w:tcPr>
            <w:tcW w:w="2978" w:type="pct"/>
            <w:shd w:val="clear" w:color="auto" w:fill="CFF0FC"/>
            <w:tcMar>
              <w:top w:w="15" w:type="dxa"/>
              <w:right w:w="15" w:type="dxa"/>
            </w:tcMar>
          </w:tcPr>
          <w:p w14:paraId="3973DB9C" w14:textId="77777777" w:rsidR="007B027D" w:rsidRDefault="008E012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other comprehensive (loss) </w:t>
            </w:r>
            <w:r>
              <w:rPr>
                <w:rFonts w:ascii="Calibri" w:hAnsi="Calibri" w:cs="Calibri"/>
                <w:color w:val="000000"/>
                <w:sz w:val="20"/>
                <w:szCs w:val="20"/>
              </w:rPr>
              <w:t>income, net</w:t>
            </w:r>
          </w:p>
        </w:tc>
        <w:tc>
          <w:tcPr>
            <w:tcW w:w="60" w:type="pct"/>
            <w:shd w:val="clear" w:color="auto" w:fill="CFF0FC"/>
            <w:tcMar>
              <w:top w:w="15" w:type="dxa"/>
              <w:right w:w="15" w:type="dxa"/>
            </w:tcMar>
            <w:vAlign w:val="bottom"/>
          </w:tcPr>
          <w:p w14:paraId="3973DB9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B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top w:val="single" w:sz="6" w:space="0" w:color="000000"/>
              <w:bottom w:val="single" w:sz="6" w:space="0" w:color="000000"/>
            </w:tcBorders>
            <w:shd w:val="clear" w:color="auto" w:fill="CFF0FC"/>
            <w:noWrap/>
            <w:tcMar>
              <w:top w:w="15" w:type="dxa"/>
              <w:right w:w="15" w:type="dxa"/>
            </w:tcMar>
            <w:vAlign w:val="bottom"/>
          </w:tcPr>
          <w:p w14:paraId="3973DB9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(517</w:t>
            </w:r>
          </w:p>
        </w:tc>
        <w:tc>
          <w:tcPr>
            <w:tcW w:w="50" w:type="pct"/>
            <w:shd w:val="clear" w:color="auto" w:fill="CFF0FC"/>
            <w:noWrap/>
            <w:tcMar>
              <w:top w:w="15" w:type="dxa"/>
              <w:right w:w="15" w:type="dxa"/>
            </w:tcMar>
            <w:vAlign w:val="bottom"/>
          </w:tcPr>
          <w:p w14:paraId="3973DB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3973DB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B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top w:val="single" w:sz="6" w:space="0" w:color="000000"/>
              <w:bottom w:val="single" w:sz="6" w:space="0" w:color="000000"/>
            </w:tcBorders>
            <w:shd w:val="clear" w:color="auto" w:fill="CFF0FC"/>
            <w:noWrap/>
            <w:tcMar>
              <w:top w:w="15" w:type="dxa"/>
              <w:right w:w="15" w:type="dxa"/>
            </w:tcMar>
            <w:vAlign w:val="bottom"/>
          </w:tcPr>
          <w:p w14:paraId="3973DBA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541</w:t>
            </w:r>
          </w:p>
        </w:tc>
        <w:tc>
          <w:tcPr>
            <w:tcW w:w="50" w:type="pct"/>
            <w:shd w:val="clear" w:color="auto" w:fill="CFF0FC"/>
            <w:noWrap/>
            <w:tcMar>
              <w:top w:w="15" w:type="dxa"/>
              <w:right w:w="15" w:type="dxa"/>
            </w:tcMar>
            <w:vAlign w:val="bottom"/>
          </w:tcPr>
          <w:p w14:paraId="3973DB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DB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DB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2" w:type="pct"/>
            <w:tcBorders>
              <w:top w:val="single" w:sz="6" w:space="0" w:color="000000"/>
              <w:bottom w:val="single" w:sz="6" w:space="0" w:color="000000"/>
            </w:tcBorders>
            <w:shd w:val="clear" w:color="auto" w:fill="CFF0FC"/>
            <w:noWrap/>
            <w:tcMar>
              <w:top w:w="15" w:type="dxa"/>
              <w:right w:w="15" w:type="dxa"/>
            </w:tcMar>
            <w:vAlign w:val="bottom"/>
          </w:tcPr>
          <w:p w14:paraId="3973DBA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CFF0FC"/>
            <w:noWrap/>
            <w:tcMar>
              <w:top w:w="15" w:type="dxa"/>
              <w:right w:w="15" w:type="dxa"/>
            </w:tcMar>
            <w:vAlign w:val="bottom"/>
          </w:tcPr>
          <w:p w14:paraId="3973DB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DBB7" w14:textId="77777777">
        <w:tc>
          <w:tcPr>
            <w:tcW w:w="2978" w:type="pct"/>
            <w:shd w:val="clear" w:color="auto" w:fill="FFFFFF"/>
            <w:tcMar>
              <w:top w:w="15" w:type="dxa"/>
              <w:right w:w="15" w:type="dxa"/>
            </w:tcMar>
          </w:tcPr>
          <w:p w14:paraId="3973DB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Comprehensive income</w:t>
            </w:r>
          </w:p>
        </w:tc>
        <w:tc>
          <w:tcPr>
            <w:tcW w:w="60" w:type="pct"/>
            <w:shd w:val="clear" w:color="auto" w:fill="FFFFFF"/>
            <w:tcMar>
              <w:top w:w="15" w:type="dxa"/>
              <w:right w:w="15" w:type="dxa"/>
            </w:tcMar>
            <w:vAlign w:val="bottom"/>
          </w:tcPr>
          <w:p w14:paraId="3973DBA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B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bottom w:val="double" w:sz="6" w:space="0" w:color="000000"/>
            </w:tcBorders>
            <w:shd w:val="clear" w:color="auto" w:fill="FFFFFF"/>
            <w:noWrap/>
            <w:tcMar>
              <w:top w:w="15" w:type="dxa"/>
              <w:right w:w="15" w:type="dxa"/>
            </w:tcMar>
            <w:vAlign w:val="bottom"/>
          </w:tcPr>
          <w:p w14:paraId="3973DBA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6,200</w:t>
            </w:r>
          </w:p>
        </w:tc>
        <w:tc>
          <w:tcPr>
            <w:tcW w:w="50" w:type="pct"/>
            <w:shd w:val="clear" w:color="auto" w:fill="FFFFFF"/>
            <w:noWrap/>
            <w:tcMar>
              <w:top w:w="15" w:type="dxa"/>
              <w:right w:w="15" w:type="dxa"/>
            </w:tcMar>
            <w:vAlign w:val="bottom"/>
          </w:tcPr>
          <w:p w14:paraId="3973DBA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B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bottom w:val="double" w:sz="6" w:space="0" w:color="000000"/>
            </w:tcBorders>
            <w:shd w:val="clear" w:color="auto" w:fill="FFFFFF"/>
            <w:noWrap/>
            <w:tcMar>
              <w:top w:w="15" w:type="dxa"/>
              <w:right w:w="15" w:type="dxa"/>
            </w:tcMar>
            <w:vAlign w:val="bottom"/>
          </w:tcPr>
          <w:p w14:paraId="3973DBB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14,287</w:t>
            </w:r>
          </w:p>
        </w:tc>
        <w:tc>
          <w:tcPr>
            <w:tcW w:w="50" w:type="pct"/>
            <w:shd w:val="clear" w:color="auto" w:fill="FFFFFF"/>
            <w:noWrap/>
            <w:tcMar>
              <w:top w:w="15" w:type="dxa"/>
              <w:right w:w="15" w:type="dxa"/>
            </w:tcMar>
            <w:vAlign w:val="bottom"/>
          </w:tcPr>
          <w:p w14:paraId="3973DB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DB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DB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2" w:type="pct"/>
            <w:tcBorders>
              <w:top w:val="single" w:sz="6" w:space="0" w:color="000000"/>
              <w:bottom w:val="double" w:sz="6" w:space="0" w:color="000000"/>
            </w:tcBorders>
            <w:shd w:val="clear" w:color="auto" w:fill="FFFFFF"/>
            <w:noWrap/>
            <w:tcMar>
              <w:top w:w="15" w:type="dxa"/>
              <w:right w:w="15" w:type="dxa"/>
            </w:tcMar>
            <w:vAlign w:val="bottom"/>
          </w:tcPr>
          <w:p w14:paraId="3973DBB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10,047</w:t>
            </w:r>
          </w:p>
        </w:tc>
        <w:tc>
          <w:tcPr>
            <w:tcW w:w="50" w:type="pct"/>
            <w:shd w:val="clear" w:color="auto" w:fill="FFFFFF"/>
            <w:noWrap/>
            <w:tcMar>
              <w:top w:w="15" w:type="dxa"/>
              <w:right w:w="15" w:type="dxa"/>
            </w:tcMar>
            <w:vAlign w:val="bottom"/>
          </w:tcPr>
          <w:p w14:paraId="3973DBB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DBB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BB9"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BBA"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BBB"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See notes to consolidated financial statements.</w:t>
      </w:r>
    </w:p>
    <w:p w14:paraId="3973DBBC"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BBD" w14:textId="77777777" w:rsidR="007B027D" w:rsidRDefault="008E0125">
      <w:pPr>
        <w:pStyle w:val="a3"/>
        <w:spacing w:beforeAutospacing="0" w:afterAutospacing="0"/>
        <w:rPr>
          <w:sz w:val="10"/>
          <w:szCs w:val="10"/>
        </w:rPr>
      </w:pPr>
      <w:r>
        <w:rPr>
          <w:sz w:val="10"/>
          <w:szCs w:val="10"/>
        </w:rPr>
        <w:t> </w:t>
      </w:r>
    </w:p>
    <w:p w14:paraId="3973DBB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68</w:t>
      </w:r>
    </w:p>
    <w:p w14:paraId="3973DBBF" w14:textId="77777777" w:rsidR="007B027D" w:rsidRDefault="008E0125">
      <w:r>
        <w:rPr>
          <w:rFonts w:ascii="Calibri" w:hAnsi="Calibri" w:cs="Calibri"/>
          <w:sz w:val="20"/>
          <w:szCs w:val="20"/>
        </w:rPr>
        <w:pict w14:anchorId="3974007F">
          <v:rect id="_x0000_i1094" style="width:415.3pt;height:1.5pt" o:hralign="center" o:hrstd="t" o:hr="t" fillcolor="#a0a0a0" stroked="f"/>
        </w:pict>
      </w:r>
    </w:p>
    <w:p w14:paraId="3973DBC0" w14:textId="77777777" w:rsidR="007B027D" w:rsidRDefault="008E0125">
      <w:pPr>
        <w:pStyle w:val="a3"/>
        <w:spacing w:beforeAutospacing="0" w:after="120" w:afterAutospacing="0"/>
        <w:rPr>
          <w:rFonts w:ascii="Calibri" w:hAnsi="Calibri" w:cs="Calibri"/>
          <w:sz w:val="18"/>
          <w:szCs w:val="18"/>
        </w:rPr>
      </w:pPr>
      <w:hyperlink r:id="rId172" w:anchor="TABLE_OF_CONTENTS" w:history="1">
        <w:r>
          <w:rPr>
            <w:rStyle w:val="a5"/>
            <w:rFonts w:ascii="Calibri" w:hAnsi="Calibri" w:cs="Calibri"/>
            <w:sz w:val="18"/>
            <w:szCs w:val="18"/>
          </w:rPr>
          <w:t>Table of Contents</w:t>
        </w:r>
      </w:hyperlink>
    </w:p>
    <w:p w14:paraId="3973DBC1" w14:textId="77777777" w:rsidR="007B027D" w:rsidRDefault="008E0125">
      <w:pPr>
        <w:pStyle w:val="a3"/>
        <w:spacing w:beforeAutospacing="0" w:afterAutospacing="0"/>
        <w:rPr>
          <w:rFonts w:ascii="Calibri" w:hAnsi="Calibri" w:cs="Calibri"/>
          <w:sz w:val="18"/>
          <w:szCs w:val="18"/>
        </w:rPr>
      </w:pPr>
      <w:hyperlink r:id="rId173" w:anchor="ITEM_15_EXHIBITS_FINANCIAL_STATEMENT_SCH" w:history="1">
        <w:r>
          <w:rPr>
            <w:rStyle w:val="a5"/>
            <w:rFonts w:ascii="Calibri" w:hAnsi="Calibri" w:cs="Calibri"/>
            <w:sz w:val="18"/>
            <w:szCs w:val="18"/>
          </w:rPr>
          <w:t>Index to Financial Statements</w:t>
        </w:r>
      </w:hyperlink>
    </w:p>
    <w:p w14:paraId="3973DBC2"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BC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BC4"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DBC5"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STOCKHOLDERS’ (DEFICIT) EQUITY</w:t>
      </w:r>
    </w:p>
    <w:p w14:paraId="3973DBC6"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2022, 2021 and 2020</w:t>
      </w:r>
    </w:p>
    <w:p w14:paraId="3973DBC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1714"/>
        <w:gridCol w:w="54"/>
        <w:gridCol w:w="99"/>
        <w:gridCol w:w="589"/>
        <w:gridCol w:w="67"/>
        <w:gridCol w:w="54"/>
        <w:gridCol w:w="102"/>
        <w:gridCol w:w="489"/>
        <w:gridCol w:w="67"/>
        <w:gridCol w:w="54"/>
        <w:gridCol w:w="139"/>
        <w:gridCol w:w="695"/>
        <w:gridCol w:w="67"/>
        <w:gridCol w:w="54"/>
        <w:gridCol w:w="104"/>
        <w:gridCol w:w="883"/>
        <w:gridCol w:w="67"/>
        <w:gridCol w:w="54"/>
        <w:gridCol w:w="103"/>
        <w:gridCol w:w="754"/>
        <w:gridCol w:w="67"/>
        <w:gridCol w:w="54"/>
        <w:gridCol w:w="103"/>
        <w:gridCol w:w="844"/>
        <w:gridCol w:w="67"/>
        <w:gridCol w:w="54"/>
        <w:gridCol w:w="143"/>
        <w:gridCol w:w="713"/>
        <w:gridCol w:w="67"/>
      </w:tblGrid>
      <w:tr w:rsidR="007B027D" w14:paraId="3973DBE7" w14:textId="77777777">
        <w:tc>
          <w:tcPr>
            <w:tcW w:w="1588" w:type="pct"/>
            <w:shd w:val="clear" w:color="auto" w:fill="FFFFFF"/>
            <w:tcMar>
              <w:top w:w="15" w:type="dxa"/>
              <w:right w:w="15" w:type="dxa"/>
            </w:tcMar>
            <w:vAlign w:val="bottom"/>
          </w:tcPr>
          <w:p w14:paraId="3973DBC8"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11" w:type="pct"/>
            <w:shd w:val="clear" w:color="auto" w:fill="FFFFFF"/>
            <w:tcMar>
              <w:top w:w="15" w:type="dxa"/>
              <w:right w:w="15" w:type="dxa"/>
            </w:tcMar>
            <w:vAlign w:val="bottom"/>
          </w:tcPr>
          <w:p w14:paraId="3973DBC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1" w:type="pct"/>
            <w:gridSpan w:val="6"/>
            <w:tcBorders>
              <w:bottom w:val="single" w:sz="6" w:space="0" w:color="000000"/>
            </w:tcBorders>
            <w:shd w:val="clear" w:color="auto" w:fill="FFFFFF"/>
            <w:tcMar>
              <w:top w:w="15" w:type="dxa"/>
              <w:right w:w="15" w:type="dxa"/>
            </w:tcMar>
            <w:vAlign w:val="bottom"/>
          </w:tcPr>
          <w:p w14:paraId="3973DB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Common Stock and</w:t>
            </w:r>
          </w:p>
          <w:p w14:paraId="3973DBC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Additional Paid in</w:t>
            </w:r>
          </w:p>
          <w:p w14:paraId="3973DBC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Capital</w:t>
            </w:r>
          </w:p>
        </w:tc>
        <w:tc>
          <w:tcPr>
            <w:tcW w:w="36" w:type="pct"/>
            <w:shd w:val="clear" w:color="auto" w:fill="FFFFFF"/>
            <w:noWrap/>
            <w:tcMar>
              <w:top w:w="15" w:type="dxa"/>
              <w:right w:w="15" w:type="dxa"/>
            </w:tcMar>
            <w:vAlign w:val="bottom"/>
          </w:tcPr>
          <w:p w14:paraId="3973DBC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C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noWrap/>
            <w:tcMar>
              <w:top w:w="15" w:type="dxa"/>
              <w:right w:w="15" w:type="dxa"/>
            </w:tcMar>
            <w:vAlign w:val="bottom"/>
          </w:tcPr>
          <w:p w14:paraId="3973DBC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1" w:type="pct"/>
            <w:shd w:val="clear" w:color="auto" w:fill="FFFFFF"/>
            <w:noWrap/>
            <w:tcMar>
              <w:top w:w="15" w:type="dxa"/>
              <w:right w:w="15" w:type="dxa"/>
            </w:tcMar>
            <w:vAlign w:val="bottom"/>
          </w:tcPr>
          <w:p w14:paraId="3973DBD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6" w:type="pct"/>
            <w:shd w:val="clear" w:color="auto" w:fill="FFFFFF"/>
            <w:noWrap/>
            <w:tcMar>
              <w:top w:w="15" w:type="dxa"/>
              <w:right w:w="15" w:type="dxa"/>
            </w:tcMar>
            <w:vAlign w:val="bottom"/>
          </w:tcPr>
          <w:p w14:paraId="3973DBD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D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7" w:type="pct"/>
            <w:gridSpan w:val="2"/>
            <w:vMerge w:val="restart"/>
            <w:shd w:val="clear" w:color="auto" w:fill="FFFFFF"/>
            <w:tcMar>
              <w:top w:w="15" w:type="dxa"/>
              <w:right w:w="15" w:type="dxa"/>
            </w:tcMar>
            <w:vAlign w:val="bottom"/>
          </w:tcPr>
          <w:p w14:paraId="3973DBD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Accumulated</w:t>
            </w:r>
          </w:p>
          <w:p w14:paraId="3973DBD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w:t>
            </w:r>
          </w:p>
          <w:p w14:paraId="3973DBD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Comprehensive</w:t>
            </w:r>
          </w:p>
          <w:p w14:paraId="3973DBD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Loss</w:t>
            </w:r>
          </w:p>
        </w:tc>
        <w:tc>
          <w:tcPr>
            <w:tcW w:w="36" w:type="pct"/>
            <w:shd w:val="clear" w:color="auto" w:fill="FFFFFF"/>
            <w:noWrap/>
            <w:tcMar>
              <w:top w:w="15" w:type="dxa"/>
              <w:right w:w="15" w:type="dxa"/>
            </w:tcMar>
            <w:vAlign w:val="bottom"/>
          </w:tcPr>
          <w:p w14:paraId="3973DBD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D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gridSpan w:val="2"/>
            <w:vMerge w:val="restart"/>
            <w:shd w:val="clear" w:color="auto" w:fill="FFFFFF"/>
            <w:tcMar>
              <w:top w:w="15" w:type="dxa"/>
              <w:right w:w="15" w:type="dxa"/>
            </w:tcMar>
            <w:vAlign w:val="bottom"/>
          </w:tcPr>
          <w:p w14:paraId="3973DBD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3973DBD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Oracle Corporation</w:t>
            </w:r>
          </w:p>
          <w:p w14:paraId="3973DBD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Stockholders'</w:t>
            </w:r>
          </w:p>
          <w:p w14:paraId="3973DBD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(Deficit) Equity</w:t>
            </w:r>
          </w:p>
        </w:tc>
        <w:tc>
          <w:tcPr>
            <w:tcW w:w="36" w:type="pct"/>
            <w:shd w:val="clear" w:color="auto" w:fill="FFFFFF"/>
            <w:noWrap/>
            <w:tcMar>
              <w:top w:w="15" w:type="dxa"/>
              <w:right w:w="15" w:type="dxa"/>
            </w:tcMar>
            <w:vAlign w:val="bottom"/>
          </w:tcPr>
          <w:p w14:paraId="3973DBD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D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noWrap/>
            <w:tcMar>
              <w:top w:w="15" w:type="dxa"/>
              <w:right w:w="15" w:type="dxa"/>
            </w:tcMar>
            <w:vAlign w:val="bottom"/>
          </w:tcPr>
          <w:p w14:paraId="3973DBD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shd w:val="clear" w:color="auto" w:fill="FFFFFF"/>
            <w:noWrap/>
            <w:tcMar>
              <w:top w:w="15" w:type="dxa"/>
              <w:right w:w="15" w:type="dxa"/>
            </w:tcMar>
            <w:vAlign w:val="bottom"/>
          </w:tcPr>
          <w:p w14:paraId="3973DBE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6" w:type="pct"/>
            <w:shd w:val="clear" w:color="auto" w:fill="FFFFFF"/>
            <w:noWrap/>
            <w:tcMar>
              <w:top w:w="15" w:type="dxa"/>
              <w:right w:w="15" w:type="dxa"/>
            </w:tcMar>
            <w:vAlign w:val="bottom"/>
          </w:tcPr>
          <w:p w14:paraId="3973DBE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E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57" w:type="pct"/>
            <w:gridSpan w:val="2"/>
            <w:vMerge w:val="restart"/>
            <w:shd w:val="clear" w:color="auto" w:fill="FFFFFF"/>
            <w:tcMar>
              <w:top w:w="15" w:type="dxa"/>
              <w:right w:w="15" w:type="dxa"/>
            </w:tcMar>
            <w:vAlign w:val="bottom"/>
          </w:tcPr>
          <w:p w14:paraId="3973DBE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3973DBE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Stockholders'</w:t>
            </w:r>
          </w:p>
          <w:p w14:paraId="3973DBE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(Deficit) Equity</w:t>
            </w:r>
          </w:p>
        </w:tc>
        <w:tc>
          <w:tcPr>
            <w:tcW w:w="36" w:type="pct"/>
            <w:shd w:val="clear" w:color="auto" w:fill="FFFFFF"/>
            <w:noWrap/>
            <w:tcMar>
              <w:top w:w="15" w:type="dxa"/>
              <w:right w:w="15" w:type="dxa"/>
            </w:tcMar>
            <w:vAlign w:val="bottom"/>
          </w:tcPr>
          <w:p w14:paraId="3973DBE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C00" w14:textId="77777777">
        <w:tc>
          <w:tcPr>
            <w:tcW w:w="1588" w:type="pct"/>
            <w:tcBorders>
              <w:bottom w:val="single" w:sz="6" w:space="0" w:color="000000"/>
            </w:tcBorders>
            <w:shd w:val="clear" w:color="auto" w:fill="FFFFFF"/>
            <w:tcMar>
              <w:top w:w="15" w:type="dxa"/>
              <w:right w:w="15" w:type="dxa"/>
            </w:tcMar>
            <w:vAlign w:val="bottom"/>
          </w:tcPr>
          <w:p w14:paraId="3973DBE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11" w:type="pct"/>
            <w:shd w:val="clear" w:color="auto" w:fill="FFFFFF"/>
            <w:tcMar>
              <w:top w:w="15" w:type="dxa"/>
              <w:right w:w="15" w:type="dxa"/>
            </w:tcMar>
            <w:vAlign w:val="bottom"/>
          </w:tcPr>
          <w:p w14:paraId="3973DBE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9" w:type="pct"/>
            <w:gridSpan w:val="2"/>
            <w:tcBorders>
              <w:top w:val="single" w:sz="6" w:space="0" w:color="000000"/>
              <w:bottom w:val="single" w:sz="6" w:space="0" w:color="000000"/>
            </w:tcBorders>
            <w:shd w:val="clear" w:color="auto" w:fill="FFFFFF"/>
            <w:tcMar>
              <w:top w:w="15" w:type="dxa"/>
              <w:right w:w="15" w:type="dxa"/>
            </w:tcMar>
            <w:vAlign w:val="bottom"/>
          </w:tcPr>
          <w:p w14:paraId="3973DBE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3973DBE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36" w:type="pct"/>
            <w:shd w:val="clear" w:color="auto" w:fill="FFFFFF"/>
            <w:noWrap/>
            <w:tcMar>
              <w:top w:w="15" w:type="dxa"/>
              <w:right w:w="15" w:type="dxa"/>
            </w:tcMar>
            <w:vAlign w:val="bottom"/>
          </w:tcPr>
          <w:p w14:paraId="3973DBE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tcBorders>
              <w:top w:val="single" w:sz="6" w:space="0" w:color="000000"/>
            </w:tcBorders>
            <w:shd w:val="clear" w:color="auto" w:fill="FFFFFF"/>
            <w:tcMar>
              <w:top w:w="15" w:type="dxa"/>
              <w:right w:w="15" w:type="dxa"/>
            </w:tcMar>
            <w:vAlign w:val="bottom"/>
          </w:tcPr>
          <w:p w14:paraId="3973DBE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5" w:type="pct"/>
            <w:gridSpan w:val="2"/>
            <w:tcBorders>
              <w:top w:val="single" w:sz="6" w:space="0" w:color="000000"/>
              <w:bottom w:val="single" w:sz="6" w:space="0" w:color="000000"/>
            </w:tcBorders>
            <w:shd w:val="clear" w:color="auto" w:fill="FFFFFF"/>
            <w:tcMar>
              <w:top w:w="15" w:type="dxa"/>
              <w:right w:w="15" w:type="dxa"/>
            </w:tcMar>
            <w:vAlign w:val="bottom"/>
          </w:tcPr>
          <w:p w14:paraId="3973DBE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36" w:type="pct"/>
            <w:shd w:val="clear" w:color="auto" w:fill="FFFFFF"/>
            <w:noWrap/>
            <w:tcMar>
              <w:top w:w="15" w:type="dxa"/>
              <w:right w:w="15" w:type="dxa"/>
            </w:tcMar>
            <w:vAlign w:val="bottom"/>
          </w:tcPr>
          <w:p w14:paraId="3973DBE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F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bottom w:val="single" w:sz="6" w:space="0" w:color="000000"/>
            </w:tcBorders>
            <w:shd w:val="clear" w:color="auto" w:fill="FFFFFF"/>
            <w:tcMar>
              <w:top w:w="15" w:type="dxa"/>
              <w:right w:w="15" w:type="dxa"/>
            </w:tcMar>
            <w:vAlign w:val="bottom"/>
          </w:tcPr>
          <w:p w14:paraId="3973DBF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Accumulated Deficit</w:t>
            </w:r>
          </w:p>
        </w:tc>
        <w:tc>
          <w:tcPr>
            <w:tcW w:w="36" w:type="pct"/>
            <w:shd w:val="clear" w:color="auto" w:fill="FFFFFF"/>
            <w:noWrap/>
            <w:tcMar>
              <w:top w:w="15" w:type="dxa"/>
              <w:right w:w="15" w:type="dxa"/>
            </w:tcMar>
            <w:vAlign w:val="bottom"/>
          </w:tcPr>
          <w:p w14:paraId="3973DBF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F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7" w:type="pct"/>
            <w:gridSpan w:val="2"/>
            <w:vMerge/>
            <w:shd w:val="clear" w:color="auto" w:fill="FFFFFF"/>
            <w:tcMar>
              <w:top w:w="15" w:type="dxa"/>
              <w:right w:w="15" w:type="dxa"/>
            </w:tcMar>
            <w:vAlign w:val="bottom"/>
          </w:tcPr>
          <w:p w14:paraId="3973DBF4" w14:textId="77777777" w:rsidR="007B027D" w:rsidRDefault="007B027D">
            <w:pPr>
              <w:rPr>
                <w:rFonts w:ascii="宋体"/>
              </w:rPr>
            </w:pPr>
          </w:p>
        </w:tc>
        <w:tc>
          <w:tcPr>
            <w:tcW w:w="36" w:type="pct"/>
            <w:shd w:val="clear" w:color="auto" w:fill="FFFFFF"/>
            <w:noWrap/>
            <w:tcMar>
              <w:top w:w="15" w:type="dxa"/>
              <w:right w:w="15" w:type="dxa"/>
            </w:tcMar>
            <w:vAlign w:val="bottom"/>
          </w:tcPr>
          <w:p w14:paraId="3973DBF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F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gridSpan w:val="2"/>
            <w:vMerge/>
            <w:shd w:val="clear" w:color="auto" w:fill="FFFFFF"/>
            <w:tcMar>
              <w:top w:w="15" w:type="dxa"/>
              <w:right w:w="15" w:type="dxa"/>
            </w:tcMar>
            <w:vAlign w:val="bottom"/>
          </w:tcPr>
          <w:p w14:paraId="3973DBF7" w14:textId="77777777" w:rsidR="007B027D" w:rsidRDefault="007B027D">
            <w:pPr>
              <w:rPr>
                <w:rFonts w:ascii="宋体"/>
              </w:rPr>
            </w:pPr>
          </w:p>
        </w:tc>
        <w:tc>
          <w:tcPr>
            <w:tcW w:w="36" w:type="pct"/>
            <w:shd w:val="clear" w:color="auto" w:fill="FFFFFF"/>
            <w:noWrap/>
            <w:tcMar>
              <w:top w:w="15" w:type="dxa"/>
              <w:right w:w="15" w:type="dxa"/>
            </w:tcMar>
            <w:vAlign w:val="bottom"/>
          </w:tcPr>
          <w:p w14:paraId="3973DBF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F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7" w:type="pct"/>
            <w:gridSpan w:val="2"/>
            <w:tcBorders>
              <w:bottom w:val="single" w:sz="6" w:space="0" w:color="000000"/>
            </w:tcBorders>
            <w:shd w:val="clear" w:color="auto" w:fill="FFFFFF"/>
            <w:tcMar>
              <w:top w:w="15" w:type="dxa"/>
              <w:right w:w="15" w:type="dxa"/>
            </w:tcMar>
            <w:vAlign w:val="bottom"/>
          </w:tcPr>
          <w:p w14:paraId="3973DBF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Noncontrolling</w:t>
            </w:r>
          </w:p>
          <w:p w14:paraId="3973DBF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Interests</w:t>
            </w:r>
          </w:p>
        </w:tc>
        <w:tc>
          <w:tcPr>
            <w:tcW w:w="36" w:type="pct"/>
            <w:shd w:val="clear" w:color="auto" w:fill="FFFFFF"/>
            <w:noWrap/>
            <w:tcMar>
              <w:top w:w="15" w:type="dxa"/>
              <w:right w:w="15" w:type="dxa"/>
            </w:tcMar>
            <w:vAlign w:val="bottom"/>
          </w:tcPr>
          <w:p w14:paraId="3973DBF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 w:type="pct"/>
            <w:shd w:val="clear" w:color="auto" w:fill="FFFFFF"/>
            <w:tcMar>
              <w:top w:w="15" w:type="dxa"/>
              <w:right w:w="15" w:type="dxa"/>
            </w:tcMar>
            <w:vAlign w:val="bottom"/>
          </w:tcPr>
          <w:p w14:paraId="3973DBF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57" w:type="pct"/>
            <w:gridSpan w:val="2"/>
            <w:vMerge/>
            <w:shd w:val="clear" w:color="auto" w:fill="FFFFFF"/>
            <w:tcMar>
              <w:top w:w="15" w:type="dxa"/>
              <w:right w:w="15" w:type="dxa"/>
            </w:tcMar>
            <w:vAlign w:val="bottom"/>
          </w:tcPr>
          <w:p w14:paraId="3973DBFE" w14:textId="77777777" w:rsidR="007B027D" w:rsidRDefault="007B027D">
            <w:pPr>
              <w:rPr>
                <w:rFonts w:ascii="宋体"/>
              </w:rPr>
            </w:pPr>
          </w:p>
        </w:tc>
        <w:tc>
          <w:tcPr>
            <w:tcW w:w="36" w:type="pct"/>
            <w:shd w:val="clear" w:color="auto" w:fill="FFFFFF"/>
            <w:noWrap/>
            <w:tcMar>
              <w:top w:w="15" w:type="dxa"/>
              <w:right w:w="15" w:type="dxa"/>
            </w:tcMar>
            <w:vAlign w:val="bottom"/>
          </w:tcPr>
          <w:p w14:paraId="3973DBF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8E0125" w14:paraId="3973DC1E" w14:textId="77777777">
        <w:tc>
          <w:tcPr>
            <w:tcW w:w="1588" w:type="pct"/>
            <w:tcBorders>
              <w:top w:val="single" w:sz="6" w:space="0" w:color="000000"/>
            </w:tcBorders>
            <w:shd w:val="clear" w:color="auto" w:fill="CFF0FC"/>
            <w:tcMar>
              <w:top w:w="15" w:type="dxa"/>
              <w:right w:w="15" w:type="dxa"/>
            </w:tcMar>
          </w:tcPr>
          <w:p w14:paraId="3973DC01"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2019</w:t>
            </w:r>
          </w:p>
        </w:tc>
        <w:tc>
          <w:tcPr>
            <w:tcW w:w="11" w:type="pct"/>
            <w:shd w:val="clear" w:color="auto" w:fill="CFF0FC"/>
            <w:tcMar>
              <w:top w:w="15" w:type="dxa"/>
              <w:right w:w="15" w:type="dxa"/>
            </w:tcMar>
            <w:vAlign w:val="bottom"/>
          </w:tcPr>
          <w:p w14:paraId="3973DC0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tcBorders>
            <w:shd w:val="clear" w:color="auto" w:fill="CFF0FC"/>
            <w:noWrap/>
            <w:tcMar>
              <w:top w:w="15" w:type="dxa"/>
              <w:right w:w="15" w:type="dxa"/>
            </w:tcMar>
            <w:vAlign w:val="bottom"/>
          </w:tcPr>
          <w:p w14:paraId="3973DC0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tcBorders>
            <w:shd w:val="clear" w:color="auto" w:fill="CFF0FC"/>
            <w:noWrap/>
            <w:tcMar>
              <w:top w:w="15" w:type="dxa"/>
              <w:right w:w="15" w:type="dxa"/>
            </w:tcMar>
            <w:vAlign w:val="bottom"/>
          </w:tcPr>
          <w:p w14:paraId="3973DC0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3,359</w:t>
            </w:r>
          </w:p>
        </w:tc>
        <w:tc>
          <w:tcPr>
            <w:tcW w:w="36" w:type="pct"/>
            <w:shd w:val="clear" w:color="auto" w:fill="CFF0FC"/>
            <w:noWrap/>
            <w:tcMar>
              <w:top w:w="15" w:type="dxa"/>
              <w:right w:w="15" w:type="dxa"/>
            </w:tcMar>
            <w:vAlign w:val="bottom"/>
          </w:tcPr>
          <w:p w14:paraId="3973DC0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0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tcBorders>
            <w:shd w:val="clear" w:color="auto" w:fill="CFF0FC"/>
            <w:noWrap/>
            <w:tcMar>
              <w:top w:w="15" w:type="dxa"/>
              <w:right w:w="15" w:type="dxa"/>
            </w:tcMar>
            <w:vAlign w:val="bottom"/>
          </w:tcPr>
          <w:p w14:paraId="3973DC0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61" w:type="pct"/>
            <w:tcBorders>
              <w:top w:val="single" w:sz="6" w:space="0" w:color="000000"/>
            </w:tcBorders>
            <w:shd w:val="clear" w:color="auto" w:fill="CFF0FC"/>
            <w:noWrap/>
            <w:tcMar>
              <w:top w:w="15" w:type="dxa"/>
              <w:right w:w="15" w:type="dxa"/>
            </w:tcMar>
            <w:vAlign w:val="bottom"/>
          </w:tcPr>
          <w:p w14:paraId="3973DC0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26,909</w:t>
            </w:r>
          </w:p>
        </w:tc>
        <w:tc>
          <w:tcPr>
            <w:tcW w:w="36" w:type="pct"/>
            <w:shd w:val="clear" w:color="auto" w:fill="CFF0FC"/>
            <w:noWrap/>
            <w:tcMar>
              <w:top w:w="15" w:type="dxa"/>
              <w:right w:w="15" w:type="dxa"/>
            </w:tcMar>
            <w:vAlign w:val="bottom"/>
          </w:tcPr>
          <w:p w14:paraId="3973DC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0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tcBorders>
            <w:shd w:val="clear" w:color="auto" w:fill="CFF0FC"/>
            <w:noWrap/>
            <w:tcMar>
              <w:top w:w="15" w:type="dxa"/>
              <w:right w:w="15" w:type="dxa"/>
            </w:tcMar>
            <w:vAlign w:val="bottom"/>
          </w:tcPr>
          <w:p w14:paraId="3973DC0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71" w:type="pct"/>
            <w:tcBorders>
              <w:top w:val="single" w:sz="6" w:space="0" w:color="000000"/>
            </w:tcBorders>
            <w:shd w:val="clear" w:color="auto" w:fill="CFF0FC"/>
            <w:noWrap/>
            <w:tcMar>
              <w:top w:w="15" w:type="dxa"/>
              <w:right w:w="15" w:type="dxa"/>
            </w:tcMar>
            <w:vAlign w:val="bottom"/>
          </w:tcPr>
          <w:p w14:paraId="3973DC0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(3,496</w:t>
            </w:r>
          </w:p>
        </w:tc>
        <w:tc>
          <w:tcPr>
            <w:tcW w:w="36" w:type="pct"/>
            <w:shd w:val="clear" w:color="auto" w:fill="CFF0FC"/>
            <w:noWrap/>
            <w:tcMar>
              <w:top w:w="15" w:type="dxa"/>
              <w:right w:w="15" w:type="dxa"/>
            </w:tcMar>
            <w:vAlign w:val="bottom"/>
          </w:tcPr>
          <w:p w14:paraId="3973DC0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0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DC0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1" w:type="pct"/>
            <w:tcBorders>
              <w:top w:val="single" w:sz="6" w:space="0" w:color="000000"/>
            </w:tcBorders>
            <w:shd w:val="clear" w:color="auto" w:fill="CFF0FC"/>
            <w:noWrap/>
            <w:tcMar>
              <w:top w:w="15" w:type="dxa"/>
              <w:right w:w="15" w:type="dxa"/>
            </w:tcMar>
            <w:vAlign w:val="bottom"/>
          </w:tcPr>
          <w:p w14:paraId="3973DC1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(1,628</w:t>
            </w:r>
          </w:p>
        </w:tc>
        <w:tc>
          <w:tcPr>
            <w:tcW w:w="36" w:type="pct"/>
            <w:shd w:val="clear" w:color="auto" w:fill="CFF0FC"/>
            <w:noWrap/>
            <w:tcMar>
              <w:top w:w="15" w:type="dxa"/>
              <w:right w:w="15" w:type="dxa"/>
            </w:tcMar>
            <w:vAlign w:val="bottom"/>
          </w:tcPr>
          <w:p w14:paraId="3973DC1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1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DC1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09" w:type="pct"/>
            <w:tcBorders>
              <w:top w:val="single" w:sz="6" w:space="0" w:color="000000"/>
            </w:tcBorders>
            <w:shd w:val="clear" w:color="auto" w:fill="CFF0FC"/>
            <w:noWrap/>
            <w:tcMar>
              <w:top w:w="15" w:type="dxa"/>
              <w:right w:w="15" w:type="dxa"/>
            </w:tcMar>
            <w:vAlign w:val="bottom"/>
          </w:tcPr>
          <w:p w14:paraId="3973DC1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21,785</w:t>
            </w:r>
          </w:p>
        </w:tc>
        <w:tc>
          <w:tcPr>
            <w:tcW w:w="36" w:type="pct"/>
            <w:shd w:val="clear" w:color="auto" w:fill="CFF0FC"/>
            <w:noWrap/>
            <w:tcMar>
              <w:top w:w="15" w:type="dxa"/>
              <w:right w:w="15" w:type="dxa"/>
            </w:tcMar>
            <w:vAlign w:val="bottom"/>
          </w:tcPr>
          <w:p w14:paraId="3973DC1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1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DC1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tcBorders>
            <w:shd w:val="clear" w:color="auto" w:fill="CFF0FC"/>
            <w:noWrap/>
            <w:tcMar>
              <w:top w:w="15" w:type="dxa"/>
              <w:right w:w="15" w:type="dxa"/>
            </w:tcMar>
            <w:vAlign w:val="bottom"/>
          </w:tcPr>
          <w:p w14:paraId="3973DC1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578</w:t>
            </w:r>
          </w:p>
        </w:tc>
        <w:tc>
          <w:tcPr>
            <w:tcW w:w="36" w:type="pct"/>
            <w:shd w:val="clear" w:color="auto" w:fill="CFF0FC"/>
            <w:noWrap/>
            <w:tcMar>
              <w:top w:w="15" w:type="dxa"/>
              <w:right w:w="15" w:type="dxa"/>
            </w:tcMar>
            <w:vAlign w:val="bottom"/>
          </w:tcPr>
          <w:p w14:paraId="3973DC1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1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tcBorders>
            <w:shd w:val="clear" w:color="auto" w:fill="CFF0FC"/>
            <w:noWrap/>
            <w:tcMar>
              <w:top w:w="15" w:type="dxa"/>
              <w:right w:w="15" w:type="dxa"/>
            </w:tcMar>
            <w:vAlign w:val="bottom"/>
          </w:tcPr>
          <w:p w14:paraId="3973DC1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1" w:type="pct"/>
            <w:tcBorders>
              <w:top w:val="single" w:sz="6" w:space="0" w:color="000000"/>
            </w:tcBorders>
            <w:shd w:val="clear" w:color="auto" w:fill="CFF0FC"/>
            <w:noWrap/>
            <w:tcMar>
              <w:top w:w="15" w:type="dxa"/>
              <w:right w:w="15" w:type="dxa"/>
            </w:tcMar>
            <w:vAlign w:val="bottom"/>
          </w:tcPr>
          <w:p w14:paraId="3973DC1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22,363</w:t>
            </w:r>
          </w:p>
        </w:tc>
        <w:tc>
          <w:tcPr>
            <w:tcW w:w="36" w:type="pct"/>
            <w:shd w:val="clear" w:color="auto" w:fill="CFF0FC"/>
            <w:noWrap/>
            <w:tcMar>
              <w:top w:w="15" w:type="dxa"/>
              <w:right w:w="15" w:type="dxa"/>
            </w:tcMar>
            <w:vAlign w:val="bottom"/>
          </w:tcPr>
          <w:p w14:paraId="3973DC1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C3C" w14:textId="77777777">
        <w:tc>
          <w:tcPr>
            <w:tcW w:w="1588" w:type="pct"/>
            <w:shd w:val="clear" w:color="auto" w:fill="FFFFFF"/>
            <w:tcMar>
              <w:top w:w="15" w:type="dxa"/>
              <w:right w:w="15" w:type="dxa"/>
            </w:tcMar>
          </w:tcPr>
          <w:p w14:paraId="3973DC1F"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11" w:type="pct"/>
            <w:shd w:val="clear" w:color="auto" w:fill="FFFFFF"/>
            <w:tcMar>
              <w:top w:w="15" w:type="dxa"/>
              <w:right w:w="15" w:type="dxa"/>
            </w:tcMar>
            <w:vAlign w:val="bottom"/>
          </w:tcPr>
          <w:p w14:paraId="3973DC2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C2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C2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36" w:type="pct"/>
            <w:shd w:val="clear" w:color="auto" w:fill="FFFFFF"/>
            <w:noWrap/>
            <w:tcMar>
              <w:top w:w="15" w:type="dxa"/>
              <w:right w:w="15" w:type="dxa"/>
            </w:tcMar>
            <w:vAlign w:val="bottom"/>
          </w:tcPr>
          <w:p w14:paraId="3973DC2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2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C2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C2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36" w:type="pct"/>
            <w:shd w:val="clear" w:color="auto" w:fill="FFFFFF"/>
            <w:noWrap/>
            <w:tcMar>
              <w:top w:w="15" w:type="dxa"/>
              <w:right w:w="15" w:type="dxa"/>
            </w:tcMar>
            <w:vAlign w:val="bottom"/>
          </w:tcPr>
          <w:p w14:paraId="3973DC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2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C2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C2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2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2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2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C2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3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C3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36" w:type="pct"/>
            <w:shd w:val="clear" w:color="auto" w:fill="FFFFFF"/>
            <w:noWrap/>
            <w:tcMar>
              <w:top w:w="15" w:type="dxa"/>
              <w:right w:w="15" w:type="dxa"/>
            </w:tcMar>
            <w:vAlign w:val="bottom"/>
          </w:tcPr>
          <w:p w14:paraId="3973DC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3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3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C3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3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3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C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C3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36" w:type="pct"/>
            <w:shd w:val="clear" w:color="auto" w:fill="FFFFFF"/>
            <w:noWrap/>
            <w:tcMar>
              <w:top w:w="15" w:type="dxa"/>
              <w:right w:w="15" w:type="dxa"/>
            </w:tcMar>
            <w:vAlign w:val="bottom"/>
          </w:tcPr>
          <w:p w14:paraId="3973DC3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C5A" w14:textId="77777777">
        <w:tc>
          <w:tcPr>
            <w:tcW w:w="1588" w:type="pct"/>
            <w:shd w:val="clear" w:color="auto" w:fill="CFF0FC"/>
            <w:tcMar>
              <w:top w:w="15" w:type="dxa"/>
              <w:right w:w="15" w:type="dxa"/>
            </w:tcMar>
          </w:tcPr>
          <w:p w14:paraId="3973DC3D"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11" w:type="pct"/>
            <w:shd w:val="clear" w:color="auto" w:fill="CFF0FC"/>
            <w:tcMar>
              <w:top w:w="15" w:type="dxa"/>
              <w:right w:w="15" w:type="dxa"/>
            </w:tcMar>
            <w:vAlign w:val="bottom"/>
          </w:tcPr>
          <w:p w14:paraId="3973DC3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C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C4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36" w:type="pct"/>
            <w:shd w:val="clear" w:color="auto" w:fill="CFF0FC"/>
            <w:noWrap/>
            <w:tcMar>
              <w:top w:w="15" w:type="dxa"/>
              <w:right w:w="15" w:type="dxa"/>
            </w:tcMar>
            <w:vAlign w:val="bottom"/>
          </w:tcPr>
          <w:p w14:paraId="3973DC4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4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C4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C4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36" w:type="pct"/>
            <w:shd w:val="clear" w:color="auto" w:fill="CFF0FC"/>
            <w:noWrap/>
            <w:tcMar>
              <w:top w:w="15" w:type="dxa"/>
              <w:right w:w="15" w:type="dxa"/>
            </w:tcMar>
            <w:vAlign w:val="bottom"/>
          </w:tcPr>
          <w:p w14:paraId="3973DC4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4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C4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C4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4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4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4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C4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4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4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4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C5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36" w:type="pct"/>
            <w:shd w:val="clear" w:color="auto" w:fill="CFF0FC"/>
            <w:noWrap/>
            <w:tcMar>
              <w:top w:w="15" w:type="dxa"/>
              <w:right w:w="15" w:type="dxa"/>
            </w:tcMar>
            <w:vAlign w:val="bottom"/>
          </w:tcPr>
          <w:p w14:paraId="3973DC5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5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C5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5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5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C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C5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36" w:type="pct"/>
            <w:shd w:val="clear" w:color="auto" w:fill="CFF0FC"/>
            <w:noWrap/>
            <w:tcMar>
              <w:top w:w="15" w:type="dxa"/>
              <w:right w:w="15" w:type="dxa"/>
            </w:tcMar>
            <w:vAlign w:val="bottom"/>
          </w:tcPr>
          <w:p w14:paraId="3973DC5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C78" w14:textId="77777777">
        <w:tc>
          <w:tcPr>
            <w:tcW w:w="1588" w:type="pct"/>
            <w:shd w:val="clear" w:color="auto" w:fill="FFFFFF"/>
            <w:tcMar>
              <w:top w:w="15" w:type="dxa"/>
              <w:right w:w="15" w:type="dxa"/>
            </w:tcMar>
          </w:tcPr>
          <w:p w14:paraId="3973DC5B"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11" w:type="pct"/>
            <w:shd w:val="clear" w:color="auto" w:fill="FFFFFF"/>
            <w:tcMar>
              <w:top w:w="15" w:type="dxa"/>
              <w:right w:w="15" w:type="dxa"/>
            </w:tcMar>
            <w:vAlign w:val="bottom"/>
          </w:tcPr>
          <w:p w14:paraId="3973DC5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C5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C5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5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6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C6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C6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36" w:type="pct"/>
            <w:shd w:val="clear" w:color="auto" w:fill="FFFFFF"/>
            <w:noWrap/>
            <w:tcMar>
              <w:top w:w="15" w:type="dxa"/>
              <w:right w:w="15" w:type="dxa"/>
            </w:tcMar>
            <w:vAlign w:val="bottom"/>
          </w:tcPr>
          <w:p w14:paraId="3973DC6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6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C6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C6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6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6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6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C6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6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6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C6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36" w:type="pct"/>
            <w:shd w:val="clear" w:color="auto" w:fill="FFFFFF"/>
            <w:noWrap/>
            <w:tcMar>
              <w:top w:w="15" w:type="dxa"/>
              <w:right w:w="15" w:type="dxa"/>
            </w:tcMar>
            <w:vAlign w:val="bottom"/>
          </w:tcPr>
          <w:p w14:paraId="3973DC6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7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7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C7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7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7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C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C7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36" w:type="pct"/>
            <w:shd w:val="clear" w:color="auto" w:fill="FFFFFF"/>
            <w:noWrap/>
            <w:tcMar>
              <w:top w:w="15" w:type="dxa"/>
              <w:right w:w="15" w:type="dxa"/>
            </w:tcMar>
            <w:vAlign w:val="bottom"/>
          </w:tcPr>
          <w:p w14:paraId="3973DC7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C96" w14:textId="77777777">
        <w:tc>
          <w:tcPr>
            <w:tcW w:w="1588" w:type="pct"/>
            <w:shd w:val="clear" w:color="auto" w:fill="CFF0FC"/>
            <w:tcMar>
              <w:top w:w="15" w:type="dxa"/>
              <w:right w:w="15" w:type="dxa"/>
            </w:tcMar>
          </w:tcPr>
          <w:p w14:paraId="3973DC79"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Repurchases of common stock</w:t>
            </w:r>
          </w:p>
        </w:tc>
        <w:tc>
          <w:tcPr>
            <w:tcW w:w="11" w:type="pct"/>
            <w:shd w:val="clear" w:color="auto" w:fill="CFF0FC"/>
            <w:tcMar>
              <w:top w:w="15" w:type="dxa"/>
              <w:right w:w="15" w:type="dxa"/>
            </w:tcMar>
            <w:vAlign w:val="bottom"/>
          </w:tcPr>
          <w:p w14:paraId="3973DC7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C7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C7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(361</w:t>
            </w:r>
          </w:p>
        </w:tc>
        <w:tc>
          <w:tcPr>
            <w:tcW w:w="36" w:type="pct"/>
            <w:shd w:val="clear" w:color="auto" w:fill="CFF0FC"/>
            <w:noWrap/>
            <w:tcMar>
              <w:top w:w="15" w:type="dxa"/>
              <w:right w:w="15" w:type="dxa"/>
            </w:tcMar>
            <w:vAlign w:val="bottom"/>
          </w:tcPr>
          <w:p w14:paraId="3973DC7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7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C7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C8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(2,932</w:t>
            </w:r>
          </w:p>
        </w:tc>
        <w:tc>
          <w:tcPr>
            <w:tcW w:w="36" w:type="pct"/>
            <w:shd w:val="clear" w:color="auto" w:fill="CFF0FC"/>
            <w:noWrap/>
            <w:tcMar>
              <w:top w:w="15" w:type="dxa"/>
              <w:right w:w="15" w:type="dxa"/>
            </w:tcMar>
            <w:vAlign w:val="bottom"/>
          </w:tcPr>
          <w:p w14:paraId="3973DC8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8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C8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C8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(16,268</w:t>
            </w:r>
          </w:p>
        </w:tc>
        <w:tc>
          <w:tcPr>
            <w:tcW w:w="36" w:type="pct"/>
            <w:shd w:val="clear" w:color="auto" w:fill="CFF0FC"/>
            <w:noWrap/>
            <w:tcMar>
              <w:top w:w="15" w:type="dxa"/>
              <w:right w:w="15" w:type="dxa"/>
            </w:tcMar>
            <w:vAlign w:val="bottom"/>
          </w:tcPr>
          <w:p w14:paraId="3973DC8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8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8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C8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8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8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8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C8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(19,200</w:t>
            </w:r>
          </w:p>
        </w:tc>
        <w:tc>
          <w:tcPr>
            <w:tcW w:w="36" w:type="pct"/>
            <w:shd w:val="clear" w:color="auto" w:fill="CFF0FC"/>
            <w:noWrap/>
            <w:tcMar>
              <w:top w:w="15" w:type="dxa"/>
              <w:right w:w="15" w:type="dxa"/>
            </w:tcMar>
            <w:vAlign w:val="bottom"/>
          </w:tcPr>
          <w:p w14:paraId="3973DC8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8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8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C9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9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9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C9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C9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(19,200</w:t>
            </w:r>
          </w:p>
        </w:tc>
        <w:tc>
          <w:tcPr>
            <w:tcW w:w="36" w:type="pct"/>
            <w:shd w:val="clear" w:color="auto" w:fill="CFF0FC"/>
            <w:noWrap/>
            <w:tcMar>
              <w:top w:w="15" w:type="dxa"/>
              <w:right w:w="15" w:type="dxa"/>
            </w:tcMar>
            <w:vAlign w:val="bottom"/>
          </w:tcPr>
          <w:p w14:paraId="3973DC9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CB4" w14:textId="77777777">
        <w:tc>
          <w:tcPr>
            <w:tcW w:w="1588" w:type="pct"/>
            <w:shd w:val="clear" w:color="auto" w:fill="FFFFFF"/>
            <w:tcMar>
              <w:top w:w="15" w:type="dxa"/>
              <w:right w:w="15" w:type="dxa"/>
            </w:tcMar>
          </w:tcPr>
          <w:p w14:paraId="3973DC97"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11" w:type="pct"/>
            <w:shd w:val="clear" w:color="auto" w:fill="FFFFFF"/>
            <w:tcMar>
              <w:top w:w="15" w:type="dxa"/>
              <w:right w:w="15" w:type="dxa"/>
            </w:tcMar>
            <w:vAlign w:val="bottom"/>
          </w:tcPr>
          <w:p w14:paraId="3973DC9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C9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C9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36" w:type="pct"/>
            <w:shd w:val="clear" w:color="auto" w:fill="FFFFFF"/>
            <w:noWrap/>
            <w:tcMar>
              <w:top w:w="15" w:type="dxa"/>
              <w:right w:w="15" w:type="dxa"/>
            </w:tcMar>
            <w:vAlign w:val="bottom"/>
          </w:tcPr>
          <w:p w14:paraId="3973DC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9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C9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C9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36" w:type="pct"/>
            <w:shd w:val="clear" w:color="auto" w:fill="FFFFFF"/>
            <w:noWrap/>
            <w:tcMar>
              <w:top w:w="15" w:type="dxa"/>
              <w:right w:w="15" w:type="dxa"/>
            </w:tcMar>
            <w:vAlign w:val="bottom"/>
          </w:tcPr>
          <w:p w14:paraId="3973DC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A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C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CA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A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A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A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CA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A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A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A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CA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36" w:type="pct"/>
            <w:shd w:val="clear" w:color="auto" w:fill="FFFFFF"/>
            <w:noWrap/>
            <w:tcMar>
              <w:top w:w="15" w:type="dxa"/>
              <w:right w:w="15" w:type="dxa"/>
            </w:tcMar>
            <w:vAlign w:val="bottom"/>
          </w:tcPr>
          <w:p w14:paraId="3973DCA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A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A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CA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A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B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CB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CB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36" w:type="pct"/>
            <w:shd w:val="clear" w:color="auto" w:fill="FFFFFF"/>
            <w:noWrap/>
            <w:tcMar>
              <w:top w:w="15" w:type="dxa"/>
              <w:right w:w="15" w:type="dxa"/>
            </w:tcMar>
            <w:vAlign w:val="bottom"/>
          </w:tcPr>
          <w:p w14:paraId="3973DCB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CD2" w14:textId="77777777">
        <w:tc>
          <w:tcPr>
            <w:tcW w:w="1588" w:type="pct"/>
            <w:shd w:val="clear" w:color="auto" w:fill="CFF0FC"/>
            <w:tcMar>
              <w:top w:w="15" w:type="dxa"/>
              <w:right w:w="15" w:type="dxa"/>
            </w:tcMar>
          </w:tcPr>
          <w:p w14:paraId="3973DCB5"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($0.96 per share)</w:t>
            </w:r>
          </w:p>
        </w:tc>
        <w:tc>
          <w:tcPr>
            <w:tcW w:w="11" w:type="pct"/>
            <w:shd w:val="clear" w:color="auto" w:fill="CFF0FC"/>
            <w:tcMar>
              <w:top w:w="15" w:type="dxa"/>
              <w:right w:w="15" w:type="dxa"/>
            </w:tcMar>
            <w:vAlign w:val="bottom"/>
          </w:tcPr>
          <w:p w14:paraId="3973DCB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CB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CB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B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B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CB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CB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B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B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CB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CC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36" w:type="pct"/>
            <w:shd w:val="clear" w:color="auto" w:fill="CFF0FC"/>
            <w:noWrap/>
            <w:tcMar>
              <w:top w:w="15" w:type="dxa"/>
              <w:right w:w="15" w:type="dxa"/>
            </w:tcMar>
            <w:vAlign w:val="bottom"/>
          </w:tcPr>
          <w:p w14:paraId="3973DCC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C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C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CC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C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C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C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CC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36" w:type="pct"/>
            <w:shd w:val="clear" w:color="auto" w:fill="CFF0FC"/>
            <w:noWrap/>
            <w:tcMar>
              <w:top w:w="15" w:type="dxa"/>
              <w:right w:w="15" w:type="dxa"/>
            </w:tcMar>
            <w:vAlign w:val="bottom"/>
          </w:tcPr>
          <w:p w14:paraId="3973DCC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CC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C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CC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C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C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CC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CD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36" w:type="pct"/>
            <w:shd w:val="clear" w:color="auto" w:fill="CFF0FC"/>
            <w:noWrap/>
            <w:tcMar>
              <w:top w:w="15" w:type="dxa"/>
              <w:right w:w="15" w:type="dxa"/>
            </w:tcMar>
            <w:vAlign w:val="bottom"/>
          </w:tcPr>
          <w:p w14:paraId="3973DCD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CF0" w14:textId="77777777">
        <w:tc>
          <w:tcPr>
            <w:tcW w:w="1588" w:type="pct"/>
            <w:shd w:val="clear" w:color="auto" w:fill="FFFFFF"/>
            <w:tcMar>
              <w:top w:w="15" w:type="dxa"/>
              <w:right w:w="15" w:type="dxa"/>
            </w:tcMar>
          </w:tcPr>
          <w:p w14:paraId="3973DCD3"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11" w:type="pct"/>
            <w:shd w:val="clear" w:color="auto" w:fill="FFFFFF"/>
            <w:tcMar>
              <w:top w:w="15" w:type="dxa"/>
              <w:right w:w="15" w:type="dxa"/>
            </w:tcMar>
            <w:vAlign w:val="bottom"/>
          </w:tcPr>
          <w:p w14:paraId="3973DCD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CD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CD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D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D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CD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CD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36" w:type="pct"/>
            <w:shd w:val="clear" w:color="auto" w:fill="FFFFFF"/>
            <w:noWrap/>
            <w:tcMar>
              <w:top w:w="15" w:type="dxa"/>
              <w:right w:w="15" w:type="dxa"/>
            </w:tcMar>
            <w:vAlign w:val="bottom"/>
          </w:tcPr>
          <w:p w14:paraId="3973DCD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D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CD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CD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36" w:type="pct"/>
            <w:shd w:val="clear" w:color="auto" w:fill="FFFFFF"/>
            <w:noWrap/>
            <w:tcMar>
              <w:top w:w="15" w:type="dxa"/>
              <w:right w:w="15" w:type="dxa"/>
            </w:tcMar>
            <w:vAlign w:val="bottom"/>
          </w:tcPr>
          <w:p w14:paraId="3973DCD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E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E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CE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CE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CE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E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CE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36" w:type="pct"/>
            <w:shd w:val="clear" w:color="auto" w:fill="FFFFFF"/>
            <w:noWrap/>
            <w:tcMar>
              <w:top w:w="15" w:type="dxa"/>
              <w:right w:w="15" w:type="dxa"/>
            </w:tcMar>
            <w:vAlign w:val="bottom"/>
          </w:tcPr>
          <w:p w14:paraId="3973DCE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E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CE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CE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(94</w:t>
            </w:r>
          </w:p>
        </w:tc>
        <w:tc>
          <w:tcPr>
            <w:tcW w:w="36" w:type="pct"/>
            <w:shd w:val="clear" w:color="auto" w:fill="FFFFFF"/>
            <w:noWrap/>
            <w:tcMar>
              <w:top w:w="15" w:type="dxa"/>
              <w:right w:w="15" w:type="dxa"/>
            </w:tcMar>
            <w:vAlign w:val="bottom"/>
          </w:tcPr>
          <w:p w14:paraId="3973DCE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CE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CE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CE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w:t>
            </w:r>
          </w:p>
        </w:tc>
        <w:tc>
          <w:tcPr>
            <w:tcW w:w="36" w:type="pct"/>
            <w:shd w:val="clear" w:color="auto" w:fill="FFFFFF"/>
            <w:noWrap/>
            <w:tcMar>
              <w:top w:w="15" w:type="dxa"/>
              <w:right w:w="15" w:type="dxa"/>
            </w:tcMar>
            <w:vAlign w:val="bottom"/>
          </w:tcPr>
          <w:p w14:paraId="3973DCE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D0E" w14:textId="77777777">
        <w:tc>
          <w:tcPr>
            <w:tcW w:w="1588" w:type="pct"/>
            <w:shd w:val="clear" w:color="auto" w:fill="CFF0FC"/>
            <w:tcMar>
              <w:top w:w="15" w:type="dxa"/>
              <w:right w:w="15" w:type="dxa"/>
            </w:tcMar>
          </w:tcPr>
          <w:p w14:paraId="3973DCF1"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net</w:t>
            </w:r>
          </w:p>
        </w:tc>
        <w:tc>
          <w:tcPr>
            <w:tcW w:w="11" w:type="pct"/>
            <w:shd w:val="clear" w:color="auto" w:fill="CFF0FC"/>
            <w:tcMar>
              <w:top w:w="15" w:type="dxa"/>
              <w:right w:w="15" w:type="dxa"/>
            </w:tcMar>
            <w:vAlign w:val="bottom"/>
          </w:tcPr>
          <w:p w14:paraId="3973DCF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CF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CF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F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F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CF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CF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F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F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CF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CF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CF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CF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CF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D0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w:t>
            </w:r>
          </w:p>
        </w:tc>
        <w:tc>
          <w:tcPr>
            <w:tcW w:w="36" w:type="pct"/>
            <w:shd w:val="clear" w:color="auto" w:fill="CFF0FC"/>
            <w:noWrap/>
            <w:tcMar>
              <w:top w:w="15" w:type="dxa"/>
              <w:right w:w="15" w:type="dxa"/>
            </w:tcMar>
            <w:vAlign w:val="bottom"/>
          </w:tcPr>
          <w:p w14:paraId="3973DD0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0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0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D0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w:t>
            </w:r>
          </w:p>
        </w:tc>
        <w:tc>
          <w:tcPr>
            <w:tcW w:w="36" w:type="pct"/>
            <w:shd w:val="clear" w:color="auto" w:fill="CFF0FC"/>
            <w:noWrap/>
            <w:tcMar>
              <w:top w:w="15" w:type="dxa"/>
              <w:right w:w="15" w:type="dxa"/>
            </w:tcMar>
            <w:vAlign w:val="bottom"/>
          </w:tcPr>
          <w:p w14:paraId="3973DD0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0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0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D0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36" w:type="pct"/>
            <w:shd w:val="clear" w:color="auto" w:fill="CFF0FC"/>
            <w:noWrap/>
            <w:tcMar>
              <w:top w:w="15" w:type="dxa"/>
              <w:right w:w="15" w:type="dxa"/>
            </w:tcMar>
            <w:vAlign w:val="bottom"/>
          </w:tcPr>
          <w:p w14:paraId="3973DD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0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D0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D0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w:t>
            </w:r>
          </w:p>
        </w:tc>
        <w:tc>
          <w:tcPr>
            <w:tcW w:w="36" w:type="pct"/>
            <w:shd w:val="clear" w:color="auto" w:fill="CFF0FC"/>
            <w:noWrap/>
            <w:tcMar>
              <w:top w:w="15" w:type="dxa"/>
              <w:right w:w="15" w:type="dxa"/>
            </w:tcMar>
            <w:vAlign w:val="bottom"/>
          </w:tcPr>
          <w:p w14:paraId="3973DD0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D2C" w14:textId="77777777">
        <w:tc>
          <w:tcPr>
            <w:tcW w:w="1588" w:type="pct"/>
            <w:shd w:val="clear" w:color="auto" w:fill="FFFFFF"/>
            <w:tcMar>
              <w:top w:w="15" w:type="dxa"/>
              <w:right w:w="15" w:type="dxa"/>
            </w:tcMar>
          </w:tcPr>
          <w:p w14:paraId="3973DD0F"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11" w:type="pct"/>
            <w:shd w:val="clear" w:color="auto" w:fill="FFFFFF"/>
            <w:tcMar>
              <w:top w:w="15" w:type="dxa"/>
              <w:right w:w="15" w:type="dxa"/>
            </w:tcMar>
            <w:vAlign w:val="bottom"/>
          </w:tcPr>
          <w:p w14:paraId="3973DD1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bottom w:val="single" w:sz="6" w:space="0" w:color="000000"/>
            </w:tcBorders>
            <w:shd w:val="clear" w:color="auto" w:fill="FFFFFF"/>
            <w:noWrap/>
            <w:tcMar>
              <w:top w:w="15" w:type="dxa"/>
              <w:right w:w="15" w:type="dxa"/>
            </w:tcMar>
            <w:vAlign w:val="bottom"/>
          </w:tcPr>
          <w:p w14:paraId="3973DD1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bottom w:val="single" w:sz="6" w:space="0" w:color="000000"/>
            </w:tcBorders>
            <w:shd w:val="clear" w:color="auto" w:fill="FFFFFF"/>
            <w:noWrap/>
            <w:tcMar>
              <w:top w:w="15" w:type="dxa"/>
              <w:right w:w="15" w:type="dxa"/>
            </w:tcMar>
            <w:vAlign w:val="bottom"/>
          </w:tcPr>
          <w:p w14:paraId="3973DD1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1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1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bottom w:val="single" w:sz="6" w:space="0" w:color="000000"/>
            </w:tcBorders>
            <w:shd w:val="clear" w:color="auto" w:fill="FFFFFF"/>
            <w:noWrap/>
            <w:tcMar>
              <w:top w:w="15" w:type="dxa"/>
              <w:right w:w="15" w:type="dxa"/>
            </w:tcMar>
            <w:vAlign w:val="bottom"/>
          </w:tcPr>
          <w:p w14:paraId="3973DD1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bottom w:val="single" w:sz="6" w:space="0" w:color="000000"/>
            </w:tcBorders>
            <w:shd w:val="clear" w:color="auto" w:fill="FFFFFF"/>
            <w:noWrap/>
            <w:tcMar>
              <w:top w:w="15" w:type="dxa"/>
              <w:right w:w="15" w:type="dxa"/>
            </w:tcMar>
            <w:vAlign w:val="bottom"/>
          </w:tcPr>
          <w:p w14:paraId="3973DD1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1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1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bottom w:val="single" w:sz="6" w:space="0" w:color="000000"/>
            </w:tcBorders>
            <w:shd w:val="clear" w:color="auto" w:fill="FFFFFF"/>
            <w:noWrap/>
            <w:tcMar>
              <w:top w:w="15" w:type="dxa"/>
              <w:right w:w="15" w:type="dxa"/>
            </w:tcMar>
            <w:vAlign w:val="bottom"/>
          </w:tcPr>
          <w:p w14:paraId="3973DD1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bottom w:val="single" w:sz="6" w:space="0" w:color="000000"/>
            </w:tcBorders>
            <w:shd w:val="clear" w:color="auto" w:fill="FFFFFF"/>
            <w:noWrap/>
            <w:tcMar>
              <w:top w:w="15" w:type="dxa"/>
              <w:right w:w="15" w:type="dxa"/>
            </w:tcMar>
            <w:vAlign w:val="bottom"/>
          </w:tcPr>
          <w:p w14:paraId="3973DD1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10,135</w:t>
            </w:r>
          </w:p>
        </w:tc>
        <w:tc>
          <w:tcPr>
            <w:tcW w:w="36" w:type="pct"/>
            <w:shd w:val="clear" w:color="auto" w:fill="FFFFFF"/>
            <w:noWrap/>
            <w:tcMar>
              <w:top w:w="15" w:type="dxa"/>
              <w:right w:w="15" w:type="dxa"/>
            </w:tcMar>
            <w:vAlign w:val="bottom"/>
          </w:tcPr>
          <w:p w14:paraId="3973DD1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1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D1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bottom w:val="single" w:sz="6" w:space="0" w:color="000000"/>
            </w:tcBorders>
            <w:shd w:val="clear" w:color="auto" w:fill="FFFFFF"/>
            <w:noWrap/>
            <w:tcMar>
              <w:top w:w="15" w:type="dxa"/>
              <w:right w:w="15" w:type="dxa"/>
            </w:tcMar>
            <w:vAlign w:val="bottom"/>
          </w:tcPr>
          <w:p w14:paraId="3973DD1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1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2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D2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bottom w:val="single" w:sz="6" w:space="0" w:color="000000"/>
            </w:tcBorders>
            <w:shd w:val="clear" w:color="auto" w:fill="FFFFFF"/>
            <w:noWrap/>
            <w:tcMar>
              <w:top w:w="15" w:type="dxa"/>
              <w:right w:w="15" w:type="dxa"/>
            </w:tcMar>
            <w:vAlign w:val="bottom"/>
          </w:tcPr>
          <w:p w14:paraId="3973DD2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10,135</w:t>
            </w:r>
          </w:p>
        </w:tc>
        <w:tc>
          <w:tcPr>
            <w:tcW w:w="36" w:type="pct"/>
            <w:shd w:val="clear" w:color="auto" w:fill="FFFFFF"/>
            <w:noWrap/>
            <w:tcMar>
              <w:top w:w="15" w:type="dxa"/>
              <w:right w:w="15" w:type="dxa"/>
            </w:tcMar>
            <w:vAlign w:val="bottom"/>
          </w:tcPr>
          <w:p w14:paraId="3973DD2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2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D2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3973DD2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36" w:type="pct"/>
            <w:shd w:val="clear" w:color="auto" w:fill="FFFFFF"/>
            <w:noWrap/>
            <w:tcMar>
              <w:top w:w="15" w:type="dxa"/>
              <w:right w:w="15" w:type="dxa"/>
            </w:tcMar>
            <w:vAlign w:val="bottom"/>
          </w:tcPr>
          <w:p w14:paraId="3973DD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2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bottom w:val="single" w:sz="6" w:space="0" w:color="000000"/>
            </w:tcBorders>
            <w:shd w:val="clear" w:color="auto" w:fill="FFFFFF"/>
            <w:noWrap/>
            <w:tcMar>
              <w:top w:w="15" w:type="dxa"/>
              <w:right w:w="15" w:type="dxa"/>
            </w:tcMar>
            <w:vAlign w:val="bottom"/>
          </w:tcPr>
          <w:p w14:paraId="3973DD2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bottom w:val="single" w:sz="6" w:space="0" w:color="000000"/>
            </w:tcBorders>
            <w:shd w:val="clear" w:color="auto" w:fill="FFFFFF"/>
            <w:noWrap/>
            <w:tcMar>
              <w:top w:w="15" w:type="dxa"/>
              <w:right w:w="15" w:type="dxa"/>
            </w:tcMar>
            <w:vAlign w:val="bottom"/>
          </w:tcPr>
          <w:p w14:paraId="3973DD2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10,299</w:t>
            </w:r>
          </w:p>
        </w:tc>
        <w:tc>
          <w:tcPr>
            <w:tcW w:w="36" w:type="pct"/>
            <w:shd w:val="clear" w:color="auto" w:fill="FFFFFF"/>
            <w:noWrap/>
            <w:tcMar>
              <w:top w:w="15" w:type="dxa"/>
              <w:right w:w="15" w:type="dxa"/>
            </w:tcMar>
            <w:vAlign w:val="bottom"/>
          </w:tcPr>
          <w:p w14:paraId="3973DD2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D4A" w14:textId="77777777">
        <w:tc>
          <w:tcPr>
            <w:tcW w:w="1588" w:type="pct"/>
            <w:shd w:val="clear" w:color="auto" w:fill="CFF0FC"/>
            <w:tcMar>
              <w:top w:w="15" w:type="dxa"/>
              <w:right w:w="15" w:type="dxa"/>
            </w:tcMar>
          </w:tcPr>
          <w:p w14:paraId="3973DD2D"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2020</w:t>
            </w:r>
          </w:p>
        </w:tc>
        <w:tc>
          <w:tcPr>
            <w:tcW w:w="11" w:type="pct"/>
            <w:shd w:val="clear" w:color="auto" w:fill="CFF0FC"/>
            <w:tcMar>
              <w:top w:w="15" w:type="dxa"/>
              <w:right w:w="15" w:type="dxa"/>
            </w:tcMar>
            <w:vAlign w:val="bottom"/>
          </w:tcPr>
          <w:p w14:paraId="3973DD2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bottom w:val="single" w:sz="6" w:space="0" w:color="000000"/>
            </w:tcBorders>
            <w:shd w:val="clear" w:color="auto" w:fill="CFF0FC"/>
            <w:noWrap/>
            <w:tcMar>
              <w:top w:w="15" w:type="dxa"/>
              <w:right w:w="15" w:type="dxa"/>
            </w:tcMar>
            <w:vAlign w:val="bottom"/>
          </w:tcPr>
          <w:p w14:paraId="3973DD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bottom w:val="single" w:sz="6" w:space="0" w:color="000000"/>
            </w:tcBorders>
            <w:shd w:val="clear" w:color="auto" w:fill="CFF0FC"/>
            <w:noWrap/>
            <w:tcMar>
              <w:top w:w="15" w:type="dxa"/>
              <w:right w:w="15" w:type="dxa"/>
            </w:tcMar>
            <w:vAlign w:val="bottom"/>
          </w:tcPr>
          <w:p w14:paraId="3973DD3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3,067</w:t>
            </w:r>
          </w:p>
        </w:tc>
        <w:tc>
          <w:tcPr>
            <w:tcW w:w="36" w:type="pct"/>
            <w:shd w:val="clear" w:color="auto" w:fill="CFF0FC"/>
            <w:noWrap/>
            <w:tcMar>
              <w:top w:w="15" w:type="dxa"/>
              <w:right w:w="15" w:type="dxa"/>
            </w:tcMar>
            <w:vAlign w:val="bottom"/>
          </w:tcPr>
          <w:p w14:paraId="3973DD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3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bottom w:val="single" w:sz="6" w:space="0" w:color="000000"/>
            </w:tcBorders>
            <w:shd w:val="clear" w:color="auto" w:fill="CFF0FC"/>
            <w:noWrap/>
            <w:tcMar>
              <w:top w:w="15" w:type="dxa"/>
              <w:right w:w="15" w:type="dxa"/>
            </w:tcMar>
            <w:vAlign w:val="bottom"/>
          </w:tcPr>
          <w:p w14:paraId="3973DD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top w:val="single" w:sz="6" w:space="0" w:color="000000"/>
              <w:bottom w:val="single" w:sz="6" w:space="0" w:color="000000"/>
            </w:tcBorders>
            <w:shd w:val="clear" w:color="auto" w:fill="CFF0FC"/>
            <w:noWrap/>
            <w:tcMar>
              <w:top w:w="15" w:type="dxa"/>
              <w:right w:w="15" w:type="dxa"/>
            </w:tcMar>
            <w:vAlign w:val="bottom"/>
          </w:tcPr>
          <w:p w14:paraId="3973DD3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26,486</w:t>
            </w:r>
          </w:p>
        </w:tc>
        <w:tc>
          <w:tcPr>
            <w:tcW w:w="36" w:type="pct"/>
            <w:shd w:val="clear" w:color="auto" w:fill="CFF0FC"/>
            <w:noWrap/>
            <w:tcMar>
              <w:top w:w="15" w:type="dxa"/>
              <w:right w:w="15" w:type="dxa"/>
            </w:tcMar>
            <w:vAlign w:val="bottom"/>
          </w:tcPr>
          <w:p w14:paraId="3973DD3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3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bottom w:val="single" w:sz="6" w:space="0" w:color="000000"/>
            </w:tcBorders>
            <w:shd w:val="clear" w:color="auto" w:fill="CFF0FC"/>
            <w:noWrap/>
            <w:tcMar>
              <w:top w:w="15" w:type="dxa"/>
              <w:right w:w="15" w:type="dxa"/>
            </w:tcMar>
            <w:vAlign w:val="bottom"/>
          </w:tcPr>
          <w:p w14:paraId="3973DD3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top w:val="single" w:sz="6" w:space="0" w:color="000000"/>
              <w:bottom w:val="single" w:sz="6" w:space="0" w:color="000000"/>
            </w:tcBorders>
            <w:shd w:val="clear" w:color="auto" w:fill="CFF0FC"/>
            <w:noWrap/>
            <w:tcMar>
              <w:top w:w="15" w:type="dxa"/>
              <w:right w:w="15" w:type="dxa"/>
            </w:tcMar>
            <w:vAlign w:val="bottom"/>
          </w:tcPr>
          <w:p w14:paraId="3973DD3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(12,696</w:t>
            </w:r>
          </w:p>
        </w:tc>
        <w:tc>
          <w:tcPr>
            <w:tcW w:w="36" w:type="pct"/>
            <w:shd w:val="clear" w:color="auto" w:fill="CFF0FC"/>
            <w:noWrap/>
            <w:tcMar>
              <w:top w:w="15" w:type="dxa"/>
              <w:right w:w="15" w:type="dxa"/>
            </w:tcMar>
            <w:vAlign w:val="bottom"/>
          </w:tcPr>
          <w:p w14:paraId="3973DD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3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D3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top w:val="single" w:sz="6" w:space="0" w:color="000000"/>
              <w:bottom w:val="single" w:sz="6" w:space="0" w:color="000000"/>
            </w:tcBorders>
            <w:shd w:val="clear" w:color="auto" w:fill="CFF0FC"/>
            <w:noWrap/>
            <w:tcMar>
              <w:top w:w="15" w:type="dxa"/>
              <w:right w:w="15" w:type="dxa"/>
            </w:tcMar>
            <w:vAlign w:val="bottom"/>
          </w:tcPr>
          <w:p w14:paraId="3973DD3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(1,716</w:t>
            </w:r>
          </w:p>
        </w:tc>
        <w:tc>
          <w:tcPr>
            <w:tcW w:w="36" w:type="pct"/>
            <w:shd w:val="clear" w:color="auto" w:fill="CFF0FC"/>
            <w:noWrap/>
            <w:tcMar>
              <w:top w:w="15" w:type="dxa"/>
              <w:right w:w="15" w:type="dxa"/>
            </w:tcMar>
            <w:vAlign w:val="bottom"/>
          </w:tcPr>
          <w:p w14:paraId="3973DD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3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D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top w:val="single" w:sz="6" w:space="0" w:color="000000"/>
              <w:bottom w:val="single" w:sz="6" w:space="0" w:color="000000"/>
            </w:tcBorders>
            <w:shd w:val="clear" w:color="auto" w:fill="CFF0FC"/>
            <w:noWrap/>
            <w:tcMar>
              <w:top w:w="15" w:type="dxa"/>
              <w:right w:w="15" w:type="dxa"/>
            </w:tcMar>
            <w:vAlign w:val="bottom"/>
          </w:tcPr>
          <w:p w14:paraId="3973DD4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12,074</w:t>
            </w:r>
          </w:p>
        </w:tc>
        <w:tc>
          <w:tcPr>
            <w:tcW w:w="36" w:type="pct"/>
            <w:shd w:val="clear" w:color="auto" w:fill="CFF0FC"/>
            <w:noWrap/>
            <w:tcMar>
              <w:top w:w="15" w:type="dxa"/>
              <w:right w:w="15" w:type="dxa"/>
            </w:tcMar>
            <w:vAlign w:val="bottom"/>
          </w:tcPr>
          <w:p w14:paraId="3973DD4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4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D4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3973DD4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643</w:t>
            </w:r>
          </w:p>
        </w:tc>
        <w:tc>
          <w:tcPr>
            <w:tcW w:w="36" w:type="pct"/>
            <w:shd w:val="clear" w:color="auto" w:fill="CFF0FC"/>
            <w:noWrap/>
            <w:tcMar>
              <w:top w:w="15" w:type="dxa"/>
              <w:right w:w="15" w:type="dxa"/>
            </w:tcMar>
            <w:vAlign w:val="bottom"/>
          </w:tcPr>
          <w:p w14:paraId="3973DD4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4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bottom w:val="single" w:sz="6" w:space="0" w:color="000000"/>
            </w:tcBorders>
            <w:shd w:val="clear" w:color="auto" w:fill="CFF0FC"/>
            <w:noWrap/>
            <w:tcMar>
              <w:top w:w="15" w:type="dxa"/>
              <w:right w:w="15" w:type="dxa"/>
            </w:tcMar>
            <w:vAlign w:val="bottom"/>
          </w:tcPr>
          <w:p w14:paraId="3973DD4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top w:val="single" w:sz="6" w:space="0" w:color="000000"/>
              <w:bottom w:val="single" w:sz="6" w:space="0" w:color="000000"/>
            </w:tcBorders>
            <w:shd w:val="clear" w:color="auto" w:fill="CFF0FC"/>
            <w:noWrap/>
            <w:tcMar>
              <w:top w:w="15" w:type="dxa"/>
              <w:right w:w="15" w:type="dxa"/>
            </w:tcMar>
            <w:vAlign w:val="bottom"/>
          </w:tcPr>
          <w:p w14:paraId="3973DD4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12,717</w:t>
            </w:r>
          </w:p>
        </w:tc>
        <w:tc>
          <w:tcPr>
            <w:tcW w:w="36" w:type="pct"/>
            <w:shd w:val="clear" w:color="auto" w:fill="CFF0FC"/>
            <w:noWrap/>
            <w:tcMar>
              <w:top w:w="15" w:type="dxa"/>
              <w:right w:w="15" w:type="dxa"/>
            </w:tcMar>
            <w:vAlign w:val="bottom"/>
          </w:tcPr>
          <w:p w14:paraId="3973DD4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D68" w14:textId="77777777">
        <w:tc>
          <w:tcPr>
            <w:tcW w:w="1588" w:type="pct"/>
            <w:shd w:val="clear" w:color="auto" w:fill="FFFFFF"/>
            <w:tcMar>
              <w:top w:w="15" w:type="dxa"/>
              <w:right w:w="15" w:type="dxa"/>
            </w:tcMar>
          </w:tcPr>
          <w:p w14:paraId="3973DD4B"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w:t>
            </w:r>
            <w:r>
              <w:rPr>
                <w:rFonts w:ascii="Calibri" w:hAnsi="Calibri" w:cs="Calibri"/>
                <w:color w:val="000000"/>
                <w:sz w:val="17"/>
                <w:szCs w:val="17"/>
              </w:rPr>
              <w:t>based compensation plans</w:t>
            </w:r>
          </w:p>
        </w:tc>
        <w:tc>
          <w:tcPr>
            <w:tcW w:w="11" w:type="pct"/>
            <w:shd w:val="clear" w:color="auto" w:fill="FFFFFF"/>
            <w:tcMar>
              <w:top w:w="15" w:type="dxa"/>
              <w:right w:w="15" w:type="dxa"/>
            </w:tcMar>
            <w:vAlign w:val="bottom"/>
          </w:tcPr>
          <w:p w14:paraId="3973DD4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tcBorders>
            <w:shd w:val="clear" w:color="auto" w:fill="FFFFFF"/>
            <w:noWrap/>
            <w:tcMar>
              <w:top w:w="15" w:type="dxa"/>
              <w:right w:w="15" w:type="dxa"/>
            </w:tcMar>
            <w:vAlign w:val="bottom"/>
          </w:tcPr>
          <w:p w14:paraId="3973DD4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tcBorders>
            <w:shd w:val="clear" w:color="auto" w:fill="FFFFFF"/>
            <w:noWrap/>
            <w:tcMar>
              <w:top w:w="15" w:type="dxa"/>
              <w:right w:w="15" w:type="dxa"/>
            </w:tcMar>
            <w:vAlign w:val="bottom"/>
          </w:tcPr>
          <w:p w14:paraId="3973DD4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w:t>
            </w:r>
          </w:p>
        </w:tc>
        <w:tc>
          <w:tcPr>
            <w:tcW w:w="36" w:type="pct"/>
            <w:shd w:val="clear" w:color="auto" w:fill="FFFFFF"/>
            <w:noWrap/>
            <w:tcMar>
              <w:top w:w="15" w:type="dxa"/>
              <w:right w:w="15" w:type="dxa"/>
            </w:tcMar>
            <w:vAlign w:val="bottom"/>
          </w:tcPr>
          <w:p w14:paraId="3973DD4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5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tcBorders>
            <w:shd w:val="clear" w:color="auto" w:fill="FFFFFF"/>
            <w:noWrap/>
            <w:tcMar>
              <w:top w:w="15" w:type="dxa"/>
              <w:right w:w="15" w:type="dxa"/>
            </w:tcMar>
            <w:vAlign w:val="bottom"/>
          </w:tcPr>
          <w:p w14:paraId="3973DD5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top w:val="single" w:sz="6" w:space="0" w:color="000000"/>
            </w:tcBorders>
            <w:shd w:val="clear" w:color="auto" w:fill="FFFFFF"/>
            <w:noWrap/>
            <w:tcMar>
              <w:top w:w="15" w:type="dxa"/>
              <w:right w:w="15" w:type="dxa"/>
            </w:tcMar>
            <w:vAlign w:val="bottom"/>
          </w:tcPr>
          <w:p w14:paraId="3973DD5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1,658</w:t>
            </w:r>
          </w:p>
        </w:tc>
        <w:tc>
          <w:tcPr>
            <w:tcW w:w="36" w:type="pct"/>
            <w:shd w:val="clear" w:color="auto" w:fill="FFFFFF"/>
            <w:noWrap/>
            <w:tcMar>
              <w:top w:w="15" w:type="dxa"/>
              <w:right w:w="15" w:type="dxa"/>
            </w:tcMar>
            <w:vAlign w:val="bottom"/>
          </w:tcPr>
          <w:p w14:paraId="3973DD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5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tcBorders>
            <w:shd w:val="clear" w:color="auto" w:fill="FFFFFF"/>
            <w:noWrap/>
            <w:tcMar>
              <w:top w:w="15" w:type="dxa"/>
              <w:right w:w="15" w:type="dxa"/>
            </w:tcMar>
            <w:vAlign w:val="bottom"/>
          </w:tcPr>
          <w:p w14:paraId="3973DD5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top w:val="single" w:sz="6" w:space="0" w:color="000000"/>
            </w:tcBorders>
            <w:shd w:val="clear" w:color="auto" w:fill="FFFFFF"/>
            <w:noWrap/>
            <w:tcMar>
              <w:top w:w="15" w:type="dxa"/>
              <w:right w:w="15" w:type="dxa"/>
            </w:tcMar>
            <w:vAlign w:val="bottom"/>
          </w:tcPr>
          <w:p w14:paraId="3973DD5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5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D5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top w:val="single" w:sz="6" w:space="0" w:color="000000"/>
            </w:tcBorders>
            <w:shd w:val="clear" w:color="auto" w:fill="FFFFFF"/>
            <w:noWrap/>
            <w:tcMar>
              <w:top w:w="15" w:type="dxa"/>
              <w:right w:w="15" w:type="dxa"/>
            </w:tcMar>
            <w:vAlign w:val="bottom"/>
          </w:tcPr>
          <w:p w14:paraId="3973DD5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5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5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D5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top w:val="single" w:sz="6" w:space="0" w:color="000000"/>
            </w:tcBorders>
            <w:shd w:val="clear" w:color="auto" w:fill="FFFFFF"/>
            <w:noWrap/>
            <w:tcMar>
              <w:top w:w="15" w:type="dxa"/>
              <w:right w:w="15" w:type="dxa"/>
            </w:tcMar>
            <w:vAlign w:val="bottom"/>
          </w:tcPr>
          <w:p w14:paraId="3973DD5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1,658</w:t>
            </w:r>
          </w:p>
        </w:tc>
        <w:tc>
          <w:tcPr>
            <w:tcW w:w="36" w:type="pct"/>
            <w:shd w:val="clear" w:color="auto" w:fill="FFFFFF"/>
            <w:noWrap/>
            <w:tcMar>
              <w:top w:w="15" w:type="dxa"/>
              <w:right w:w="15" w:type="dxa"/>
            </w:tcMar>
            <w:vAlign w:val="bottom"/>
          </w:tcPr>
          <w:p w14:paraId="3973DD5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6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D6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FFFFFF"/>
            <w:noWrap/>
            <w:tcMar>
              <w:top w:w="15" w:type="dxa"/>
              <w:right w:w="15" w:type="dxa"/>
            </w:tcMar>
            <w:vAlign w:val="bottom"/>
          </w:tcPr>
          <w:p w14:paraId="3973DD6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6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6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tcBorders>
            <w:shd w:val="clear" w:color="auto" w:fill="FFFFFF"/>
            <w:noWrap/>
            <w:tcMar>
              <w:top w:w="15" w:type="dxa"/>
              <w:right w:w="15" w:type="dxa"/>
            </w:tcMar>
            <w:vAlign w:val="bottom"/>
          </w:tcPr>
          <w:p w14:paraId="3973DD6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top w:val="single" w:sz="6" w:space="0" w:color="000000"/>
            </w:tcBorders>
            <w:shd w:val="clear" w:color="auto" w:fill="FFFFFF"/>
            <w:noWrap/>
            <w:tcMar>
              <w:top w:w="15" w:type="dxa"/>
              <w:right w:w="15" w:type="dxa"/>
            </w:tcMar>
            <w:vAlign w:val="bottom"/>
          </w:tcPr>
          <w:p w14:paraId="3973DD6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1,658</w:t>
            </w:r>
          </w:p>
        </w:tc>
        <w:tc>
          <w:tcPr>
            <w:tcW w:w="36" w:type="pct"/>
            <w:shd w:val="clear" w:color="auto" w:fill="FFFFFF"/>
            <w:noWrap/>
            <w:tcMar>
              <w:top w:w="15" w:type="dxa"/>
              <w:right w:w="15" w:type="dxa"/>
            </w:tcMar>
            <w:vAlign w:val="bottom"/>
          </w:tcPr>
          <w:p w14:paraId="3973DD6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D86" w14:textId="77777777">
        <w:tc>
          <w:tcPr>
            <w:tcW w:w="1588" w:type="pct"/>
            <w:shd w:val="clear" w:color="auto" w:fill="CFF0FC"/>
            <w:tcMar>
              <w:top w:w="15" w:type="dxa"/>
              <w:right w:w="15" w:type="dxa"/>
            </w:tcMar>
          </w:tcPr>
          <w:p w14:paraId="3973DD69"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11" w:type="pct"/>
            <w:shd w:val="clear" w:color="auto" w:fill="CFF0FC"/>
            <w:tcMar>
              <w:top w:w="15" w:type="dxa"/>
              <w:right w:w="15" w:type="dxa"/>
            </w:tcMar>
            <w:vAlign w:val="bottom"/>
          </w:tcPr>
          <w:p w14:paraId="3973DD6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D6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D6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36" w:type="pct"/>
            <w:shd w:val="clear" w:color="auto" w:fill="CFF0FC"/>
            <w:noWrap/>
            <w:tcMar>
              <w:top w:w="15" w:type="dxa"/>
              <w:right w:w="15" w:type="dxa"/>
            </w:tcMar>
            <w:vAlign w:val="bottom"/>
          </w:tcPr>
          <w:p w14:paraId="3973DD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6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D6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D7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128</w:t>
            </w:r>
          </w:p>
        </w:tc>
        <w:tc>
          <w:tcPr>
            <w:tcW w:w="36" w:type="pct"/>
            <w:shd w:val="clear" w:color="auto" w:fill="CFF0FC"/>
            <w:noWrap/>
            <w:tcMar>
              <w:top w:w="15" w:type="dxa"/>
              <w:right w:w="15" w:type="dxa"/>
            </w:tcMar>
            <w:vAlign w:val="bottom"/>
          </w:tcPr>
          <w:p w14:paraId="3973DD7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7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D7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D7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7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7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D7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7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7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7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D7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128</w:t>
            </w:r>
          </w:p>
        </w:tc>
        <w:tc>
          <w:tcPr>
            <w:tcW w:w="36" w:type="pct"/>
            <w:shd w:val="clear" w:color="auto" w:fill="CFF0FC"/>
            <w:noWrap/>
            <w:tcMar>
              <w:top w:w="15" w:type="dxa"/>
              <w:right w:w="15" w:type="dxa"/>
            </w:tcMar>
            <w:vAlign w:val="bottom"/>
          </w:tcPr>
          <w:p w14:paraId="3973DD7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7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7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D8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8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8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D8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D8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128</w:t>
            </w:r>
          </w:p>
        </w:tc>
        <w:tc>
          <w:tcPr>
            <w:tcW w:w="36" w:type="pct"/>
            <w:shd w:val="clear" w:color="auto" w:fill="CFF0FC"/>
            <w:noWrap/>
            <w:tcMar>
              <w:top w:w="15" w:type="dxa"/>
              <w:right w:w="15" w:type="dxa"/>
            </w:tcMar>
            <w:vAlign w:val="bottom"/>
          </w:tcPr>
          <w:p w14:paraId="3973DD8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DA4" w14:textId="77777777">
        <w:tc>
          <w:tcPr>
            <w:tcW w:w="1588" w:type="pct"/>
            <w:shd w:val="clear" w:color="auto" w:fill="FFFFFF"/>
            <w:tcMar>
              <w:top w:w="15" w:type="dxa"/>
              <w:right w:w="15" w:type="dxa"/>
            </w:tcMar>
          </w:tcPr>
          <w:p w14:paraId="3973DD87"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11" w:type="pct"/>
            <w:shd w:val="clear" w:color="auto" w:fill="FFFFFF"/>
            <w:tcMar>
              <w:top w:w="15" w:type="dxa"/>
              <w:right w:w="15" w:type="dxa"/>
            </w:tcMar>
            <w:vAlign w:val="bottom"/>
          </w:tcPr>
          <w:p w14:paraId="3973DD8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D8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D8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8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8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D8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D8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1,837</w:t>
            </w:r>
          </w:p>
        </w:tc>
        <w:tc>
          <w:tcPr>
            <w:tcW w:w="36" w:type="pct"/>
            <w:shd w:val="clear" w:color="auto" w:fill="FFFFFF"/>
            <w:noWrap/>
            <w:tcMar>
              <w:top w:w="15" w:type="dxa"/>
              <w:right w:w="15" w:type="dxa"/>
            </w:tcMar>
            <w:vAlign w:val="bottom"/>
          </w:tcPr>
          <w:p w14:paraId="3973DD8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9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D9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D9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9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9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9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D9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9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9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9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D9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1,837</w:t>
            </w:r>
          </w:p>
        </w:tc>
        <w:tc>
          <w:tcPr>
            <w:tcW w:w="36" w:type="pct"/>
            <w:shd w:val="clear" w:color="auto" w:fill="FFFFFF"/>
            <w:noWrap/>
            <w:tcMar>
              <w:top w:w="15" w:type="dxa"/>
              <w:right w:w="15" w:type="dxa"/>
            </w:tcMar>
            <w:vAlign w:val="bottom"/>
          </w:tcPr>
          <w:p w14:paraId="3973DD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9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9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D9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A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D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DA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1,837</w:t>
            </w:r>
          </w:p>
        </w:tc>
        <w:tc>
          <w:tcPr>
            <w:tcW w:w="36" w:type="pct"/>
            <w:shd w:val="clear" w:color="auto" w:fill="FFFFFF"/>
            <w:noWrap/>
            <w:tcMar>
              <w:top w:w="15" w:type="dxa"/>
              <w:right w:w="15" w:type="dxa"/>
            </w:tcMar>
            <w:vAlign w:val="bottom"/>
          </w:tcPr>
          <w:p w14:paraId="3973DDA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DC2" w14:textId="77777777">
        <w:tc>
          <w:tcPr>
            <w:tcW w:w="1588" w:type="pct"/>
            <w:shd w:val="clear" w:color="auto" w:fill="CFF0FC"/>
            <w:tcMar>
              <w:top w:w="15" w:type="dxa"/>
              <w:right w:w="15" w:type="dxa"/>
            </w:tcMar>
          </w:tcPr>
          <w:p w14:paraId="3973DDA5"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Repurchases of common stock</w:t>
            </w:r>
          </w:p>
        </w:tc>
        <w:tc>
          <w:tcPr>
            <w:tcW w:w="11" w:type="pct"/>
            <w:shd w:val="clear" w:color="auto" w:fill="CFF0FC"/>
            <w:tcMar>
              <w:top w:w="15" w:type="dxa"/>
              <w:right w:w="15" w:type="dxa"/>
            </w:tcMar>
            <w:vAlign w:val="bottom"/>
          </w:tcPr>
          <w:p w14:paraId="3973DDA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DA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DA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(329</w:t>
            </w:r>
          </w:p>
        </w:tc>
        <w:tc>
          <w:tcPr>
            <w:tcW w:w="36" w:type="pct"/>
            <w:shd w:val="clear" w:color="auto" w:fill="CFF0FC"/>
            <w:noWrap/>
            <w:tcMar>
              <w:top w:w="15" w:type="dxa"/>
              <w:right w:w="15" w:type="dxa"/>
            </w:tcMar>
            <w:vAlign w:val="bottom"/>
          </w:tcPr>
          <w:p w14:paraId="3973DDA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A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DA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DA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(2,893</w:t>
            </w:r>
          </w:p>
        </w:tc>
        <w:tc>
          <w:tcPr>
            <w:tcW w:w="36" w:type="pct"/>
            <w:shd w:val="clear" w:color="auto" w:fill="CFF0FC"/>
            <w:noWrap/>
            <w:tcMar>
              <w:top w:w="15" w:type="dxa"/>
              <w:right w:w="15" w:type="dxa"/>
            </w:tcMar>
            <w:vAlign w:val="bottom"/>
          </w:tcPr>
          <w:p w14:paraId="3973DDA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A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DA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DB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(18,107</w:t>
            </w:r>
          </w:p>
        </w:tc>
        <w:tc>
          <w:tcPr>
            <w:tcW w:w="36" w:type="pct"/>
            <w:shd w:val="clear" w:color="auto" w:fill="CFF0FC"/>
            <w:noWrap/>
            <w:tcMar>
              <w:top w:w="15" w:type="dxa"/>
              <w:right w:w="15" w:type="dxa"/>
            </w:tcMar>
            <w:vAlign w:val="bottom"/>
          </w:tcPr>
          <w:p w14:paraId="3973DDB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B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B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DB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B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B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B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DB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(21,000</w:t>
            </w:r>
          </w:p>
        </w:tc>
        <w:tc>
          <w:tcPr>
            <w:tcW w:w="36" w:type="pct"/>
            <w:shd w:val="clear" w:color="auto" w:fill="CFF0FC"/>
            <w:noWrap/>
            <w:tcMar>
              <w:top w:w="15" w:type="dxa"/>
              <w:right w:w="15" w:type="dxa"/>
            </w:tcMar>
            <w:vAlign w:val="bottom"/>
          </w:tcPr>
          <w:p w14:paraId="3973DDB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B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B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DB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B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B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DB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DC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(21,000</w:t>
            </w:r>
          </w:p>
        </w:tc>
        <w:tc>
          <w:tcPr>
            <w:tcW w:w="36" w:type="pct"/>
            <w:shd w:val="clear" w:color="auto" w:fill="CFF0FC"/>
            <w:noWrap/>
            <w:tcMar>
              <w:top w:w="15" w:type="dxa"/>
              <w:right w:w="15" w:type="dxa"/>
            </w:tcMar>
            <w:vAlign w:val="bottom"/>
          </w:tcPr>
          <w:p w14:paraId="3973DDC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DE0" w14:textId="77777777">
        <w:tc>
          <w:tcPr>
            <w:tcW w:w="1588" w:type="pct"/>
            <w:shd w:val="clear" w:color="auto" w:fill="FFFFFF"/>
            <w:tcMar>
              <w:top w:w="15" w:type="dxa"/>
              <w:right w:w="15" w:type="dxa"/>
            </w:tcMar>
          </w:tcPr>
          <w:p w14:paraId="3973DDC3"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11" w:type="pct"/>
            <w:shd w:val="clear" w:color="auto" w:fill="FFFFFF"/>
            <w:tcMar>
              <w:top w:w="15" w:type="dxa"/>
              <w:right w:w="15" w:type="dxa"/>
            </w:tcMar>
            <w:vAlign w:val="bottom"/>
          </w:tcPr>
          <w:p w14:paraId="3973DDC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DC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DC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36" w:type="pct"/>
            <w:shd w:val="clear" w:color="auto" w:fill="FFFFFF"/>
            <w:noWrap/>
            <w:tcMar>
              <w:top w:w="15" w:type="dxa"/>
              <w:right w:w="15" w:type="dxa"/>
            </w:tcMar>
            <w:vAlign w:val="bottom"/>
          </w:tcPr>
          <w:p w14:paraId="3973DDC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DC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DC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DC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(666</w:t>
            </w:r>
          </w:p>
        </w:tc>
        <w:tc>
          <w:tcPr>
            <w:tcW w:w="36" w:type="pct"/>
            <w:shd w:val="clear" w:color="auto" w:fill="FFFFFF"/>
            <w:noWrap/>
            <w:tcMar>
              <w:top w:w="15" w:type="dxa"/>
              <w:right w:w="15" w:type="dxa"/>
            </w:tcMar>
            <w:vAlign w:val="bottom"/>
          </w:tcPr>
          <w:p w14:paraId="3973DDC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DC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DC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DC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C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D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D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DD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D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D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D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DD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(666</w:t>
            </w:r>
          </w:p>
        </w:tc>
        <w:tc>
          <w:tcPr>
            <w:tcW w:w="36" w:type="pct"/>
            <w:shd w:val="clear" w:color="auto" w:fill="FFFFFF"/>
            <w:noWrap/>
            <w:tcMar>
              <w:top w:w="15" w:type="dxa"/>
              <w:right w:w="15" w:type="dxa"/>
            </w:tcMar>
            <w:vAlign w:val="bottom"/>
          </w:tcPr>
          <w:p w14:paraId="3973DDD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DD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DD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DD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DD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DD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DD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DD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(666</w:t>
            </w:r>
          </w:p>
        </w:tc>
        <w:tc>
          <w:tcPr>
            <w:tcW w:w="36" w:type="pct"/>
            <w:shd w:val="clear" w:color="auto" w:fill="FFFFFF"/>
            <w:noWrap/>
            <w:tcMar>
              <w:top w:w="15" w:type="dxa"/>
              <w:right w:w="15" w:type="dxa"/>
            </w:tcMar>
            <w:vAlign w:val="bottom"/>
          </w:tcPr>
          <w:p w14:paraId="3973DDD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DFE" w14:textId="77777777">
        <w:tc>
          <w:tcPr>
            <w:tcW w:w="1588" w:type="pct"/>
            <w:shd w:val="clear" w:color="auto" w:fill="CFF0FC"/>
            <w:tcMar>
              <w:top w:w="15" w:type="dxa"/>
              <w:right w:w="15" w:type="dxa"/>
            </w:tcMar>
          </w:tcPr>
          <w:p w14:paraId="3973DDE1"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($1.04 per share)</w:t>
            </w:r>
          </w:p>
        </w:tc>
        <w:tc>
          <w:tcPr>
            <w:tcW w:w="11" w:type="pct"/>
            <w:shd w:val="clear" w:color="auto" w:fill="CFF0FC"/>
            <w:tcMar>
              <w:top w:w="15" w:type="dxa"/>
              <w:right w:w="15" w:type="dxa"/>
            </w:tcMar>
            <w:vAlign w:val="bottom"/>
          </w:tcPr>
          <w:p w14:paraId="3973DDE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DE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DE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E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E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DE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DE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E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E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DE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DE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(3,063</w:t>
            </w:r>
          </w:p>
        </w:tc>
        <w:tc>
          <w:tcPr>
            <w:tcW w:w="36" w:type="pct"/>
            <w:shd w:val="clear" w:color="auto" w:fill="CFF0FC"/>
            <w:noWrap/>
            <w:tcMar>
              <w:top w:w="15" w:type="dxa"/>
              <w:right w:w="15" w:type="dxa"/>
            </w:tcMar>
            <w:vAlign w:val="bottom"/>
          </w:tcPr>
          <w:p w14:paraId="3973DDE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E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E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DF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F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F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F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DF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(3,063</w:t>
            </w:r>
          </w:p>
        </w:tc>
        <w:tc>
          <w:tcPr>
            <w:tcW w:w="36" w:type="pct"/>
            <w:shd w:val="clear" w:color="auto" w:fill="CFF0FC"/>
            <w:noWrap/>
            <w:tcMar>
              <w:top w:w="15" w:type="dxa"/>
              <w:right w:w="15" w:type="dxa"/>
            </w:tcMar>
            <w:vAlign w:val="bottom"/>
          </w:tcPr>
          <w:p w14:paraId="3973DDF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DF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DF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DF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DF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DF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DF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DF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(3,063</w:t>
            </w:r>
          </w:p>
        </w:tc>
        <w:tc>
          <w:tcPr>
            <w:tcW w:w="36" w:type="pct"/>
            <w:shd w:val="clear" w:color="auto" w:fill="CFF0FC"/>
            <w:noWrap/>
            <w:tcMar>
              <w:top w:w="15" w:type="dxa"/>
              <w:right w:w="15" w:type="dxa"/>
            </w:tcMar>
            <w:vAlign w:val="bottom"/>
          </w:tcPr>
          <w:p w14:paraId="3973DDF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E1C" w14:textId="77777777">
        <w:tc>
          <w:tcPr>
            <w:tcW w:w="1588" w:type="pct"/>
            <w:shd w:val="clear" w:color="auto" w:fill="FFFFFF"/>
            <w:tcMar>
              <w:top w:w="15" w:type="dxa"/>
              <w:right w:w="15" w:type="dxa"/>
            </w:tcMar>
          </w:tcPr>
          <w:p w14:paraId="3973DDFF"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11" w:type="pct"/>
            <w:shd w:val="clear" w:color="auto" w:fill="FFFFFF"/>
            <w:tcMar>
              <w:top w:w="15" w:type="dxa"/>
              <w:right w:w="15" w:type="dxa"/>
            </w:tcMar>
            <w:vAlign w:val="bottom"/>
          </w:tcPr>
          <w:p w14:paraId="3973DE0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E0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E0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0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0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E0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E0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36" w:type="pct"/>
            <w:shd w:val="clear" w:color="auto" w:fill="FFFFFF"/>
            <w:noWrap/>
            <w:tcMar>
              <w:top w:w="15" w:type="dxa"/>
              <w:right w:w="15" w:type="dxa"/>
            </w:tcMar>
            <w:vAlign w:val="bottom"/>
          </w:tcPr>
          <w:p w14:paraId="3973DE0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E0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E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E0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0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0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0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E0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0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1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1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E1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36" w:type="pct"/>
            <w:shd w:val="clear" w:color="auto" w:fill="FFFFFF"/>
            <w:noWrap/>
            <w:tcMar>
              <w:top w:w="15" w:type="dxa"/>
              <w:right w:w="15" w:type="dxa"/>
            </w:tcMar>
            <w:vAlign w:val="bottom"/>
          </w:tcPr>
          <w:p w14:paraId="3973DE1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E1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1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E1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w:t>
            </w:r>
          </w:p>
        </w:tc>
        <w:tc>
          <w:tcPr>
            <w:tcW w:w="36" w:type="pct"/>
            <w:shd w:val="clear" w:color="auto" w:fill="FFFFFF"/>
            <w:noWrap/>
            <w:tcMar>
              <w:top w:w="15" w:type="dxa"/>
              <w:right w:w="15" w:type="dxa"/>
            </w:tcMar>
            <w:vAlign w:val="bottom"/>
          </w:tcPr>
          <w:p w14:paraId="3973DE1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E1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E1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E1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(128</w:t>
            </w:r>
          </w:p>
        </w:tc>
        <w:tc>
          <w:tcPr>
            <w:tcW w:w="36" w:type="pct"/>
            <w:shd w:val="clear" w:color="auto" w:fill="FFFFFF"/>
            <w:noWrap/>
            <w:tcMar>
              <w:top w:w="15" w:type="dxa"/>
              <w:right w:w="15" w:type="dxa"/>
            </w:tcMar>
            <w:vAlign w:val="bottom"/>
          </w:tcPr>
          <w:p w14:paraId="3973DE1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E3A" w14:textId="77777777">
        <w:tc>
          <w:tcPr>
            <w:tcW w:w="1588" w:type="pct"/>
            <w:shd w:val="clear" w:color="auto" w:fill="CFF0FC"/>
            <w:tcMar>
              <w:top w:w="15" w:type="dxa"/>
              <w:right w:w="15" w:type="dxa"/>
            </w:tcMar>
          </w:tcPr>
          <w:p w14:paraId="3973DE1D"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income, net</w:t>
            </w:r>
          </w:p>
        </w:tc>
        <w:tc>
          <w:tcPr>
            <w:tcW w:w="11" w:type="pct"/>
            <w:shd w:val="clear" w:color="auto" w:fill="CFF0FC"/>
            <w:tcMar>
              <w:top w:w="15" w:type="dxa"/>
              <w:right w:w="15" w:type="dxa"/>
            </w:tcMar>
            <w:vAlign w:val="bottom"/>
          </w:tcPr>
          <w:p w14:paraId="3973DE1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E1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E2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2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2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E2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E2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2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2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E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E2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2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2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2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E2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541</w:t>
            </w:r>
          </w:p>
        </w:tc>
        <w:tc>
          <w:tcPr>
            <w:tcW w:w="36" w:type="pct"/>
            <w:shd w:val="clear" w:color="auto" w:fill="CFF0FC"/>
            <w:noWrap/>
            <w:tcMar>
              <w:top w:w="15" w:type="dxa"/>
              <w:right w:w="15" w:type="dxa"/>
            </w:tcMar>
            <w:vAlign w:val="bottom"/>
          </w:tcPr>
          <w:p w14:paraId="3973DE2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2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E3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541</w:t>
            </w:r>
          </w:p>
        </w:tc>
        <w:tc>
          <w:tcPr>
            <w:tcW w:w="36" w:type="pct"/>
            <w:shd w:val="clear" w:color="auto" w:fill="CFF0FC"/>
            <w:noWrap/>
            <w:tcMar>
              <w:top w:w="15" w:type="dxa"/>
              <w:right w:w="15" w:type="dxa"/>
            </w:tcMar>
            <w:vAlign w:val="bottom"/>
          </w:tcPr>
          <w:p w14:paraId="3973DE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3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E3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36" w:type="pct"/>
            <w:shd w:val="clear" w:color="auto" w:fill="CFF0FC"/>
            <w:noWrap/>
            <w:tcMar>
              <w:top w:w="15" w:type="dxa"/>
              <w:right w:w="15" w:type="dxa"/>
            </w:tcMar>
            <w:vAlign w:val="bottom"/>
          </w:tcPr>
          <w:p w14:paraId="3973DE3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3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E3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E3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543</w:t>
            </w:r>
          </w:p>
        </w:tc>
        <w:tc>
          <w:tcPr>
            <w:tcW w:w="36" w:type="pct"/>
            <w:shd w:val="clear" w:color="auto" w:fill="CFF0FC"/>
            <w:noWrap/>
            <w:tcMar>
              <w:top w:w="15" w:type="dxa"/>
              <w:right w:w="15" w:type="dxa"/>
            </w:tcMar>
            <w:vAlign w:val="bottom"/>
          </w:tcPr>
          <w:p w14:paraId="3973DE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58" w14:textId="77777777">
        <w:tc>
          <w:tcPr>
            <w:tcW w:w="1588" w:type="pct"/>
            <w:shd w:val="clear" w:color="auto" w:fill="FFFFFF"/>
            <w:tcMar>
              <w:top w:w="15" w:type="dxa"/>
              <w:right w:w="15" w:type="dxa"/>
            </w:tcMar>
          </w:tcPr>
          <w:p w14:paraId="3973DE3B"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11" w:type="pct"/>
            <w:shd w:val="clear" w:color="auto" w:fill="FFFFFF"/>
            <w:tcMar>
              <w:top w:w="15" w:type="dxa"/>
              <w:right w:w="15" w:type="dxa"/>
            </w:tcMar>
            <w:vAlign w:val="bottom"/>
          </w:tcPr>
          <w:p w14:paraId="3973DE3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bottom w:val="single" w:sz="6" w:space="0" w:color="000000"/>
            </w:tcBorders>
            <w:shd w:val="clear" w:color="auto" w:fill="FFFFFF"/>
            <w:noWrap/>
            <w:tcMar>
              <w:top w:w="15" w:type="dxa"/>
              <w:right w:w="15" w:type="dxa"/>
            </w:tcMar>
            <w:vAlign w:val="bottom"/>
          </w:tcPr>
          <w:p w14:paraId="3973DE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bottom w:val="single" w:sz="6" w:space="0" w:color="000000"/>
            </w:tcBorders>
            <w:shd w:val="clear" w:color="auto" w:fill="FFFFFF"/>
            <w:noWrap/>
            <w:tcMar>
              <w:top w:w="15" w:type="dxa"/>
              <w:right w:w="15" w:type="dxa"/>
            </w:tcMar>
            <w:vAlign w:val="bottom"/>
          </w:tcPr>
          <w:p w14:paraId="3973DE3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4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bottom w:val="single" w:sz="6" w:space="0" w:color="000000"/>
            </w:tcBorders>
            <w:shd w:val="clear" w:color="auto" w:fill="FFFFFF"/>
            <w:noWrap/>
            <w:tcMar>
              <w:top w:w="15" w:type="dxa"/>
              <w:right w:w="15" w:type="dxa"/>
            </w:tcMar>
            <w:vAlign w:val="bottom"/>
          </w:tcPr>
          <w:p w14:paraId="3973DE4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bottom w:val="single" w:sz="6" w:space="0" w:color="000000"/>
            </w:tcBorders>
            <w:shd w:val="clear" w:color="auto" w:fill="FFFFFF"/>
            <w:noWrap/>
            <w:tcMar>
              <w:top w:w="15" w:type="dxa"/>
              <w:right w:w="15" w:type="dxa"/>
            </w:tcMar>
            <w:vAlign w:val="bottom"/>
          </w:tcPr>
          <w:p w14:paraId="3973DE4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4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4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bottom w:val="single" w:sz="6" w:space="0" w:color="000000"/>
            </w:tcBorders>
            <w:shd w:val="clear" w:color="auto" w:fill="FFFFFF"/>
            <w:noWrap/>
            <w:tcMar>
              <w:top w:w="15" w:type="dxa"/>
              <w:right w:w="15" w:type="dxa"/>
            </w:tcMar>
            <w:vAlign w:val="bottom"/>
          </w:tcPr>
          <w:p w14:paraId="3973DE4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bottom w:val="single" w:sz="6" w:space="0" w:color="000000"/>
            </w:tcBorders>
            <w:shd w:val="clear" w:color="auto" w:fill="FFFFFF"/>
            <w:noWrap/>
            <w:tcMar>
              <w:top w:w="15" w:type="dxa"/>
              <w:right w:w="15" w:type="dxa"/>
            </w:tcMar>
            <w:vAlign w:val="bottom"/>
          </w:tcPr>
          <w:p w14:paraId="3973DE4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13,746</w:t>
            </w:r>
          </w:p>
        </w:tc>
        <w:tc>
          <w:tcPr>
            <w:tcW w:w="36" w:type="pct"/>
            <w:shd w:val="clear" w:color="auto" w:fill="FFFFFF"/>
            <w:noWrap/>
            <w:tcMar>
              <w:top w:w="15" w:type="dxa"/>
              <w:right w:w="15" w:type="dxa"/>
            </w:tcMar>
            <w:vAlign w:val="bottom"/>
          </w:tcPr>
          <w:p w14:paraId="3973DE4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4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E4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bottom w:val="single" w:sz="6" w:space="0" w:color="000000"/>
            </w:tcBorders>
            <w:shd w:val="clear" w:color="auto" w:fill="FFFFFF"/>
            <w:noWrap/>
            <w:tcMar>
              <w:top w:w="15" w:type="dxa"/>
              <w:right w:w="15" w:type="dxa"/>
            </w:tcMar>
            <w:vAlign w:val="bottom"/>
          </w:tcPr>
          <w:p w14:paraId="3973DE4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4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4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E4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bottom w:val="single" w:sz="6" w:space="0" w:color="000000"/>
            </w:tcBorders>
            <w:shd w:val="clear" w:color="auto" w:fill="FFFFFF"/>
            <w:noWrap/>
            <w:tcMar>
              <w:top w:w="15" w:type="dxa"/>
              <w:right w:w="15" w:type="dxa"/>
            </w:tcMar>
            <w:vAlign w:val="bottom"/>
          </w:tcPr>
          <w:p w14:paraId="3973DE4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13,746</w:t>
            </w:r>
          </w:p>
        </w:tc>
        <w:tc>
          <w:tcPr>
            <w:tcW w:w="36" w:type="pct"/>
            <w:shd w:val="clear" w:color="auto" w:fill="FFFFFF"/>
            <w:noWrap/>
            <w:tcMar>
              <w:top w:w="15" w:type="dxa"/>
              <w:right w:w="15" w:type="dxa"/>
            </w:tcMar>
            <w:vAlign w:val="bottom"/>
          </w:tcPr>
          <w:p w14:paraId="3973DE4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5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E5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3973DE5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180</w:t>
            </w:r>
          </w:p>
        </w:tc>
        <w:tc>
          <w:tcPr>
            <w:tcW w:w="36" w:type="pct"/>
            <w:shd w:val="clear" w:color="auto" w:fill="FFFFFF"/>
            <w:noWrap/>
            <w:tcMar>
              <w:top w:w="15" w:type="dxa"/>
              <w:right w:w="15" w:type="dxa"/>
            </w:tcMar>
            <w:vAlign w:val="bottom"/>
          </w:tcPr>
          <w:p w14:paraId="3973DE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5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bottom w:val="single" w:sz="6" w:space="0" w:color="000000"/>
            </w:tcBorders>
            <w:shd w:val="clear" w:color="auto" w:fill="FFFFFF"/>
            <w:noWrap/>
            <w:tcMar>
              <w:top w:w="15" w:type="dxa"/>
              <w:right w:w="15" w:type="dxa"/>
            </w:tcMar>
            <w:vAlign w:val="bottom"/>
          </w:tcPr>
          <w:p w14:paraId="3973DE5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bottom w:val="single" w:sz="6" w:space="0" w:color="000000"/>
            </w:tcBorders>
            <w:shd w:val="clear" w:color="auto" w:fill="FFFFFF"/>
            <w:noWrap/>
            <w:tcMar>
              <w:top w:w="15" w:type="dxa"/>
              <w:right w:w="15" w:type="dxa"/>
            </w:tcMar>
            <w:vAlign w:val="bottom"/>
          </w:tcPr>
          <w:p w14:paraId="3973DE5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13,926</w:t>
            </w:r>
          </w:p>
        </w:tc>
        <w:tc>
          <w:tcPr>
            <w:tcW w:w="36" w:type="pct"/>
            <w:shd w:val="clear" w:color="auto" w:fill="FFFFFF"/>
            <w:noWrap/>
            <w:tcMar>
              <w:top w:w="15" w:type="dxa"/>
              <w:right w:w="15" w:type="dxa"/>
            </w:tcMar>
            <w:vAlign w:val="bottom"/>
          </w:tcPr>
          <w:p w14:paraId="3973DE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76" w14:textId="77777777">
        <w:tc>
          <w:tcPr>
            <w:tcW w:w="1588" w:type="pct"/>
            <w:shd w:val="clear" w:color="auto" w:fill="CFF0FC"/>
            <w:tcMar>
              <w:top w:w="15" w:type="dxa"/>
              <w:right w:w="15" w:type="dxa"/>
            </w:tcMar>
          </w:tcPr>
          <w:p w14:paraId="3973DE59"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2021</w:t>
            </w:r>
          </w:p>
        </w:tc>
        <w:tc>
          <w:tcPr>
            <w:tcW w:w="11" w:type="pct"/>
            <w:shd w:val="clear" w:color="auto" w:fill="CFF0FC"/>
            <w:tcMar>
              <w:top w:w="15" w:type="dxa"/>
              <w:right w:w="15" w:type="dxa"/>
            </w:tcMar>
            <w:vAlign w:val="bottom"/>
          </w:tcPr>
          <w:p w14:paraId="3973DE5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bottom w:val="single" w:sz="6" w:space="0" w:color="000000"/>
            </w:tcBorders>
            <w:shd w:val="clear" w:color="auto" w:fill="CFF0FC"/>
            <w:noWrap/>
            <w:tcMar>
              <w:top w:w="15" w:type="dxa"/>
              <w:right w:w="15" w:type="dxa"/>
            </w:tcMar>
            <w:vAlign w:val="bottom"/>
          </w:tcPr>
          <w:p w14:paraId="3973DE5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bottom w:val="single" w:sz="6" w:space="0" w:color="000000"/>
            </w:tcBorders>
            <w:shd w:val="clear" w:color="auto" w:fill="CFF0FC"/>
            <w:noWrap/>
            <w:tcMar>
              <w:top w:w="15" w:type="dxa"/>
              <w:right w:w="15" w:type="dxa"/>
            </w:tcMar>
            <w:vAlign w:val="bottom"/>
          </w:tcPr>
          <w:p w14:paraId="3973DE5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2,814</w:t>
            </w:r>
          </w:p>
        </w:tc>
        <w:tc>
          <w:tcPr>
            <w:tcW w:w="36" w:type="pct"/>
            <w:shd w:val="clear" w:color="auto" w:fill="CFF0FC"/>
            <w:noWrap/>
            <w:tcMar>
              <w:top w:w="15" w:type="dxa"/>
              <w:right w:w="15" w:type="dxa"/>
            </w:tcMar>
            <w:vAlign w:val="bottom"/>
          </w:tcPr>
          <w:p w14:paraId="3973DE5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5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bottom w:val="single" w:sz="6" w:space="0" w:color="000000"/>
            </w:tcBorders>
            <w:shd w:val="clear" w:color="auto" w:fill="CFF0FC"/>
            <w:noWrap/>
            <w:tcMar>
              <w:top w:w="15" w:type="dxa"/>
              <w:right w:w="15" w:type="dxa"/>
            </w:tcMar>
            <w:vAlign w:val="bottom"/>
          </w:tcPr>
          <w:p w14:paraId="3973DE5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top w:val="single" w:sz="6" w:space="0" w:color="000000"/>
              <w:bottom w:val="single" w:sz="6" w:space="0" w:color="000000"/>
            </w:tcBorders>
            <w:shd w:val="clear" w:color="auto" w:fill="CFF0FC"/>
            <w:noWrap/>
            <w:tcMar>
              <w:top w:w="15" w:type="dxa"/>
              <w:right w:w="15" w:type="dxa"/>
            </w:tcMar>
            <w:vAlign w:val="bottom"/>
          </w:tcPr>
          <w:p w14:paraId="3973DE6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26,533</w:t>
            </w:r>
          </w:p>
        </w:tc>
        <w:tc>
          <w:tcPr>
            <w:tcW w:w="36" w:type="pct"/>
            <w:shd w:val="clear" w:color="auto" w:fill="CFF0FC"/>
            <w:noWrap/>
            <w:tcMar>
              <w:top w:w="15" w:type="dxa"/>
              <w:right w:w="15" w:type="dxa"/>
            </w:tcMar>
            <w:vAlign w:val="bottom"/>
          </w:tcPr>
          <w:p w14:paraId="3973DE6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6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bottom w:val="single" w:sz="6" w:space="0" w:color="000000"/>
            </w:tcBorders>
            <w:shd w:val="clear" w:color="auto" w:fill="CFF0FC"/>
            <w:noWrap/>
            <w:tcMar>
              <w:top w:w="15" w:type="dxa"/>
              <w:right w:w="15" w:type="dxa"/>
            </w:tcMar>
            <w:vAlign w:val="bottom"/>
          </w:tcPr>
          <w:p w14:paraId="3973DE6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top w:val="single" w:sz="6" w:space="0" w:color="000000"/>
              <w:bottom w:val="single" w:sz="6" w:space="0" w:color="000000"/>
            </w:tcBorders>
            <w:shd w:val="clear" w:color="auto" w:fill="CFF0FC"/>
            <w:noWrap/>
            <w:tcMar>
              <w:top w:w="15" w:type="dxa"/>
              <w:right w:w="15" w:type="dxa"/>
            </w:tcMar>
            <w:vAlign w:val="bottom"/>
          </w:tcPr>
          <w:p w14:paraId="3973DE6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(20,120</w:t>
            </w:r>
          </w:p>
        </w:tc>
        <w:tc>
          <w:tcPr>
            <w:tcW w:w="36" w:type="pct"/>
            <w:shd w:val="clear" w:color="auto" w:fill="CFF0FC"/>
            <w:noWrap/>
            <w:tcMar>
              <w:top w:w="15" w:type="dxa"/>
              <w:right w:w="15" w:type="dxa"/>
            </w:tcMar>
            <w:vAlign w:val="bottom"/>
          </w:tcPr>
          <w:p w14:paraId="3973DE6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6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E6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top w:val="single" w:sz="6" w:space="0" w:color="000000"/>
              <w:bottom w:val="single" w:sz="6" w:space="0" w:color="000000"/>
            </w:tcBorders>
            <w:shd w:val="clear" w:color="auto" w:fill="CFF0FC"/>
            <w:noWrap/>
            <w:tcMar>
              <w:top w:w="15" w:type="dxa"/>
              <w:right w:w="15" w:type="dxa"/>
            </w:tcMar>
            <w:vAlign w:val="bottom"/>
          </w:tcPr>
          <w:p w14:paraId="3973DE6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(1,175</w:t>
            </w:r>
          </w:p>
        </w:tc>
        <w:tc>
          <w:tcPr>
            <w:tcW w:w="36" w:type="pct"/>
            <w:shd w:val="clear" w:color="auto" w:fill="CFF0FC"/>
            <w:noWrap/>
            <w:tcMar>
              <w:top w:w="15" w:type="dxa"/>
              <w:right w:w="15" w:type="dxa"/>
            </w:tcMar>
            <w:vAlign w:val="bottom"/>
          </w:tcPr>
          <w:p w14:paraId="3973DE6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6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E6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top w:val="single" w:sz="6" w:space="0" w:color="000000"/>
              <w:bottom w:val="single" w:sz="6" w:space="0" w:color="000000"/>
            </w:tcBorders>
            <w:shd w:val="clear" w:color="auto" w:fill="CFF0FC"/>
            <w:noWrap/>
            <w:tcMar>
              <w:top w:w="15" w:type="dxa"/>
              <w:right w:w="15" w:type="dxa"/>
            </w:tcMar>
            <w:vAlign w:val="bottom"/>
          </w:tcPr>
          <w:p w14:paraId="3973DE6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5,238</w:t>
            </w:r>
          </w:p>
        </w:tc>
        <w:tc>
          <w:tcPr>
            <w:tcW w:w="36" w:type="pct"/>
            <w:shd w:val="clear" w:color="auto" w:fill="CFF0FC"/>
            <w:noWrap/>
            <w:tcMar>
              <w:top w:w="15" w:type="dxa"/>
              <w:right w:w="15" w:type="dxa"/>
            </w:tcMar>
            <w:vAlign w:val="bottom"/>
          </w:tcPr>
          <w:p w14:paraId="3973DE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6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single" w:sz="6" w:space="0" w:color="000000"/>
            </w:tcBorders>
            <w:shd w:val="clear" w:color="auto" w:fill="CFF0FC"/>
            <w:noWrap/>
            <w:tcMar>
              <w:top w:w="15" w:type="dxa"/>
              <w:right w:w="15" w:type="dxa"/>
            </w:tcMar>
            <w:vAlign w:val="bottom"/>
          </w:tcPr>
          <w:p w14:paraId="3973DE6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3973DE7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714</w:t>
            </w:r>
          </w:p>
        </w:tc>
        <w:tc>
          <w:tcPr>
            <w:tcW w:w="36" w:type="pct"/>
            <w:shd w:val="clear" w:color="auto" w:fill="CFF0FC"/>
            <w:noWrap/>
            <w:tcMar>
              <w:top w:w="15" w:type="dxa"/>
              <w:right w:w="15" w:type="dxa"/>
            </w:tcMar>
            <w:vAlign w:val="bottom"/>
          </w:tcPr>
          <w:p w14:paraId="3973DE7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7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bottom w:val="single" w:sz="6" w:space="0" w:color="000000"/>
            </w:tcBorders>
            <w:shd w:val="clear" w:color="auto" w:fill="CFF0FC"/>
            <w:noWrap/>
            <w:tcMar>
              <w:top w:w="15" w:type="dxa"/>
              <w:right w:w="15" w:type="dxa"/>
            </w:tcMar>
            <w:vAlign w:val="bottom"/>
          </w:tcPr>
          <w:p w14:paraId="3973DE7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top w:val="single" w:sz="6" w:space="0" w:color="000000"/>
              <w:bottom w:val="single" w:sz="6" w:space="0" w:color="000000"/>
            </w:tcBorders>
            <w:shd w:val="clear" w:color="auto" w:fill="CFF0FC"/>
            <w:noWrap/>
            <w:tcMar>
              <w:top w:w="15" w:type="dxa"/>
              <w:right w:w="15" w:type="dxa"/>
            </w:tcMar>
            <w:vAlign w:val="bottom"/>
          </w:tcPr>
          <w:p w14:paraId="3973DE7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5,952</w:t>
            </w:r>
          </w:p>
        </w:tc>
        <w:tc>
          <w:tcPr>
            <w:tcW w:w="36" w:type="pct"/>
            <w:shd w:val="clear" w:color="auto" w:fill="CFF0FC"/>
            <w:noWrap/>
            <w:tcMar>
              <w:top w:w="15" w:type="dxa"/>
              <w:right w:w="15" w:type="dxa"/>
            </w:tcMar>
            <w:vAlign w:val="bottom"/>
          </w:tcPr>
          <w:p w14:paraId="3973DE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94" w14:textId="77777777">
        <w:tc>
          <w:tcPr>
            <w:tcW w:w="1588" w:type="pct"/>
            <w:shd w:val="clear" w:color="auto" w:fill="FFFFFF"/>
            <w:tcMar>
              <w:top w:w="15" w:type="dxa"/>
              <w:right w:w="15" w:type="dxa"/>
            </w:tcMar>
          </w:tcPr>
          <w:p w14:paraId="3973DE77"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 xml:space="preserve">Common stock issued under </w:t>
            </w:r>
            <w:r>
              <w:rPr>
                <w:rFonts w:ascii="Calibri" w:hAnsi="Calibri" w:cs="Calibri"/>
                <w:color w:val="000000"/>
                <w:sz w:val="17"/>
                <w:szCs w:val="17"/>
              </w:rPr>
              <w:t>stock-based compensation plans</w:t>
            </w:r>
          </w:p>
        </w:tc>
        <w:tc>
          <w:tcPr>
            <w:tcW w:w="11" w:type="pct"/>
            <w:shd w:val="clear" w:color="auto" w:fill="FFFFFF"/>
            <w:tcMar>
              <w:top w:w="15" w:type="dxa"/>
              <w:right w:w="15" w:type="dxa"/>
            </w:tcMar>
            <w:vAlign w:val="bottom"/>
          </w:tcPr>
          <w:p w14:paraId="3973DE7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tcBorders>
            <w:shd w:val="clear" w:color="auto" w:fill="FFFFFF"/>
            <w:noWrap/>
            <w:tcMar>
              <w:top w:w="15" w:type="dxa"/>
              <w:right w:w="15" w:type="dxa"/>
            </w:tcMar>
            <w:vAlign w:val="bottom"/>
          </w:tcPr>
          <w:p w14:paraId="3973DE7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tcBorders>
            <w:shd w:val="clear" w:color="auto" w:fill="FFFFFF"/>
            <w:noWrap/>
            <w:tcMar>
              <w:top w:w="15" w:type="dxa"/>
              <w:right w:w="15" w:type="dxa"/>
            </w:tcMar>
            <w:vAlign w:val="bottom"/>
          </w:tcPr>
          <w:p w14:paraId="3973DE7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w:t>
            </w:r>
          </w:p>
        </w:tc>
        <w:tc>
          <w:tcPr>
            <w:tcW w:w="36" w:type="pct"/>
            <w:shd w:val="clear" w:color="auto" w:fill="FFFFFF"/>
            <w:noWrap/>
            <w:tcMar>
              <w:top w:w="15" w:type="dxa"/>
              <w:right w:w="15" w:type="dxa"/>
            </w:tcMar>
            <w:vAlign w:val="bottom"/>
          </w:tcPr>
          <w:p w14:paraId="3973DE7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7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tcBorders>
            <w:shd w:val="clear" w:color="auto" w:fill="FFFFFF"/>
            <w:noWrap/>
            <w:tcMar>
              <w:top w:w="15" w:type="dxa"/>
              <w:right w:w="15" w:type="dxa"/>
            </w:tcMar>
            <w:vAlign w:val="bottom"/>
          </w:tcPr>
          <w:p w14:paraId="3973DE7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top w:val="single" w:sz="6" w:space="0" w:color="000000"/>
            </w:tcBorders>
            <w:shd w:val="clear" w:color="auto" w:fill="FFFFFF"/>
            <w:noWrap/>
            <w:tcMar>
              <w:top w:w="15" w:type="dxa"/>
              <w:right w:w="15" w:type="dxa"/>
            </w:tcMar>
            <w:vAlign w:val="bottom"/>
          </w:tcPr>
          <w:p w14:paraId="3973DE7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w:t>
            </w:r>
          </w:p>
        </w:tc>
        <w:tc>
          <w:tcPr>
            <w:tcW w:w="36" w:type="pct"/>
            <w:shd w:val="clear" w:color="auto" w:fill="FFFFFF"/>
            <w:noWrap/>
            <w:tcMar>
              <w:top w:w="15" w:type="dxa"/>
              <w:right w:w="15" w:type="dxa"/>
            </w:tcMar>
            <w:vAlign w:val="bottom"/>
          </w:tcPr>
          <w:p w14:paraId="3973DE7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8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tcBorders>
            <w:shd w:val="clear" w:color="auto" w:fill="FFFFFF"/>
            <w:noWrap/>
            <w:tcMar>
              <w:top w:w="15" w:type="dxa"/>
              <w:right w:w="15" w:type="dxa"/>
            </w:tcMar>
            <w:vAlign w:val="bottom"/>
          </w:tcPr>
          <w:p w14:paraId="3973DE8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top w:val="single" w:sz="6" w:space="0" w:color="000000"/>
            </w:tcBorders>
            <w:shd w:val="clear" w:color="auto" w:fill="FFFFFF"/>
            <w:noWrap/>
            <w:tcMar>
              <w:top w:w="15" w:type="dxa"/>
              <w:right w:w="15" w:type="dxa"/>
            </w:tcMar>
            <w:vAlign w:val="bottom"/>
          </w:tcPr>
          <w:p w14:paraId="3973DE8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8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8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E8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top w:val="single" w:sz="6" w:space="0" w:color="000000"/>
            </w:tcBorders>
            <w:shd w:val="clear" w:color="auto" w:fill="FFFFFF"/>
            <w:noWrap/>
            <w:tcMar>
              <w:top w:w="15" w:type="dxa"/>
              <w:right w:w="15" w:type="dxa"/>
            </w:tcMar>
            <w:vAlign w:val="bottom"/>
          </w:tcPr>
          <w:p w14:paraId="3973DE8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8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8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E8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top w:val="single" w:sz="6" w:space="0" w:color="000000"/>
            </w:tcBorders>
            <w:shd w:val="clear" w:color="auto" w:fill="FFFFFF"/>
            <w:noWrap/>
            <w:tcMar>
              <w:top w:w="15" w:type="dxa"/>
              <w:right w:w="15" w:type="dxa"/>
            </w:tcMar>
            <w:vAlign w:val="bottom"/>
          </w:tcPr>
          <w:p w14:paraId="3973DE8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w:t>
            </w:r>
          </w:p>
        </w:tc>
        <w:tc>
          <w:tcPr>
            <w:tcW w:w="36" w:type="pct"/>
            <w:shd w:val="clear" w:color="auto" w:fill="FFFFFF"/>
            <w:noWrap/>
            <w:tcMar>
              <w:top w:w="15" w:type="dxa"/>
              <w:right w:w="15" w:type="dxa"/>
            </w:tcMar>
            <w:vAlign w:val="bottom"/>
          </w:tcPr>
          <w:p w14:paraId="3973DE8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8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FFFFFF"/>
            <w:noWrap/>
            <w:tcMar>
              <w:top w:w="15" w:type="dxa"/>
              <w:right w:w="15" w:type="dxa"/>
            </w:tcMar>
            <w:vAlign w:val="bottom"/>
          </w:tcPr>
          <w:p w14:paraId="3973DE8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FFFFFF"/>
            <w:noWrap/>
            <w:tcMar>
              <w:top w:w="15" w:type="dxa"/>
              <w:right w:w="15" w:type="dxa"/>
            </w:tcMar>
            <w:vAlign w:val="bottom"/>
          </w:tcPr>
          <w:p w14:paraId="3973DE8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8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9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tcBorders>
            <w:shd w:val="clear" w:color="auto" w:fill="FFFFFF"/>
            <w:noWrap/>
            <w:tcMar>
              <w:top w:w="15" w:type="dxa"/>
              <w:right w:w="15" w:type="dxa"/>
            </w:tcMar>
            <w:vAlign w:val="bottom"/>
          </w:tcPr>
          <w:p w14:paraId="3973DE9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top w:val="single" w:sz="6" w:space="0" w:color="000000"/>
            </w:tcBorders>
            <w:shd w:val="clear" w:color="auto" w:fill="FFFFFF"/>
            <w:noWrap/>
            <w:tcMar>
              <w:top w:w="15" w:type="dxa"/>
              <w:right w:w="15" w:type="dxa"/>
            </w:tcMar>
            <w:vAlign w:val="bottom"/>
          </w:tcPr>
          <w:p w14:paraId="3973DE9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w:t>
            </w:r>
          </w:p>
        </w:tc>
        <w:tc>
          <w:tcPr>
            <w:tcW w:w="36" w:type="pct"/>
            <w:shd w:val="clear" w:color="auto" w:fill="FFFFFF"/>
            <w:noWrap/>
            <w:tcMar>
              <w:top w:w="15" w:type="dxa"/>
              <w:right w:w="15" w:type="dxa"/>
            </w:tcMar>
            <w:vAlign w:val="bottom"/>
          </w:tcPr>
          <w:p w14:paraId="3973DE9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B2" w14:textId="77777777">
        <w:tc>
          <w:tcPr>
            <w:tcW w:w="1588" w:type="pct"/>
            <w:shd w:val="clear" w:color="auto" w:fill="CFF0FC"/>
            <w:tcMar>
              <w:top w:w="15" w:type="dxa"/>
              <w:right w:w="15" w:type="dxa"/>
            </w:tcMar>
          </w:tcPr>
          <w:p w14:paraId="3973DE95"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11" w:type="pct"/>
            <w:shd w:val="clear" w:color="auto" w:fill="CFF0FC"/>
            <w:tcMar>
              <w:top w:w="15" w:type="dxa"/>
              <w:right w:w="15" w:type="dxa"/>
            </w:tcMar>
            <w:vAlign w:val="bottom"/>
          </w:tcPr>
          <w:p w14:paraId="3973DE9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E9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E9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36" w:type="pct"/>
            <w:shd w:val="clear" w:color="auto" w:fill="CFF0FC"/>
            <w:noWrap/>
            <w:tcMar>
              <w:top w:w="15" w:type="dxa"/>
              <w:right w:w="15" w:type="dxa"/>
            </w:tcMar>
            <w:vAlign w:val="bottom"/>
          </w:tcPr>
          <w:p w14:paraId="3973DE9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9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E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E9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36" w:type="pct"/>
            <w:shd w:val="clear" w:color="auto" w:fill="CFF0FC"/>
            <w:noWrap/>
            <w:tcMar>
              <w:top w:w="15" w:type="dxa"/>
              <w:right w:w="15" w:type="dxa"/>
            </w:tcMar>
            <w:vAlign w:val="bottom"/>
          </w:tcPr>
          <w:p w14:paraId="3973DE9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9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E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EA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A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A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EA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A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A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A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EA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36" w:type="pct"/>
            <w:shd w:val="clear" w:color="auto" w:fill="CFF0FC"/>
            <w:noWrap/>
            <w:tcMar>
              <w:top w:w="15" w:type="dxa"/>
              <w:right w:w="15" w:type="dxa"/>
            </w:tcMar>
            <w:vAlign w:val="bottom"/>
          </w:tcPr>
          <w:p w14:paraId="3973DEA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A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A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EA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A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A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EA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EB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36" w:type="pct"/>
            <w:shd w:val="clear" w:color="auto" w:fill="CFF0FC"/>
            <w:noWrap/>
            <w:tcMar>
              <w:top w:w="15" w:type="dxa"/>
              <w:right w:w="15" w:type="dxa"/>
            </w:tcMar>
            <w:vAlign w:val="bottom"/>
          </w:tcPr>
          <w:p w14:paraId="3973DEB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D0" w14:textId="77777777">
        <w:tc>
          <w:tcPr>
            <w:tcW w:w="1588" w:type="pct"/>
            <w:shd w:val="clear" w:color="auto" w:fill="FFFFFF"/>
            <w:tcMar>
              <w:top w:w="15" w:type="dxa"/>
              <w:right w:w="15" w:type="dxa"/>
            </w:tcMar>
          </w:tcPr>
          <w:p w14:paraId="3973DEB3"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11" w:type="pct"/>
            <w:shd w:val="clear" w:color="auto" w:fill="FFFFFF"/>
            <w:tcMar>
              <w:top w:w="15" w:type="dxa"/>
              <w:right w:w="15" w:type="dxa"/>
            </w:tcMar>
            <w:vAlign w:val="bottom"/>
          </w:tcPr>
          <w:p w14:paraId="3973DEB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EB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EB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B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B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EB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EB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2,613</w:t>
            </w:r>
          </w:p>
        </w:tc>
        <w:tc>
          <w:tcPr>
            <w:tcW w:w="36" w:type="pct"/>
            <w:shd w:val="clear" w:color="auto" w:fill="FFFFFF"/>
            <w:noWrap/>
            <w:tcMar>
              <w:top w:w="15" w:type="dxa"/>
              <w:right w:w="15" w:type="dxa"/>
            </w:tcMar>
            <w:vAlign w:val="bottom"/>
          </w:tcPr>
          <w:p w14:paraId="3973DEB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B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EB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EB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B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C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C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EC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C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C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C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EC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2,613</w:t>
            </w:r>
          </w:p>
        </w:tc>
        <w:tc>
          <w:tcPr>
            <w:tcW w:w="36" w:type="pct"/>
            <w:shd w:val="clear" w:color="auto" w:fill="FFFFFF"/>
            <w:noWrap/>
            <w:tcMar>
              <w:top w:w="15" w:type="dxa"/>
              <w:right w:w="15" w:type="dxa"/>
            </w:tcMar>
            <w:vAlign w:val="bottom"/>
          </w:tcPr>
          <w:p w14:paraId="3973DEC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C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C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EC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C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C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EC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EC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2,613</w:t>
            </w:r>
          </w:p>
        </w:tc>
        <w:tc>
          <w:tcPr>
            <w:tcW w:w="36" w:type="pct"/>
            <w:shd w:val="clear" w:color="auto" w:fill="FFFFFF"/>
            <w:noWrap/>
            <w:tcMar>
              <w:top w:w="15" w:type="dxa"/>
              <w:right w:w="15" w:type="dxa"/>
            </w:tcMar>
            <w:vAlign w:val="bottom"/>
          </w:tcPr>
          <w:p w14:paraId="3973DEC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EEE" w14:textId="77777777">
        <w:tc>
          <w:tcPr>
            <w:tcW w:w="1588" w:type="pct"/>
            <w:shd w:val="clear" w:color="auto" w:fill="CFF0FC"/>
            <w:tcMar>
              <w:top w:w="15" w:type="dxa"/>
              <w:right w:w="15" w:type="dxa"/>
            </w:tcMar>
          </w:tcPr>
          <w:p w14:paraId="3973DED1"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Repurchases of common stock</w:t>
            </w:r>
          </w:p>
        </w:tc>
        <w:tc>
          <w:tcPr>
            <w:tcW w:w="11" w:type="pct"/>
            <w:shd w:val="clear" w:color="auto" w:fill="CFF0FC"/>
            <w:tcMar>
              <w:top w:w="15" w:type="dxa"/>
              <w:right w:w="15" w:type="dxa"/>
            </w:tcMar>
            <w:vAlign w:val="bottom"/>
          </w:tcPr>
          <w:p w14:paraId="3973DED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ED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ED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(186</w:t>
            </w:r>
          </w:p>
        </w:tc>
        <w:tc>
          <w:tcPr>
            <w:tcW w:w="36" w:type="pct"/>
            <w:shd w:val="clear" w:color="auto" w:fill="CFF0FC"/>
            <w:noWrap/>
            <w:tcMar>
              <w:top w:w="15" w:type="dxa"/>
              <w:right w:w="15" w:type="dxa"/>
            </w:tcMar>
            <w:vAlign w:val="bottom"/>
          </w:tcPr>
          <w:p w14:paraId="3973DED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D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ED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ED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(1,723</w:t>
            </w:r>
          </w:p>
        </w:tc>
        <w:tc>
          <w:tcPr>
            <w:tcW w:w="36" w:type="pct"/>
            <w:shd w:val="clear" w:color="auto" w:fill="CFF0FC"/>
            <w:noWrap/>
            <w:tcMar>
              <w:top w:w="15" w:type="dxa"/>
              <w:right w:w="15" w:type="dxa"/>
            </w:tcMar>
            <w:vAlign w:val="bottom"/>
          </w:tcPr>
          <w:p w14:paraId="3973DED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D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ED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ED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(14,477</w:t>
            </w:r>
          </w:p>
        </w:tc>
        <w:tc>
          <w:tcPr>
            <w:tcW w:w="36" w:type="pct"/>
            <w:shd w:val="clear" w:color="auto" w:fill="CFF0FC"/>
            <w:noWrap/>
            <w:tcMar>
              <w:top w:w="15" w:type="dxa"/>
              <w:right w:w="15" w:type="dxa"/>
            </w:tcMar>
            <w:vAlign w:val="bottom"/>
          </w:tcPr>
          <w:p w14:paraId="3973DED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D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D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EE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E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E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E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EE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(16,200</w:t>
            </w:r>
          </w:p>
        </w:tc>
        <w:tc>
          <w:tcPr>
            <w:tcW w:w="36" w:type="pct"/>
            <w:shd w:val="clear" w:color="auto" w:fill="CFF0FC"/>
            <w:noWrap/>
            <w:tcMar>
              <w:top w:w="15" w:type="dxa"/>
              <w:right w:w="15" w:type="dxa"/>
            </w:tcMar>
            <w:vAlign w:val="bottom"/>
          </w:tcPr>
          <w:p w14:paraId="3973DEE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EE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EE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EE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EE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EE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EE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EE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(16,200</w:t>
            </w:r>
          </w:p>
        </w:tc>
        <w:tc>
          <w:tcPr>
            <w:tcW w:w="36" w:type="pct"/>
            <w:shd w:val="clear" w:color="auto" w:fill="CFF0FC"/>
            <w:noWrap/>
            <w:tcMar>
              <w:top w:w="15" w:type="dxa"/>
              <w:right w:w="15" w:type="dxa"/>
            </w:tcMar>
            <w:vAlign w:val="bottom"/>
          </w:tcPr>
          <w:p w14:paraId="3973DEE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F0C" w14:textId="77777777">
        <w:tc>
          <w:tcPr>
            <w:tcW w:w="1588" w:type="pct"/>
            <w:shd w:val="clear" w:color="auto" w:fill="FFFFFF"/>
            <w:tcMar>
              <w:top w:w="15" w:type="dxa"/>
              <w:right w:w="15" w:type="dxa"/>
            </w:tcMar>
          </w:tcPr>
          <w:p w14:paraId="3973DEEF"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11" w:type="pct"/>
            <w:shd w:val="clear" w:color="auto" w:fill="FFFFFF"/>
            <w:tcMar>
              <w:top w:w="15" w:type="dxa"/>
              <w:right w:w="15" w:type="dxa"/>
            </w:tcMar>
            <w:vAlign w:val="bottom"/>
          </w:tcPr>
          <w:p w14:paraId="3973DEF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EF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EF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36" w:type="pct"/>
            <w:shd w:val="clear" w:color="auto" w:fill="FFFFFF"/>
            <w:noWrap/>
            <w:tcMar>
              <w:top w:w="15" w:type="dxa"/>
              <w:right w:w="15" w:type="dxa"/>
            </w:tcMar>
            <w:vAlign w:val="bottom"/>
          </w:tcPr>
          <w:p w14:paraId="3973DEF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EF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EF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EF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(1,093</w:t>
            </w:r>
          </w:p>
        </w:tc>
        <w:tc>
          <w:tcPr>
            <w:tcW w:w="36" w:type="pct"/>
            <w:shd w:val="clear" w:color="auto" w:fill="FFFFFF"/>
            <w:noWrap/>
            <w:tcMar>
              <w:top w:w="15" w:type="dxa"/>
              <w:right w:w="15" w:type="dxa"/>
            </w:tcMar>
            <w:vAlign w:val="bottom"/>
          </w:tcPr>
          <w:p w14:paraId="3973DEF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EF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EF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EF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F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EF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EF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EF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EF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0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F0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F0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(1,093</w:t>
            </w:r>
          </w:p>
        </w:tc>
        <w:tc>
          <w:tcPr>
            <w:tcW w:w="36" w:type="pct"/>
            <w:shd w:val="clear" w:color="auto" w:fill="FFFFFF"/>
            <w:noWrap/>
            <w:tcMar>
              <w:top w:w="15" w:type="dxa"/>
              <w:right w:w="15" w:type="dxa"/>
            </w:tcMar>
            <w:vAlign w:val="bottom"/>
          </w:tcPr>
          <w:p w14:paraId="3973DF0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F0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F0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F0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0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0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F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F0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(1,093</w:t>
            </w:r>
          </w:p>
        </w:tc>
        <w:tc>
          <w:tcPr>
            <w:tcW w:w="36" w:type="pct"/>
            <w:shd w:val="clear" w:color="auto" w:fill="FFFFFF"/>
            <w:noWrap/>
            <w:tcMar>
              <w:top w:w="15" w:type="dxa"/>
              <w:right w:w="15" w:type="dxa"/>
            </w:tcMar>
            <w:vAlign w:val="bottom"/>
          </w:tcPr>
          <w:p w14:paraId="3973DF0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F2A" w14:textId="77777777">
        <w:tc>
          <w:tcPr>
            <w:tcW w:w="1588" w:type="pct"/>
            <w:shd w:val="clear" w:color="auto" w:fill="CFF0FC"/>
            <w:tcMar>
              <w:top w:w="15" w:type="dxa"/>
              <w:right w:w="15" w:type="dxa"/>
            </w:tcMar>
          </w:tcPr>
          <w:p w14:paraId="3973DF0D"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($1.28 per share)</w:t>
            </w:r>
          </w:p>
        </w:tc>
        <w:tc>
          <w:tcPr>
            <w:tcW w:w="11" w:type="pct"/>
            <w:shd w:val="clear" w:color="auto" w:fill="CFF0FC"/>
            <w:tcMar>
              <w:top w:w="15" w:type="dxa"/>
              <w:right w:w="15" w:type="dxa"/>
            </w:tcMar>
            <w:vAlign w:val="bottom"/>
          </w:tcPr>
          <w:p w14:paraId="3973DF0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F0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F1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1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1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F1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F1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1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1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F1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F1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(3,457</w:t>
            </w:r>
          </w:p>
        </w:tc>
        <w:tc>
          <w:tcPr>
            <w:tcW w:w="36" w:type="pct"/>
            <w:shd w:val="clear" w:color="auto" w:fill="CFF0FC"/>
            <w:noWrap/>
            <w:tcMar>
              <w:top w:w="15" w:type="dxa"/>
              <w:right w:w="15" w:type="dxa"/>
            </w:tcMar>
            <w:vAlign w:val="bottom"/>
          </w:tcPr>
          <w:p w14:paraId="3973DF1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1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1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F1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1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1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1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F2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(3,457</w:t>
            </w:r>
          </w:p>
        </w:tc>
        <w:tc>
          <w:tcPr>
            <w:tcW w:w="36" w:type="pct"/>
            <w:shd w:val="clear" w:color="auto" w:fill="CFF0FC"/>
            <w:noWrap/>
            <w:tcMar>
              <w:top w:w="15" w:type="dxa"/>
              <w:right w:w="15" w:type="dxa"/>
            </w:tcMar>
            <w:vAlign w:val="bottom"/>
          </w:tcPr>
          <w:p w14:paraId="3973DF2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2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2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F2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2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2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F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F2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(3,457</w:t>
            </w:r>
          </w:p>
        </w:tc>
        <w:tc>
          <w:tcPr>
            <w:tcW w:w="36" w:type="pct"/>
            <w:shd w:val="clear" w:color="auto" w:fill="CFF0FC"/>
            <w:noWrap/>
            <w:tcMar>
              <w:top w:w="15" w:type="dxa"/>
              <w:right w:w="15" w:type="dxa"/>
            </w:tcMar>
            <w:vAlign w:val="bottom"/>
          </w:tcPr>
          <w:p w14:paraId="3973DF2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F48" w14:textId="77777777">
        <w:tc>
          <w:tcPr>
            <w:tcW w:w="1588" w:type="pct"/>
            <w:shd w:val="clear" w:color="auto" w:fill="FFFFFF"/>
            <w:tcMar>
              <w:top w:w="15" w:type="dxa"/>
              <w:right w:w="15" w:type="dxa"/>
            </w:tcMar>
          </w:tcPr>
          <w:p w14:paraId="3973DF2B"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11" w:type="pct"/>
            <w:shd w:val="clear" w:color="auto" w:fill="FFFFFF"/>
            <w:tcMar>
              <w:top w:w="15" w:type="dxa"/>
              <w:right w:w="15" w:type="dxa"/>
            </w:tcMar>
            <w:vAlign w:val="bottom"/>
          </w:tcPr>
          <w:p w14:paraId="3973DF2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FFFFFF"/>
            <w:noWrap/>
            <w:tcMar>
              <w:top w:w="15" w:type="dxa"/>
              <w:right w:w="15" w:type="dxa"/>
            </w:tcMar>
            <w:vAlign w:val="bottom"/>
          </w:tcPr>
          <w:p w14:paraId="3973DF2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FFFFFF"/>
            <w:noWrap/>
            <w:tcMar>
              <w:top w:w="15" w:type="dxa"/>
              <w:right w:w="15" w:type="dxa"/>
            </w:tcMar>
            <w:vAlign w:val="bottom"/>
          </w:tcPr>
          <w:p w14:paraId="3973DF2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3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noWrap/>
            <w:tcMar>
              <w:top w:w="15" w:type="dxa"/>
              <w:right w:w="15" w:type="dxa"/>
            </w:tcMar>
            <w:vAlign w:val="bottom"/>
          </w:tcPr>
          <w:p w14:paraId="3973DF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FFFFFF"/>
            <w:noWrap/>
            <w:tcMar>
              <w:top w:w="15" w:type="dxa"/>
              <w:right w:w="15" w:type="dxa"/>
            </w:tcMar>
            <w:vAlign w:val="bottom"/>
          </w:tcPr>
          <w:p w14:paraId="3973DF3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36" w:type="pct"/>
            <w:shd w:val="clear" w:color="auto" w:fill="FFFFFF"/>
            <w:noWrap/>
            <w:tcMar>
              <w:top w:w="15" w:type="dxa"/>
              <w:right w:w="15" w:type="dxa"/>
            </w:tcMar>
            <w:vAlign w:val="bottom"/>
          </w:tcPr>
          <w:p w14:paraId="3973DF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F3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FFFFFF"/>
            <w:noWrap/>
            <w:tcMar>
              <w:top w:w="15" w:type="dxa"/>
              <w:right w:w="15" w:type="dxa"/>
            </w:tcMar>
            <w:vAlign w:val="bottom"/>
          </w:tcPr>
          <w:p w14:paraId="3973DF3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FFFFFF"/>
            <w:noWrap/>
            <w:tcMar>
              <w:top w:w="15" w:type="dxa"/>
              <w:right w:w="15" w:type="dxa"/>
            </w:tcMar>
            <w:vAlign w:val="bottom"/>
          </w:tcPr>
          <w:p w14:paraId="3973DF3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36" w:type="pct"/>
            <w:shd w:val="clear" w:color="auto" w:fill="FFFFFF"/>
            <w:noWrap/>
            <w:tcMar>
              <w:top w:w="15" w:type="dxa"/>
              <w:right w:w="15" w:type="dxa"/>
            </w:tcMar>
            <w:vAlign w:val="bottom"/>
          </w:tcPr>
          <w:p w14:paraId="3973DF3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3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F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FFFFFF"/>
            <w:noWrap/>
            <w:tcMar>
              <w:top w:w="15" w:type="dxa"/>
              <w:right w:w="15" w:type="dxa"/>
            </w:tcMar>
            <w:vAlign w:val="bottom"/>
          </w:tcPr>
          <w:p w14:paraId="3973DF3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3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3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F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FFFFFF"/>
            <w:noWrap/>
            <w:tcMar>
              <w:top w:w="15" w:type="dxa"/>
              <w:right w:w="15" w:type="dxa"/>
            </w:tcMar>
            <w:vAlign w:val="bottom"/>
          </w:tcPr>
          <w:p w14:paraId="3973DF3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36" w:type="pct"/>
            <w:shd w:val="clear" w:color="auto" w:fill="FFFFFF"/>
            <w:noWrap/>
            <w:tcMar>
              <w:top w:w="15" w:type="dxa"/>
              <w:right w:w="15" w:type="dxa"/>
            </w:tcMar>
            <w:vAlign w:val="bottom"/>
          </w:tcPr>
          <w:p w14:paraId="3973DF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F4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DF4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3973DF4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(396</w:t>
            </w:r>
          </w:p>
        </w:tc>
        <w:tc>
          <w:tcPr>
            <w:tcW w:w="36" w:type="pct"/>
            <w:shd w:val="clear" w:color="auto" w:fill="FFFFFF"/>
            <w:noWrap/>
            <w:tcMar>
              <w:top w:w="15" w:type="dxa"/>
              <w:right w:w="15" w:type="dxa"/>
            </w:tcMar>
            <w:vAlign w:val="bottom"/>
          </w:tcPr>
          <w:p w14:paraId="3973DF4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FFFFFF"/>
            <w:tcMar>
              <w:top w:w="15" w:type="dxa"/>
              <w:right w:w="15" w:type="dxa"/>
            </w:tcMar>
            <w:vAlign w:val="bottom"/>
          </w:tcPr>
          <w:p w14:paraId="3973DF4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FFFFFF"/>
            <w:noWrap/>
            <w:tcMar>
              <w:top w:w="15" w:type="dxa"/>
              <w:right w:w="15" w:type="dxa"/>
            </w:tcMar>
            <w:vAlign w:val="bottom"/>
          </w:tcPr>
          <w:p w14:paraId="3973DF4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FFFFFF"/>
            <w:noWrap/>
            <w:tcMar>
              <w:top w:w="15" w:type="dxa"/>
              <w:right w:w="15" w:type="dxa"/>
            </w:tcMar>
            <w:vAlign w:val="bottom"/>
          </w:tcPr>
          <w:p w14:paraId="3973DF4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(399</w:t>
            </w:r>
          </w:p>
        </w:tc>
        <w:tc>
          <w:tcPr>
            <w:tcW w:w="36" w:type="pct"/>
            <w:shd w:val="clear" w:color="auto" w:fill="FFFFFF"/>
            <w:noWrap/>
            <w:tcMar>
              <w:top w:w="15" w:type="dxa"/>
              <w:right w:w="15" w:type="dxa"/>
            </w:tcMar>
            <w:vAlign w:val="bottom"/>
          </w:tcPr>
          <w:p w14:paraId="3973DF4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F66" w14:textId="77777777">
        <w:tc>
          <w:tcPr>
            <w:tcW w:w="1588" w:type="pct"/>
            <w:shd w:val="clear" w:color="auto" w:fill="CFF0FC"/>
            <w:tcMar>
              <w:top w:w="15" w:type="dxa"/>
              <w:right w:w="15" w:type="dxa"/>
            </w:tcMar>
          </w:tcPr>
          <w:p w14:paraId="3973DF49"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income, net</w:t>
            </w:r>
          </w:p>
        </w:tc>
        <w:tc>
          <w:tcPr>
            <w:tcW w:w="11" w:type="pct"/>
            <w:shd w:val="clear" w:color="auto" w:fill="CFF0FC"/>
            <w:tcMar>
              <w:top w:w="15" w:type="dxa"/>
              <w:right w:w="15" w:type="dxa"/>
            </w:tcMar>
            <w:vAlign w:val="bottom"/>
          </w:tcPr>
          <w:p w14:paraId="3973DF4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shd w:val="clear" w:color="auto" w:fill="CFF0FC"/>
            <w:noWrap/>
            <w:tcMar>
              <w:top w:w="15" w:type="dxa"/>
              <w:right w:w="15" w:type="dxa"/>
            </w:tcMar>
            <w:vAlign w:val="bottom"/>
          </w:tcPr>
          <w:p w14:paraId="3973DF4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shd w:val="clear" w:color="auto" w:fill="CFF0FC"/>
            <w:noWrap/>
            <w:tcMar>
              <w:top w:w="15" w:type="dxa"/>
              <w:right w:w="15" w:type="dxa"/>
            </w:tcMar>
            <w:vAlign w:val="bottom"/>
          </w:tcPr>
          <w:p w14:paraId="3973DF4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4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4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noWrap/>
            <w:tcMar>
              <w:top w:w="15" w:type="dxa"/>
              <w:right w:w="15" w:type="dxa"/>
            </w:tcMar>
            <w:vAlign w:val="bottom"/>
          </w:tcPr>
          <w:p w14:paraId="3973DF4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shd w:val="clear" w:color="auto" w:fill="CFF0FC"/>
            <w:noWrap/>
            <w:tcMar>
              <w:top w:w="15" w:type="dxa"/>
              <w:right w:w="15" w:type="dxa"/>
            </w:tcMar>
            <w:vAlign w:val="bottom"/>
          </w:tcPr>
          <w:p w14:paraId="3973DF5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5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5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shd w:val="clear" w:color="auto" w:fill="CFF0FC"/>
            <w:noWrap/>
            <w:tcMar>
              <w:top w:w="15" w:type="dxa"/>
              <w:right w:w="15" w:type="dxa"/>
            </w:tcMar>
            <w:vAlign w:val="bottom"/>
          </w:tcPr>
          <w:p w14:paraId="3973DF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shd w:val="clear" w:color="auto" w:fill="CFF0FC"/>
            <w:noWrap/>
            <w:tcMar>
              <w:top w:w="15" w:type="dxa"/>
              <w:right w:w="15" w:type="dxa"/>
            </w:tcMar>
            <w:vAlign w:val="bottom"/>
          </w:tcPr>
          <w:p w14:paraId="3973DF5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CFF0FC"/>
            <w:noWrap/>
            <w:tcMar>
              <w:top w:w="15" w:type="dxa"/>
              <w:right w:w="15" w:type="dxa"/>
            </w:tcMar>
            <w:vAlign w:val="bottom"/>
          </w:tcPr>
          <w:p w14:paraId="3973DF5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5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shd w:val="clear" w:color="auto" w:fill="CFF0FC"/>
            <w:noWrap/>
            <w:tcMar>
              <w:top w:w="15" w:type="dxa"/>
              <w:right w:w="15" w:type="dxa"/>
            </w:tcMar>
            <w:vAlign w:val="bottom"/>
          </w:tcPr>
          <w:p w14:paraId="3973DF5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(517</w:t>
            </w:r>
          </w:p>
        </w:tc>
        <w:tc>
          <w:tcPr>
            <w:tcW w:w="36" w:type="pct"/>
            <w:shd w:val="clear" w:color="auto" w:fill="CFF0FC"/>
            <w:noWrap/>
            <w:tcMar>
              <w:top w:w="15" w:type="dxa"/>
              <w:right w:w="15" w:type="dxa"/>
            </w:tcMar>
            <w:vAlign w:val="bottom"/>
          </w:tcPr>
          <w:p w14:paraId="3973DF5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5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5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shd w:val="clear" w:color="auto" w:fill="CFF0FC"/>
            <w:noWrap/>
            <w:tcMar>
              <w:top w:w="15" w:type="dxa"/>
              <w:right w:w="15" w:type="dxa"/>
            </w:tcMar>
            <w:vAlign w:val="bottom"/>
          </w:tcPr>
          <w:p w14:paraId="3973DF5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(517</w:t>
            </w:r>
          </w:p>
        </w:tc>
        <w:tc>
          <w:tcPr>
            <w:tcW w:w="36" w:type="pct"/>
            <w:shd w:val="clear" w:color="auto" w:fill="CFF0FC"/>
            <w:noWrap/>
            <w:tcMar>
              <w:top w:w="15" w:type="dxa"/>
              <w:right w:w="15" w:type="dxa"/>
            </w:tcMar>
            <w:vAlign w:val="bottom"/>
          </w:tcPr>
          <w:p w14:paraId="3973DF5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5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DF5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3973DF6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36" w:type="pct"/>
            <w:shd w:val="clear" w:color="auto" w:fill="CFF0FC"/>
            <w:noWrap/>
            <w:tcMar>
              <w:top w:w="15" w:type="dxa"/>
              <w:right w:w="15" w:type="dxa"/>
            </w:tcMar>
            <w:vAlign w:val="bottom"/>
          </w:tcPr>
          <w:p w14:paraId="3973DF6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6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shd w:val="clear" w:color="auto" w:fill="CFF0FC"/>
            <w:noWrap/>
            <w:tcMar>
              <w:top w:w="15" w:type="dxa"/>
              <w:right w:w="15" w:type="dxa"/>
            </w:tcMar>
            <w:vAlign w:val="bottom"/>
          </w:tcPr>
          <w:p w14:paraId="3973DF6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shd w:val="clear" w:color="auto" w:fill="CFF0FC"/>
            <w:noWrap/>
            <w:tcMar>
              <w:top w:w="15" w:type="dxa"/>
              <w:right w:w="15" w:type="dxa"/>
            </w:tcMar>
            <w:vAlign w:val="bottom"/>
          </w:tcPr>
          <w:p w14:paraId="3973DF6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(567</w:t>
            </w:r>
          </w:p>
        </w:tc>
        <w:tc>
          <w:tcPr>
            <w:tcW w:w="36" w:type="pct"/>
            <w:shd w:val="clear" w:color="auto" w:fill="CFF0FC"/>
            <w:noWrap/>
            <w:tcMar>
              <w:top w:w="15" w:type="dxa"/>
              <w:right w:w="15" w:type="dxa"/>
            </w:tcMar>
            <w:vAlign w:val="bottom"/>
          </w:tcPr>
          <w:p w14:paraId="3973DF6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8E0125" w14:paraId="3973DF84" w14:textId="77777777">
        <w:tc>
          <w:tcPr>
            <w:tcW w:w="1588" w:type="pct"/>
            <w:shd w:val="clear" w:color="auto" w:fill="FFFFFF"/>
            <w:tcMar>
              <w:top w:w="15" w:type="dxa"/>
              <w:right w:w="15" w:type="dxa"/>
            </w:tcMar>
          </w:tcPr>
          <w:p w14:paraId="3973DF67"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11" w:type="pct"/>
            <w:shd w:val="clear" w:color="auto" w:fill="FFFFFF"/>
            <w:tcMar>
              <w:top w:w="15" w:type="dxa"/>
              <w:right w:w="15" w:type="dxa"/>
            </w:tcMar>
            <w:vAlign w:val="bottom"/>
          </w:tcPr>
          <w:p w14:paraId="3973DF6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bottom w:val="single" w:sz="6" w:space="0" w:color="000000"/>
            </w:tcBorders>
            <w:shd w:val="clear" w:color="auto" w:fill="FFFFFF"/>
            <w:noWrap/>
            <w:tcMar>
              <w:top w:w="15" w:type="dxa"/>
              <w:right w:w="15" w:type="dxa"/>
            </w:tcMar>
            <w:vAlign w:val="bottom"/>
          </w:tcPr>
          <w:p w14:paraId="3973DF6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bottom w:val="single" w:sz="6" w:space="0" w:color="000000"/>
            </w:tcBorders>
            <w:shd w:val="clear" w:color="auto" w:fill="FFFFFF"/>
            <w:noWrap/>
            <w:tcMar>
              <w:top w:w="15" w:type="dxa"/>
              <w:right w:w="15" w:type="dxa"/>
            </w:tcMar>
            <w:vAlign w:val="bottom"/>
          </w:tcPr>
          <w:p w14:paraId="3973DF6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6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6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bottom w:val="single" w:sz="6" w:space="0" w:color="000000"/>
            </w:tcBorders>
            <w:shd w:val="clear" w:color="auto" w:fill="FFFFFF"/>
            <w:noWrap/>
            <w:tcMar>
              <w:top w:w="15" w:type="dxa"/>
              <w:right w:w="15" w:type="dxa"/>
            </w:tcMar>
            <w:vAlign w:val="bottom"/>
          </w:tcPr>
          <w:p w14:paraId="3973DF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61" w:type="pct"/>
            <w:tcBorders>
              <w:bottom w:val="single" w:sz="6" w:space="0" w:color="000000"/>
            </w:tcBorders>
            <w:shd w:val="clear" w:color="auto" w:fill="FFFFFF"/>
            <w:noWrap/>
            <w:tcMar>
              <w:top w:w="15" w:type="dxa"/>
              <w:right w:w="15" w:type="dxa"/>
            </w:tcMar>
            <w:vAlign w:val="bottom"/>
          </w:tcPr>
          <w:p w14:paraId="3973DF6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6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7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bottom w:val="single" w:sz="6" w:space="0" w:color="000000"/>
            </w:tcBorders>
            <w:shd w:val="clear" w:color="auto" w:fill="FFFFFF"/>
            <w:noWrap/>
            <w:tcMar>
              <w:top w:w="15" w:type="dxa"/>
              <w:right w:w="15" w:type="dxa"/>
            </w:tcMar>
            <w:vAlign w:val="bottom"/>
          </w:tcPr>
          <w:p w14:paraId="3973DF7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1" w:type="pct"/>
            <w:tcBorders>
              <w:bottom w:val="single" w:sz="6" w:space="0" w:color="000000"/>
            </w:tcBorders>
            <w:shd w:val="clear" w:color="auto" w:fill="FFFFFF"/>
            <w:noWrap/>
            <w:tcMar>
              <w:top w:w="15" w:type="dxa"/>
              <w:right w:w="15" w:type="dxa"/>
            </w:tcMar>
            <w:vAlign w:val="bottom"/>
          </w:tcPr>
          <w:p w14:paraId="3973DF7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6,717</w:t>
            </w:r>
          </w:p>
        </w:tc>
        <w:tc>
          <w:tcPr>
            <w:tcW w:w="36" w:type="pct"/>
            <w:shd w:val="clear" w:color="auto" w:fill="FFFFFF"/>
            <w:noWrap/>
            <w:tcMar>
              <w:top w:w="15" w:type="dxa"/>
              <w:right w:w="15" w:type="dxa"/>
            </w:tcMar>
            <w:vAlign w:val="bottom"/>
          </w:tcPr>
          <w:p w14:paraId="3973DF7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7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F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1" w:type="pct"/>
            <w:tcBorders>
              <w:bottom w:val="single" w:sz="6" w:space="0" w:color="000000"/>
            </w:tcBorders>
            <w:shd w:val="clear" w:color="auto" w:fill="FFFFFF"/>
            <w:noWrap/>
            <w:tcMar>
              <w:top w:w="15" w:type="dxa"/>
              <w:right w:w="15" w:type="dxa"/>
            </w:tcMar>
            <w:vAlign w:val="bottom"/>
          </w:tcPr>
          <w:p w14:paraId="3973DF7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36" w:type="pct"/>
            <w:shd w:val="clear" w:color="auto" w:fill="FFFFFF"/>
            <w:noWrap/>
            <w:tcMar>
              <w:top w:w="15" w:type="dxa"/>
              <w:right w:w="15" w:type="dxa"/>
            </w:tcMar>
            <w:vAlign w:val="bottom"/>
          </w:tcPr>
          <w:p w14:paraId="3973DF7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7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F7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9" w:type="pct"/>
            <w:tcBorders>
              <w:bottom w:val="single" w:sz="6" w:space="0" w:color="000000"/>
            </w:tcBorders>
            <w:shd w:val="clear" w:color="auto" w:fill="FFFFFF"/>
            <w:noWrap/>
            <w:tcMar>
              <w:top w:w="15" w:type="dxa"/>
              <w:right w:w="15" w:type="dxa"/>
            </w:tcMar>
            <w:vAlign w:val="bottom"/>
          </w:tcPr>
          <w:p w14:paraId="3973DF7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6,717</w:t>
            </w:r>
          </w:p>
        </w:tc>
        <w:tc>
          <w:tcPr>
            <w:tcW w:w="36" w:type="pct"/>
            <w:shd w:val="clear" w:color="auto" w:fill="FFFFFF"/>
            <w:noWrap/>
            <w:tcMar>
              <w:top w:w="15" w:type="dxa"/>
              <w:right w:w="15" w:type="dxa"/>
            </w:tcMar>
            <w:vAlign w:val="bottom"/>
          </w:tcPr>
          <w:p w14:paraId="3973DF7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7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FFFFFF"/>
            <w:noWrap/>
            <w:tcMar>
              <w:top w:w="15" w:type="dxa"/>
              <w:right w:w="15" w:type="dxa"/>
            </w:tcMar>
            <w:vAlign w:val="bottom"/>
          </w:tcPr>
          <w:p w14:paraId="3973DF7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3973DF7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184</w:t>
            </w:r>
          </w:p>
        </w:tc>
        <w:tc>
          <w:tcPr>
            <w:tcW w:w="36" w:type="pct"/>
            <w:shd w:val="clear" w:color="auto" w:fill="FFFFFF"/>
            <w:noWrap/>
            <w:tcMar>
              <w:top w:w="15" w:type="dxa"/>
              <w:right w:w="15" w:type="dxa"/>
            </w:tcMar>
            <w:vAlign w:val="bottom"/>
          </w:tcPr>
          <w:p w14:paraId="3973DF7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tcMar>
              <w:top w:w="15" w:type="dxa"/>
              <w:right w:w="15" w:type="dxa"/>
            </w:tcMar>
            <w:vAlign w:val="bottom"/>
          </w:tcPr>
          <w:p w14:paraId="3973DF8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bottom w:val="single" w:sz="6" w:space="0" w:color="000000"/>
            </w:tcBorders>
            <w:shd w:val="clear" w:color="auto" w:fill="FFFFFF"/>
            <w:noWrap/>
            <w:tcMar>
              <w:top w:w="15" w:type="dxa"/>
              <w:right w:w="15" w:type="dxa"/>
            </w:tcMar>
            <w:vAlign w:val="bottom"/>
          </w:tcPr>
          <w:p w14:paraId="3973DF8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1" w:type="pct"/>
            <w:tcBorders>
              <w:bottom w:val="single" w:sz="6" w:space="0" w:color="000000"/>
            </w:tcBorders>
            <w:shd w:val="clear" w:color="auto" w:fill="FFFFFF"/>
            <w:noWrap/>
            <w:tcMar>
              <w:top w:w="15" w:type="dxa"/>
              <w:right w:w="15" w:type="dxa"/>
            </w:tcMar>
            <w:vAlign w:val="bottom"/>
          </w:tcPr>
          <w:p w14:paraId="3973DF8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6,901</w:t>
            </w:r>
          </w:p>
        </w:tc>
        <w:tc>
          <w:tcPr>
            <w:tcW w:w="36" w:type="pct"/>
            <w:shd w:val="clear" w:color="auto" w:fill="FFFFFF"/>
            <w:noWrap/>
            <w:tcMar>
              <w:top w:w="15" w:type="dxa"/>
              <w:right w:w="15" w:type="dxa"/>
            </w:tcMar>
            <w:vAlign w:val="bottom"/>
          </w:tcPr>
          <w:p w14:paraId="3973DF8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DFA2" w14:textId="77777777">
        <w:tc>
          <w:tcPr>
            <w:tcW w:w="1588" w:type="pct"/>
            <w:shd w:val="clear" w:color="auto" w:fill="CFF0FC"/>
            <w:tcMar>
              <w:top w:w="15" w:type="dxa"/>
              <w:right w:w="15" w:type="dxa"/>
            </w:tcMar>
          </w:tcPr>
          <w:p w14:paraId="3973DF85" w14:textId="77777777" w:rsidR="007B027D" w:rsidRDefault="008E012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2022</w:t>
            </w:r>
          </w:p>
        </w:tc>
        <w:tc>
          <w:tcPr>
            <w:tcW w:w="11" w:type="pct"/>
            <w:shd w:val="clear" w:color="auto" w:fill="CFF0FC"/>
            <w:tcMar>
              <w:top w:w="15" w:type="dxa"/>
              <w:right w:w="15" w:type="dxa"/>
            </w:tcMar>
            <w:vAlign w:val="bottom"/>
          </w:tcPr>
          <w:p w14:paraId="3973DF8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 w:type="pct"/>
            <w:tcBorders>
              <w:top w:val="single" w:sz="6" w:space="0" w:color="000000"/>
              <w:bottom w:val="double" w:sz="6" w:space="0" w:color="000000"/>
            </w:tcBorders>
            <w:shd w:val="clear" w:color="auto" w:fill="CFF0FC"/>
            <w:noWrap/>
            <w:tcMar>
              <w:top w:w="15" w:type="dxa"/>
              <w:right w:w="15" w:type="dxa"/>
            </w:tcMar>
            <w:vAlign w:val="bottom"/>
          </w:tcPr>
          <w:p w14:paraId="3973DF8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6" w:type="pct"/>
            <w:tcBorders>
              <w:top w:val="single" w:sz="6" w:space="0" w:color="000000"/>
              <w:bottom w:val="double" w:sz="6" w:space="0" w:color="000000"/>
            </w:tcBorders>
            <w:shd w:val="clear" w:color="auto" w:fill="CFF0FC"/>
            <w:noWrap/>
            <w:tcMar>
              <w:top w:w="15" w:type="dxa"/>
              <w:right w:w="15" w:type="dxa"/>
            </w:tcMar>
            <w:vAlign w:val="bottom"/>
          </w:tcPr>
          <w:p w14:paraId="3973DF8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2,665</w:t>
            </w:r>
          </w:p>
        </w:tc>
        <w:tc>
          <w:tcPr>
            <w:tcW w:w="36" w:type="pct"/>
            <w:shd w:val="clear" w:color="auto" w:fill="CFF0FC"/>
            <w:noWrap/>
            <w:tcMar>
              <w:top w:w="15" w:type="dxa"/>
              <w:right w:w="15" w:type="dxa"/>
            </w:tcMar>
            <w:vAlign w:val="bottom"/>
          </w:tcPr>
          <w:p w14:paraId="3973DF8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8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tcBorders>
              <w:top w:val="single" w:sz="6" w:space="0" w:color="000000"/>
              <w:bottom w:val="double" w:sz="6" w:space="0" w:color="000000"/>
            </w:tcBorders>
            <w:shd w:val="clear" w:color="auto" w:fill="CFF0FC"/>
            <w:noWrap/>
            <w:tcMar>
              <w:top w:w="15" w:type="dxa"/>
              <w:right w:w="15" w:type="dxa"/>
            </w:tcMar>
            <w:vAlign w:val="bottom"/>
          </w:tcPr>
          <w:p w14:paraId="3973DF8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61" w:type="pct"/>
            <w:tcBorders>
              <w:top w:val="single" w:sz="6" w:space="0" w:color="000000"/>
              <w:bottom w:val="double" w:sz="6" w:space="0" w:color="000000"/>
            </w:tcBorders>
            <w:shd w:val="clear" w:color="auto" w:fill="CFF0FC"/>
            <w:noWrap/>
            <w:tcMar>
              <w:top w:w="15" w:type="dxa"/>
              <w:right w:w="15" w:type="dxa"/>
            </w:tcMar>
            <w:vAlign w:val="bottom"/>
          </w:tcPr>
          <w:p w14:paraId="3973DF8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26,808</w:t>
            </w:r>
          </w:p>
        </w:tc>
        <w:tc>
          <w:tcPr>
            <w:tcW w:w="36" w:type="pct"/>
            <w:shd w:val="clear" w:color="auto" w:fill="CFF0FC"/>
            <w:noWrap/>
            <w:tcMar>
              <w:top w:w="15" w:type="dxa"/>
              <w:right w:w="15" w:type="dxa"/>
            </w:tcMar>
            <w:vAlign w:val="bottom"/>
          </w:tcPr>
          <w:p w14:paraId="3973DF8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8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4" w:type="pct"/>
            <w:tcBorders>
              <w:top w:val="single" w:sz="6" w:space="0" w:color="000000"/>
              <w:bottom w:val="double" w:sz="6" w:space="0" w:color="000000"/>
            </w:tcBorders>
            <w:shd w:val="clear" w:color="auto" w:fill="CFF0FC"/>
            <w:noWrap/>
            <w:tcMar>
              <w:top w:w="15" w:type="dxa"/>
              <w:right w:w="15" w:type="dxa"/>
            </w:tcMar>
            <w:vAlign w:val="bottom"/>
          </w:tcPr>
          <w:p w14:paraId="3973DF8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71" w:type="pct"/>
            <w:tcBorders>
              <w:top w:val="single" w:sz="6" w:space="0" w:color="000000"/>
              <w:bottom w:val="double" w:sz="6" w:space="0" w:color="000000"/>
            </w:tcBorders>
            <w:shd w:val="clear" w:color="auto" w:fill="CFF0FC"/>
            <w:noWrap/>
            <w:tcMar>
              <w:top w:w="15" w:type="dxa"/>
              <w:right w:w="15" w:type="dxa"/>
            </w:tcMar>
            <w:vAlign w:val="bottom"/>
          </w:tcPr>
          <w:p w14:paraId="3973DF9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(31,336</w:t>
            </w:r>
          </w:p>
        </w:tc>
        <w:tc>
          <w:tcPr>
            <w:tcW w:w="36" w:type="pct"/>
            <w:shd w:val="clear" w:color="auto" w:fill="CFF0FC"/>
            <w:noWrap/>
            <w:tcMar>
              <w:top w:w="15" w:type="dxa"/>
              <w:right w:w="15" w:type="dxa"/>
            </w:tcMar>
            <w:vAlign w:val="bottom"/>
          </w:tcPr>
          <w:p w14:paraId="3973DF9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9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CFF0FC"/>
            <w:noWrap/>
            <w:tcMar>
              <w:top w:w="15" w:type="dxa"/>
              <w:right w:w="15" w:type="dxa"/>
            </w:tcMar>
            <w:vAlign w:val="bottom"/>
          </w:tcPr>
          <w:p w14:paraId="3973DF9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1" w:type="pct"/>
            <w:tcBorders>
              <w:top w:val="single" w:sz="6" w:space="0" w:color="000000"/>
              <w:bottom w:val="double" w:sz="6" w:space="0" w:color="000000"/>
            </w:tcBorders>
            <w:shd w:val="clear" w:color="auto" w:fill="CFF0FC"/>
            <w:noWrap/>
            <w:tcMar>
              <w:top w:w="15" w:type="dxa"/>
              <w:right w:w="15" w:type="dxa"/>
            </w:tcMar>
            <w:vAlign w:val="bottom"/>
          </w:tcPr>
          <w:p w14:paraId="3973DF9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(1,692</w:t>
            </w:r>
          </w:p>
        </w:tc>
        <w:tc>
          <w:tcPr>
            <w:tcW w:w="36" w:type="pct"/>
            <w:shd w:val="clear" w:color="auto" w:fill="CFF0FC"/>
            <w:noWrap/>
            <w:tcMar>
              <w:top w:w="15" w:type="dxa"/>
              <w:right w:w="15" w:type="dxa"/>
            </w:tcMar>
            <w:vAlign w:val="bottom"/>
          </w:tcPr>
          <w:p w14:paraId="3973DF9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9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CFF0FC"/>
            <w:noWrap/>
            <w:tcMar>
              <w:top w:w="15" w:type="dxa"/>
              <w:right w:w="15" w:type="dxa"/>
            </w:tcMar>
            <w:vAlign w:val="bottom"/>
          </w:tcPr>
          <w:p w14:paraId="3973DF9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3973DF9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(6,220</w:t>
            </w:r>
          </w:p>
        </w:tc>
        <w:tc>
          <w:tcPr>
            <w:tcW w:w="36" w:type="pct"/>
            <w:shd w:val="clear" w:color="auto" w:fill="CFF0FC"/>
            <w:noWrap/>
            <w:tcMar>
              <w:top w:w="15" w:type="dxa"/>
              <w:right w:w="15" w:type="dxa"/>
            </w:tcMar>
            <w:vAlign w:val="bottom"/>
          </w:tcPr>
          <w:p w14:paraId="3973DF9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11" w:type="pct"/>
            <w:shd w:val="clear" w:color="auto" w:fill="CFF0FC"/>
            <w:tcMar>
              <w:top w:w="15" w:type="dxa"/>
              <w:right w:w="15" w:type="dxa"/>
            </w:tcMar>
            <w:vAlign w:val="bottom"/>
          </w:tcPr>
          <w:p w14:paraId="3973DF9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CFF0FC"/>
            <w:noWrap/>
            <w:tcMar>
              <w:top w:w="15" w:type="dxa"/>
              <w:right w:w="15" w:type="dxa"/>
            </w:tcMar>
            <w:vAlign w:val="bottom"/>
          </w:tcPr>
          <w:p w14:paraId="3973DF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3973DF9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452</w:t>
            </w:r>
          </w:p>
        </w:tc>
        <w:tc>
          <w:tcPr>
            <w:tcW w:w="36" w:type="pct"/>
            <w:shd w:val="clear" w:color="auto" w:fill="CFF0FC"/>
            <w:noWrap/>
            <w:tcMar>
              <w:top w:w="15" w:type="dxa"/>
              <w:right w:w="15" w:type="dxa"/>
            </w:tcMar>
            <w:vAlign w:val="bottom"/>
          </w:tcPr>
          <w:p w14:paraId="3973DF9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tcMar>
              <w:top w:w="15" w:type="dxa"/>
              <w:right w:w="15" w:type="dxa"/>
            </w:tcMar>
            <w:vAlign w:val="bottom"/>
          </w:tcPr>
          <w:p w14:paraId="3973DF9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76" w:type="pct"/>
            <w:tcBorders>
              <w:top w:val="single" w:sz="6" w:space="0" w:color="000000"/>
              <w:bottom w:val="double" w:sz="6" w:space="0" w:color="000000"/>
            </w:tcBorders>
            <w:shd w:val="clear" w:color="auto" w:fill="CFF0FC"/>
            <w:noWrap/>
            <w:tcMar>
              <w:top w:w="15" w:type="dxa"/>
              <w:right w:w="15" w:type="dxa"/>
            </w:tcMar>
            <w:vAlign w:val="bottom"/>
          </w:tcPr>
          <w:p w14:paraId="3973DF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1" w:type="pct"/>
            <w:tcBorders>
              <w:top w:val="single" w:sz="6" w:space="0" w:color="000000"/>
              <w:bottom w:val="double" w:sz="6" w:space="0" w:color="000000"/>
            </w:tcBorders>
            <w:shd w:val="clear" w:color="auto" w:fill="CFF0FC"/>
            <w:noWrap/>
            <w:tcMar>
              <w:top w:w="15" w:type="dxa"/>
              <w:right w:w="15" w:type="dxa"/>
            </w:tcMar>
            <w:vAlign w:val="bottom"/>
          </w:tcPr>
          <w:p w14:paraId="3973DFA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(5,768</w:t>
            </w:r>
          </w:p>
        </w:tc>
        <w:tc>
          <w:tcPr>
            <w:tcW w:w="36" w:type="pct"/>
            <w:shd w:val="clear" w:color="auto" w:fill="CFF0FC"/>
            <w:noWrap/>
            <w:tcMar>
              <w:top w:w="15" w:type="dxa"/>
              <w:right w:w="15" w:type="dxa"/>
            </w:tcMar>
            <w:vAlign w:val="bottom"/>
          </w:tcPr>
          <w:p w14:paraId="3973DF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bl>
    <w:p w14:paraId="3973DFA3"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FA4"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FA5"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See notes to consolidate</w:t>
      </w:r>
      <w:r>
        <w:rPr>
          <w:rFonts w:ascii="Calibri" w:hAnsi="Calibri" w:cs="Calibri"/>
          <w:sz w:val="20"/>
          <w:szCs w:val="20"/>
        </w:rPr>
        <w:t>d financial statements.</w:t>
      </w:r>
    </w:p>
    <w:p w14:paraId="3973DFA6"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DFA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69</w:t>
      </w:r>
    </w:p>
    <w:p w14:paraId="3973DFA8" w14:textId="77777777" w:rsidR="007B027D" w:rsidRDefault="008E0125">
      <w:r>
        <w:rPr>
          <w:rFonts w:ascii="Calibri" w:hAnsi="Calibri" w:cs="Calibri"/>
          <w:sz w:val="20"/>
          <w:szCs w:val="20"/>
        </w:rPr>
        <w:pict w14:anchorId="39740080">
          <v:rect id="_x0000_i1095" style="width:415.3pt;height:1.5pt" o:hralign="center" o:hrstd="t" o:hr="t" fillcolor="#a0a0a0" stroked="f"/>
        </w:pict>
      </w:r>
    </w:p>
    <w:p w14:paraId="3973DFA9" w14:textId="77777777" w:rsidR="007B027D" w:rsidRDefault="008E0125">
      <w:pPr>
        <w:pStyle w:val="a3"/>
        <w:spacing w:beforeAutospacing="0" w:after="120" w:afterAutospacing="0"/>
        <w:rPr>
          <w:rFonts w:ascii="Calibri" w:hAnsi="Calibri" w:cs="Calibri"/>
          <w:sz w:val="18"/>
          <w:szCs w:val="18"/>
        </w:rPr>
      </w:pPr>
      <w:hyperlink r:id="rId174" w:anchor="TABLE_OF_CONTENTS" w:history="1">
        <w:r>
          <w:rPr>
            <w:rStyle w:val="a5"/>
            <w:rFonts w:ascii="Calibri" w:hAnsi="Calibri" w:cs="Calibri"/>
            <w:sz w:val="18"/>
            <w:szCs w:val="18"/>
          </w:rPr>
          <w:t>Table of Contents</w:t>
        </w:r>
      </w:hyperlink>
    </w:p>
    <w:p w14:paraId="3973DFAA" w14:textId="77777777" w:rsidR="007B027D" w:rsidRDefault="008E0125">
      <w:pPr>
        <w:pStyle w:val="a3"/>
        <w:spacing w:beforeAutospacing="0" w:afterAutospacing="0"/>
        <w:rPr>
          <w:rFonts w:ascii="Calibri" w:hAnsi="Calibri" w:cs="Calibri"/>
          <w:sz w:val="18"/>
          <w:szCs w:val="18"/>
        </w:rPr>
      </w:pPr>
      <w:hyperlink r:id="rId175" w:anchor="ITEM_15_EXHIBITS_FINANCIAL_STATEMENT_SCH" w:history="1">
        <w:r>
          <w:rPr>
            <w:rStyle w:val="a5"/>
            <w:rFonts w:ascii="Calibri" w:hAnsi="Calibri" w:cs="Calibri"/>
            <w:sz w:val="18"/>
            <w:szCs w:val="18"/>
          </w:rPr>
          <w:t>Index to Financial Statements</w:t>
        </w:r>
      </w:hyperlink>
    </w:p>
    <w:p w14:paraId="3973DFAB" w14:textId="77777777" w:rsidR="007B027D" w:rsidRDefault="008E0125">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3973DFAC"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DFAD"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3973DFAE"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CASH FLOWS</w:t>
      </w:r>
    </w:p>
    <w:p w14:paraId="3973DFAF"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2022, 2021 and 2020</w:t>
      </w:r>
    </w:p>
    <w:p w14:paraId="3973DFB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668"/>
        <w:gridCol w:w="91"/>
        <w:gridCol w:w="97"/>
        <w:gridCol w:w="615"/>
        <w:gridCol w:w="79"/>
        <w:gridCol w:w="91"/>
        <w:gridCol w:w="97"/>
        <w:gridCol w:w="615"/>
        <w:gridCol w:w="79"/>
        <w:gridCol w:w="91"/>
        <w:gridCol w:w="97"/>
        <w:gridCol w:w="622"/>
        <w:gridCol w:w="79"/>
      </w:tblGrid>
      <w:tr w:rsidR="007B027D" w14:paraId="3973DFB5" w14:textId="77777777">
        <w:tc>
          <w:tcPr>
            <w:tcW w:w="3407" w:type="pct"/>
            <w:shd w:val="clear" w:color="auto" w:fill="FFFFFF"/>
            <w:tcMar>
              <w:top w:w="15" w:type="dxa"/>
              <w:right w:w="15" w:type="dxa"/>
            </w:tcMar>
            <w:vAlign w:val="bottom"/>
          </w:tcPr>
          <w:p w14:paraId="3973DFB1"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7" w:type="pct"/>
            <w:shd w:val="clear" w:color="auto" w:fill="FFFFFF"/>
            <w:tcMar>
              <w:top w:w="15" w:type="dxa"/>
              <w:right w:w="15" w:type="dxa"/>
            </w:tcMar>
            <w:vAlign w:val="bottom"/>
          </w:tcPr>
          <w:p w14:paraId="3973DFB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84" w:type="pct"/>
            <w:gridSpan w:val="10"/>
            <w:tcBorders>
              <w:bottom w:val="single" w:sz="6" w:space="0" w:color="000000"/>
            </w:tcBorders>
            <w:shd w:val="clear" w:color="auto" w:fill="FFFFFF"/>
            <w:tcMar>
              <w:top w:w="15" w:type="dxa"/>
              <w:right w:w="15" w:type="dxa"/>
            </w:tcMar>
            <w:vAlign w:val="bottom"/>
          </w:tcPr>
          <w:p w14:paraId="3973DFB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DFB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FC0" w14:textId="77777777">
        <w:tc>
          <w:tcPr>
            <w:tcW w:w="3407" w:type="pct"/>
            <w:tcBorders>
              <w:bottom w:val="single" w:sz="6" w:space="0" w:color="000000"/>
            </w:tcBorders>
            <w:shd w:val="clear" w:color="auto" w:fill="FFFFFF"/>
            <w:tcMar>
              <w:top w:w="15" w:type="dxa"/>
              <w:right w:w="15" w:type="dxa"/>
            </w:tcMar>
            <w:vAlign w:val="bottom"/>
          </w:tcPr>
          <w:p w14:paraId="3973DFB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7" w:type="pct"/>
            <w:shd w:val="clear" w:color="auto" w:fill="FFFFFF"/>
            <w:tcMar>
              <w:top w:w="15" w:type="dxa"/>
              <w:right w:w="15" w:type="dxa"/>
            </w:tcMar>
            <w:vAlign w:val="bottom"/>
          </w:tcPr>
          <w:p w14:paraId="3973DFB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1" w:type="pct"/>
            <w:gridSpan w:val="2"/>
            <w:tcBorders>
              <w:top w:val="single" w:sz="6" w:space="0" w:color="000000"/>
              <w:bottom w:val="single" w:sz="6" w:space="0" w:color="000000"/>
            </w:tcBorders>
            <w:shd w:val="clear" w:color="auto" w:fill="FFFFFF"/>
            <w:tcMar>
              <w:top w:w="15" w:type="dxa"/>
              <w:right w:w="15" w:type="dxa"/>
            </w:tcMar>
            <w:vAlign w:val="bottom"/>
          </w:tcPr>
          <w:p w14:paraId="3973DFB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DFB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right w:w="15" w:type="dxa"/>
            </w:tcMar>
            <w:vAlign w:val="bottom"/>
          </w:tcPr>
          <w:p w14:paraId="3973DFB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1" w:type="pct"/>
            <w:gridSpan w:val="2"/>
            <w:tcBorders>
              <w:top w:val="single" w:sz="6" w:space="0" w:color="000000"/>
              <w:bottom w:val="single" w:sz="6" w:space="0" w:color="000000"/>
            </w:tcBorders>
            <w:shd w:val="clear" w:color="auto" w:fill="FFFFFF"/>
            <w:tcMar>
              <w:top w:w="15" w:type="dxa"/>
              <w:right w:w="15" w:type="dxa"/>
            </w:tcMar>
            <w:vAlign w:val="bottom"/>
          </w:tcPr>
          <w:p w14:paraId="3973DFB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DFB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right w:w="15" w:type="dxa"/>
            </w:tcMar>
            <w:vAlign w:val="bottom"/>
          </w:tcPr>
          <w:p w14:paraId="3973DFB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1" w:type="pct"/>
            <w:gridSpan w:val="2"/>
            <w:tcBorders>
              <w:top w:val="single" w:sz="6" w:space="0" w:color="000000"/>
              <w:bottom w:val="single" w:sz="6" w:space="0" w:color="000000"/>
            </w:tcBorders>
            <w:shd w:val="clear" w:color="auto" w:fill="FFFFFF"/>
            <w:tcMar>
              <w:top w:w="15" w:type="dxa"/>
              <w:right w:w="15" w:type="dxa"/>
            </w:tcMar>
            <w:vAlign w:val="bottom"/>
          </w:tcPr>
          <w:p w14:paraId="3973DFB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DFB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DFCE" w14:textId="77777777">
        <w:tc>
          <w:tcPr>
            <w:tcW w:w="3407" w:type="pct"/>
            <w:tcBorders>
              <w:top w:val="single" w:sz="6" w:space="0" w:color="000000"/>
            </w:tcBorders>
            <w:shd w:val="clear" w:color="auto" w:fill="CFF0FC"/>
            <w:tcMar>
              <w:top w:w="15" w:type="dxa"/>
              <w:right w:w="15" w:type="dxa"/>
            </w:tcMar>
          </w:tcPr>
          <w:p w14:paraId="3973DFC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flows from operating activities:</w:t>
            </w:r>
          </w:p>
        </w:tc>
        <w:tc>
          <w:tcPr>
            <w:tcW w:w="57" w:type="pct"/>
            <w:shd w:val="clear" w:color="auto" w:fill="CFF0FC"/>
            <w:tcMar>
              <w:top w:w="15" w:type="dxa"/>
              <w:right w:w="15" w:type="dxa"/>
            </w:tcMar>
            <w:vAlign w:val="bottom"/>
          </w:tcPr>
          <w:p w14:paraId="3973DF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DFC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DFC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C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DFC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DFC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DFC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C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DFC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DFC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DFC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C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DFDC" w14:textId="77777777">
        <w:tc>
          <w:tcPr>
            <w:tcW w:w="3407" w:type="pct"/>
            <w:shd w:val="clear" w:color="auto" w:fill="FFFFFF"/>
            <w:tcMar>
              <w:top w:w="15" w:type="dxa"/>
              <w:right w:w="15" w:type="dxa"/>
            </w:tcMar>
          </w:tcPr>
          <w:p w14:paraId="3973DFCF"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Net income</w:t>
            </w:r>
          </w:p>
        </w:tc>
        <w:tc>
          <w:tcPr>
            <w:tcW w:w="57" w:type="pct"/>
            <w:shd w:val="clear" w:color="auto" w:fill="FFFFFF"/>
            <w:tcMar>
              <w:top w:w="15" w:type="dxa"/>
              <w:right w:w="15" w:type="dxa"/>
            </w:tcMar>
            <w:vAlign w:val="bottom"/>
          </w:tcPr>
          <w:p w14:paraId="3973DF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FD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DFD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6,717</w:t>
            </w:r>
          </w:p>
        </w:tc>
        <w:tc>
          <w:tcPr>
            <w:tcW w:w="50" w:type="pct"/>
            <w:shd w:val="clear" w:color="auto" w:fill="FFFFFF"/>
            <w:noWrap/>
            <w:tcMar>
              <w:top w:w="15" w:type="dxa"/>
              <w:right w:w="15" w:type="dxa"/>
            </w:tcMar>
            <w:vAlign w:val="bottom"/>
          </w:tcPr>
          <w:p w14:paraId="3973DFD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DFD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DFD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DFD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13,746</w:t>
            </w:r>
          </w:p>
        </w:tc>
        <w:tc>
          <w:tcPr>
            <w:tcW w:w="50" w:type="pct"/>
            <w:shd w:val="clear" w:color="auto" w:fill="FFFFFF"/>
            <w:noWrap/>
            <w:tcMar>
              <w:top w:w="15" w:type="dxa"/>
              <w:right w:w="15" w:type="dxa"/>
            </w:tcMar>
            <w:vAlign w:val="bottom"/>
          </w:tcPr>
          <w:p w14:paraId="3973DFD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DFD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DFD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DFD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10,135</w:t>
            </w:r>
          </w:p>
        </w:tc>
        <w:tc>
          <w:tcPr>
            <w:tcW w:w="50" w:type="pct"/>
            <w:shd w:val="clear" w:color="auto" w:fill="FFFFFF"/>
            <w:noWrap/>
            <w:tcMar>
              <w:top w:w="15" w:type="dxa"/>
              <w:right w:w="15" w:type="dxa"/>
            </w:tcMar>
            <w:vAlign w:val="bottom"/>
          </w:tcPr>
          <w:p w14:paraId="3973DFD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DFEA" w14:textId="77777777">
        <w:tc>
          <w:tcPr>
            <w:tcW w:w="3407" w:type="pct"/>
            <w:shd w:val="clear" w:color="auto" w:fill="CFF0FC"/>
            <w:tcMar>
              <w:top w:w="15" w:type="dxa"/>
              <w:right w:w="15" w:type="dxa"/>
            </w:tcMar>
          </w:tcPr>
          <w:p w14:paraId="3973DFDD"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Adjustments to reconcile net income to net cash provided by operating activities:</w:t>
            </w:r>
          </w:p>
        </w:tc>
        <w:tc>
          <w:tcPr>
            <w:tcW w:w="57" w:type="pct"/>
            <w:shd w:val="clear" w:color="auto" w:fill="CFF0FC"/>
            <w:tcMar>
              <w:top w:w="15" w:type="dxa"/>
              <w:right w:w="15" w:type="dxa"/>
            </w:tcMar>
            <w:vAlign w:val="bottom"/>
          </w:tcPr>
          <w:p w14:paraId="3973DFD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FD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DFE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E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DFE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E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DFE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E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DFE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E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DFE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E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DFF8" w14:textId="77777777">
        <w:tc>
          <w:tcPr>
            <w:tcW w:w="3407" w:type="pct"/>
            <w:shd w:val="clear" w:color="auto" w:fill="FFFFFF"/>
            <w:tcMar>
              <w:top w:w="15" w:type="dxa"/>
              <w:right w:w="15" w:type="dxa"/>
            </w:tcMar>
          </w:tcPr>
          <w:p w14:paraId="3973DFEB"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Depreciation</w:t>
            </w:r>
          </w:p>
        </w:tc>
        <w:tc>
          <w:tcPr>
            <w:tcW w:w="57" w:type="pct"/>
            <w:shd w:val="clear" w:color="auto" w:fill="FFFFFF"/>
            <w:tcMar>
              <w:top w:w="15" w:type="dxa"/>
              <w:right w:w="15" w:type="dxa"/>
            </w:tcMar>
            <w:vAlign w:val="bottom"/>
          </w:tcPr>
          <w:p w14:paraId="3973DFE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DFE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DFE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1,972</w:t>
            </w:r>
          </w:p>
        </w:tc>
        <w:tc>
          <w:tcPr>
            <w:tcW w:w="50" w:type="pct"/>
            <w:shd w:val="clear" w:color="auto" w:fill="FFFFFF"/>
            <w:noWrap/>
            <w:tcMar>
              <w:top w:w="15" w:type="dxa"/>
              <w:right w:w="15" w:type="dxa"/>
            </w:tcMar>
            <w:vAlign w:val="bottom"/>
          </w:tcPr>
          <w:p w14:paraId="3973DFE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DFF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DFF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DFF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1,537</w:t>
            </w:r>
          </w:p>
        </w:tc>
        <w:tc>
          <w:tcPr>
            <w:tcW w:w="50" w:type="pct"/>
            <w:shd w:val="clear" w:color="auto" w:fill="FFFFFF"/>
            <w:noWrap/>
            <w:tcMar>
              <w:top w:w="15" w:type="dxa"/>
              <w:right w:w="15" w:type="dxa"/>
            </w:tcMar>
            <w:vAlign w:val="bottom"/>
          </w:tcPr>
          <w:p w14:paraId="3973DFF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DFF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DFF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DFF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1,382</w:t>
            </w:r>
          </w:p>
        </w:tc>
        <w:tc>
          <w:tcPr>
            <w:tcW w:w="50" w:type="pct"/>
            <w:shd w:val="clear" w:color="auto" w:fill="FFFFFF"/>
            <w:noWrap/>
            <w:tcMar>
              <w:top w:w="15" w:type="dxa"/>
              <w:right w:w="15" w:type="dxa"/>
            </w:tcMar>
            <w:vAlign w:val="bottom"/>
          </w:tcPr>
          <w:p w14:paraId="3973DFF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06" w14:textId="77777777">
        <w:tc>
          <w:tcPr>
            <w:tcW w:w="3407" w:type="pct"/>
            <w:shd w:val="clear" w:color="auto" w:fill="CFF0FC"/>
            <w:tcMar>
              <w:top w:w="15" w:type="dxa"/>
              <w:right w:w="15" w:type="dxa"/>
            </w:tcMar>
          </w:tcPr>
          <w:p w14:paraId="3973DFF9"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Amortization of intangible assets</w:t>
            </w:r>
          </w:p>
        </w:tc>
        <w:tc>
          <w:tcPr>
            <w:tcW w:w="57" w:type="pct"/>
            <w:shd w:val="clear" w:color="auto" w:fill="CFF0FC"/>
            <w:tcMar>
              <w:top w:w="15" w:type="dxa"/>
              <w:right w:w="15" w:type="dxa"/>
            </w:tcMar>
            <w:vAlign w:val="bottom"/>
          </w:tcPr>
          <w:p w14:paraId="3973DF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DFF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DFF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1,150</w:t>
            </w:r>
          </w:p>
        </w:tc>
        <w:tc>
          <w:tcPr>
            <w:tcW w:w="50" w:type="pct"/>
            <w:shd w:val="clear" w:color="auto" w:fill="CFF0FC"/>
            <w:noWrap/>
            <w:tcMar>
              <w:top w:w="15" w:type="dxa"/>
              <w:right w:w="15" w:type="dxa"/>
            </w:tcMar>
            <w:vAlign w:val="bottom"/>
          </w:tcPr>
          <w:p w14:paraId="3973DFF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DFF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DFF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0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1,379</w:t>
            </w:r>
          </w:p>
        </w:tc>
        <w:tc>
          <w:tcPr>
            <w:tcW w:w="50" w:type="pct"/>
            <w:shd w:val="clear" w:color="auto" w:fill="CFF0FC"/>
            <w:noWrap/>
            <w:tcMar>
              <w:top w:w="15" w:type="dxa"/>
              <w:right w:w="15" w:type="dxa"/>
            </w:tcMar>
            <w:vAlign w:val="bottom"/>
          </w:tcPr>
          <w:p w14:paraId="3973E00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0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0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0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1,586</w:t>
            </w:r>
          </w:p>
        </w:tc>
        <w:tc>
          <w:tcPr>
            <w:tcW w:w="50" w:type="pct"/>
            <w:shd w:val="clear" w:color="auto" w:fill="CFF0FC"/>
            <w:noWrap/>
            <w:tcMar>
              <w:top w:w="15" w:type="dxa"/>
              <w:right w:w="15" w:type="dxa"/>
            </w:tcMar>
            <w:vAlign w:val="bottom"/>
          </w:tcPr>
          <w:p w14:paraId="3973E00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14" w14:textId="77777777">
        <w:tc>
          <w:tcPr>
            <w:tcW w:w="3407" w:type="pct"/>
            <w:shd w:val="clear" w:color="auto" w:fill="FFFFFF"/>
            <w:tcMar>
              <w:top w:w="15" w:type="dxa"/>
              <w:right w:w="15" w:type="dxa"/>
            </w:tcMar>
          </w:tcPr>
          <w:p w14:paraId="3973E007"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Deferred income taxes</w:t>
            </w:r>
          </w:p>
        </w:tc>
        <w:tc>
          <w:tcPr>
            <w:tcW w:w="57" w:type="pct"/>
            <w:shd w:val="clear" w:color="auto" w:fill="FFFFFF"/>
            <w:tcMar>
              <w:top w:w="15" w:type="dxa"/>
              <w:right w:w="15" w:type="dxa"/>
            </w:tcMar>
            <w:vAlign w:val="bottom"/>
          </w:tcPr>
          <w:p w14:paraId="3973E0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0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0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(1,146</w:t>
            </w:r>
          </w:p>
        </w:tc>
        <w:tc>
          <w:tcPr>
            <w:tcW w:w="50" w:type="pct"/>
            <w:shd w:val="clear" w:color="auto" w:fill="FFFFFF"/>
            <w:noWrap/>
            <w:tcMar>
              <w:top w:w="15" w:type="dxa"/>
              <w:right w:w="15" w:type="dxa"/>
            </w:tcMar>
            <w:vAlign w:val="bottom"/>
          </w:tcPr>
          <w:p w14:paraId="3973E00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0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0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0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(2,425</w:t>
            </w:r>
          </w:p>
        </w:tc>
        <w:tc>
          <w:tcPr>
            <w:tcW w:w="50" w:type="pct"/>
            <w:shd w:val="clear" w:color="auto" w:fill="FFFFFF"/>
            <w:noWrap/>
            <w:tcMar>
              <w:top w:w="15" w:type="dxa"/>
              <w:right w:w="15" w:type="dxa"/>
            </w:tcMar>
            <w:vAlign w:val="bottom"/>
          </w:tcPr>
          <w:p w14:paraId="3973E00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1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1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1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(851</w:t>
            </w:r>
          </w:p>
        </w:tc>
        <w:tc>
          <w:tcPr>
            <w:tcW w:w="50" w:type="pct"/>
            <w:shd w:val="clear" w:color="auto" w:fill="FFFFFF"/>
            <w:noWrap/>
            <w:tcMar>
              <w:top w:w="15" w:type="dxa"/>
              <w:right w:w="15" w:type="dxa"/>
            </w:tcMar>
            <w:vAlign w:val="bottom"/>
          </w:tcPr>
          <w:p w14:paraId="3973E01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22" w14:textId="77777777">
        <w:tc>
          <w:tcPr>
            <w:tcW w:w="3407" w:type="pct"/>
            <w:shd w:val="clear" w:color="auto" w:fill="CFF0FC"/>
            <w:tcMar>
              <w:top w:w="15" w:type="dxa"/>
              <w:right w:w="15" w:type="dxa"/>
            </w:tcMar>
          </w:tcPr>
          <w:p w14:paraId="3973E015"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Stock-based compensation</w:t>
            </w:r>
          </w:p>
        </w:tc>
        <w:tc>
          <w:tcPr>
            <w:tcW w:w="57" w:type="pct"/>
            <w:shd w:val="clear" w:color="auto" w:fill="CFF0FC"/>
            <w:tcMar>
              <w:top w:w="15" w:type="dxa"/>
              <w:right w:w="15" w:type="dxa"/>
            </w:tcMar>
            <w:vAlign w:val="bottom"/>
          </w:tcPr>
          <w:p w14:paraId="3973E01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1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1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2,613</w:t>
            </w:r>
          </w:p>
        </w:tc>
        <w:tc>
          <w:tcPr>
            <w:tcW w:w="50" w:type="pct"/>
            <w:shd w:val="clear" w:color="auto" w:fill="CFF0FC"/>
            <w:noWrap/>
            <w:tcMar>
              <w:top w:w="15" w:type="dxa"/>
              <w:right w:w="15" w:type="dxa"/>
            </w:tcMar>
            <w:vAlign w:val="bottom"/>
          </w:tcPr>
          <w:p w14:paraId="3973E01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1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1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1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1,837</w:t>
            </w:r>
          </w:p>
        </w:tc>
        <w:tc>
          <w:tcPr>
            <w:tcW w:w="50" w:type="pct"/>
            <w:shd w:val="clear" w:color="auto" w:fill="CFF0FC"/>
            <w:noWrap/>
            <w:tcMar>
              <w:top w:w="15" w:type="dxa"/>
              <w:right w:w="15" w:type="dxa"/>
            </w:tcMar>
            <w:vAlign w:val="bottom"/>
          </w:tcPr>
          <w:p w14:paraId="3973E01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1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1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2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1,590</w:t>
            </w:r>
          </w:p>
        </w:tc>
        <w:tc>
          <w:tcPr>
            <w:tcW w:w="50" w:type="pct"/>
            <w:shd w:val="clear" w:color="auto" w:fill="CFF0FC"/>
            <w:noWrap/>
            <w:tcMar>
              <w:top w:w="15" w:type="dxa"/>
              <w:right w:w="15" w:type="dxa"/>
            </w:tcMar>
            <w:vAlign w:val="bottom"/>
          </w:tcPr>
          <w:p w14:paraId="3973E02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30" w14:textId="77777777">
        <w:tc>
          <w:tcPr>
            <w:tcW w:w="3407" w:type="pct"/>
            <w:shd w:val="clear" w:color="auto" w:fill="FFFFFF"/>
            <w:tcMar>
              <w:top w:w="15" w:type="dxa"/>
              <w:right w:w="15" w:type="dxa"/>
            </w:tcMar>
          </w:tcPr>
          <w:p w14:paraId="3973E023"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Other, net</w:t>
            </w:r>
          </w:p>
        </w:tc>
        <w:tc>
          <w:tcPr>
            <w:tcW w:w="57" w:type="pct"/>
            <w:shd w:val="clear" w:color="auto" w:fill="FFFFFF"/>
            <w:tcMar>
              <w:top w:w="15" w:type="dxa"/>
              <w:right w:w="15" w:type="dxa"/>
            </w:tcMar>
            <w:vAlign w:val="bottom"/>
          </w:tcPr>
          <w:p w14:paraId="3973E0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2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2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220</w:t>
            </w:r>
          </w:p>
        </w:tc>
        <w:tc>
          <w:tcPr>
            <w:tcW w:w="50" w:type="pct"/>
            <w:shd w:val="clear" w:color="auto" w:fill="FFFFFF"/>
            <w:noWrap/>
            <w:tcMar>
              <w:top w:w="15" w:type="dxa"/>
              <w:right w:w="15" w:type="dxa"/>
            </w:tcMar>
            <w:vAlign w:val="bottom"/>
          </w:tcPr>
          <w:p w14:paraId="3973E02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2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2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2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w:t>
            </w:r>
          </w:p>
        </w:tc>
        <w:tc>
          <w:tcPr>
            <w:tcW w:w="50" w:type="pct"/>
            <w:shd w:val="clear" w:color="auto" w:fill="FFFFFF"/>
            <w:noWrap/>
            <w:tcMar>
              <w:top w:w="15" w:type="dxa"/>
              <w:right w:w="15" w:type="dxa"/>
            </w:tcMar>
            <w:vAlign w:val="bottom"/>
          </w:tcPr>
          <w:p w14:paraId="3973E02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2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2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2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239</w:t>
            </w:r>
          </w:p>
        </w:tc>
        <w:tc>
          <w:tcPr>
            <w:tcW w:w="50" w:type="pct"/>
            <w:shd w:val="clear" w:color="auto" w:fill="FFFFFF"/>
            <w:noWrap/>
            <w:tcMar>
              <w:top w:w="15" w:type="dxa"/>
              <w:right w:w="15" w:type="dxa"/>
            </w:tcMar>
            <w:vAlign w:val="bottom"/>
          </w:tcPr>
          <w:p w14:paraId="3973E02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3E" w14:textId="77777777">
        <w:tc>
          <w:tcPr>
            <w:tcW w:w="3407" w:type="pct"/>
            <w:shd w:val="clear" w:color="auto" w:fill="CFF0FC"/>
            <w:tcMar>
              <w:top w:w="15" w:type="dxa"/>
              <w:right w:w="15" w:type="dxa"/>
            </w:tcMar>
          </w:tcPr>
          <w:p w14:paraId="3973E031" w14:textId="77777777" w:rsidR="007B027D" w:rsidRDefault="008E012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Changes in operating assets and liabilities, net of effects from acquisitions:</w:t>
            </w:r>
          </w:p>
        </w:tc>
        <w:tc>
          <w:tcPr>
            <w:tcW w:w="57" w:type="pct"/>
            <w:shd w:val="clear" w:color="auto" w:fill="CFF0FC"/>
            <w:tcMar>
              <w:top w:w="15" w:type="dxa"/>
              <w:right w:w="15" w:type="dxa"/>
            </w:tcMar>
            <w:vAlign w:val="bottom"/>
          </w:tcPr>
          <w:p w14:paraId="3973E03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3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3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3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3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3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3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3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3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3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3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3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4C" w14:textId="77777777">
        <w:tc>
          <w:tcPr>
            <w:tcW w:w="3407" w:type="pct"/>
            <w:shd w:val="clear" w:color="auto" w:fill="FFFFFF"/>
            <w:tcMar>
              <w:top w:w="15" w:type="dxa"/>
              <w:right w:w="15" w:type="dxa"/>
            </w:tcMar>
          </w:tcPr>
          <w:p w14:paraId="3973E03F" w14:textId="77777777" w:rsidR="007B027D" w:rsidRDefault="008E012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(Increase) decrease in trade receivables, net</w:t>
            </w:r>
          </w:p>
        </w:tc>
        <w:tc>
          <w:tcPr>
            <w:tcW w:w="57" w:type="pct"/>
            <w:shd w:val="clear" w:color="auto" w:fill="FFFFFF"/>
            <w:tcMar>
              <w:top w:w="15" w:type="dxa"/>
              <w:right w:w="15" w:type="dxa"/>
            </w:tcMar>
            <w:vAlign w:val="bottom"/>
          </w:tcPr>
          <w:p w14:paraId="3973E0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4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4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(874</w:t>
            </w:r>
          </w:p>
        </w:tc>
        <w:tc>
          <w:tcPr>
            <w:tcW w:w="50" w:type="pct"/>
            <w:shd w:val="clear" w:color="auto" w:fill="FFFFFF"/>
            <w:noWrap/>
            <w:tcMar>
              <w:top w:w="15" w:type="dxa"/>
              <w:right w:w="15" w:type="dxa"/>
            </w:tcMar>
            <w:vAlign w:val="bottom"/>
          </w:tcPr>
          <w:p w14:paraId="3973E04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4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4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4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333</w:t>
            </w:r>
          </w:p>
        </w:tc>
        <w:tc>
          <w:tcPr>
            <w:tcW w:w="50" w:type="pct"/>
            <w:shd w:val="clear" w:color="auto" w:fill="FFFFFF"/>
            <w:noWrap/>
            <w:tcMar>
              <w:top w:w="15" w:type="dxa"/>
              <w:right w:w="15" w:type="dxa"/>
            </w:tcMar>
            <w:vAlign w:val="bottom"/>
          </w:tcPr>
          <w:p w14:paraId="3973E04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4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4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4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(445</w:t>
            </w:r>
          </w:p>
        </w:tc>
        <w:tc>
          <w:tcPr>
            <w:tcW w:w="50" w:type="pct"/>
            <w:shd w:val="clear" w:color="auto" w:fill="FFFFFF"/>
            <w:noWrap/>
            <w:tcMar>
              <w:top w:w="15" w:type="dxa"/>
              <w:right w:w="15" w:type="dxa"/>
            </w:tcMar>
            <w:vAlign w:val="bottom"/>
          </w:tcPr>
          <w:p w14:paraId="3973E04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5A" w14:textId="77777777">
        <w:tc>
          <w:tcPr>
            <w:tcW w:w="3407" w:type="pct"/>
            <w:shd w:val="clear" w:color="auto" w:fill="CFF0FC"/>
            <w:tcMar>
              <w:top w:w="15" w:type="dxa"/>
              <w:right w:w="15" w:type="dxa"/>
            </w:tcMar>
          </w:tcPr>
          <w:p w14:paraId="3973E04D" w14:textId="77777777" w:rsidR="007B027D" w:rsidRDefault="008E012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Decrease in prepaid </w:t>
            </w:r>
            <w:r>
              <w:rPr>
                <w:rFonts w:ascii="Calibri" w:hAnsi="Calibri" w:cs="Calibri"/>
                <w:color w:val="000000"/>
                <w:sz w:val="16"/>
                <w:szCs w:val="16"/>
              </w:rPr>
              <w:t>expenses and other assets</w:t>
            </w:r>
          </w:p>
        </w:tc>
        <w:tc>
          <w:tcPr>
            <w:tcW w:w="57" w:type="pct"/>
            <w:shd w:val="clear" w:color="auto" w:fill="CFF0FC"/>
            <w:tcMar>
              <w:top w:w="15" w:type="dxa"/>
              <w:right w:w="15" w:type="dxa"/>
            </w:tcMar>
            <w:vAlign w:val="bottom"/>
          </w:tcPr>
          <w:p w14:paraId="3973E0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4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5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0" w:type="pct"/>
            <w:shd w:val="clear" w:color="auto" w:fill="CFF0FC"/>
            <w:noWrap/>
            <w:tcMar>
              <w:top w:w="15" w:type="dxa"/>
              <w:right w:w="15" w:type="dxa"/>
            </w:tcMar>
            <w:vAlign w:val="bottom"/>
          </w:tcPr>
          <w:p w14:paraId="3973E05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5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5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5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622</w:t>
            </w:r>
          </w:p>
        </w:tc>
        <w:tc>
          <w:tcPr>
            <w:tcW w:w="50" w:type="pct"/>
            <w:shd w:val="clear" w:color="auto" w:fill="CFF0FC"/>
            <w:noWrap/>
            <w:tcMar>
              <w:top w:w="15" w:type="dxa"/>
              <w:right w:w="15" w:type="dxa"/>
            </w:tcMar>
            <w:vAlign w:val="bottom"/>
          </w:tcPr>
          <w:p w14:paraId="3973E05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5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5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5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665</w:t>
            </w:r>
          </w:p>
        </w:tc>
        <w:tc>
          <w:tcPr>
            <w:tcW w:w="50" w:type="pct"/>
            <w:shd w:val="clear" w:color="auto" w:fill="CFF0FC"/>
            <w:noWrap/>
            <w:tcMar>
              <w:top w:w="15" w:type="dxa"/>
              <w:right w:w="15" w:type="dxa"/>
            </w:tcMar>
            <w:vAlign w:val="bottom"/>
          </w:tcPr>
          <w:p w14:paraId="3973E05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68" w14:textId="77777777">
        <w:tc>
          <w:tcPr>
            <w:tcW w:w="3407" w:type="pct"/>
            <w:shd w:val="clear" w:color="auto" w:fill="FFFFFF"/>
            <w:tcMar>
              <w:top w:w="15" w:type="dxa"/>
              <w:right w:w="15" w:type="dxa"/>
            </w:tcMar>
          </w:tcPr>
          <w:p w14:paraId="3973E05B" w14:textId="77777777" w:rsidR="007B027D" w:rsidRDefault="008E012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Decrease in accounts payable and other liabilities</w:t>
            </w:r>
          </w:p>
        </w:tc>
        <w:tc>
          <w:tcPr>
            <w:tcW w:w="57" w:type="pct"/>
            <w:shd w:val="clear" w:color="auto" w:fill="FFFFFF"/>
            <w:tcMar>
              <w:top w:w="15" w:type="dxa"/>
              <w:right w:w="15" w:type="dxa"/>
            </w:tcMar>
            <w:vAlign w:val="bottom"/>
          </w:tcPr>
          <w:p w14:paraId="3973E0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5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5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(733</w:t>
            </w:r>
          </w:p>
        </w:tc>
        <w:tc>
          <w:tcPr>
            <w:tcW w:w="50" w:type="pct"/>
            <w:shd w:val="clear" w:color="auto" w:fill="FFFFFF"/>
            <w:noWrap/>
            <w:tcMar>
              <w:top w:w="15" w:type="dxa"/>
              <w:right w:w="15" w:type="dxa"/>
            </w:tcMar>
            <w:vAlign w:val="bottom"/>
          </w:tcPr>
          <w:p w14:paraId="3973E05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6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6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6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w:t>
            </w:r>
          </w:p>
        </w:tc>
        <w:tc>
          <w:tcPr>
            <w:tcW w:w="50" w:type="pct"/>
            <w:shd w:val="clear" w:color="auto" w:fill="FFFFFF"/>
            <w:noWrap/>
            <w:tcMar>
              <w:top w:w="15" w:type="dxa"/>
              <w:right w:w="15" w:type="dxa"/>
            </w:tcMar>
            <w:vAlign w:val="bottom"/>
          </w:tcPr>
          <w:p w14:paraId="3973E06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6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6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6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(496</w:t>
            </w:r>
          </w:p>
        </w:tc>
        <w:tc>
          <w:tcPr>
            <w:tcW w:w="50" w:type="pct"/>
            <w:shd w:val="clear" w:color="auto" w:fill="FFFFFF"/>
            <w:noWrap/>
            <w:tcMar>
              <w:top w:w="15" w:type="dxa"/>
              <w:right w:w="15" w:type="dxa"/>
            </w:tcMar>
            <w:vAlign w:val="bottom"/>
          </w:tcPr>
          <w:p w14:paraId="3973E06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76" w14:textId="77777777">
        <w:tc>
          <w:tcPr>
            <w:tcW w:w="3407" w:type="pct"/>
            <w:shd w:val="clear" w:color="auto" w:fill="CFF0FC"/>
            <w:tcMar>
              <w:top w:w="15" w:type="dxa"/>
              <w:right w:w="15" w:type="dxa"/>
            </w:tcMar>
          </w:tcPr>
          <w:p w14:paraId="3973E069" w14:textId="77777777" w:rsidR="007B027D" w:rsidRDefault="008E012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Decrease in income taxes payable</w:t>
            </w:r>
          </w:p>
        </w:tc>
        <w:tc>
          <w:tcPr>
            <w:tcW w:w="57" w:type="pct"/>
            <w:shd w:val="clear" w:color="auto" w:fill="CFF0FC"/>
            <w:tcMar>
              <w:top w:w="15" w:type="dxa"/>
              <w:right w:w="15" w:type="dxa"/>
            </w:tcMar>
            <w:vAlign w:val="bottom"/>
          </w:tcPr>
          <w:p w14:paraId="3973E0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6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6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(398</w:t>
            </w:r>
          </w:p>
        </w:tc>
        <w:tc>
          <w:tcPr>
            <w:tcW w:w="50" w:type="pct"/>
            <w:shd w:val="clear" w:color="auto" w:fill="CFF0FC"/>
            <w:noWrap/>
            <w:tcMar>
              <w:top w:w="15" w:type="dxa"/>
              <w:right w:w="15" w:type="dxa"/>
            </w:tcMar>
            <w:vAlign w:val="bottom"/>
          </w:tcPr>
          <w:p w14:paraId="3973E06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6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6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7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(1,485</w:t>
            </w:r>
          </w:p>
        </w:tc>
        <w:tc>
          <w:tcPr>
            <w:tcW w:w="50" w:type="pct"/>
            <w:shd w:val="clear" w:color="auto" w:fill="CFF0FC"/>
            <w:noWrap/>
            <w:tcMar>
              <w:top w:w="15" w:type="dxa"/>
              <w:right w:w="15" w:type="dxa"/>
            </w:tcMar>
            <w:vAlign w:val="bottom"/>
          </w:tcPr>
          <w:p w14:paraId="3973E07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7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7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7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(444</w:t>
            </w:r>
          </w:p>
        </w:tc>
        <w:tc>
          <w:tcPr>
            <w:tcW w:w="50" w:type="pct"/>
            <w:shd w:val="clear" w:color="auto" w:fill="CFF0FC"/>
            <w:noWrap/>
            <w:tcMar>
              <w:top w:w="15" w:type="dxa"/>
              <w:right w:w="15" w:type="dxa"/>
            </w:tcMar>
            <w:vAlign w:val="bottom"/>
          </w:tcPr>
          <w:p w14:paraId="3973E07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84" w14:textId="77777777">
        <w:tc>
          <w:tcPr>
            <w:tcW w:w="3407" w:type="pct"/>
            <w:shd w:val="clear" w:color="auto" w:fill="FFFFFF"/>
            <w:tcMar>
              <w:top w:w="15" w:type="dxa"/>
              <w:right w:w="15" w:type="dxa"/>
            </w:tcMar>
          </w:tcPr>
          <w:p w14:paraId="3973E077" w14:textId="77777777" w:rsidR="007B027D" w:rsidRDefault="008E012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Increase (decrease) in deferred </w:t>
            </w:r>
            <w:r>
              <w:rPr>
                <w:rFonts w:ascii="Calibri" w:hAnsi="Calibri" w:cs="Calibri"/>
                <w:color w:val="000000"/>
                <w:sz w:val="16"/>
                <w:szCs w:val="16"/>
              </w:rPr>
              <w:t>revenues</w:t>
            </w:r>
          </w:p>
        </w:tc>
        <w:tc>
          <w:tcPr>
            <w:tcW w:w="57" w:type="pct"/>
            <w:shd w:val="clear" w:color="auto" w:fill="FFFFFF"/>
            <w:tcMar>
              <w:top w:w="15" w:type="dxa"/>
              <w:right w:w="15" w:type="dxa"/>
            </w:tcMar>
            <w:vAlign w:val="bottom"/>
          </w:tcPr>
          <w:p w14:paraId="3973E0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E07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07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FFFFFF"/>
            <w:noWrap/>
            <w:tcMar>
              <w:top w:w="15" w:type="dxa"/>
              <w:right w:w="15" w:type="dxa"/>
            </w:tcMar>
            <w:vAlign w:val="bottom"/>
          </w:tcPr>
          <w:p w14:paraId="3973E07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7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07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07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405</w:t>
            </w:r>
          </w:p>
        </w:tc>
        <w:tc>
          <w:tcPr>
            <w:tcW w:w="50" w:type="pct"/>
            <w:shd w:val="clear" w:color="auto" w:fill="FFFFFF"/>
            <w:noWrap/>
            <w:tcMar>
              <w:top w:w="15" w:type="dxa"/>
              <w:right w:w="15" w:type="dxa"/>
            </w:tcMar>
            <w:vAlign w:val="bottom"/>
          </w:tcPr>
          <w:p w14:paraId="3973E07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8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08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08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(222</w:t>
            </w:r>
          </w:p>
        </w:tc>
        <w:tc>
          <w:tcPr>
            <w:tcW w:w="50" w:type="pct"/>
            <w:shd w:val="clear" w:color="auto" w:fill="FFFFFF"/>
            <w:noWrap/>
            <w:tcMar>
              <w:top w:w="15" w:type="dxa"/>
              <w:right w:w="15" w:type="dxa"/>
            </w:tcMar>
            <w:vAlign w:val="bottom"/>
          </w:tcPr>
          <w:p w14:paraId="3973E08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92" w14:textId="77777777">
        <w:tc>
          <w:tcPr>
            <w:tcW w:w="3407" w:type="pct"/>
            <w:shd w:val="clear" w:color="auto" w:fill="CFF0FC"/>
            <w:tcMar>
              <w:top w:w="15" w:type="dxa"/>
              <w:right w:w="15" w:type="dxa"/>
            </w:tcMar>
          </w:tcPr>
          <w:p w14:paraId="3973E085" w14:textId="77777777" w:rsidR="007B027D" w:rsidRDefault="008E0125">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Net cash provided by operating activities</w:t>
            </w:r>
          </w:p>
        </w:tc>
        <w:tc>
          <w:tcPr>
            <w:tcW w:w="57" w:type="pct"/>
            <w:shd w:val="clear" w:color="auto" w:fill="CFF0FC"/>
            <w:tcMar>
              <w:top w:w="15" w:type="dxa"/>
              <w:right w:w="15" w:type="dxa"/>
            </w:tcMar>
            <w:vAlign w:val="bottom"/>
          </w:tcPr>
          <w:p w14:paraId="3973E0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08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08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9,539</w:t>
            </w:r>
          </w:p>
        </w:tc>
        <w:tc>
          <w:tcPr>
            <w:tcW w:w="50" w:type="pct"/>
            <w:shd w:val="clear" w:color="auto" w:fill="CFF0FC"/>
            <w:noWrap/>
            <w:tcMar>
              <w:top w:w="15" w:type="dxa"/>
              <w:right w:w="15" w:type="dxa"/>
            </w:tcMar>
            <w:vAlign w:val="bottom"/>
          </w:tcPr>
          <w:p w14:paraId="3973E08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8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08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08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15,887</w:t>
            </w:r>
          </w:p>
        </w:tc>
        <w:tc>
          <w:tcPr>
            <w:tcW w:w="50" w:type="pct"/>
            <w:shd w:val="clear" w:color="auto" w:fill="CFF0FC"/>
            <w:noWrap/>
            <w:tcMar>
              <w:top w:w="15" w:type="dxa"/>
              <w:right w:w="15" w:type="dxa"/>
            </w:tcMar>
            <w:vAlign w:val="bottom"/>
          </w:tcPr>
          <w:p w14:paraId="3973E08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8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08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09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13,139</w:t>
            </w:r>
          </w:p>
        </w:tc>
        <w:tc>
          <w:tcPr>
            <w:tcW w:w="50" w:type="pct"/>
            <w:shd w:val="clear" w:color="auto" w:fill="CFF0FC"/>
            <w:noWrap/>
            <w:tcMar>
              <w:top w:w="15" w:type="dxa"/>
              <w:right w:w="15" w:type="dxa"/>
            </w:tcMar>
            <w:vAlign w:val="bottom"/>
          </w:tcPr>
          <w:p w14:paraId="3973E09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A0" w14:textId="77777777">
        <w:tc>
          <w:tcPr>
            <w:tcW w:w="3407" w:type="pct"/>
            <w:shd w:val="clear" w:color="auto" w:fill="FFFFFF"/>
            <w:tcMar>
              <w:top w:w="15" w:type="dxa"/>
              <w:right w:w="15" w:type="dxa"/>
            </w:tcMar>
          </w:tcPr>
          <w:p w14:paraId="3973E09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flows from investing activities:</w:t>
            </w:r>
          </w:p>
        </w:tc>
        <w:tc>
          <w:tcPr>
            <w:tcW w:w="57" w:type="pct"/>
            <w:shd w:val="clear" w:color="auto" w:fill="FFFFFF"/>
            <w:tcMar>
              <w:top w:w="15" w:type="dxa"/>
              <w:right w:w="15" w:type="dxa"/>
            </w:tcMar>
            <w:vAlign w:val="bottom"/>
          </w:tcPr>
          <w:p w14:paraId="3973E0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E09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FFFFFF"/>
            <w:noWrap/>
            <w:tcMar>
              <w:top w:w="15" w:type="dxa"/>
              <w:right w:w="15" w:type="dxa"/>
            </w:tcMar>
            <w:vAlign w:val="bottom"/>
          </w:tcPr>
          <w:p w14:paraId="3973E09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9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9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3973E09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FFFFFF"/>
            <w:noWrap/>
            <w:tcMar>
              <w:top w:w="15" w:type="dxa"/>
              <w:right w:w="15" w:type="dxa"/>
            </w:tcMar>
            <w:vAlign w:val="bottom"/>
          </w:tcPr>
          <w:p w14:paraId="3973E09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9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9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3973E09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FFFFFF"/>
            <w:noWrap/>
            <w:tcMar>
              <w:top w:w="15" w:type="dxa"/>
              <w:right w:w="15" w:type="dxa"/>
            </w:tcMar>
            <w:vAlign w:val="bottom"/>
          </w:tcPr>
          <w:p w14:paraId="3973E09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9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AE" w14:textId="77777777">
        <w:tc>
          <w:tcPr>
            <w:tcW w:w="3407" w:type="pct"/>
            <w:shd w:val="clear" w:color="auto" w:fill="CFF0FC"/>
            <w:tcMar>
              <w:top w:w="15" w:type="dxa"/>
              <w:right w:w="15" w:type="dxa"/>
            </w:tcMar>
          </w:tcPr>
          <w:p w14:paraId="3973E0A1"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Purchases of marketable securities and other investments</w:t>
            </w:r>
          </w:p>
        </w:tc>
        <w:tc>
          <w:tcPr>
            <w:tcW w:w="57" w:type="pct"/>
            <w:shd w:val="clear" w:color="auto" w:fill="CFF0FC"/>
            <w:tcMar>
              <w:top w:w="15" w:type="dxa"/>
              <w:right w:w="15" w:type="dxa"/>
            </w:tcMar>
            <w:vAlign w:val="bottom"/>
          </w:tcPr>
          <w:p w14:paraId="3973E0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A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A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(10,272</w:t>
            </w:r>
          </w:p>
        </w:tc>
        <w:tc>
          <w:tcPr>
            <w:tcW w:w="50" w:type="pct"/>
            <w:shd w:val="clear" w:color="auto" w:fill="CFF0FC"/>
            <w:noWrap/>
            <w:tcMar>
              <w:top w:w="15" w:type="dxa"/>
              <w:right w:w="15" w:type="dxa"/>
            </w:tcMar>
            <w:vAlign w:val="bottom"/>
          </w:tcPr>
          <w:p w14:paraId="3973E0A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A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A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A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(37,982</w:t>
            </w:r>
          </w:p>
        </w:tc>
        <w:tc>
          <w:tcPr>
            <w:tcW w:w="50" w:type="pct"/>
            <w:shd w:val="clear" w:color="auto" w:fill="CFF0FC"/>
            <w:noWrap/>
            <w:tcMar>
              <w:top w:w="15" w:type="dxa"/>
              <w:right w:w="15" w:type="dxa"/>
            </w:tcMar>
            <w:vAlign w:val="bottom"/>
          </w:tcPr>
          <w:p w14:paraId="3973E0A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A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A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A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(5,731</w:t>
            </w:r>
          </w:p>
        </w:tc>
        <w:tc>
          <w:tcPr>
            <w:tcW w:w="50" w:type="pct"/>
            <w:shd w:val="clear" w:color="auto" w:fill="CFF0FC"/>
            <w:noWrap/>
            <w:tcMar>
              <w:top w:w="15" w:type="dxa"/>
              <w:right w:w="15" w:type="dxa"/>
            </w:tcMar>
            <w:vAlign w:val="bottom"/>
          </w:tcPr>
          <w:p w14:paraId="3973E0A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BC" w14:textId="77777777">
        <w:tc>
          <w:tcPr>
            <w:tcW w:w="3407" w:type="pct"/>
            <w:shd w:val="clear" w:color="auto" w:fill="FFFFFF"/>
            <w:tcMar>
              <w:top w:w="15" w:type="dxa"/>
              <w:right w:w="15" w:type="dxa"/>
            </w:tcMar>
          </w:tcPr>
          <w:p w14:paraId="3973E0AF"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maturities of marketable securities</w:t>
            </w:r>
          </w:p>
        </w:tc>
        <w:tc>
          <w:tcPr>
            <w:tcW w:w="57" w:type="pct"/>
            <w:shd w:val="clear" w:color="auto" w:fill="FFFFFF"/>
            <w:tcMar>
              <w:top w:w="15" w:type="dxa"/>
              <w:right w:w="15" w:type="dxa"/>
            </w:tcMar>
            <w:vAlign w:val="bottom"/>
          </w:tcPr>
          <w:p w14:paraId="3973E0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B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B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19,788</w:t>
            </w:r>
          </w:p>
        </w:tc>
        <w:tc>
          <w:tcPr>
            <w:tcW w:w="50" w:type="pct"/>
            <w:shd w:val="clear" w:color="auto" w:fill="FFFFFF"/>
            <w:noWrap/>
            <w:tcMar>
              <w:top w:w="15" w:type="dxa"/>
              <w:right w:w="15" w:type="dxa"/>
            </w:tcMar>
            <w:vAlign w:val="bottom"/>
          </w:tcPr>
          <w:p w14:paraId="3973E0B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B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B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B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26,024</w:t>
            </w:r>
          </w:p>
        </w:tc>
        <w:tc>
          <w:tcPr>
            <w:tcW w:w="50" w:type="pct"/>
            <w:shd w:val="clear" w:color="auto" w:fill="FFFFFF"/>
            <w:noWrap/>
            <w:tcMar>
              <w:top w:w="15" w:type="dxa"/>
              <w:right w:w="15" w:type="dxa"/>
            </w:tcMar>
            <w:vAlign w:val="bottom"/>
          </w:tcPr>
          <w:p w14:paraId="3973E0B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B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B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B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4,687</w:t>
            </w:r>
          </w:p>
        </w:tc>
        <w:tc>
          <w:tcPr>
            <w:tcW w:w="50" w:type="pct"/>
            <w:shd w:val="clear" w:color="auto" w:fill="FFFFFF"/>
            <w:noWrap/>
            <w:tcMar>
              <w:top w:w="15" w:type="dxa"/>
              <w:right w:w="15" w:type="dxa"/>
            </w:tcMar>
            <w:vAlign w:val="bottom"/>
          </w:tcPr>
          <w:p w14:paraId="3973E0B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CA" w14:textId="77777777">
        <w:tc>
          <w:tcPr>
            <w:tcW w:w="3407" w:type="pct"/>
            <w:shd w:val="clear" w:color="auto" w:fill="CFF0FC"/>
            <w:tcMar>
              <w:top w:w="15" w:type="dxa"/>
              <w:right w:w="15" w:type="dxa"/>
            </w:tcMar>
          </w:tcPr>
          <w:p w14:paraId="3973E0BD"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sales of marketable securities and other investments</w:t>
            </w:r>
          </w:p>
        </w:tc>
        <w:tc>
          <w:tcPr>
            <w:tcW w:w="57" w:type="pct"/>
            <w:shd w:val="clear" w:color="auto" w:fill="CFF0FC"/>
            <w:tcMar>
              <w:top w:w="15" w:type="dxa"/>
              <w:right w:w="15" w:type="dxa"/>
            </w:tcMar>
            <w:vAlign w:val="bottom"/>
          </w:tcPr>
          <w:p w14:paraId="3973E0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0B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C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6,363</w:t>
            </w:r>
          </w:p>
        </w:tc>
        <w:tc>
          <w:tcPr>
            <w:tcW w:w="50" w:type="pct"/>
            <w:shd w:val="clear" w:color="auto" w:fill="CFF0FC"/>
            <w:noWrap/>
            <w:tcMar>
              <w:top w:w="15" w:type="dxa"/>
              <w:right w:w="15" w:type="dxa"/>
            </w:tcMar>
            <w:vAlign w:val="bottom"/>
          </w:tcPr>
          <w:p w14:paraId="3973E0C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C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C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C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1,036</w:t>
            </w:r>
          </w:p>
        </w:tc>
        <w:tc>
          <w:tcPr>
            <w:tcW w:w="50" w:type="pct"/>
            <w:shd w:val="clear" w:color="auto" w:fill="CFF0FC"/>
            <w:noWrap/>
            <w:tcMar>
              <w:top w:w="15" w:type="dxa"/>
              <w:right w:w="15" w:type="dxa"/>
            </w:tcMar>
            <w:vAlign w:val="bottom"/>
          </w:tcPr>
          <w:p w14:paraId="3973E0C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C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C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0C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12,575</w:t>
            </w:r>
          </w:p>
        </w:tc>
        <w:tc>
          <w:tcPr>
            <w:tcW w:w="50" w:type="pct"/>
            <w:shd w:val="clear" w:color="auto" w:fill="CFF0FC"/>
            <w:noWrap/>
            <w:tcMar>
              <w:top w:w="15" w:type="dxa"/>
              <w:right w:w="15" w:type="dxa"/>
            </w:tcMar>
            <w:vAlign w:val="bottom"/>
          </w:tcPr>
          <w:p w14:paraId="3973E0C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0D8" w14:textId="77777777">
        <w:tc>
          <w:tcPr>
            <w:tcW w:w="3407" w:type="pct"/>
            <w:shd w:val="clear" w:color="auto" w:fill="FFFFFF"/>
            <w:tcMar>
              <w:top w:w="15" w:type="dxa"/>
              <w:right w:w="15" w:type="dxa"/>
            </w:tcMar>
          </w:tcPr>
          <w:p w14:paraId="3973E0CB"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Acquisitions, net of cash acquired</w:t>
            </w:r>
          </w:p>
        </w:tc>
        <w:tc>
          <w:tcPr>
            <w:tcW w:w="57" w:type="pct"/>
            <w:shd w:val="clear" w:color="auto" w:fill="FFFFFF"/>
            <w:tcMar>
              <w:top w:w="15" w:type="dxa"/>
              <w:right w:w="15" w:type="dxa"/>
            </w:tcMar>
            <w:vAlign w:val="bottom"/>
          </w:tcPr>
          <w:p w14:paraId="3973E0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0C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C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(148</w:t>
            </w:r>
          </w:p>
        </w:tc>
        <w:tc>
          <w:tcPr>
            <w:tcW w:w="50" w:type="pct"/>
            <w:shd w:val="clear" w:color="auto" w:fill="FFFFFF"/>
            <w:noWrap/>
            <w:tcMar>
              <w:top w:w="15" w:type="dxa"/>
              <w:right w:w="15" w:type="dxa"/>
            </w:tcMar>
            <w:vAlign w:val="bottom"/>
          </w:tcPr>
          <w:p w14:paraId="3973E0C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D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D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D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w:t>
            </w:r>
          </w:p>
        </w:tc>
        <w:tc>
          <w:tcPr>
            <w:tcW w:w="50" w:type="pct"/>
            <w:shd w:val="clear" w:color="auto" w:fill="FFFFFF"/>
            <w:noWrap/>
            <w:tcMar>
              <w:top w:w="15" w:type="dxa"/>
              <w:right w:w="15" w:type="dxa"/>
            </w:tcMar>
            <w:vAlign w:val="bottom"/>
          </w:tcPr>
          <w:p w14:paraId="3973E0D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D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0D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0D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w:t>
            </w:r>
          </w:p>
        </w:tc>
        <w:tc>
          <w:tcPr>
            <w:tcW w:w="50" w:type="pct"/>
            <w:shd w:val="clear" w:color="auto" w:fill="FFFFFF"/>
            <w:noWrap/>
            <w:tcMar>
              <w:top w:w="15" w:type="dxa"/>
              <w:right w:w="15" w:type="dxa"/>
            </w:tcMar>
            <w:vAlign w:val="bottom"/>
          </w:tcPr>
          <w:p w14:paraId="3973E0D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E6" w14:textId="77777777">
        <w:tc>
          <w:tcPr>
            <w:tcW w:w="3407" w:type="pct"/>
            <w:shd w:val="clear" w:color="auto" w:fill="CFF0FC"/>
            <w:tcMar>
              <w:top w:w="15" w:type="dxa"/>
              <w:right w:w="15" w:type="dxa"/>
            </w:tcMar>
          </w:tcPr>
          <w:p w14:paraId="3973E0D9"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Capital expenditures</w:t>
            </w:r>
          </w:p>
        </w:tc>
        <w:tc>
          <w:tcPr>
            <w:tcW w:w="57" w:type="pct"/>
            <w:shd w:val="clear" w:color="auto" w:fill="CFF0FC"/>
            <w:tcMar>
              <w:top w:w="15" w:type="dxa"/>
              <w:right w:w="15" w:type="dxa"/>
            </w:tcMar>
            <w:vAlign w:val="bottom"/>
          </w:tcPr>
          <w:p w14:paraId="3973E0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E0D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CFF0FC"/>
            <w:noWrap/>
            <w:tcMar>
              <w:top w:w="15" w:type="dxa"/>
              <w:right w:w="15" w:type="dxa"/>
            </w:tcMar>
            <w:vAlign w:val="bottom"/>
          </w:tcPr>
          <w:p w14:paraId="3973E0D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(4,511</w:t>
            </w:r>
          </w:p>
        </w:tc>
        <w:tc>
          <w:tcPr>
            <w:tcW w:w="50" w:type="pct"/>
            <w:shd w:val="clear" w:color="auto" w:fill="CFF0FC"/>
            <w:noWrap/>
            <w:tcMar>
              <w:top w:w="15" w:type="dxa"/>
              <w:right w:w="15" w:type="dxa"/>
            </w:tcMar>
            <w:vAlign w:val="bottom"/>
          </w:tcPr>
          <w:p w14:paraId="3973E0D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D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3973E0D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CFF0FC"/>
            <w:noWrap/>
            <w:tcMar>
              <w:top w:w="15" w:type="dxa"/>
              <w:right w:w="15" w:type="dxa"/>
            </w:tcMar>
            <w:vAlign w:val="bottom"/>
          </w:tcPr>
          <w:p w14:paraId="3973E0E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(2,135</w:t>
            </w:r>
          </w:p>
        </w:tc>
        <w:tc>
          <w:tcPr>
            <w:tcW w:w="50" w:type="pct"/>
            <w:shd w:val="clear" w:color="auto" w:fill="CFF0FC"/>
            <w:noWrap/>
            <w:tcMar>
              <w:top w:w="15" w:type="dxa"/>
              <w:right w:w="15" w:type="dxa"/>
            </w:tcMar>
            <w:vAlign w:val="bottom"/>
          </w:tcPr>
          <w:p w14:paraId="3973E0E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0E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3973E0E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CFF0FC"/>
            <w:noWrap/>
            <w:tcMar>
              <w:top w:w="15" w:type="dxa"/>
              <w:right w:w="15" w:type="dxa"/>
            </w:tcMar>
            <w:vAlign w:val="bottom"/>
          </w:tcPr>
          <w:p w14:paraId="3973E0E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(1,564</w:t>
            </w:r>
          </w:p>
        </w:tc>
        <w:tc>
          <w:tcPr>
            <w:tcW w:w="50" w:type="pct"/>
            <w:shd w:val="clear" w:color="auto" w:fill="CFF0FC"/>
            <w:noWrap/>
            <w:tcMar>
              <w:top w:w="15" w:type="dxa"/>
              <w:right w:w="15" w:type="dxa"/>
            </w:tcMar>
            <w:vAlign w:val="bottom"/>
          </w:tcPr>
          <w:p w14:paraId="3973E0E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0F4" w14:textId="77777777">
        <w:tc>
          <w:tcPr>
            <w:tcW w:w="3407" w:type="pct"/>
            <w:shd w:val="clear" w:color="auto" w:fill="FFFFFF"/>
            <w:tcMar>
              <w:top w:w="15" w:type="dxa"/>
              <w:right w:w="15" w:type="dxa"/>
            </w:tcMar>
          </w:tcPr>
          <w:p w14:paraId="3973E0E7" w14:textId="77777777" w:rsidR="007B027D" w:rsidRDefault="008E0125">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Net cash provided by (used for) investing activities</w:t>
            </w:r>
          </w:p>
        </w:tc>
        <w:tc>
          <w:tcPr>
            <w:tcW w:w="57" w:type="pct"/>
            <w:shd w:val="clear" w:color="auto" w:fill="FFFFFF"/>
            <w:tcMar>
              <w:top w:w="15" w:type="dxa"/>
              <w:right w:w="15" w:type="dxa"/>
            </w:tcMar>
            <w:vAlign w:val="bottom"/>
          </w:tcPr>
          <w:p w14:paraId="3973E0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0E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0E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11,220</w:t>
            </w:r>
          </w:p>
        </w:tc>
        <w:tc>
          <w:tcPr>
            <w:tcW w:w="50" w:type="pct"/>
            <w:shd w:val="clear" w:color="auto" w:fill="FFFFFF"/>
            <w:noWrap/>
            <w:tcMar>
              <w:top w:w="15" w:type="dxa"/>
              <w:right w:w="15" w:type="dxa"/>
            </w:tcMar>
            <w:vAlign w:val="bottom"/>
          </w:tcPr>
          <w:p w14:paraId="3973E0E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0E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0E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0E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(13,098</w:t>
            </w:r>
          </w:p>
        </w:tc>
        <w:tc>
          <w:tcPr>
            <w:tcW w:w="50" w:type="pct"/>
            <w:shd w:val="clear" w:color="auto" w:fill="FFFFFF"/>
            <w:noWrap/>
            <w:tcMar>
              <w:top w:w="15" w:type="dxa"/>
              <w:right w:w="15" w:type="dxa"/>
            </w:tcMar>
            <w:vAlign w:val="bottom"/>
          </w:tcPr>
          <w:p w14:paraId="3973E0E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0F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0F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0F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9,843</w:t>
            </w:r>
          </w:p>
        </w:tc>
        <w:tc>
          <w:tcPr>
            <w:tcW w:w="50" w:type="pct"/>
            <w:shd w:val="clear" w:color="auto" w:fill="FFFFFF"/>
            <w:noWrap/>
            <w:tcMar>
              <w:top w:w="15" w:type="dxa"/>
              <w:right w:w="15" w:type="dxa"/>
            </w:tcMar>
            <w:vAlign w:val="bottom"/>
          </w:tcPr>
          <w:p w14:paraId="3973E0F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02" w14:textId="77777777">
        <w:tc>
          <w:tcPr>
            <w:tcW w:w="3407" w:type="pct"/>
            <w:shd w:val="clear" w:color="auto" w:fill="CFF0FC"/>
            <w:tcMar>
              <w:top w:w="15" w:type="dxa"/>
              <w:right w:w="15" w:type="dxa"/>
            </w:tcMar>
          </w:tcPr>
          <w:p w14:paraId="3973E0F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Cash flows from financing </w:t>
            </w:r>
            <w:r>
              <w:rPr>
                <w:rFonts w:ascii="Calibri" w:hAnsi="Calibri" w:cs="Calibri"/>
                <w:color w:val="000000"/>
                <w:sz w:val="16"/>
                <w:szCs w:val="16"/>
              </w:rPr>
              <w:t>activities:</w:t>
            </w:r>
          </w:p>
        </w:tc>
        <w:tc>
          <w:tcPr>
            <w:tcW w:w="57" w:type="pct"/>
            <w:shd w:val="clear" w:color="auto" w:fill="CFF0FC"/>
            <w:tcMar>
              <w:top w:w="15" w:type="dxa"/>
              <w:right w:w="15" w:type="dxa"/>
            </w:tcMar>
            <w:vAlign w:val="bottom"/>
          </w:tcPr>
          <w:p w14:paraId="3973E0F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E0F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0F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F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F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E0F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0F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0F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0F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E0F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10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0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10" w14:textId="77777777">
        <w:tc>
          <w:tcPr>
            <w:tcW w:w="3407" w:type="pct"/>
            <w:shd w:val="clear" w:color="auto" w:fill="FFFFFF"/>
            <w:tcMar>
              <w:top w:w="15" w:type="dxa"/>
              <w:right w:w="15" w:type="dxa"/>
            </w:tcMar>
          </w:tcPr>
          <w:p w14:paraId="3973E103"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Payments for repurchases of common stock</w:t>
            </w:r>
          </w:p>
        </w:tc>
        <w:tc>
          <w:tcPr>
            <w:tcW w:w="57" w:type="pct"/>
            <w:shd w:val="clear" w:color="auto" w:fill="FFFFFF"/>
            <w:tcMar>
              <w:top w:w="15" w:type="dxa"/>
              <w:right w:w="15" w:type="dxa"/>
            </w:tcMar>
            <w:vAlign w:val="bottom"/>
          </w:tcPr>
          <w:p w14:paraId="3973E1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0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0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(16,248</w:t>
            </w:r>
          </w:p>
        </w:tc>
        <w:tc>
          <w:tcPr>
            <w:tcW w:w="50" w:type="pct"/>
            <w:shd w:val="clear" w:color="auto" w:fill="FFFFFF"/>
            <w:noWrap/>
            <w:tcMar>
              <w:top w:w="15" w:type="dxa"/>
              <w:right w:w="15" w:type="dxa"/>
            </w:tcMar>
            <w:vAlign w:val="bottom"/>
          </w:tcPr>
          <w:p w14:paraId="3973E10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0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0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0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(20,934</w:t>
            </w:r>
          </w:p>
        </w:tc>
        <w:tc>
          <w:tcPr>
            <w:tcW w:w="50" w:type="pct"/>
            <w:shd w:val="clear" w:color="auto" w:fill="FFFFFF"/>
            <w:noWrap/>
            <w:tcMar>
              <w:top w:w="15" w:type="dxa"/>
              <w:right w:w="15" w:type="dxa"/>
            </w:tcMar>
            <w:vAlign w:val="bottom"/>
          </w:tcPr>
          <w:p w14:paraId="3973E10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0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0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0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(19,240</w:t>
            </w:r>
          </w:p>
        </w:tc>
        <w:tc>
          <w:tcPr>
            <w:tcW w:w="50" w:type="pct"/>
            <w:shd w:val="clear" w:color="auto" w:fill="FFFFFF"/>
            <w:noWrap/>
            <w:tcMar>
              <w:top w:w="15" w:type="dxa"/>
              <w:right w:w="15" w:type="dxa"/>
            </w:tcMar>
            <w:vAlign w:val="bottom"/>
          </w:tcPr>
          <w:p w14:paraId="3973E10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1E" w14:textId="77777777">
        <w:tc>
          <w:tcPr>
            <w:tcW w:w="3407" w:type="pct"/>
            <w:shd w:val="clear" w:color="auto" w:fill="CFF0FC"/>
            <w:tcMar>
              <w:top w:w="15" w:type="dxa"/>
              <w:right w:w="15" w:type="dxa"/>
            </w:tcMar>
          </w:tcPr>
          <w:p w14:paraId="3973E111"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issuances of common stock</w:t>
            </w:r>
          </w:p>
        </w:tc>
        <w:tc>
          <w:tcPr>
            <w:tcW w:w="57" w:type="pct"/>
            <w:shd w:val="clear" w:color="auto" w:fill="CFF0FC"/>
            <w:tcMar>
              <w:top w:w="15" w:type="dxa"/>
              <w:right w:w="15" w:type="dxa"/>
            </w:tcMar>
            <w:vAlign w:val="bottom"/>
          </w:tcPr>
          <w:p w14:paraId="3973E1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11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1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482</w:t>
            </w:r>
          </w:p>
        </w:tc>
        <w:tc>
          <w:tcPr>
            <w:tcW w:w="50" w:type="pct"/>
            <w:shd w:val="clear" w:color="auto" w:fill="CFF0FC"/>
            <w:noWrap/>
            <w:tcMar>
              <w:top w:w="15" w:type="dxa"/>
              <w:right w:w="15" w:type="dxa"/>
            </w:tcMar>
            <w:vAlign w:val="bottom"/>
          </w:tcPr>
          <w:p w14:paraId="3973E11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11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1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1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1,786</w:t>
            </w:r>
          </w:p>
        </w:tc>
        <w:tc>
          <w:tcPr>
            <w:tcW w:w="50" w:type="pct"/>
            <w:shd w:val="clear" w:color="auto" w:fill="CFF0FC"/>
            <w:noWrap/>
            <w:tcMar>
              <w:top w:w="15" w:type="dxa"/>
              <w:right w:w="15" w:type="dxa"/>
            </w:tcMar>
            <w:vAlign w:val="bottom"/>
          </w:tcPr>
          <w:p w14:paraId="3973E11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11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1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1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1,588</w:t>
            </w:r>
          </w:p>
        </w:tc>
        <w:tc>
          <w:tcPr>
            <w:tcW w:w="50" w:type="pct"/>
            <w:shd w:val="clear" w:color="auto" w:fill="CFF0FC"/>
            <w:noWrap/>
            <w:tcMar>
              <w:top w:w="15" w:type="dxa"/>
              <w:right w:w="15" w:type="dxa"/>
            </w:tcMar>
            <w:vAlign w:val="bottom"/>
          </w:tcPr>
          <w:p w14:paraId="3973E11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2C" w14:textId="77777777">
        <w:tc>
          <w:tcPr>
            <w:tcW w:w="3407" w:type="pct"/>
            <w:shd w:val="clear" w:color="auto" w:fill="FFFFFF"/>
            <w:tcMar>
              <w:top w:w="15" w:type="dxa"/>
              <w:right w:w="15" w:type="dxa"/>
            </w:tcMar>
          </w:tcPr>
          <w:p w14:paraId="3973E11F"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Shares repurchased for tax withholdings upon vesting of </w:t>
            </w:r>
            <w:r>
              <w:rPr>
                <w:rFonts w:ascii="Calibri" w:hAnsi="Calibri" w:cs="Calibri"/>
                <w:color w:val="000000"/>
                <w:sz w:val="16"/>
                <w:szCs w:val="16"/>
              </w:rPr>
              <w:t>restricted stock-based awards</w:t>
            </w:r>
          </w:p>
        </w:tc>
        <w:tc>
          <w:tcPr>
            <w:tcW w:w="57" w:type="pct"/>
            <w:shd w:val="clear" w:color="auto" w:fill="FFFFFF"/>
            <w:tcMar>
              <w:top w:w="15" w:type="dxa"/>
              <w:right w:w="15" w:type="dxa"/>
            </w:tcMar>
            <w:vAlign w:val="bottom"/>
          </w:tcPr>
          <w:p w14:paraId="3973E1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2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2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(1,093</w:t>
            </w:r>
          </w:p>
        </w:tc>
        <w:tc>
          <w:tcPr>
            <w:tcW w:w="50" w:type="pct"/>
            <w:shd w:val="clear" w:color="auto" w:fill="FFFFFF"/>
            <w:noWrap/>
            <w:tcMar>
              <w:top w:w="15" w:type="dxa"/>
              <w:right w:w="15" w:type="dxa"/>
            </w:tcMar>
            <w:vAlign w:val="bottom"/>
          </w:tcPr>
          <w:p w14:paraId="3973E12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2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2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2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(666</w:t>
            </w:r>
          </w:p>
        </w:tc>
        <w:tc>
          <w:tcPr>
            <w:tcW w:w="50" w:type="pct"/>
            <w:shd w:val="clear" w:color="auto" w:fill="FFFFFF"/>
            <w:noWrap/>
            <w:tcMar>
              <w:top w:w="15" w:type="dxa"/>
              <w:right w:w="15" w:type="dxa"/>
            </w:tcMar>
            <w:vAlign w:val="bottom"/>
          </w:tcPr>
          <w:p w14:paraId="3973E12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2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2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2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(665</w:t>
            </w:r>
          </w:p>
        </w:tc>
        <w:tc>
          <w:tcPr>
            <w:tcW w:w="50" w:type="pct"/>
            <w:shd w:val="clear" w:color="auto" w:fill="FFFFFF"/>
            <w:noWrap/>
            <w:tcMar>
              <w:top w:w="15" w:type="dxa"/>
              <w:right w:w="15" w:type="dxa"/>
            </w:tcMar>
            <w:vAlign w:val="bottom"/>
          </w:tcPr>
          <w:p w14:paraId="3973E12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3A" w14:textId="77777777">
        <w:tc>
          <w:tcPr>
            <w:tcW w:w="3407" w:type="pct"/>
            <w:shd w:val="clear" w:color="auto" w:fill="CFF0FC"/>
            <w:tcMar>
              <w:top w:w="15" w:type="dxa"/>
              <w:right w:w="15" w:type="dxa"/>
            </w:tcMar>
          </w:tcPr>
          <w:p w14:paraId="3973E12D"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Payments of dividends to stockholders</w:t>
            </w:r>
          </w:p>
        </w:tc>
        <w:tc>
          <w:tcPr>
            <w:tcW w:w="57" w:type="pct"/>
            <w:shd w:val="clear" w:color="auto" w:fill="CFF0FC"/>
            <w:tcMar>
              <w:top w:w="15" w:type="dxa"/>
              <w:right w:w="15" w:type="dxa"/>
            </w:tcMar>
            <w:vAlign w:val="bottom"/>
          </w:tcPr>
          <w:p w14:paraId="3973E12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12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3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(3,457</w:t>
            </w:r>
          </w:p>
        </w:tc>
        <w:tc>
          <w:tcPr>
            <w:tcW w:w="50" w:type="pct"/>
            <w:shd w:val="clear" w:color="auto" w:fill="CFF0FC"/>
            <w:noWrap/>
            <w:tcMar>
              <w:top w:w="15" w:type="dxa"/>
              <w:right w:w="15" w:type="dxa"/>
            </w:tcMar>
            <w:vAlign w:val="bottom"/>
          </w:tcPr>
          <w:p w14:paraId="3973E13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3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3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3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(3,063</w:t>
            </w:r>
          </w:p>
        </w:tc>
        <w:tc>
          <w:tcPr>
            <w:tcW w:w="50" w:type="pct"/>
            <w:shd w:val="clear" w:color="auto" w:fill="CFF0FC"/>
            <w:noWrap/>
            <w:tcMar>
              <w:top w:w="15" w:type="dxa"/>
              <w:right w:w="15" w:type="dxa"/>
            </w:tcMar>
            <w:vAlign w:val="bottom"/>
          </w:tcPr>
          <w:p w14:paraId="3973E13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3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3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3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(3,070</w:t>
            </w:r>
          </w:p>
        </w:tc>
        <w:tc>
          <w:tcPr>
            <w:tcW w:w="50" w:type="pct"/>
            <w:shd w:val="clear" w:color="auto" w:fill="CFF0FC"/>
            <w:noWrap/>
            <w:tcMar>
              <w:top w:w="15" w:type="dxa"/>
              <w:right w:w="15" w:type="dxa"/>
            </w:tcMar>
            <w:vAlign w:val="bottom"/>
          </w:tcPr>
          <w:p w14:paraId="3973E13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48" w14:textId="77777777">
        <w:tc>
          <w:tcPr>
            <w:tcW w:w="3407" w:type="pct"/>
            <w:shd w:val="clear" w:color="auto" w:fill="FFFFFF"/>
            <w:tcMar>
              <w:top w:w="15" w:type="dxa"/>
              <w:right w:w="15" w:type="dxa"/>
            </w:tcMar>
          </w:tcPr>
          <w:p w14:paraId="3973E13B"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borrowings, net of issuance costs</w:t>
            </w:r>
          </w:p>
        </w:tc>
        <w:tc>
          <w:tcPr>
            <w:tcW w:w="57" w:type="pct"/>
            <w:shd w:val="clear" w:color="auto" w:fill="FFFFFF"/>
            <w:tcMar>
              <w:top w:w="15" w:type="dxa"/>
              <w:right w:w="15" w:type="dxa"/>
            </w:tcMar>
            <w:vAlign w:val="bottom"/>
          </w:tcPr>
          <w:p w14:paraId="3973E13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72" w:type="pct"/>
            <w:shd w:val="clear" w:color="auto" w:fill="FFFFFF"/>
            <w:noWrap/>
            <w:tcMar>
              <w:top w:w="15" w:type="dxa"/>
              <w:right w:w="15" w:type="dxa"/>
            </w:tcMar>
            <w:vAlign w:val="bottom"/>
          </w:tcPr>
          <w:p w14:paraId="3973E13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3973E1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7" w:type="pct"/>
            <w:shd w:val="clear" w:color="auto" w:fill="FFFFFF"/>
            <w:tcMar>
              <w:top w:w="15" w:type="dxa"/>
              <w:right w:w="15" w:type="dxa"/>
            </w:tcMar>
            <w:vAlign w:val="bottom"/>
          </w:tcPr>
          <w:p w14:paraId="3973E14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4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4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14,934</w:t>
            </w:r>
          </w:p>
        </w:tc>
        <w:tc>
          <w:tcPr>
            <w:tcW w:w="50" w:type="pct"/>
            <w:shd w:val="clear" w:color="auto" w:fill="FFFFFF"/>
            <w:noWrap/>
            <w:tcMar>
              <w:top w:w="15" w:type="dxa"/>
              <w:right w:w="15" w:type="dxa"/>
            </w:tcMar>
            <w:vAlign w:val="bottom"/>
          </w:tcPr>
          <w:p w14:paraId="3973E14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4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4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4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19,888</w:t>
            </w:r>
          </w:p>
        </w:tc>
        <w:tc>
          <w:tcPr>
            <w:tcW w:w="50" w:type="pct"/>
            <w:shd w:val="clear" w:color="auto" w:fill="FFFFFF"/>
            <w:noWrap/>
            <w:tcMar>
              <w:top w:w="15" w:type="dxa"/>
              <w:right w:w="15" w:type="dxa"/>
            </w:tcMar>
            <w:vAlign w:val="bottom"/>
          </w:tcPr>
          <w:p w14:paraId="3973E14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56" w14:textId="77777777">
        <w:tc>
          <w:tcPr>
            <w:tcW w:w="3407" w:type="pct"/>
            <w:shd w:val="clear" w:color="auto" w:fill="CFF0FC"/>
            <w:tcMar>
              <w:top w:w="15" w:type="dxa"/>
              <w:right w:w="15" w:type="dxa"/>
            </w:tcMar>
          </w:tcPr>
          <w:p w14:paraId="3973E149"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Repayments of </w:t>
            </w:r>
            <w:r>
              <w:rPr>
                <w:rFonts w:ascii="Calibri" w:hAnsi="Calibri" w:cs="Calibri"/>
                <w:color w:val="000000"/>
                <w:sz w:val="16"/>
                <w:szCs w:val="16"/>
              </w:rPr>
              <w:t>borrowings</w:t>
            </w:r>
          </w:p>
        </w:tc>
        <w:tc>
          <w:tcPr>
            <w:tcW w:w="57" w:type="pct"/>
            <w:shd w:val="clear" w:color="auto" w:fill="CFF0FC"/>
            <w:tcMar>
              <w:top w:w="15" w:type="dxa"/>
              <w:right w:w="15" w:type="dxa"/>
            </w:tcMar>
            <w:vAlign w:val="bottom"/>
          </w:tcPr>
          <w:p w14:paraId="3973E1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14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4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(8,250</w:t>
            </w:r>
          </w:p>
        </w:tc>
        <w:tc>
          <w:tcPr>
            <w:tcW w:w="50" w:type="pct"/>
            <w:shd w:val="clear" w:color="auto" w:fill="CFF0FC"/>
            <w:noWrap/>
            <w:tcMar>
              <w:top w:w="15" w:type="dxa"/>
              <w:right w:w="15" w:type="dxa"/>
            </w:tcMar>
            <w:vAlign w:val="bottom"/>
          </w:tcPr>
          <w:p w14:paraId="3973E14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4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4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5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(2,631</w:t>
            </w:r>
          </w:p>
        </w:tc>
        <w:tc>
          <w:tcPr>
            <w:tcW w:w="50" w:type="pct"/>
            <w:shd w:val="clear" w:color="auto" w:fill="CFF0FC"/>
            <w:noWrap/>
            <w:tcMar>
              <w:top w:w="15" w:type="dxa"/>
              <w:right w:w="15" w:type="dxa"/>
            </w:tcMar>
            <w:vAlign w:val="bottom"/>
          </w:tcPr>
          <w:p w14:paraId="3973E15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5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5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CFF0FC"/>
            <w:noWrap/>
            <w:tcMar>
              <w:top w:w="15" w:type="dxa"/>
              <w:right w:w="15" w:type="dxa"/>
            </w:tcMar>
            <w:vAlign w:val="bottom"/>
          </w:tcPr>
          <w:p w14:paraId="3973E15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CFF0FC"/>
            <w:noWrap/>
            <w:tcMar>
              <w:top w:w="15" w:type="dxa"/>
              <w:right w:w="15" w:type="dxa"/>
            </w:tcMar>
            <w:vAlign w:val="bottom"/>
          </w:tcPr>
          <w:p w14:paraId="3973E15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64" w14:textId="77777777">
        <w:tc>
          <w:tcPr>
            <w:tcW w:w="3407" w:type="pct"/>
            <w:shd w:val="clear" w:color="auto" w:fill="FFFFFF"/>
            <w:tcMar>
              <w:top w:w="15" w:type="dxa"/>
              <w:right w:w="15" w:type="dxa"/>
            </w:tcMar>
          </w:tcPr>
          <w:p w14:paraId="3973E157"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net</w:t>
            </w:r>
          </w:p>
        </w:tc>
        <w:tc>
          <w:tcPr>
            <w:tcW w:w="57" w:type="pct"/>
            <w:shd w:val="clear" w:color="auto" w:fill="FFFFFF"/>
            <w:tcMar>
              <w:top w:w="15" w:type="dxa"/>
              <w:right w:w="15" w:type="dxa"/>
            </w:tcMar>
            <w:vAlign w:val="bottom"/>
          </w:tcPr>
          <w:p w14:paraId="3973E1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E15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5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(560</w:t>
            </w:r>
          </w:p>
        </w:tc>
        <w:tc>
          <w:tcPr>
            <w:tcW w:w="50" w:type="pct"/>
            <w:shd w:val="clear" w:color="auto" w:fill="FFFFFF"/>
            <w:noWrap/>
            <w:tcMar>
              <w:top w:w="15" w:type="dxa"/>
              <w:right w:w="15" w:type="dxa"/>
            </w:tcMar>
            <w:vAlign w:val="bottom"/>
          </w:tcPr>
          <w:p w14:paraId="3973E15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5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15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5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196</w:t>
            </w:r>
          </w:p>
        </w:tc>
        <w:tc>
          <w:tcPr>
            <w:tcW w:w="50" w:type="pct"/>
            <w:shd w:val="clear" w:color="auto" w:fill="FFFFFF"/>
            <w:noWrap/>
            <w:tcMar>
              <w:top w:w="15" w:type="dxa"/>
              <w:right w:w="15" w:type="dxa"/>
            </w:tcMar>
            <w:vAlign w:val="bottom"/>
          </w:tcPr>
          <w:p w14:paraId="3973E15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6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16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6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(133</w:t>
            </w:r>
          </w:p>
        </w:tc>
        <w:tc>
          <w:tcPr>
            <w:tcW w:w="50" w:type="pct"/>
            <w:shd w:val="clear" w:color="auto" w:fill="FFFFFF"/>
            <w:noWrap/>
            <w:tcMar>
              <w:top w:w="15" w:type="dxa"/>
              <w:right w:w="15" w:type="dxa"/>
            </w:tcMar>
            <w:vAlign w:val="bottom"/>
          </w:tcPr>
          <w:p w14:paraId="3973E16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72" w14:textId="77777777">
        <w:tc>
          <w:tcPr>
            <w:tcW w:w="3407" w:type="pct"/>
            <w:shd w:val="clear" w:color="auto" w:fill="CFF0FC"/>
            <w:tcMar>
              <w:top w:w="15" w:type="dxa"/>
              <w:right w:w="15" w:type="dxa"/>
            </w:tcMar>
          </w:tcPr>
          <w:p w14:paraId="3973E165" w14:textId="77777777" w:rsidR="007B027D" w:rsidRDefault="008E0125">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Net cash used for financing activities</w:t>
            </w:r>
          </w:p>
        </w:tc>
        <w:tc>
          <w:tcPr>
            <w:tcW w:w="57" w:type="pct"/>
            <w:shd w:val="clear" w:color="auto" w:fill="CFF0FC"/>
            <w:tcMar>
              <w:top w:w="15" w:type="dxa"/>
              <w:right w:w="15" w:type="dxa"/>
            </w:tcMar>
            <w:vAlign w:val="bottom"/>
          </w:tcPr>
          <w:p w14:paraId="3973E1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16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16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(29,126</w:t>
            </w:r>
          </w:p>
        </w:tc>
        <w:tc>
          <w:tcPr>
            <w:tcW w:w="50" w:type="pct"/>
            <w:shd w:val="clear" w:color="auto" w:fill="CFF0FC"/>
            <w:noWrap/>
            <w:tcMar>
              <w:top w:w="15" w:type="dxa"/>
              <w:right w:w="15" w:type="dxa"/>
            </w:tcMar>
            <w:vAlign w:val="bottom"/>
          </w:tcPr>
          <w:p w14:paraId="3973E16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6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16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16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(10,378</w:t>
            </w:r>
          </w:p>
        </w:tc>
        <w:tc>
          <w:tcPr>
            <w:tcW w:w="50" w:type="pct"/>
            <w:shd w:val="clear" w:color="auto" w:fill="CFF0FC"/>
            <w:noWrap/>
            <w:tcMar>
              <w:top w:w="15" w:type="dxa"/>
              <w:right w:w="15" w:type="dxa"/>
            </w:tcMar>
            <w:vAlign w:val="bottom"/>
          </w:tcPr>
          <w:p w14:paraId="3973E16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6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16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CFF0FC"/>
            <w:noWrap/>
            <w:tcMar>
              <w:top w:w="15" w:type="dxa"/>
              <w:right w:w="15" w:type="dxa"/>
            </w:tcMar>
            <w:vAlign w:val="bottom"/>
          </w:tcPr>
          <w:p w14:paraId="3973E17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(6,132</w:t>
            </w:r>
          </w:p>
        </w:tc>
        <w:tc>
          <w:tcPr>
            <w:tcW w:w="50" w:type="pct"/>
            <w:shd w:val="clear" w:color="auto" w:fill="CFF0FC"/>
            <w:noWrap/>
            <w:tcMar>
              <w:top w:w="15" w:type="dxa"/>
              <w:right w:w="15" w:type="dxa"/>
            </w:tcMar>
            <w:vAlign w:val="bottom"/>
          </w:tcPr>
          <w:p w14:paraId="3973E17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80" w14:textId="77777777">
        <w:tc>
          <w:tcPr>
            <w:tcW w:w="3407" w:type="pct"/>
            <w:shd w:val="clear" w:color="auto" w:fill="FFFFFF"/>
            <w:tcMar>
              <w:top w:w="15" w:type="dxa"/>
              <w:right w:w="15" w:type="dxa"/>
            </w:tcMar>
          </w:tcPr>
          <w:p w14:paraId="3973E17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Effect of exchange rate changes on cash and cash equivalents</w:t>
            </w:r>
          </w:p>
        </w:tc>
        <w:tc>
          <w:tcPr>
            <w:tcW w:w="57" w:type="pct"/>
            <w:shd w:val="clear" w:color="auto" w:fill="FFFFFF"/>
            <w:tcMar>
              <w:top w:w="15" w:type="dxa"/>
              <w:right w:w="15" w:type="dxa"/>
            </w:tcMar>
            <w:vAlign w:val="bottom"/>
          </w:tcPr>
          <w:p w14:paraId="3973E1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17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17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(348</w:t>
            </w:r>
          </w:p>
        </w:tc>
        <w:tc>
          <w:tcPr>
            <w:tcW w:w="50" w:type="pct"/>
            <w:shd w:val="clear" w:color="auto" w:fill="FFFFFF"/>
            <w:noWrap/>
            <w:tcMar>
              <w:top w:w="15" w:type="dxa"/>
              <w:right w:w="15" w:type="dxa"/>
            </w:tcMar>
            <w:vAlign w:val="bottom"/>
          </w:tcPr>
          <w:p w14:paraId="3973E17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FFFFFF"/>
            <w:tcMar>
              <w:top w:w="15" w:type="dxa"/>
              <w:right w:w="15" w:type="dxa"/>
            </w:tcMar>
            <w:vAlign w:val="bottom"/>
          </w:tcPr>
          <w:p w14:paraId="3973E17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17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17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448</w:t>
            </w:r>
          </w:p>
        </w:tc>
        <w:tc>
          <w:tcPr>
            <w:tcW w:w="50" w:type="pct"/>
            <w:shd w:val="clear" w:color="auto" w:fill="FFFFFF"/>
            <w:noWrap/>
            <w:tcMar>
              <w:top w:w="15" w:type="dxa"/>
              <w:right w:w="15" w:type="dxa"/>
            </w:tcMar>
            <w:vAlign w:val="bottom"/>
          </w:tcPr>
          <w:p w14:paraId="3973E17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7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17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bottom w:val="single" w:sz="6" w:space="0" w:color="000000"/>
            </w:tcBorders>
            <w:shd w:val="clear" w:color="auto" w:fill="FFFFFF"/>
            <w:noWrap/>
            <w:tcMar>
              <w:top w:w="15" w:type="dxa"/>
              <w:right w:w="15" w:type="dxa"/>
            </w:tcMar>
            <w:vAlign w:val="bottom"/>
          </w:tcPr>
          <w:p w14:paraId="3973E17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w:t>
            </w:r>
          </w:p>
        </w:tc>
        <w:tc>
          <w:tcPr>
            <w:tcW w:w="50" w:type="pct"/>
            <w:shd w:val="clear" w:color="auto" w:fill="FFFFFF"/>
            <w:noWrap/>
            <w:tcMar>
              <w:top w:w="15" w:type="dxa"/>
              <w:right w:w="15" w:type="dxa"/>
            </w:tcMar>
            <w:vAlign w:val="bottom"/>
          </w:tcPr>
          <w:p w14:paraId="3973E17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8E" w14:textId="77777777">
        <w:tc>
          <w:tcPr>
            <w:tcW w:w="3407" w:type="pct"/>
            <w:shd w:val="clear" w:color="auto" w:fill="CFF0FC"/>
            <w:tcMar>
              <w:top w:w="15" w:type="dxa"/>
              <w:right w:w="15" w:type="dxa"/>
            </w:tcMar>
          </w:tcPr>
          <w:p w14:paraId="3973E18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Net (decrease) increase in cash and cash equivalents</w:t>
            </w:r>
          </w:p>
        </w:tc>
        <w:tc>
          <w:tcPr>
            <w:tcW w:w="57" w:type="pct"/>
            <w:shd w:val="clear" w:color="auto" w:fill="CFF0FC"/>
            <w:tcMar>
              <w:top w:w="15" w:type="dxa"/>
              <w:right w:w="15" w:type="dxa"/>
            </w:tcMar>
            <w:vAlign w:val="bottom"/>
          </w:tcPr>
          <w:p w14:paraId="3973E1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E18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18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(8,715</w:t>
            </w:r>
          </w:p>
        </w:tc>
        <w:tc>
          <w:tcPr>
            <w:tcW w:w="50" w:type="pct"/>
            <w:shd w:val="clear" w:color="auto" w:fill="CFF0FC"/>
            <w:noWrap/>
            <w:tcMar>
              <w:top w:w="15" w:type="dxa"/>
              <w:right w:w="15" w:type="dxa"/>
            </w:tcMar>
            <w:vAlign w:val="bottom"/>
          </w:tcPr>
          <w:p w14:paraId="3973E18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8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E18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18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(7,141</w:t>
            </w:r>
          </w:p>
        </w:tc>
        <w:tc>
          <w:tcPr>
            <w:tcW w:w="50" w:type="pct"/>
            <w:shd w:val="clear" w:color="auto" w:fill="CFF0FC"/>
            <w:noWrap/>
            <w:tcMar>
              <w:top w:w="15" w:type="dxa"/>
              <w:right w:w="15" w:type="dxa"/>
            </w:tcMar>
            <w:vAlign w:val="bottom"/>
          </w:tcPr>
          <w:p w14:paraId="3973E18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8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3973E18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top w:val="single" w:sz="6" w:space="0" w:color="000000"/>
            </w:tcBorders>
            <w:shd w:val="clear" w:color="auto" w:fill="CFF0FC"/>
            <w:noWrap/>
            <w:tcMar>
              <w:top w:w="15" w:type="dxa"/>
              <w:right w:w="15" w:type="dxa"/>
            </w:tcMar>
            <w:vAlign w:val="bottom"/>
          </w:tcPr>
          <w:p w14:paraId="3973E18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16,725</w:t>
            </w:r>
          </w:p>
        </w:tc>
        <w:tc>
          <w:tcPr>
            <w:tcW w:w="50" w:type="pct"/>
            <w:shd w:val="clear" w:color="auto" w:fill="CFF0FC"/>
            <w:noWrap/>
            <w:tcMar>
              <w:top w:w="15" w:type="dxa"/>
              <w:right w:w="15" w:type="dxa"/>
            </w:tcMar>
            <w:vAlign w:val="bottom"/>
          </w:tcPr>
          <w:p w14:paraId="3973E18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9C" w14:textId="77777777">
        <w:tc>
          <w:tcPr>
            <w:tcW w:w="3407" w:type="pct"/>
            <w:shd w:val="clear" w:color="auto" w:fill="FFFFFF"/>
            <w:tcMar>
              <w:top w:w="15" w:type="dxa"/>
              <w:right w:w="15" w:type="dxa"/>
            </w:tcMar>
          </w:tcPr>
          <w:p w14:paraId="3973E18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and cash equivalents at beginning of period</w:t>
            </w:r>
          </w:p>
        </w:tc>
        <w:tc>
          <w:tcPr>
            <w:tcW w:w="57" w:type="pct"/>
            <w:shd w:val="clear" w:color="auto" w:fill="FFFFFF"/>
            <w:tcMar>
              <w:top w:w="15" w:type="dxa"/>
              <w:right w:w="15" w:type="dxa"/>
            </w:tcMar>
            <w:vAlign w:val="bottom"/>
          </w:tcPr>
          <w:p w14:paraId="3973E1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E19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9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30,098</w:t>
            </w:r>
          </w:p>
        </w:tc>
        <w:tc>
          <w:tcPr>
            <w:tcW w:w="50" w:type="pct"/>
            <w:shd w:val="clear" w:color="auto" w:fill="FFFFFF"/>
            <w:noWrap/>
            <w:tcMar>
              <w:top w:w="15" w:type="dxa"/>
              <w:right w:w="15" w:type="dxa"/>
            </w:tcMar>
            <w:vAlign w:val="bottom"/>
          </w:tcPr>
          <w:p w14:paraId="3973E19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9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19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9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FFFFFF"/>
            <w:noWrap/>
            <w:tcMar>
              <w:top w:w="15" w:type="dxa"/>
              <w:right w:w="15" w:type="dxa"/>
            </w:tcMar>
            <w:vAlign w:val="bottom"/>
          </w:tcPr>
          <w:p w14:paraId="3973E19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9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3973E19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tcBorders>
              <w:bottom w:val="single" w:sz="6" w:space="0" w:color="000000"/>
            </w:tcBorders>
            <w:shd w:val="clear" w:color="auto" w:fill="FFFFFF"/>
            <w:noWrap/>
            <w:tcMar>
              <w:top w:w="15" w:type="dxa"/>
              <w:right w:w="15" w:type="dxa"/>
            </w:tcMar>
            <w:vAlign w:val="bottom"/>
          </w:tcPr>
          <w:p w14:paraId="3973E19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FFFFFF"/>
            <w:noWrap/>
            <w:tcMar>
              <w:top w:w="15" w:type="dxa"/>
              <w:right w:w="15" w:type="dxa"/>
            </w:tcMar>
            <w:vAlign w:val="bottom"/>
          </w:tcPr>
          <w:p w14:paraId="3973E19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AA" w14:textId="77777777">
        <w:tc>
          <w:tcPr>
            <w:tcW w:w="3407" w:type="pct"/>
            <w:shd w:val="clear" w:color="auto" w:fill="CFF0FC"/>
            <w:tcMar>
              <w:top w:w="15" w:type="dxa"/>
              <w:right w:w="15" w:type="dxa"/>
            </w:tcMar>
          </w:tcPr>
          <w:p w14:paraId="3973E19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and cash equivalents at end of period</w:t>
            </w:r>
          </w:p>
        </w:tc>
        <w:tc>
          <w:tcPr>
            <w:tcW w:w="57" w:type="pct"/>
            <w:shd w:val="clear" w:color="auto" w:fill="CFF0FC"/>
            <w:tcMar>
              <w:top w:w="15" w:type="dxa"/>
              <w:right w:w="15" w:type="dxa"/>
            </w:tcMar>
            <w:vAlign w:val="center"/>
          </w:tcPr>
          <w:p w14:paraId="3973E1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19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tcBorders>
              <w:top w:val="single" w:sz="6" w:space="0" w:color="000000"/>
              <w:bottom w:val="double" w:sz="6" w:space="0" w:color="000000"/>
            </w:tcBorders>
            <w:shd w:val="clear" w:color="auto" w:fill="CFF0FC"/>
            <w:noWrap/>
            <w:tcMar>
              <w:top w:w="15" w:type="dxa"/>
              <w:right w:w="15" w:type="dxa"/>
            </w:tcMar>
            <w:vAlign w:val="bottom"/>
          </w:tcPr>
          <w:p w14:paraId="3973E1A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21,383</w:t>
            </w:r>
          </w:p>
        </w:tc>
        <w:tc>
          <w:tcPr>
            <w:tcW w:w="50" w:type="pct"/>
            <w:shd w:val="clear" w:color="auto" w:fill="CFF0FC"/>
            <w:noWrap/>
            <w:tcMar>
              <w:top w:w="15" w:type="dxa"/>
              <w:right w:w="15" w:type="dxa"/>
            </w:tcMar>
            <w:vAlign w:val="bottom"/>
          </w:tcPr>
          <w:p w14:paraId="3973E1A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center"/>
          </w:tcPr>
          <w:p w14:paraId="3973E1A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1A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tcBorders>
              <w:top w:val="single" w:sz="6" w:space="0" w:color="000000"/>
              <w:bottom w:val="double" w:sz="6" w:space="0" w:color="000000"/>
            </w:tcBorders>
            <w:shd w:val="clear" w:color="auto" w:fill="CFF0FC"/>
            <w:noWrap/>
            <w:tcMar>
              <w:top w:w="15" w:type="dxa"/>
              <w:right w:w="15" w:type="dxa"/>
            </w:tcMar>
            <w:vAlign w:val="bottom"/>
          </w:tcPr>
          <w:p w14:paraId="3973E1A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30,098</w:t>
            </w:r>
          </w:p>
        </w:tc>
        <w:tc>
          <w:tcPr>
            <w:tcW w:w="50" w:type="pct"/>
            <w:shd w:val="clear" w:color="auto" w:fill="CFF0FC"/>
            <w:noWrap/>
            <w:tcMar>
              <w:top w:w="15" w:type="dxa"/>
              <w:right w:w="15" w:type="dxa"/>
            </w:tcMar>
            <w:vAlign w:val="bottom"/>
          </w:tcPr>
          <w:p w14:paraId="3973E1A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center"/>
          </w:tcPr>
          <w:p w14:paraId="3973E1A6"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1A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tcBorders>
              <w:top w:val="single" w:sz="6" w:space="0" w:color="000000"/>
              <w:bottom w:val="double" w:sz="6" w:space="0" w:color="000000"/>
            </w:tcBorders>
            <w:shd w:val="clear" w:color="auto" w:fill="CFF0FC"/>
            <w:noWrap/>
            <w:tcMar>
              <w:top w:w="15" w:type="dxa"/>
              <w:right w:w="15" w:type="dxa"/>
            </w:tcMar>
            <w:vAlign w:val="bottom"/>
          </w:tcPr>
          <w:p w14:paraId="3973E1A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CFF0FC"/>
            <w:noWrap/>
            <w:tcMar>
              <w:top w:w="15" w:type="dxa"/>
              <w:right w:w="15" w:type="dxa"/>
            </w:tcMar>
            <w:vAlign w:val="bottom"/>
          </w:tcPr>
          <w:p w14:paraId="3973E1A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B8" w14:textId="77777777">
        <w:tc>
          <w:tcPr>
            <w:tcW w:w="3407" w:type="pct"/>
            <w:shd w:val="clear" w:color="auto" w:fill="FFFFFF"/>
            <w:tcMar>
              <w:top w:w="15" w:type="dxa"/>
              <w:right w:w="15" w:type="dxa"/>
            </w:tcMar>
          </w:tcPr>
          <w:p w14:paraId="3973E1A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Non-cash investing and financing activities:</w:t>
            </w:r>
          </w:p>
        </w:tc>
        <w:tc>
          <w:tcPr>
            <w:tcW w:w="57" w:type="pct"/>
            <w:shd w:val="clear" w:color="auto" w:fill="FFFFFF"/>
            <w:tcMar>
              <w:top w:w="15" w:type="dxa"/>
              <w:right w:w="15" w:type="dxa"/>
            </w:tcMar>
            <w:vAlign w:val="bottom"/>
          </w:tcPr>
          <w:p w14:paraId="3973E1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A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A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A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B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B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B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B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B4"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B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B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B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C6" w14:textId="77777777">
        <w:tc>
          <w:tcPr>
            <w:tcW w:w="3407" w:type="pct"/>
            <w:shd w:val="clear" w:color="auto" w:fill="CFF0FC"/>
            <w:tcMar>
              <w:top w:w="15" w:type="dxa"/>
              <w:right w:w="15" w:type="dxa"/>
            </w:tcMar>
          </w:tcPr>
          <w:p w14:paraId="3973E1B9"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Change in unsettled repurchases of common stock</w:t>
            </w:r>
          </w:p>
        </w:tc>
        <w:tc>
          <w:tcPr>
            <w:tcW w:w="57" w:type="pct"/>
            <w:shd w:val="clear" w:color="auto" w:fill="CFF0FC"/>
            <w:tcMar>
              <w:top w:w="15" w:type="dxa"/>
              <w:right w:w="15" w:type="dxa"/>
            </w:tcMar>
            <w:vAlign w:val="bottom"/>
          </w:tcPr>
          <w:p w14:paraId="3973E1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1B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B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(48</w:t>
            </w:r>
          </w:p>
        </w:tc>
        <w:tc>
          <w:tcPr>
            <w:tcW w:w="50" w:type="pct"/>
            <w:shd w:val="clear" w:color="auto" w:fill="CFF0FC"/>
            <w:noWrap/>
            <w:tcMar>
              <w:top w:w="15" w:type="dxa"/>
              <w:right w:w="15" w:type="dxa"/>
            </w:tcMar>
            <w:vAlign w:val="bottom"/>
          </w:tcPr>
          <w:p w14:paraId="3973E1B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 w:type="pct"/>
            <w:shd w:val="clear" w:color="auto" w:fill="CFF0FC"/>
            <w:tcMar>
              <w:top w:w="15" w:type="dxa"/>
              <w:right w:w="15" w:type="dxa"/>
            </w:tcMar>
            <w:vAlign w:val="bottom"/>
          </w:tcPr>
          <w:p w14:paraId="3973E1B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B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C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CFF0FC"/>
            <w:noWrap/>
            <w:tcMar>
              <w:top w:w="15" w:type="dxa"/>
              <w:right w:w="15" w:type="dxa"/>
            </w:tcMar>
            <w:vAlign w:val="bottom"/>
          </w:tcPr>
          <w:p w14:paraId="3973E1C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1C2"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C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C4"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w:t>
            </w:r>
          </w:p>
        </w:tc>
        <w:tc>
          <w:tcPr>
            <w:tcW w:w="50" w:type="pct"/>
            <w:shd w:val="clear" w:color="auto" w:fill="CFF0FC"/>
            <w:noWrap/>
            <w:tcMar>
              <w:top w:w="15" w:type="dxa"/>
              <w:right w:w="15" w:type="dxa"/>
            </w:tcMar>
            <w:vAlign w:val="bottom"/>
          </w:tcPr>
          <w:p w14:paraId="3973E1C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7B027D" w14:paraId="3973E1D4" w14:textId="77777777">
        <w:tc>
          <w:tcPr>
            <w:tcW w:w="3407" w:type="pct"/>
            <w:shd w:val="clear" w:color="auto" w:fill="FFFFFF"/>
            <w:tcMar>
              <w:top w:w="15" w:type="dxa"/>
              <w:right w:w="15" w:type="dxa"/>
            </w:tcMar>
          </w:tcPr>
          <w:p w14:paraId="3973E1C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Supplemental schedule of cash flow data:</w:t>
            </w:r>
          </w:p>
        </w:tc>
        <w:tc>
          <w:tcPr>
            <w:tcW w:w="57" w:type="pct"/>
            <w:shd w:val="clear" w:color="auto" w:fill="FFFFFF"/>
            <w:tcMar>
              <w:top w:w="15" w:type="dxa"/>
              <w:right w:w="15" w:type="dxa"/>
            </w:tcMar>
            <w:vAlign w:val="bottom"/>
          </w:tcPr>
          <w:p w14:paraId="3973E1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C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C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C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C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C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C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C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D0"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D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2" w:type="pct"/>
            <w:shd w:val="clear" w:color="auto" w:fill="FFFFFF"/>
            <w:noWrap/>
            <w:tcMar>
              <w:top w:w="15" w:type="dxa"/>
              <w:right w:w="15" w:type="dxa"/>
            </w:tcMar>
            <w:vAlign w:val="bottom"/>
          </w:tcPr>
          <w:p w14:paraId="3973E1D2"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D3"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E2" w14:textId="77777777">
        <w:tc>
          <w:tcPr>
            <w:tcW w:w="3407" w:type="pct"/>
            <w:shd w:val="clear" w:color="auto" w:fill="CFF0FC"/>
            <w:tcMar>
              <w:top w:w="15" w:type="dxa"/>
              <w:right w:w="15" w:type="dxa"/>
            </w:tcMar>
          </w:tcPr>
          <w:p w14:paraId="3973E1D5"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paid for income taxes</w:t>
            </w:r>
          </w:p>
        </w:tc>
        <w:tc>
          <w:tcPr>
            <w:tcW w:w="57" w:type="pct"/>
            <w:shd w:val="clear" w:color="auto" w:fill="CFF0FC"/>
            <w:tcMar>
              <w:top w:w="15" w:type="dxa"/>
              <w:right w:w="15" w:type="dxa"/>
            </w:tcMar>
            <w:vAlign w:val="bottom"/>
          </w:tcPr>
          <w:p w14:paraId="3973E1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1D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D8"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2,567</w:t>
            </w:r>
          </w:p>
        </w:tc>
        <w:tc>
          <w:tcPr>
            <w:tcW w:w="50" w:type="pct"/>
            <w:shd w:val="clear" w:color="auto" w:fill="CFF0FC"/>
            <w:noWrap/>
            <w:tcMar>
              <w:top w:w="15" w:type="dxa"/>
              <w:right w:w="15" w:type="dxa"/>
            </w:tcMar>
            <w:vAlign w:val="bottom"/>
          </w:tcPr>
          <w:p w14:paraId="3973E1D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1DA"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D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DC"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3,189</w:t>
            </w:r>
          </w:p>
        </w:tc>
        <w:tc>
          <w:tcPr>
            <w:tcW w:w="50" w:type="pct"/>
            <w:shd w:val="clear" w:color="auto" w:fill="CFF0FC"/>
            <w:noWrap/>
            <w:tcMar>
              <w:top w:w="15" w:type="dxa"/>
              <w:right w:w="15" w:type="dxa"/>
            </w:tcMar>
            <w:vAlign w:val="bottom"/>
          </w:tcPr>
          <w:p w14:paraId="3973E1D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right w:w="15" w:type="dxa"/>
            </w:tcMar>
            <w:vAlign w:val="bottom"/>
          </w:tcPr>
          <w:p w14:paraId="3973E1DE"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3973E1DF"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CFF0FC"/>
            <w:noWrap/>
            <w:tcMar>
              <w:top w:w="15" w:type="dxa"/>
              <w:right w:w="15" w:type="dxa"/>
            </w:tcMar>
            <w:vAlign w:val="bottom"/>
          </w:tcPr>
          <w:p w14:paraId="3973E1E0"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3,218</w:t>
            </w:r>
          </w:p>
        </w:tc>
        <w:tc>
          <w:tcPr>
            <w:tcW w:w="50" w:type="pct"/>
            <w:shd w:val="clear" w:color="auto" w:fill="CFF0FC"/>
            <w:noWrap/>
            <w:tcMar>
              <w:top w:w="15" w:type="dxa"/>
              <w:right w:w="15" w:type="dxa"/>
            </w:tcMar>
            <w:vAlign w:val="bottom"/>
          </w:tcPr>
          <w:p w14:paraId="3973E1E1"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7B027D" w14:paraId="3973E1F0" w14:textId="77777777">
        <w:tc>
          <w:tcPr>
            <w:tcW w:w="3407" w:type="pct"/>
            <w:shd w:val="clear" w:color="auto" w:fill="FFFFFF"/>
            <w:tcMar>
              <w:top w:w="15" w:type="dxa"/>
              <w:right w:w="15" w:type="dxa"/>
            </w:tcMar>
          </w:tcPr>
          <w:p w14:paraId="3973E1E3" w14:textId="77777777" w:rsidR="007B027D" w:rsidRDefault="008E012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paid for interest</w:t>
            </w:r>
          </w:p>
        </w:tc>
        <w:tc>
          <w:tcPr>
            <w:tcW w:w="57" w:type="pct"/>
            <w:shd w:val="clear" w:color="auto" w:fill="FFFFFF"/>
            <w:tcMar>
              <w:top w:w="15" w:type="dxa"/>
              <w:right w:w="15" w:type="dxa"/>
            </w:tcMar>
            <w:vAlign w:val="bottom"/>
          </w:tcPr>
          <w:p w14:paraId="3973E1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1E5"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E1E6"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2,735</w:t>
            </w:r>
          </w:p>
        </w:tc>
        <w:tc>
          <w:tcPr>
            <w:tcW w:w="50" w:type="pct"/>
            <w:shd w:val="clear" w:color="auto" w:fill="FFFFFF"/>
            <w:noWrap/>
            <w:tcMar>
              <w:top w:w="15" w:type="dxa"/>
              <w:right w:w="15" w:type="dxa"/>
            </w:tcMar>
            <w:vAlign w:val="bottom"/>
          </w:tcPr>
          <w:p w14:paraId="3973E1E7"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E8"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E9"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E1EA"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2,408</w:t>
            </w:r>
          </w:p>
        </w:tc>
        <w:tc>
          <w:tcPr>
            <w:tcW w:w="50" w:type="pct"/>
            <w:shd w:val="clear" w:color="auto" w:fill="FFFFFF"/>
            <w:noWrap/>
            <w:tcMar>
              <w:top w:w="15" w:type="dxa"/>
              <w:right w:w="15" w:type="dxa"/>
            </w:tcMar>
            <w:vAlign w:val="bottom"/>
          </w:tcPr>
          <w:p w14:paraId="3973E1EB"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tcMar>
              <w:top w:w="15" w:type="dxa"/>
              <w:right w:w="15" w:type="dxa"/>
            </w:tcMar>
            <w:vAlign w:val="bottom"/>
          </w:tcPr>
          <w:p w14:paraId="3973E1EC"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3973E1ED" w14:textId="77777777" w:rsidR="007B027D" w:rsidRDefault="008E012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2" w:type="pct"/>
            <w:shd w:val="clear" w:color="auto" w:fill="FFFFFF"/>
            <w:noWrap/>
            <w:tcMar>
              <w:top w:w="15" w:type="dxa"/>
              <w:right w:w="15" w:type="dxa"/>
            </w:tcMar>
            <w:vAlign w:val="bottom"/>
          </w:tcPr>
          <w:p w14:paraId="3973E1EE" w14:textId="77777777" w:rsidR="007B027D" w:rsidRDefault="008E012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1,972</w:t>
            </w:r>
          </w:p>
        </w:tc>
        <w:tc>
          <w:tcPr>
            <w:tcW w:w="50" w:type="pct"/>
            <w:shd w:val="clear" w:color="auto" w:fill="FFFFFF"/>
            <w:noWrap/>
            <w:tcMar>
              <w:top w:w="15" w:type="dxa"/>
              <w:right w:w="15" w:type="dxa"/>
            </w:tcMar>
            <w:vAlign w:val="bottom"/>
          </w:tcPr>
          <w:p w14:paraId="3973E1EF"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1F1"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E1F2"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E1F3"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See notes to consolidated financial statements.</w:t>
      </w:r>
    </w:p>
    <w:p w14:paraId="3973E1F4" w14:textId="77777777" w:rsidR="007B027D" w:rsidRDefault="008E0125">
      <w:pPr>
        <w:pStyle w:val="a3"/>
        <w:spacing w:beforeAutospacing="0" w:afterAutospacing="0"/>
        <w:rPr>
          <w:sz w:val="10"/>
          <w:szCs w:val="10"/>
        </w:rPr>
      </w:pPr>
      <w:r>
        <w:rPr>
          <w:sz w:val="10"/>
          <w:szCs w:val="10"/>
        </w:rPr>
        <w:t> </w:t>
      </w:r>
    </w:p>
    <w:p w14:paraId="3973E1F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70</w:t>
      </w:r>
    </w:p>
    <w:p w14:paraId="3973E1F6" w14:textId="77777777" w:rsidR="007B027D" w:rsidRDefault="008E0125">
      <w:r>
        <w:rPr>
          <w:rFonts w:ascii="Calibri" w:hAnsi="Calibri" w:cs="Calibri"/>
          <w:sz w:val="20"/>
          <w:szCs w:val="20"/>
        </w:rPr>
        <w:pict w14:anchorId="39740081">
          <v:rect id="_x0000_i1096" style="width:415.3pt;height:1.5pt" o:hralign="center" o:hrstd="t" o:hr="t" fillcolor="#a0a0a0" stroked="f"/>
        </w:pict>
      </w:r>
    </w:p>
    <w:p w14:paraId="3973E1F7" w14:textId="77777777" w:rsidR="007B027D" w:rsidRDefault="008E0125">
      <w:pPr>
        <w:pStyle w:val="a3"/>
        <w:spacing w:beforeAutospacing="0" w:after="120" w:afterAutospacing="0"/>
        <w:rPr>
          <w:rFonts w:ascii="Calibri" w:hAnsi="Calibri" w:cs="Calibri"/>
          <w:sz w:val="18"/>
          <w:szCs w:val="18"/>
        </w:rPr>
      </w:pPr>
      <w:hyperlink r:id="rId176" w:anchor="TABLE_OF_CONTENTS" w:history="1">
        <w:r>
          <w:rPr>
            <w:rStyle w:val="a5"/>
            <w:rFonts w:ascii="Calibri" w:hAnsi="Calibri" w:cs="Calibri"/>
            <w:sz w:val="18"/>
            <w:szCs w:val="18"/>
          </w:rPr>
          <w:t>Table of Contents</w:t>
        </w:r>
      </w:hyperlink>
    </w:p>
    <w:p w14:paraId="3973E1F8" w14:textId="77777777" w:rsidR="007B027D" w:rsidRDefault="008E0125">
      <w:pPr>
        <w:pStyle w:val="a3"/>
        <w:spacing w:beforeAutospacing="0" w:afterAutospacing="0"/>
        <w:rPr>
          <w:rFonts w:ascii="Calibri" w:hAnsi="Calibri" w:cs="Calibri"/>
          <w:sz w:val="18"/>
          <w:szCs w:val="18"/>
        </w:rPr>
      </w:pPr>
      <w:hyperlink r:id="rId177" w:anchor="ITEM_15_EXHIBITS_FINANCIAL_STATEMENT_SCH" w:history="1">
        <w:r>
          <w:rPr>
            <w:rStyle w:val="a5"/>
            <w:rFonts w:ascii="Calibri" w:hAnsi="Calibri" w:cs="Calibri"/>
            <w:sz w:val="18"/>
            <w:szCs w:val="18"/>
          </w:rPr>
          <w:t>Index to Financial Statements</w:t>
        </w:r>
      </w:hyperlink>
    </w:p>
    <w:p w14:paraId="3973E1F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1FA"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1FB"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w:t>
      </w:r>
    </w:p>
    <w:p w14:paraId="3973E1FC"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1FD" w14:textId="77777777" w:rsidR="007B027D" w:rsidRDefault="008E0125">
      <w:pPr>
        <w:pStyle w:val="a3"/>
        <w:spacing w:beforeAutospacing="0" w:afterAutospacing="0"/>
        <w:ind w:hanging="641"/>
        <w:jc w:val="both"/>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200" w14:textId="77777777">
        <w:tc>
          <w:tcPr>
            <w:tcW w:w="262" w:type="pct"/>
            <w:shd w:val="clear" w:color="auto" w:fill="auto"/>
            <w:noWrap/>
          </w:tcPr>
          <w:p w14:paraId="3973E1F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3973E1F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ORGANIZATION AND SIGNIFICANT ACCOUNTING POLICIES</w:t>
            </w:r>
          </w:p>
        </w:tc>
      </w:tr>
    </w:tbl>
    <w:p w14:paraId="3973E20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Corporation provides </w:t>
      </w:r>
      <w:r>
        <w:rPr>
          <w:rFonts w:ascii="Calibri" w:hAnsi="Calibri" w:cs="Calibri"/>
          <w:sz w:val="20"/>
          <w:szCs w:val="20"/>
        </w:rPr>
        <w:t>products and services that substantially address all aspects of enterprise information technology (IT) environments, including applications and infrastructure technologies. We deliver our products and services to customers worldwide through a variety of fl</w:t>
      </w:r>
      <w:r>
        <w:rPr>
          <w:rFonts w:ascii="Calibri" w:hAnsi="Calibri" w:cs="Calibri"/>
          <w:sz w:val="20"/>
          <w:szCs w:val="20"/>
        </w:rPr>
        <w:t>exible and interoperable IT deployment models, including cloud-based, Cloud@Customer (an instance of Oracle Cloud in the customer’s own data center), on-premise and hybrid models. Oracle Cloud Software-as-a-Service and Oracle Cloud Infrastructure (SaaS and</w:t>
      </w:r>
      <w:r>
        <w:rPr>
          <w:rFonts w:ascii="Calibri" w:hAnsi="Calibri" w:cs="Calibri"/>
          <w:sz w:val="20"/>
          <w:szCs w:val="20"/>
        </w:rPr>
        <w:t xml:space="preserve"> OCI, respectively, and collectively, Oracle Cloud Services) offerings provide a comprehensive and integrated stack of applications and infrastructure services delivered via cloud-based deployment models that Oracle develops, deploys, hosts, upgrades, supp</w:t>
      </w:r>
      <w:r>
        <w:rPr>
          <w:rFonts w:ascii="Calibri" w:hAnsi="Calibri" w:cs="Calibri"/>
          <w:sz w:val="20"/>
          <w:szCs w:val="20"/>
        </w:rPr>
        <w:t>orts and manages for the customer. Customers may also elect to purchase Oracle software licenses and hardware products and related services to manage their own cloud-based or on-premise IT environments. Customers that purchase our software licenses may ele</w:t>
      </w:r>
      <w:r>
        <w:rPr>
          <w:rFonts w:ascii="Calibri" w:hAnsi="Calibri" w:cs="Calibri"/>
          <w:sz w:val="20"/>
          <w:szCs w:val="20"/>
        </w:rPr>
        <w:t>ct to purchase license support contracts, which provide our customers with rights to unspecified license upgrades and maintenance releases issued during the support period as well as technical support assistance. Customers that purchase our hardware produc</w:t>
      </w:r>
      <w:r>
        <w:rPr>
          <w:rFonts w:ascii="Calibri" w:hAnsi="Calibri" w:cs="Calibri"/>
          <w:sz w:val="20"/>
          <w:szCs w:val="20"/>
        </w:rPr>
        <w:t>ts may elect to purchase hardware support contracts, which provide customers with software updates and can include product repairs, maintenance services, and technical support services. We also offer customers a broad set of services offerings that are des</w:t>
      </w:r>
      <w:r>
        <w:rPr>
          <w:rFonts w:ascii="Calibri" w:hAnsi="Calibri" w:cs="Calibri"/>
          <w:sz w:val="20"/>
          <w:szCs w:val="20"/>
        </w:rPr>
        <w:t>igned to improve customer utilization of their investments in Oracle applications and infrastructure technologies.</w:t>
      </w:r>
    </w:p>
    <w:p w14:paraId="3973E20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Oracle Corporation conducts business globally and was incorporated in 2005 as a Delaware corporation and is the successor to operations origi</w:t>
      </w:r>
      <w:r>
        <w:rPr>
          <w:rFonts w:ascii="Calibri" w:hAnsi="Calibri" w:cs="Calibri"/>
          <w:sz w:val="20"/>
          <w:szCs w:val="20"/>
        </w:rPr>
        <w:t>nally begun in June 1977.</w:t>
      </w:r>
    </w:p>
    <w:p w14:paraId="3973E20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Basis of Financial Statements</w:t>
      </w:r>
    </w:p>
    <w:p w14:paraId="3973E20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consolidated financial statements included our accounts and the accounts of our wholly- and majority-owned subsidiaries. Noncontrolling interest positions of certain of our </w:t>
      </w:r>
      <w:r>
        <w:rPr>
          <w:rFonts w:ascii="Calibri" w:hAnsi="Calibri" w:cs="Calibri"/>
          <w:sz w:val="20"/>
          <w:szCs w:val="20"/>
        </w:rPr>
        <w:t>consolidated entities are reported as a separate component of consolidated equity from the equity attributable to Oracle’s stockholders for all periods presented. The noncontrolling interests in our net income were not significant to our consolidated resul</w:t>
      </w:r>
      <w:r>
        <w:rPr>
          <w:rFonts w:ascii="Calibri" w:hAnsi="Calibri" w:cs="Calibri"/>
          <w:sz w:val="20"/>
          <w:szCs w:val="20"/>
        </w:rPr>
        <w:t>ts for the periods presented and therefore have not been presented separately and instead are included as a component of non-operating expenses or income, net in our consolidated statements of operations. Intercompany transactions and balances have been el</w:t>
      </w:r>
      <w:r>
        <w:rPr>
          <w:rFonts w:ascii="Calibri" w:hAnsi="Calibri" w:cs="Calibri"/>
          <w:sz w:val="20"/>
          <w:szCs w:val="20"/>
        </w:rPr>
        <w:t>iminated.</w:t>
      </w:r>
    </w:p>
    <w:p w14:paraId="3973E20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comparability of our consolidated financial statements as of and for the year ended May 31, 2022 was impacted by $4.7 billion of certain litigation related charges that are more fully described in Note 16 below. The comparability of our conso</w:t>
      </w:r>
      <w:r>
        <w:rPr>
          <w:rFonts w:ascii="Calibri" w:hAnsi="Calibri" w:cs="Calibri"/>
          <w:sz w:val="20"/>
          <w:szCs w:val="20"/>
        </w:rPr>
        <w:t>lidated financial statements for the year ended May 31, 2021 was impacted by a $2.3 billion net income tax benefit related to the partial realignment of our legal entity structure that resulted in the intra-group transfer of certain intellectual property r</w:t>
      </w:r>
      <w:r>
        <w:rPr>
          <w:rFonts w:ascii="Calibri" w:hAnsi="Calibri" w:cs="Calibri"/>
          <w:sz w:val="20"/>
          <w:szCs w:val="20"/>
        </w:rPr>
        <w:t>ights. Refer to Note 13 below for additional information regarding our income taxes.</w:t>
      </w:r>
    </w:p>
    <w:p w14:paraId="3973E20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w:t>
      </w:r>
      <w:r>
        <w:rPr>
          <w:rFonts w:ascii="Calibri" w:hAnsi="Calibri" w:cs="Calibri"/>
          <w:color w:val="000000"/>
          <w:sz w:val="20"/>
          <w:szCs w:val="20"/>
          <w:shd w:val="clear" w:color="auto" w:fill="FFFFFF"/>
        </w:rPr>
        <w:t xml:space="preserve"> fiscal 2022, we </w:t>
      </w:r>
      <w:r>
        <w:rPr>
          <w:rFonts w:ascii="Calibri" w:hAnsi="Calibri" w:cs="Calibri"/>
          <w:sz w:val="20"/>
          <w:szCs w:val="20"/>
        </w:rPr>
        <w:t>adopted Accounting Standards Update (ASU) 2019-12, </w:t>
      </w:r>
      <w:r>
        <w:rPr>
          <w:rFonts w:ascii="Calibri" w:hAnsi="Calibri" w:cs="Calibri"/>
          <w:i/>
          <w:iCs/>
          <w:sz w:val="20"/>
          <w:szCs w:val="20"/>
        </w:rPr>
        <w:t xml:space="preserve">Income Taxes (Topic 740): Simplifying the Accounting for Income Taxes; and </w:t>
      </w:r>
      <w:r>
        <w:rPr>
          <w:rFonts w:ascii="Calibri" w:hAnsi="Calibri" w:cs="Calibri"/>
          <w:sz w:val="20"/>
          <w:szCs w:val="20"/>
        </w:rPr>
        <w:t xml:space="preserve">ASU 2021-08, </w:t>
      </w:r>
      <w:r>
        <w:rPr>
          <w:rFonts w:ascii="Calibri" w:hAnsi="Calibri" w:cs="Calibri"/>
          <w:i/>
          <w:iCs/>
          <w:sz w:val="20"/>
          <w:szCs w:val="20"/>
        </w:rPr>
        <w:t>Business Comb</w:t>
      </w:r>
      <w:r>
        <w:rPr>
          <w:rFonts w:ascii="Calibri" w:hAnsi="Calibri" w:cs="Calibri"/>
          <w:i/>
          <w:iCs/>
          <w:sz w:val="20"/>
          <w:szCs w:val="20"/>
        </w:rPr>
        <w:t>inations (Topic 805): Accounting for Contract Assets and Contract Liabilities from Contracts with Customers</w:t>
      </w:r>
      <w:r>
        <w:rPr>
          <w:rFonts w:ascii="Calibri" w:hAnsi="Calibri" w:cs="Calibri"/>
          <w:sz w:val="20"/>
          <w:szCs w:val="20"/>
        </w:rPr>
        <w:t>,</w:t>
      </w:r>
      <w:r>
        <w:rPr>
          <w:rFonts w:ascii="Calibri" w:hAnsi="Calibri" w:cs="Calibri"/>
          <w:color w:val="000000"/>
          <w:sz w:val="20"/>
          <w:szCs w:val="20"/>
          <w:shd w:val="clear" w:color="auto" w:fill="FFFFFF"/>
        </w:rPr>
        <w:t xml:space="preserve"> neither of which had a material impact to our consolidated financial statements for the year ended May 31, 2022.</w:t>
      </w:r>
    </w:p>
    <w:p w14:paraId="3973E20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Use of Estimates</w:t>
      </w:r>
    </w:p>
    <w:p w14:paraId="3973E20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consolidated </w:t>
      </w:r>
      <w:r>
        <w:rPr>
          <w:rFonts w:ascii="Calibri" w:hAnsi="Calibri" w:cs="Calibri"/>
          <w:sz w:val="20"/>
          <w:szCs w:val="20"/>
        </w:rPr>
        <w:t>financial statements are prepared in accordance with U.S. generally accepted accounting principles (GAAP) as set forth in the Financial Accounting Standards Board’s (FASB) Accounting Standards Codification (ASC), and we consider the various staff accountin</w:t>
      </w:r>
      <w:r>
        <w:rPr>
          <w:rFonts w:ascii="Calibri" w:hAnsi="Calibri" w:cs="Calibri"/>
          <w:sz w:val="20"/>
          <w:szCs w:val="20"/>
        </w:rPr>
        <w:t xml:space="preserve">g bulletins and other applicable guidance issued by the SEC. These accounting principles require us to make certain estimates, judgments and assumptions. We believe that the estimates, judgments and assumptions upon which we rely are reasonable based upon </w:t>
      </w:r>
    </w:p>
    <w:p w14:paraId="3973E20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 xml:space="preserve">71 </w:t>
      </w:r>
    </w:p>
    <w:p w14:paraId="3973E20A" w14:textId="77777777" w:rsidR="007B027D" w:rsidRDefault="008E0125">
      <w:r>
        <w:rPr>
          <w:rFonts w:ascii="Calibri" w:hAnsi="Calibri" w:cs="Calibri"/>
          <w:sz w:val="20"/>
          <w:szCs w:val="20"/>
        </w:rPr>
        <w:pict w14:anchorId="39740082">
          <v:rect id="_x0000_i1097" style="width:415.3pt;height:1.5pt" o:hralign="center" o:hrstd="t" o:hr="t" fillcolor="#a0a0a0" stroked="f"/>
        </w:pict>
      </w:r>
    </w:p>
    <w:p w14:paraId="3973E20B" w14:textId="77777777" w:rsidR="007B027D" w:rsidRDefault="008E0125">
      <w:pPr>
        <w:pStyle w:val="a3"/>
        <w:spacing w:beforeAutospacing="0" w:after="120" w:afterAutospacing="0"/>
        <w:rPr>
          <w:rFonts w:ascii="Calibri" w:hAnsi="Calibri" w:cs="Calibri"/>
          <w:sz w:val="18"/>
          <w:szCs w:val="18"/>
        </w:rPr>
      </w:pPr>
      <w:hyperlink r:id="rId178" w:anchor="TABLE_OF_CONTENTS" w:history="1">
        <w:r>
          <w:rPr>
            <w:rStyle w:val="a5"/>
            <w:rFonts w:ascii="Calibri" w:hAnsi="Calibri" w:cs="Calibri"/>
            <w:sz w:val="18"/>
            <w:szCs w:val="18"/>
          </w:rPr>
          <w:t>Table of Contents</w:t>
        </w:r>
      </w:hyperlink>
    </w:p>
    <w:p w14:paraId="3973E20C" w14:textId="77777777" w:rsidR="007B027D" w:rsidRDefault="008E0125">
      <w:pPr>
        <w:pStyle w:val="a3"/>
        <w:spacing w:beforeAutospacing="0" w:afterAutospacing="0"/>
        <w:rPr>
          <w:rFonts w:ascii="Calibri" w:hAnsi="Calibri" w:cs="Calibri"/>
          <w:sz w:val="18"/>
          <w:szCs w:val="18"/>
        </w:rPr>
      </w:pPr>
      <w:hyperlink r:id="rId179" w:anchor="ITEM_15_EXHIBITS_FINANCIAL_STATEMENT_SCH" w:history="1">
        <w:r>
          <w:rPr>
            <w:rStyle w:val="a5"/>
            <w:rFonts w:ascii="Calibri" w:hAnsi="Calibri" w:cs="Calibri"/>
            <w:sz w:val="18"/>
            <w:szCs w:val="18"/>
          </w:rPr>
          <w:t>Index to Financial Statements</w:t>
        </w:r>
      </w:hyperlink>
    </w:p>
    <w:p w14:paraId="3973E20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0E"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E20F"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1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information available to us at the time that these estimates, judgments and assumptions are made. These estimates, judgments and assumptions can affect the reported amounts of assets and liabilities as of the date of the financial sta</w:t>
      </w:r>
      <w:r>
        <w:rPr>
          <w:rFonts w:ascii="Calibri" w:hAnsi="Calibri" w:cs="Calibri"/>
          <w:sz w:val="20"/>
          <w:szCs w:val="20"/>
        </w:rPr>
        <w:t>tements as well as the reported amounts of revenues and expenses during the periods presented. To the extent that there are differences between these estimates, judgments or assumptions and actual results, our consolidated financial statements will be affe</w:t>
      </w:r>
      <w:r>
        <w:rPr>
          <w:rFonts w:ascii="Calibri" w:hAnsi="Calibri" w:cs="Calibri"/>
          <w:sz w:val="20"/>
          <w:szCs w:val="20"/>
        </w:rPr>
        <w:t>cted. In many cases, the accounting treatment of a particular transaction is specifically dictated by GAAP and does not require management’s judgment in its application. There are also areas in which management’s judgment in selecting among available alter</w:t>
      </w:r>
      <w:r>
        <w:rPr>
          <w:rFonts w:ascii="Calibri" w:hAnsi="Calibri" w:cs="Calibri"/>
          <w:sz w:val="20"/>
          <w:szCs w:val="20"/>
        </w:rPr>
        <w:t>natives would not produce a materially different result.</w:t>
      </w:r>
    </w:p>
    <w:p w14:paraId="3973E21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Revenue Recognition </w:t>
      </w:r>
    </w:p>
    <w:p w14:paraId="3973E21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sources of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17" w14:textId="77777777">
        <w:tc>
          <w:tcPr>
            <w:tcW w:w="262" w:type="pct"/>
            <w:shd w:val="clear" w:color="auto" w:fill="auto"/>
            <w:noWrap/>
          </w:tcPr>
          <w:p w14:paraId="3973E21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1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16"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and license revenues, which include the sale of: cloud services and license support; and cloud licenses and on-premise licenses, which typically represent perpetual software licenses purchased by customers for use in both cloud and on-premise IT envi</w:t>
            </w:r>
            <w:r>
              <w:rPr>
                <w:rFonts w:ascii="Calibri" w:hAnsi="Calibri" w:cs="Calibri"/>
                <w:color w:val="000000"/>
                <w:sz w:val="20"/>
                <w:szCs w:val="20"/>
              </w:rPr>
              <w:t xml:space="preserve">ronments; </w:t>
            </w:r>
          </w:p>
        </w:tc>
      </w:tr>
    </w:tbl>
    <w:p w14:paraId="3973E21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1C" w14:textId="77777777">
        <w:tc>
          <w:tcPr>
            <w:tcW w:w="262" w:type="pct"/>
            <w:shd w:val="clear" w:color="auto" w:fill="auto"/>
            <w:noWrap/>
          </w:tcPr>
          <w:p w14:paraId="3973E21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1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1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hardware revenues, which include the sale of hardware products, including Oracle Engineered Systems, servers, and storage products, and industry-specific hardware; and hardware support revenues; and </w:t>
            </w:r>
          </w:p>
        </w:tc>
      </w:tr>
    </w:tbl>
    <w:p w14:paraId="3973E21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21" w14:textId="77777777">
        <w:tc>
          <w:tcPr>
            <w:tcW w:w="262" w:type="pct"/>
            <w:shd w:val="clear" w:color="auto" w:fill="auto"/>
            <w:noWrap/>
          </w:tcPr>
          <w:p w14:paraId="3973E21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1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20"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services revenues, which are earned from providing</w:t>
            </w:r>
            <w:r>
              <w:rPr>
                <w:rFonts w:ascii="Calibri" w:hAnsi="Calibri" w:cs="Calibri"/>
                <w:color w:val="000000"/>
                <w:sz w:val="20"/>
                <w:szCs w:val="20"/>
              </w:rPr>
              <w:t xml:space="preserve"> cloud-, license- and hardware-related services including consulting and advanced customer services.</w:t>
            </w:r>
          </w:p>
        </w:tc>
      </w:tr>
    </w:tbl>
    <w:p w14:paraId="3973E22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License support revenues are typically generated through the sale of license support contracts related to cloud license and on-premise licenses purchased </w:t>
      </w:r>
      <w:r>
        <w:rPr>
          <w:rFonts w:ascii="Calibri" w:hAnsi="Calibri" w:cs="Calibri"/>
          <w:sz w:val="20"/>
          <w:szCs w:val="20"/>
        </w:rPr>
        <w:t>by our customers at their option. License support contracts provide customers with rights to unspecified software product upgrades, maintenance releases and patches released during the term of the support period and include internet access to technical con</w:t>
      </w:r>
      <w:r>
        <w:rPr>
          <w:rFonts w:ascii="Calibri" w:hAnsi="Calibri" w:cs="Calibri"/>
          <w:sz w:val="20"/>
          <w:szCs w:val="20"/>
        </w:rPr>
        <w:t>tent, as well as internet and telephone access to technical support personnel. License support contracts are generally priced as a percentage of the net cloud license and on-premise license fees. Substantially all of our customers elect to purchase and ren</w:t>
      </w:r>
      <w:r>
        <w:rPr>
          <w:rFonts w:ascii="Calibri" w:hAnsi="Calibri" w:cs="Calibri"/>
          <w:sz w:val="20"/>
          <w:szCs w:val="20"/>
        </w:rPr>
        <w:t>ew their license support contracts annually.</w:t>
      </w:r>
    </w:p>
    <w:p w14:paraId="3973E22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Cloud services revenues include revenues from Oracle Cloud Services offerings, which deliver applications and infrastructure technologies via cloud-based deployment models that we develop functionality for, prov</w:t>
      </w:r>
      <w:r>
        <w:rPr>
          <w:rFonts w:ascii="Calibri" w:hAnsi="Calibri" w:cs="Calibri"/>
          <w:sz w:val="20"/>
          <w:szCs w:val="20"/>
        </w:rPr>
        <w:t xml:space="preserve">ide unspecified updates and enhancements for, deploy, host, manage, upgrade and support and that customers access by entering into a subscription agreement with us for a stated period. </w:t>
      </w:r>
    </w:p>
    <w:p w14:paraId="3973E22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Cloud license and on-premise license revenues primarily represent amou</w:t>
      </w:r>
      <w:r>
        <w:rPr>
          <w:rFonts w:ascii="Calibri" w:hAnsi="Calibri" w:cs="Calibri"/>
          <w:sz w:val="20"/>
          <w:szCs w:val="20"/>
        </w:rPr>
        <w:t>nts earned from granting customers perpetual licenses to use our database, middleware, application and industry-specific software products, which our customers use for cloud-based, on-premise and other IT environments. The vast majority of our cloud licens</w:t>
      </w:r>
      <w:r>
        <w:rPr>
          <w:rFonts w:ascii="Calibri" w:hAnsi="Calibri" w:cs="Calibri"/>
          <w:sz w:val="20"/>
          <w:szCs w:val="20"/>
        </w:rPr>
        <w:t xml:space="preserve">e and on-premise license arrangements include license support contracts, which are entered into at the customer’s option. </w:t>
      </w:r>
    </w:p>
    <w:p w14:paraId="3973E22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Revenues from the sale of hardware products represent amounts earned primarily from the sale of our Oracle Engineered Systems, comput</w:t>
      </w:r>
      <w:r>
        <w:rPr>
          <w:rFonts w:ascii="Calibri" w:hAnsi="Calibri" w:cs="Calibri"/>
          <w:sz w:val="20"/>
          <w:szCs w:val="20"/>
        </w:rPr>
        <w:t>er servers, storage, and industry-specific hardware. Our hardware support offerings generally provide customers with software updates for the software components that are essential to the functionality of the hardware products purchased and can also includ</w:t>
      </w:r>
      <w:r>
        <w:rPr>
          <w:rFonts w:ascii="Calibri" w:hAnsi="Calibri" w:cs="Calibri"/>
          <w:sz w:val="20"/>
          <w:szCs w:val="20"/>
        </w:rPr>
        <w:t>e product repairs, maintenance services and technical support services. Hardware support contracts are generally priced as a percentage of the net hardware products fees.</w:t>
      </w:r>
    </w:p>
    <w:p w14:paraId="3973E22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services are offered to customers as standalone arrangements or as a part of arrangements to customers buying other products and services. Our consulting services are designed to help our customers to, among others, deploy, architect, integrate, upgrad</w:t>
      </w:r>
      <w:r>
        <w:rPr>
          <w:rFonts w:ascii="Calibri" w:hAnsi="Calibri" w:cs="Calibri"/>
          <w:sz w:val="20"/>
          <w:szCs w:val="20"/>
        </w:rPr>
        <w:t xml:space="preserve">e and secure their investments in Oracle applications and infrastructure technologies. Our advanced customer services are designed to provide supplemental support services, performance services and higher availability for Oracle products and services. </w:t>
      </w:r>
    </w:p>
    <w:p w14:paraId="3973E22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72</w:t>
      </w:r>
    </w:p>
    <w:p w14:paraId="3973E228" w14:textId="77777777" w:rsidR="007B027D" w:rsidRDefault="008E0125">
      <w:r>
        <w:rPr>
          <w:rFonts w:ascii="Calibri" w:hAnsi="Calibri" w:cs="Calibri"/>
          <w:sz w:val="20"/>
          <w:szCs w:val="20"/>
        </w:rPr>
        <w:pict w14:anchorId="39740083">
          <v:rect id="_x0000_i1098" style="width:415.3pt;height:1.5pt" o:hralign="center" o:hrstd="t" o:hr="t" fillcolor="#a0a0a0" stroked="f"/>
        </w:pict>
      </w:r>
    </w:p>
    <w:p w14:paraId="3973E229" w14:textId="77777777" w:rsidR="007B027D" w:rsidRDefault="008E0125">
      <w:pPr>
        <w:pStyle w:val="a3"/>
        <w:spacing w:beforeAutospacing="0" w:after="120" w:afterAutospacing="0"/>
        <w:rPr>
          <w:rFonts w:ascii="Calibri" w:hAnsi="Calibri" w:cs="Calibri"/>
          <w:sz w:val="18"/>
          <w:szCs w:val="18"/>
        </w:rPr>
      </w:pPr>
      <w:hyperlink r:id="rId180" w:anchor="TABLE_OF_CONTENTS" w:history="1">
        <w:r>
          <w:rPr>
            <w:rStyle w:val="a5"/>
            <w:rFonts w:ascii="Calibri" w:hAnsi="Calibri" w:cs="Calibri"/>
            <w:sz w:val="18"/>
            <w:szCs w:val="18"/>
          </w:rPr>
          <w:t>Table of Contents</w:t>
        </w:r>
      </w:hyperlink>
    </w:p>
    <w:p w14:paraId="3973E22A" w14:textId="77777777" w:rsidR="007B027D" w:rsidRDefault="008E0125">
      <w:pPr>
        <w:pStyle w:val="a3"/>
        <w:spacing w:beforeAutospacing="0" w:afterAutospacing="0"/>
        <w:rPr>
          <w:rFonts w:ascii="Calibri" w:hAnsi="Calibri" w:cs="Calibri"/>
          <w:sz w:val="18"/>
          <w:szCs w:val="18"/>
        </w:rPr>
      </w:pPr>
      <w:hyperlink r:id="rId181" w:anchor="ITEM_15_EXHIBITS_FINANCIAL_STATEMENT_SCH" w:history="1">
        <w:r>
          <w:rPr>
            <w:rStyle w:val="a5"/>
            <w:rFonts w:ascii="Calibri" w:hAnsi="Calibri" w:cs="Calibri"/>
            <w:sz w:val="18"/>
            <w:szCs w:val="18"/>
          </w:rPr>
          <w:t>Index to Financial Statements</w:t>
        </w:r>
      </w:hyperlink>
    </w:p>
    <w:p w14:paraId="3973E22B"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2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2D"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2E"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2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606, </w:t>
      </w:r>
      <w:r>
        <w:rPr>
          <w:rFonts w:ascii="Calibri" w:hAnsi="Calibri" w:cs="Calibri"/>
          <w:i/>
          <w:iCs/>
          <w:sz w:val="20"/>
          <w:szCs w:val="20"/>
        </w:rPr>
        <w:t xml:space="preserve">Revenue From Contracts with </w:t>
      </w:r>
      <w:r>
        <w:rPr>
          <w:rFonts w:ascii="Calibri" w:hAnsi="Calibri" w:cs="Calibri"/>
          <w:i/>
          <w:iCs/>
          <w:sz w:val="20"/>
          <w:szCs w:val="20"/>
        </w:rPr>
        <w:t>Customers</w:t>
      </w:r>
      <w:r>
        <w:rPr>
          <w:rFonts w:ascii="Calibri" w:hAnsi="Calibri" w:cs="Calibri"/>
          <w:sz w:val="20"/>
          <w:szCs w:val="20"/>
        </w:rPr>
        <w:t xml:space="preserve"> (ASC 606) as a single standard for revenue recognition that applies to all of our cloud, license, hardware and services arrangements and generally require revenues to be recognized upon the transfer of control of promised goods or services provid</w:t>
      </w:r>
      <w:r>
        <w:rPr>
          <w:rFonts w:ascii="Calibri" w:hAnsi="Calibri" w:cs="Calibri"/>
          <w:sz w:val="20"/>
          <w:szCs w:val="20"/>
        </w:rPr>
        <w:t>ed to our customers, reflecting the amount of consideration we expect to receive for those goods or services. Pursuant to ASC 606, revenues are recognized upon the application of the following steps</w:t>
      </w:r>
      <w:r>
        <w:rPr>
          <w:rFonts w:ascii="Calibri" w:hAnsi="Calibri" w:cs="Calibri"/>
          <w:color w:val="000000"/>
          <w:sz w:val="20"/>
          <w:szCs w:val="20"/>
        </w:rPr>
        <w:t>:</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33" w14:textId="77777777">
        <w:tc>
          <w:tcPr>
            <w:tcW w:w="262" w:type="pct"/>
            <w:shd w:val="clear" w:color="auto" w:fill="auto"/>
            <w:noWrap/>
          </w:tcPr>
          <w:p w14:paraId="3973E23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3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32"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identification of the contract, or contracts, with a</w:t>
            </w:r>
            <w:r>
              <w:rPr>
                <w:rFonts w:ascii="Calibri" w:hAnsi="Calibri" w:cs="Calibri"/>
                <w:color w:val="000000"/>
                <w:sz w:val="20"/>
                <w:szCs w:val="20"/>
              </w:rPr>
              <w:t xml:space="preserve"> customer;</w:t>
            </w:r>
          </w:p>
        </w:tc>
      </w:tr>
    </w:tbl>
    <w:p w14:paraId="3973E234"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38" w14:textId="77777777">
        <w:tc>
          <w:tcPr>
            <w:tcW w:w="262" w:type="pct"/>
            <w:shd w:val="clear" w:color="auto" w:fill="auto"/>
            <w:noWrap/>
          </w:tcPr>
          <w:p w14:paraId="3973E23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36"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37"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identification of the performance obligations in the contract;</w:t>
            </w:r>
          </w:p>
        </w:tc>
      </w:tr>
    </w:tbl>
    <w:p w14:paraId="3973E23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3D" w14:textId="77777777">
        <w:tc>
          <w:tcPr>
            <w:tcW w:w="262" w:type="pct"/>
            <w:shd w:val="clear" w:color="auto" w:fill="auto"/>
            <w:noWrap/>
          </w:tcPr>
          <w:p w14:paraId="3973E23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3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3C"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determination of the transaction price;</w:t>
            </w:r>
          </w:p>
        </w:tc>
      </w:tr>
    </w:tbl>
    <w:p w14:paraId="3973E23E"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42" w14:textId="77777777">
        <w:tc>
          <w:tcPr>
            <w:tcW w:w="262" w:type="pct"/>
            <w:shd w:val="clear" w:color="auto" w:fill="auto"/>
            <w:noWrap/>
          </w:tcPr>
          <w:p w14:paraId="3973E23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4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41"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allocation of the transaction price to each performance obligation in the contract; and </w:t>
            </w:r>
          </w:p>
        </w:tc>
      </w:tr>
    </w:tbl>
    <w:p w14:paraId="3973E243"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247" w14:textId="77777777">
        <w:tc>
          <w:tcPr>
            <w:tcW w:w="262" w:type="pct"/>
            <w:shd w:val="clear" w:color="auto" w:fill="auto"/>
            <w:noWrap/>
          </w:tcPr>
          <w:p w14:paraId="3973E24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24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246"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recognition of revenues when, or as, the contractual performance obligations are satisfied.</w:t>
            </w:r>
          </w:p>
        </w:tc>
      </w:tr>
    </w:tbl>
    <w:p w14:paraId="3973E24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customers that contract with us for the provision of cloud servi</w:t>
      </w:r>
      <w:r>
        <w:rPr>
          <w:rFonts w:ascii="Calibri" w:hAnsi="Calibri" w:cs="Calibri"/>
          <w:sz w:val="20"/>
          <w:szCs w:val="20"/>
        </w:rPr>
        <w:t>ces, software, hardware or other services include businesses of many sizes, government agencies, educational institutions and our channel partners, which include resellers and system integrators.</w:t>
      </w:r>
    </w:p>
    <w:p w14:paraId="3973E24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timing of revenue recognition may differ from the </w:t>
      </w:r>
      <w:r>
        <w:rPr>
          <w:rFonts w:ascii="Calibri" w:hAnsi="Calibri" w:cs="Calibri"/>
          <w:sz w:val="20"/>
          <w:szCs w:val="20"/>
        </w:rPr>
        <w:t xml:space="preserve">timing of invoicing to our customers. We record an unbilled receivable, which is included within accounts receivable on our consolidated balance sheets, when revenue is recognized prior to invoicing. We record deferred revenues on our consolidated balance </w:t>
      </w:r>
      <w:r>
        <w:rPr>
          <w:rFonts w:ascii="Calibri" w:hAnsi="Calibri" w:cs="Calibri"/>
          <w:sz w:val="20"/>
          <w:szCs w:val="20"/>
        </w:rPr>
        <w:t>sheets when revenues are to be recognized subsequent to cash collection for an invoice. Our standard payment terms are generally net 30 days but may vary. Invoices for cloud license and on-premise licenses and hardware products are generally issued when th</w:t>
      </w:r>
      <w:r>
        <w:rPr>
          <w:rFonts w:ascii="Calibri" w:hAnsi="Calibri" w:cs="Calibri"/>
          <w:sz w:val="20"/>
          <w:szCs w:val="20"/>
        </w:rPr>
        <w:t>e license is made available for customer use or upon delivery to the customer of the hardware product. Invoices for license support and hardware support contracts are generally invoiced annually in advance. Cloud SaaS and cloud infrastructure contracts are</w:t>
      </w:r>
      <w:r>
        <w:rPr>
          <w:rFonts w:ascii="Calibri" w:hAnsi="Calibri" w:cs="Calibri"/>
          <w:sz w:val="20"/>
          <w:szCs w:val="20"/>
        </w:rPr>
        <w:t xml:space="preserve"> generally invoiced annually, quarterly or monthly in advance. Services are generally invoiced in advance or as the services are performed. Most contracts that contain a financing component are contracts financed through our Oracle financing division. The </w:t>
      </w:r>
      <w:r>
        <w:rPr>
          <w:rFonts w:ascii="Calibri" w:hAnsi="Calibri" w:cs="Calibri"/>
          <w:sz w:val="20"/>
          <w:szCs w:val="20"/>
        </w:rPr>
        <w:t>transaction price for a contract that is financed through our Oracle financing division is adjusted to reflect the time value of money and interest revenue is recorded as a component of non-operating expenses or income, net within our consolidated statemen</w:t>
      </w:r>
      <w:r>
        <w:rPr>
          <w:rFonts w:ascii="Calibri" w:hAnsi="Calibri" w:cs="Calibri"/>
          <w:sz w:val="20"/>
          <w:szCs w:val="20"/>
        </w:rPr>
        <w:t>ts of operations based on market rates in the country in which the transaction is being financed.  </w:t>
      </w:r>
    </w:p>
    <w:p w14:paraId="3973E24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revenue arrangements generally include standard warranty or service level provisions that our arrangements will perform and operate in all material resp</w:t>
      </w:r>
      <w:r>
        <w:rPr>
          <w:rFonts w:ascii="Calibri" w:hAnsi="Calibri" w:cs="Calibri"/>
          <w:sz w:val="20"/>
          <w:szCs w:val="20"/>
        </w:rPr>
        <w:t xml:space="preserve">ects as defined in the respective agreements, the financial impacts of which have historically been and are expected to continue to be insignificant. Our arrangements generally do not include a general right of return relative to the delivered products or </w:t>
      </w:r>
      <w:r>
        <w:rPr>
          <w:rFonts w:ascii="Calibri" w:hAnsi="Calibri" w:cs="Calibri"/>
          <w:sz w:val="20"/>
          <w:szCs w:val="20"/>
        </w:rPr>
        <w:t>services. We recognize revenues net of any taxes collected from customers, which are subsequently remitted to governmental authorities.</w:t>
      </w:r>
    </w:p>
    <w:p w14:paraId="3973E24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Cloud Services</w:t>
      </w:r>
    </w:p>
    <w:p w14:paraId="3973E24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Revenues from cloud services provided on a subscription basis are generally recognized ratably over the contractual period that the cloud services are delivered, beginning on the date our service is made available to a customer. We recognize revenue ratabl</w:t>
      </w:r>
      <w:r>
        <w:rPr>
          <w:rFonts w:ascii="Calibri" w:hAnsi="Calibri" w:cs="Calibri"/>
          <w:sz w:val="20"/>
          <w:szCs w:val="20"/>
        </w:rPr>
        <w:t>y because the customer receives and consumes the benefits of the cloud services throughout the contract period. Revenues from cloud services that are provided on a consumption basis, such as metered services, are generally recognized based on the utilizati</w:t>
      </w:r>
      <w:r>
        <w:rPr>
          <w:rFonts w:ascii="Calibri" w:hAnsi="Calibri" w:cs="Calibri"/>
          <w:sz w:val="20"/>
          <w:szCs w:val="20"/>
        </w:rPr>
        <w:t xml:space="preserve">on of the services by the customer. </w:t>
      </w:r>
    </w:p>
    <w:p w14:paraId="3973E24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License Support and Hardware Support</w:t>
      </w:r>
    </w:p>
    <w:p w14:paraId="3973E24E"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Oracle’s primary performance obligations with respect to license support contracts and hardware support contracts are to provide customers with technical supp</w:t>
      </w:r>
      <w:r>
        <w:rPr>
          <w:rFonts w:ascii="Calibri" w:hAnsi="Calibri" w:cs="Calibri"/>
          <w:color w:val="000000"/>
          <w:sz w:val="20"/>
          <w:szCs w:val="20"/>
        </w:rPr>
        <w:t>ort as needed and unspecified software product upgrades, maintenance releases and patches during the term of the support period, if and when they are available, and hardware product repairs, as applicable. Oracle is obligated to make the license and hardwa</w:t>
      </w:r>
      <w:r>
        <w:rPr>
          <w:rFonts w:ascii="Calibri" w:hAnsi="Calibri" w:cs="Calibri"/>
          <w:color w:val="000000"/>
          <w:sz w:val="20"/>
          <w:szCs w:val="20"/>
        </w:rPr>
        <w:t xml:space="preserve">re support services </w:t>
      </w:r>
    </w:p>
    <w:p w14:paraId="3973E24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73</w:t>
      </w:r>
    </w:p>
    <w:p w14:paraId="3973E250" w14:textId="77777777" w:rsidR="007B027D" w:rsidRDefault="008E0125">
      <w:r>
        <w:rPr>
          <w:rFonts w:ascii="Calibri" w:hAnsi="Calibri" w:cs="Calibri"/>
          <w:sz w:val="20"/>
          <w:szCs w:val="20"/>
        </w:rPr>
        <w:pict w14:anchorId="39740084">
          <v:rect id="_x0000_i1099" style="width:415.3pt;height:1.5pt" o:hralign="center" o:hrstd="t" o:hr="t" fillcolor="#a0a0a0" stroked="f"/>
        </w:pict>
      </w:r>
    </w:p>
    <w:p w14:paraId="3973E251" w14:textId="77777777" w:rsidR="007B027D" w:rsidRDefault="008E0125">
      <w:pPr>
        <w:pStyle w:val="a3"/>
        <w:spacing w:beforeAutospacing="0" w:after="120" w:afterAutospacing="0"/>
        <w:rPr>
          <w:rFonts w:ascii="Calibri" w:hAnsi="Calibri" w:cs="Calibri"/>
          <w:sz w:val="18"/>
          <w:szCs w:val="18"/>
        </w:rPr>
      </w:pPr>
      <w:hyperlink r:id="rId182" w:anchor="TABLE_OF_CONTENTS" w:history="1">
        <w:r>
          <w:rPr>
            <w:rStyle w:val="a5"/>
            <w:rFonts w:ascii="Calibri" w:hAnsi="Calibri" w:cs="Calibri"/>
            <w:sz w:val="18"/>
            <w:szCs w:val="18"/>
          </w:rPr>
          <w:t>Table of Contents</w:t>
        </w:r>
      </w:hyperlink>
    </w:p>
    <w:p w14:paraId="3973E252" w14:textId="77777777" w:rsidR="007B027D" w:rsidRDefault="008E0125">
      <w:pPr>
        <w:pStyle w:val="a3"/>
        <w:spacing w:beforeAutospacing="0" w:afterAutospacing="0"/>
        <w:rPr>
          <w:rFonts w:ascii="Calibri" w:hAnsi="Calibri" w:cs="Calibri"/>
          <w:sz w:val="18"/>
          <w:szCs w:val="18"/>
        </w:rPr>
      </w:pPr>
      <w:hyperlink r:id="rId183" w:anchor="ITEM_15_EXHIBITS_FINANCIAL_STATEMENT_SCH" w:history="1">
        <w:r>
          <w:rPr>
            <w:rStyle w:val="a5"/>
            <w:rFonts w:ascii="Calibri" w:hAnsi="Calibri" w:cs="Calibri"/>
            <w:sz w:val="18"/>
            <w:szCs w:val="18"/>
          </w:rPr>
          <w:t>Index to Financial Statements</w:t>
        </w:r>
      </w:hyperlink>
    </w:p>
    <w:p w14:paraId="3973E253"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54"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55"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56"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57"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available continuously throughout the contract period. Therefore, revenues for license support contracts and hardware support contracts are generally recognized ratably over the contractual periods that the support services are provided.   </w:t>
      </w:r>
    </w:p>
    <w:p w14:paraId="3973E25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w:t>
      </w:r>
      <w:r>
        <w:rPr>
          <w:rFonts w:ascii="Calibri" w:hAnsi="Calibri" w:cs="Calibri"/>
          <w:b/>
          <w:bCs/>
          <w:sz w:val="20"/>
          <w:szCs w:val="20"/>
          <w:u w:val="single"/>
        </w:rPr>
        <w:t>tion for Cloud Licenses and On-Premise Licenses</w:t>
      </w:r>
    </w:p>
    <w:p w14:paraId="3973E25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Revenues from distinct cloud license and on-premise license performance obligations are generally recognized upfront at the point in time</w:t>
      </w:r>
      <w:r>
        <w:rPr>
          <w:rFonts w:ascii="Calibri" w:hAnsi="Calibri" w:cs="Calibri"/>
          <w:i/>
          <w:iCs/>
          <w:sz w:val="20"/>
          <w:szCs w:val="20"/>
        </w:rPr>
        <w:t xml:space="preserve"> </w:t>
      </w:r>
      <w:r>
        <w:rPr>
          <w:rFonts w:ascii="Calibri" w:hAnsi="Calibri" w:cs="Calibri"/>
          <w:sz w:val="20"/>
          <w:szCs w:val="20"/>
        </w:rPr>
        <w:t xml:space="preserve">when the software is made available to the customer to </w:t>
      </w:r>
      <w:r>
        <w:rPr>
          <w:rFonts w:ascii="Calibri" w:hAnsi="Calibri" w:cs="Calibri"/>
          <w:sz w:val="20"/>
          <w:szCs w:val="20"/>
        </w:rPr>
        <w:t>download and use. Revenues from usage-based royalty arrangements for distinct cloud licenses and on-premise licenses are recognized at the point in time when the software end user usage occurs. For usage-based royalty arrangements with a fixed minimum guar</w:t>
      </w:r>
      <w:r>
        <w:rPr>
          <w:rFonts w:ascii="Calibri" w:hAnsi="Calibri" w:cs="Calibri"/>
          <w:sz w:val="20"/>
          <w:szCs w:val="20"/>
        </w:rPr>
        <w:t>antee amount, the minimum amount is generally recognized upfront when the software is made available to the royalty customer.</w:t>
      </w:r>
    </w:p>
    <w:p w14:paraId="3973E25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Hardware Products</w:t>
      </w:r>
    </w:p>
    <w:p w14:paraId="3973E25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hardware product and related software, such as an operating system or firmware, are </w:t>
      </w:r>
      <w:r>
        <w:rPr>
          <w:rFonts w:ascii="Calibri" w:hAnsi="Calibri" w:cs="Calibri"/>
          <w:sz w:val="20"/>
          <w:szCs w:val="20"/>
        </w:rPr>
        <w:t>highly interdependent and interrelated and are accounted for as a combined performance obligation. The revenues for this combined performance obligation are generally recognized at the point in time that the hardware product is delivered and ownership is t</w:t>
      </w:r>
      <w:r>
        <w:rPr>
          <w:rFonts w:ascii="Calibri" w:hAnsi="Calibri" w:cs="Calibri"/>
          <w:sz w:val="20"/>
          <w:szCs w:val="20"/>
        </w:rPr>
        <w:t>ransferred to the customer.</w:t>
      </w:r>
    </w:p>
    <w:p w14:paraId="3973E25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Revenue Recognition for Services </w:t>
      </w:r>
    </w:p>
    <w:p w14:paraId="3973E25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Services revenues are generally recognized over time as the services are performed. Revenues for fixed price services are generally recognized over time applying input methods to estimate progre</w:t>
      </w:r>
      <w:r>
        <w:rPr>
          <w:rFonts w:ascii="Calibri" w:hAnsi="Calibri" w:cs="Calibri"/>
          <w:sz w:val="20"/>
          <w:szCs w:val="20"/>
        </w:rPr>
        <w:t>ss to completion. Revenues for consumption-based services are generally recognized as the services are performed.</w:t>
      </w:r>
    </w:p>
    <w:p w14:paraId="3973E25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Allocation of the Transaction Price for Contracts that have Multiple Performance Obligations </w:t>
      </w:r>
    </w:p>
    <w:p w14:paraId="3973E25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Many of our contracts include multiple performance obligations. Judgment is required in determining whether each performance obligation is distinct. Oracle products and services generally do not require a significant amount of integration or interdependenc</w:t>
      </w:r>
      <w:r>
        <w:rPr>
          <w:rFonts w:ascii="Calibri" w:hAnsi="Calibri" w:cs="Calibri"/>
          <w:sz w:val="20"/>
          <w:szCs w:val="20"/>
        </w:rPr>
        <w:t>y; therefore, our products and services are generally not combined. We allocate the transaction price for each contract to each performance obligation based on the relative standalone selling price (SSP) for each performance obligation within each contract</w:t>
      </w:r>
      <w:r>
        <w:rPr>
          <w:rFonts w:ascii="Calibri" w:hAnsi="Calibri" w:cs="Calibri"/>
          <w:sz w:val="20"/>
          <w:szCs w:val="20"/>
        </w:rPr>
        <w:t xml:space="preserve">. </w:t>
      </w:r>
    </w:p>
    <w:p w14:paraId="3973E26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use judgment in determining the SSP for products and services. For substantially all performance obligations except cloud licenses and on-premise licenses, we are able to establish the SSP based on the observable prices of products or services sold s</w:t>
      </w:r>
      <w:r>
        <w:rPr>
          <w:rFonts w:ascii="Calibri" w:hAnsi="Calibri" w:cs="Calibri"/>
          <w:sz w:val="20"/>
          <w:szCs w:val="20"/>
        </w:rPr>
        <w:t>eparately in comparable circumstances to similar customers. We typically establish an SSP range for our products and services which is reassessed on a periodic basis or when facts and circumstances change. Our cloud licenses and on-premise licenses have no</w:t>
      </w:r>
      <w:r>
        <w:rPr>
          <w:rFonts w:ascii="Calibri" w:hAnsi="Calibri" w:cs="Calibri"/>
          <w:sz w:val="20"/>
          <w:szCs w:val="20"/>
        </w:rPr>
        <w:t>t historically been sold on a standalone basis, as the vast majority of all customers elect to purchase license support contracts at the time of a cloud license and on-premise license purchase. License support contracts are generally priced as a percentage</w:t>
      </w:r>
      <w:r>
        <w:rPr>
          <w:rFonts w:ascii="Calibri" w:hAnsi="Calibri" w:cs="Calibri"/>
          <w:sz w:val="20"/>
          <w:szCs w:val="20"/>
        </w:rPr>
        <w:t xml:space="preserve"> of the net fees paid by the customer to access the license. We are unable to establish the SSP for our cloud licenses and on-premise licenses based on observable prices given the same products are sold for a broad range of amounts (that is, the selling pr</w:t>
      </w:r>
      <w:r>
        <w:rPr>
          <w:rFonts w:ascii="Calibri" w:hAnsi="Calibri" w:cs="Calibri"/>
          <w:sz w:val="20"/>
          <w:szCs w:val="20"/>
        </w:rPr>
        <w:t>ice is highly variable) and a representative SSP is not discernible from past transactions or other observable evidence. As a result, the SSP for a cloud license and an on-premise license included in a contract with multiple performance obligations is gene</w:t>
      </w:r>
      <w:r>
        <w:rPr>
          <w:rFonts w:ascii="Calibri" w:hAnsi="Calibri" w:cs="Calibri"/>
          <w:sz w:val="20"/>
          <w:szCs w:val="20"/>
        </w:rPr>
        <w:t>rally determined by applying a residual approach whereby all other performance obligations within a contract are first allocated a portion of the transaction price based upon their respective SSPs, with any residual amount of transaction price allocated to</w:t>
      </w:r>
      <w:r>
        <w:rPr>
          <w:rFonts w:ascii="Calibri" w:hAnsi="Calibri" w:cs="Calibri"/>
          <w:sz w:val="20"/>
          <w:szCs w:val="20"/>
        </w:rPr>
        <w:t xml:space="preserve"> cloud license and on-premise license revenues.</w:t>
      </w:r>
    </w:p>
    <w:p w14:paraId="3973E26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74</w:t>
      </w:r>
    </w:p>
    <w:p w14:paraId="3973E262" w14:textId="77777777" w:rsidR="007B027D" w:rsidRDefault="008E0125">
      <w:r>
        <w:rPr>
          <w:rFonts w:ascii="Calibri" w:hAnsi="Calibri" w:cs="Calibri"/>
          <w:sz w:val="20"/>
          <w:szCs w:val="20"/>
        </w:rPr>
        <w:pict w14:anchorId="39740085">
          <v:rect id="_x0000_i1100" style="width:415.3pt;height:1.5pt" o:hralign="center" o:hrstd="t" o:hr="t" fillcolor="#a0a0a0" stroked="f"/>
        </w:pict>
      </w:r>
    </w:p>
    <w:p w14:paraId="3973E263" w14:textId="77777777" w:rsidR="007B027D" w:rsidRDefault="008E0125">
      <w:pPr>
        <w:pStyle w:val="a3"/>
        <w:spacing w:beforeAutospacing="0" w:after="120" w:afterAutospacing="0"/>
        <w:rPr>
          <w:rFonts w:ascii="Calibri" w:hAnsi="Calibri" w:cs="Calibri"/>
          <w:sz w:val="18"/>
          <w:szCs w:val="18"/>
        </w:rPr>
      </w:pPr>
      <w:hyperlink r:id="rId184" w:anchor="TABLE_OF_CONTENTS" w:history="1">
        <w:r>
          <w:rPr>
            <w:rStyle w:val="a5"/>
            <w:rFonts w:ascii="Calibri" w:hAnsi="Calibri" w:cs="Calibri"/>
            <w:sz w:val="18"/>
            <w:szCs w:val="18"/>
          </w:rPr>
          <w:t>Table of Contents</w:t>
        </w:r>
      </w:hyperlink>
    </w:p>
    <w:p w14:paraId="3973E264" w14:textId="77777777" w:rsidR="007B027D" w:rsidRDefault="008E0125">
      <w:pPr>
        <w:pStyle w:val="a3"/>
        <w:spacing w:beforeAutospacing="0" w:afterAutospacing="0"/>
        <w:rPr>
          <w:rFonts w:ascii="Calibri" w:hAnsi="Calibri" w:cs="Calibri"/>
          <w:sz w:val="18"/>
          <w:szCs w:val="18"/>
        </w:rPr>
      </w:pPr>
      <w:hyperlink r:id="rId185" w:anchor="ITEM_15_EXHIBITS_FINANCIAL_STATEMENT_SCH" w:history="1">
        <w:r>
          <w:rPr>
            <w:rStyle w:val="a5"/>
            <w:rFonts w:ascii="Calibri" w:hAnsi="Calibri" w:cs="Calibri"/>
            <w:sz w:val="18"/>
            <w:szCs w:val="18"/>
          </w:rPr>
          <w:t>Index to Financial Statements</w:t>
        </w:r>
      </w:hyperlink>
    </w:p>
    <w:p w14:paraId="3973E26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6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67"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6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69" w14:textId="77777777" w:rsidR="007B027D" w:rsidRDefault="008E0125">
      <w:pPr>
        <w:pStyle w:val="a3"/>
        <w:shd w:val="clear" w:color="auto" w:fill="FFFFFF"/>
        <w:spacing w:before="240" w:beforeAutospacing="0" w:after="120" w:afterAutospacing="0"/>
        <w:rPr>
          <w:rFonts w:ascii="Calibri" w:hAnsi="Calibri" w:cs="Calibri"/>
          <w:b/>
          <w:bCs/>
          <w:color w:val="000000"/>
          <w:sz w:val="20"/>
          <w:szCs w:val="20"/>
        </w:rPr>
      </w:pPr>
      <w:r>
        <w:rPr>
          <w:rFonts w:ascii="Calibri" w:hAnsi="Calibri" w:cs="Calibri"/>
          <w:b/>
          <w:bCs/>
          <w:color w:val="000000"/>
          <w:sz w:val="20"/>
          <w:szCs w:val="20"/>
          <w:u w:val="single"/>
          <w:shd w:val="clear" w:color="auto" w:fill="FFFFFF"/>
        </w:rPr>
        <w:t xml:space="preserve">Remaining </w:t>
      </w:r>
      <w:r>
        <w:rPr>
          <w:rFonts w:ascii="Calibri" w:hAnsi="Calibri" w:cs="Calibri"/>
          <w:b/>
          <w:bCs/>
          <w:color w:val="000000"/>
          <w:sz w:val="20"/>
          <w:szCs w:val="20"/>
          <w:u w:val="single"/>
          <w:shd w:val="clear" w:color="auto" w:fill="FFFFFF"/>
        </w:rPr>
        <w:t>Performance Obligations from Customer Contracts</w:t>
      </w:r>
    </w:p>
    <w:p w14:paraId="3973E26A" w14:textId="77777777" w:rsidR="007B027D" w:rsidRDefault="008E0125">
      <w:pPr>
        <w:pStyle w:val="a3"/>
        <w:shd w:val="clear" w:color="auto" w:fill="FFFFFF"/>
        <w:spacing w:beforeAutospacing="0" w:after="12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Trade receivables, net of allowance for credit losses, and deferred revenues are reported net of related uncollected deferred revenues in our consolidated balance sheets as of May 31, 2022 and 2021. The amoun</w:t>
      </w:r>
      <w:r>
        <w:rPr>
          <w:rFonts w:ascii="Calibri" w:hAnsi="Calibri" w:cs="Calibri"/>
          <w:color w:val="000000"/>
          <w:sz w:val="20"/>
          <w:szCs w:val="20"/>
          <w:shd w:val="clear" w:color="auto" w:fill="FFFFFF"/>
        </w:rPr>
        <w:t>t of revenues recognized during the year ended May 31, 2022 and 2021, respectively, that were included in the opening deferred revenues balance as of May 31, 2021 and 2020, respectively, was approximately $8.8 billion and $8.0 billion, respectively. Revenu</w:t>
      </w:r>
      <w:r>
        <w:rPr>
          <w:rFonts w:ascii="Calibri" w:hAnsi="Calibri" w:cs="Calibri"/>
          <w:color w:val="000000"/>
          <w:sz w:val="20"/>
          <w:szCs w:val="20"/>
          <w:shd w:val="clear" w:color="auto" w:fill="FFFFFF"/>
        </w:rPr>
        <w:t>es recognized from performance obligations satisfied in prior periods and impairment losses recognized on our receivables were immaterial during each year ended May 31, 2022, 2021 and 2020.  </w:t>
      </w:r>
    </w:p>
    <w:p w14:paraId="3973E26B" w14:textId="77777777" w:rsidR="007B027D" w:rsidRDefault="008E0125">
      <w:pPr>
        <w:pStyle w:val="a3"/>
        <w:shd w:val="clear" w:color="auto" w:fill="FFFFFF"/>
        <w:spacing w:beforeAutospacing="0" w:after="12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 xml:space="preserve">Remaining performance obligations represent contracted revenues </w:t>
      </w:r>
      <w:r>
        <w:rPr>
          <w:rFonts w:ascii="Calibri" w:hAnsi="Calibri" w:cs="Calibri"/>
          <w:color w:val="000000"/>
          <w:sz w:val="20"/>
          <w:szCs w:val="20"/>
          <w:shd w:val="clear" w:color="auto" w:fill="FFFFFF"/>
        </w:rPr>
        <w:t xml:space="preserve">that had not yet been recognized, and include deferred revenues; invoices that have been issued to customers but were uncollected and have not been recognized as revenues; and amounts that will be invoiced and recognized as revenues in future periods. The </w:t>
      </w:r>
      <w:r>
        <w:rPr>
          <w:rFonts w:ascii="Calibri" w:hAnsi="Calibri" w:cs="Calibri"/>
          <w:color w:val="000000"/>
          <w:sz w:val="20"/>
          <w:szCs w:val="20"/>
          <w:shd w:val="clear" w:color="auto" w:fill="FFFFFF"/>
        </w:rPr>
        <w:t xml:space="preserve">volumes and amounts of customer contracts that we book and total revenues that we recognize are impacted by a variety of seasonal factors. In each fiscal year, the amounts and volumes of contracting activity and our total revenues are typically highest in </w:t>
      </w:r>
      <w:r>
        <w:rPr>
          <w:rFonts w:ascii="Calibri" w:hAnsi="Calibri" w:cs="Calibri"/>
          <w:color w:val="000000"/>
          <w:sz w:val="20"/>
          <w:szCs w:val="20"/>
          <w:shd w:val="clear" w:color="auto" w:fill="FFFFFF"/>
        </w:rPr>
        <w:t>our fourth fiscal quarter and lowest in our first fiscal quarter. These seasonal impacts influence how our remaining performance obligations change over time and, combined with foreign exchange rate fluctuations and other factors, influence the amount of r</w:t>
      </w:r>
      <w:r>
        <w:rPr>
          <w:rFonts w:ascii="Calibri" w:hAnsi="Calibri" w:cs="Calibri"/>
          <w:color w:val="000000"/>
          <w:sz w:val="20"/>
          <w:szCs w:val="20"/>
          <w:shd w:val="clear" w:color="auto" w:fill="FFFFFF"/>
        </w:rPr>
        <w:t>emaining performance obligations that we report at a point in time. As of May 31, 2022, our remaining performance obligations were $46.6 billion, approximately 57% of which we expect to recognize as revenues over the next twelve months, 32% over the subseq</w:t>
      </w:r>
      <w:r>
        <w:rPr>
          <w:rFonts w:ascii="Calibri" w:hAnsi="Calibri" w:cs="Calibri"/>
          <w:color w:val="000000"/>
          <w:sz w:val="20"/>
          <w:szCs w:val="20"/>
          <w:shd w:val="clear" w:color="auto" w:fill="FFFFFF"/>
        </w:rPr>
        <w:t>uent month 13 to month 36, and the remainder thereafter.</w:t>
      </w:r>
    </w:p>
    <w:p w14:paraId="3973E26C" w14:textId="77777777" w:rsidR="007B027D" w:rsidRDefault="008E0125">
      <w:pPr>
        <w:pStyle w:val="a3"/>
        <w:spacing w:before="240" w:beforeAutospacing="0" w:afterAutospacing="0"/>
        <w:jc w:val="both"/>
        <w:rPr>
          <w:rFonts w:ascii="Calibri" w:hAnsi="Calibri" w:cs="Calibri"/>
          <w:b/>
          <w:bCs/>
          <w:color w:val="000000"/>
          <w:sz w:val="20"/>
          <w:szCs w:val="20"/>
        </w:rPr>
      </w:pPr>
      <w:r>
        <w:rPr>
          <w:rFonts w:ascii="Calibri" w:hAnsi="Calibri" w:cs="Calibri"/>
          <w:b/>
          <w:bCs/>
          <w:color w:val="000000"/>
          <w:sz w:val="20"/>
          <w:szCs w:val="20"/>
          <w:u w:val="single"/>
        </w:rPr>
        <w:t>Sales of Financing Receivables</w:t>
      </w:r>
    </w:p>
    <w:p w14:paraId="3973E26D"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We offer certain of our customers the option to acquire certain of our cloud and license, hardware and services offerings through separate long-term payment </w:t>
      </w:r>
      <w:r>
        <w:rPr>
          <w:rFonts w:ascii="Calibri" w:hAnsi="Calibri" w:cs="Calibri"/>
          <w:color w:val="000000"/>
          <w:sz w:val="20"/>
          <w:szCs w:val="20"/>
        </w:rPr>
        <w:t>contracts. We generally sell these contracts that we have financed for our customers on a non-recourse basis to financial institutions within 90 days of the contracts’ dates of execution. We record the transfers of amounts due from customers to financial i</w:t>
      </w:r>
      <w:r>
        <w:rPr>
          <w:rFonts w:ascii="Calibri" w:hAnsi="Calibri" w:cs="Calibri"/>
          <w:color w:val="000000"/>
          <w:sz w:val="20"/>
          <w:szCs w:val="20"/>
        </w:rPr>
        <w:t>nstitutions as sales of financing receivables because we are considered to have surrendered control of these financing receivables. During fiscal 2022, 2021 and 2020, $1.8 billion, $1.7 billion and $1.5 billion, respectively, of our financing receivables w</w:t>
      </w:r>
      <w:r>
        <w:rPr>
          <w:rFonts w:ascii="Calibri" w:hAnsi="Calibri" w:cs="Calibri"/>
          <w:color w:val="000000"/>
          <w:sz w:val="20"/>
          <w:szCs w:val="20"/>
        </w:rPr>
        <w:t>ere sold to financial institutions.</w:t>
      </w:r>
    </w:p>
    <w:p w14:paraId="3973E26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Combinations</w:t>
      </w:r>
    </w:p>
    <w:p w14:paraId="3973E26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805, </w:t>
      </w:r>
      <w:r>
        <w:rPr>
          <w:rFonts w:ascii="Calibri" w:hAnsi="Calibri" w:cs="Calibri"/>
          <w:i/>
          <w:iCs/>
          <w:sz w:val="20"/>
          <w:szCs w:val="20"/>
        </w:rPr>
        <w:t>Business Combinations</w:t>
      </w:r>
      <w:r>
        <w:rPr>
          <w:rFonts w:ascii="Calibri" w:hAnsi="Calibri" w:cs="Calibri"/>
          <w:sz w:val="20"/>
          <w:szCs w:val="20"/>
        </w:rPr>
        <w:t xml:space="preserve"> (ASC 805), in accounting for our acquisitions. ASC 805 requires that we evaluate whether a transaction pertains to an acquisition of assets,</w:t>
      </w:r>
      <w:r>
        <w:rPr>
          <w:rFonts w:ascii="Calibri" w:hAnsi="Calibri" w:cs="Calibri"/>
          <w:sz w:val="20"/>
          <w:szCs w:val="20"/>
        </w:rPr>
        <w:t xml:space="preserve"> or to an acquisition of a business. A business is defined as an integrated set of assets and activities that is capable of being conducted and managed for the purpose of providing a return to investors. Asset acquisitions are accounted for by allocating t</w:t>
      </w:r>
      <w:r>
        <w:rPr>
          <w:rFonts w:ascii="Calibri" w:hAnsi="Calibri" w:cs="Calibri"/>
          <w:sz w:val="20"/>
          <w:szCs w:val="20"/>
        </w:rPr>
        <w:t>he cost of the acquisition to the individual assets and liabilities assumed on a relative fair value basis; whereas the acquisition of a business requires us to recognize separately from goodwill the assets acquired and the liabilities assumed at the acqui</w:t>
      </w:r>
      <w:r>
        <w:rPr>
          <w:rFonts w:ascii="Calibri" w:hAnsi="Calibri" w:cs="Calibri"/>
          <w:sz w:val="20"/>
          <w:szCs w:val="20"/>
        </w:rPr>
        <w:t>sition date fair values. Goodwill as of the business acquisition date is measured as the excess of consideration transferred over the net of the acquisition date fair values of the assets acquired and the liabilities assumed. While we use our best estimate</w:t>
      </w:r>
      <w:r>
        <w:rPr>
          <w:rFonts w:ascii="Calibri" w:hAnsi="Calibri" w:cs="Calibri"/>
          <w:sz w:val="20"/>
          <w:szCs w:val="20"/>
        </w:rPr>
        <w:t xml:space="preserve">s and assumptions to accurately value assets acquired and liabilities assumed at the business acquisition date as well as any contingent consideration, where applicable, our estimates are inherently uncertain and subject to refinement. As a result, during </w:t>
      </w:r>
      <w:r>
        <w:rPr>
          <w:rFonts w:ascii="Calibri" w:hAnsi="Calibri" w:cs="Calibri"/>
          <w:sz w:val="20"/>
          <w:szCs w:val="20"/>
        </w:rPr>
        <w:t>the measurement period, which may be up to one year from the business acquisition date, we record adjustments to the assets acquired and liabilities assumed with the corresponding offset to goodwill. Upon the conclusion of a business acquisition’s measurem</w:t>
      </w:r>
      <w:r>
        <w:rPr>
          <w:rFonts w:ascii="Calibri" w:hAnsi="Calibri" w:cs="Calibri"/>
          <w:sz w:val="20"/>
          <w:szCs w:val="20"/>
        </w:rPr>
        <w:t>ent period or final determination of the values of assets acquired or liabilities assumed, whichever comes first, any subsequent adjustments are recorded to our consolidated statements of operations. Costs to exit or restructure certain activities of an ac</w:t>
      </w:r>
      <w:r>
        <w:rPr>
          <w:rFonts w:ascii="Calibri" w:hAnsi="Calibri" w:cs="Calibri"/>
          <w:sz w:val="20"/>
          <w:szCs w:val="20"/>
        </w:rPr>
        <w:t xml:space="preserve">quired company or our internal operations are accounted for as termination and exit costs pursuant to ASC 420, </w:t>
      </w:r>
      <w:r>
        <w:rPr>
          <w:rFonts w:ascii="Calibri" w:hAnsi="Calibri" w:cs="Calibri"/>
          <w:i/>
          <w:iCs/>
          <w:sz w:val="20"/>
          <w:szCs w:val="20"/>
        </w:rPr>
        <w:t>Exit or Disposal Cost Obligations</w:t>
      </w:r>
      <w:r>
        <w:rPr>
          <w:rFonts w:ascii="Calibri" w:hAnsi="Calibri" w:cs="Calibri"/>
          <w:sz w:val="20"/>
          <w:szCs w:val="20"/>
        </w:rPr>
        <w:t xml:space="preserve">, and are accounted for separately from the business </w:t>
      </w:r>
    </w:p>
    <w:p w14:paraId="3973E270"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75</w:t>
      </w:r>
    </w:p>
    <w:p w14:paraId="3973E271" w14:textId="77777777" w:rsidR="007B027D" w:rsidRDefault="008E0125">
      <w:r>
        <w:rPr>
          <w:rFonts w:ascii="Calibri" w:hAnsi="Calibri" w:cs="Calibri"/>
          <w:sz w:val="20"/>
          <w:szCs w:val="20"/>
        </w:rPr>
        <w:pict w14:anchorId="39740086">
          <v:rect id="_x0000_i1101" style="width:415.3pt;height:1.5pt" o:hralign="center" o:hrstd="t" o:hr="t" fillcolor="#a0a0a0" stroked="f"/>
        </w:pict>
      </w:r>
    </w:p>
    <w:p w14:paraId="3973E272" w14:textId="77777777" w:rsidR="007B027D" w:rsidRDefault="008E0125">
      <w:pPr>
        <w:pStyle w:val="a3"/>
        <w:spacing w:beforeAutospacing="0" w:after="120" w:afterAutospacing="0"/>
        <w:rPr>
          <w:rFonts w:ascii="Calibri" w:hAnsi="Calibri" w:cs="Calibri"/>
          <w:sz w:val="18"/>
          <w:szCs w:val="18"/>
        </w:rPr>
      </w:pPr>
      <w:hyperlink r:id="rId186" w:anchor="TABLE_OF_CONTENTS" w:history="1">
        <w:r>
          <w:rPr>
            <w:rStyle w:val="a5"/>
            <w:rFonts w:ascii="Calibri" w:hAnsi="Calibri" w:cs="Calibri"/>
            <w:sz w:val="18"/>
            <w:szCs w:val="18"/>
          </w:rPr>
          <w:t>Table of Contents</w:t>
        </w:r>
      </w:hyperlink>
    </w:p>
    <w:p w14:paraId="3973E273" w14:textId="77777777" w:rsidR="007B027D" w:rsidRDefault="008E0125">
      <w:pPr>
        <w:pStyle w:val="a3"/>
        <w:spacing w:beforeAutospacing="0" w:afterAutospacing="0"/>
        <w:rPr>
          <w:rFonts w:ascii="Calibri" w:hAnsi="Calibri" w:cs="Calibri"/>
          <w:sz w:val="18"/>
          <w:szCs w:val="18"/>
        </w:rPr>
      </w:pPr>
      <w:hyperlink r:id="rId187" w:anchor="ITEM_15_EXHIBITS_FINANCIAL_STATEMENT_SCH" w:history="1">
        <w:r>
          <w:rPr>
            <w:rStyle w:val="a5"/>
            <w:rFonts w:ascii="Calibri" w:hAnsi="Calibri" w:cs="Calibri"/>
            <w:sz w:val="18"/>
            <w:szCs w:val="18"/>
          </w:rPr>
          <w:t>Index to Financial Statements</w:t>
        </w:r>
      </w:hyperlink>
    </w:p>
    <w:p w14:paraId="3973E274"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7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E276"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7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7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combination. A liability for costs associated with an exit or disposal activity is recognized and measured at its fair value in our consolidated statement of operations in the period in which the liability is incurred. Abandoned opera</w:t>
      </w:r>
      <w:r>
        <w:rPr>
          <w:rFonts w:ascii="Calibri" w:hAnsi="Calibri" w:cs="Calibri"/>
          <w:sz w:val="20"/>
          <w:szCs w:val="20"/>
        </w:rPr>
        <w:t xml:space="preserve">ting leases related to an acquired company or our internal operations are accounted for as Right-of-Use (ROU) asset impairment charges pursuant to ASC 842, </w:t>
      </w:r>
      <w:r>
        <w:rPr>
          <w:rFonts w:ascii="Calibri" w:hAnsi="Calibri" w:cs="Calibri"/>
          <w:i/>
          <w:iCs/>
          <w:sz w:val="20"/>
          <w:szCs w:val="20"/>
        </w:rPr>
        <w:t>Leases</w:t>
      </w:r>
      <w:r>
        <w:rPr>
          <w:rFonts w:ascii="Calibri" w:hAnsi="Calibri" w:cs="Calibri"/>
          <w:sz w:val="20"/>
          <w:szCs w:val="20"/>
        </w:rPr>
        <w:t xml:space="preserve"> and are accounted for separately from the business combination. In all periods presented, when estimating the asset impairment charges, assumptions were applied regarding estimated sub-lease payments to be received, which can differ from actual results. T</w:t>
      </w:r>
      <w:r>
        <w:rPr>
          <w:rFonts w:ascii="Calibri" w:hAnsi="Calibri" w:cs="Calibri"/>
          <w:sz w:val="20"/>
          <w:szCs w:val="20"/>
        </w:rPr>
        <w:t>his may require us to revise our initial estimates which may affect our results of operations and financial position in the period the revision is made.</w:t>
      </w:r>
    </w:p>
    <w:p w14:paraId="3973E27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a given business acquisition, we may identify certain pre-acquisition contingencies as of the acqui</w:t>
      </w:r>
      <w:r>
        <w:rPr>
          <w:rFonts w:ascii="Calibri" w:hAnsi="Calibri" w:cs="Calibri"/>
          <w:sz w:val="20"/>
          <w:szCs w:val="20"/>
        </w:rPr>
        <w:t>sition date and may extend our review and evaluation of these pre-acquisition contingencies throughout the measurement period in order to obtain sufficient information to assess whether we include these contingencies as a part of the fair value estimates o</w:t>
      </w:r>
      <w:r>
        <w:rPr>
          <w:rFonts w:ascii="Calibri" w:hAnsi="Calibri" w:cs="Calibri"/>
          <w:sz w:val="20"/>
          <w:szCs w:val="20"/>
        </w:rPr>
        <w:t>f assets acquired and liabilities assumed and, if so, to determine their estimated amounts. If we cannot reasonably determine the fair value of a non-income tax related pre-acquisition contingency by the end of the measurement period, which is generally th</w:t>
      </w:r>
      <w:r>
        <w:rPr>
          <w:rFonts w:ascii="Calibri" w:hAnsi="Calibri" w:cs="Calibri"/>
          <w:sz w:val="20"/>
          <w:szCs w:val="20"/>
        </w:rPr>
        <w:t>e case given the nature of such matters, we will recognize an asset or a liability for such pre-acquisition contingency if: (1) it is probable that an asset existed or a liability had been incurred at the business acquisition date and (2) the amount of the</w:t>
      </w:r>
      <w:r>
        <w:rPr>
          <w:rFonts w:ascii="Calibri" w:hAnsi="Calibri" w:cs="Calibri"/>
          <w:sz w:val="20"/>
          <w:szCs w:val="20"/>
        </w:rPr>
        <w:t xml:space="preserve"> asset or liability can be reasonably estimated. Subsequent to the measurement period or final determination of the net asset values for the business combination, whichever comes first, changes in our estimates of such contingencies will affect earnings an</w:t>
      </w:r>
      <w:r>
        <w:rPr>
          <w:rFonts w:ascii="Calibri" w:hAnsi="Calibri" w:cs="Calibri"/>
          <w:sz w:val="20"/>
          <w:szCs w:val="20"/>
        </w:rPr>
        <w:t>d could have a material effect on our results of operations and financial position.</w:t>
      </w:r>
    </w:p>
    <w:p w14:paraId="3973E27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addition, uncertain tax positions and tax related valuation allowances assumed in a business combination are initially estimated as of the acquisition date. We reevaluat</w:t>
      </w:r>
      <w:r>
        <w:rPr>
          <w:rFonts w:ascii="Calibri" w:hAnsi="Calibri" w:cs="Calibri"/>
          <w:sz w:val="20"/>
          <w:szCs w:val="20"/>
        </w:rPr>
        <w:t>e these items quarterly based upon facts and circumstances that existed as of the business acquisition date with any adjustments to our preliminary estimates being recorded to goodwill if identified within the measurement period. Subsequent to the measurem</w:t>
      </w:r>
      <w:r>
        <w:rPr>
          <w:rFonts w:ascii="Calibri" w:hAnsi="Calibri" w:cs="Calibri"/>
          <w:sz w:val="20"/>
          <w:szCs w:val="20"/>
        </w:rPr>
        <w:t>ent period or our final determination of the tax allowance’s or contingency’s estimated value, whichever comes first, changes to these uncertain tax positions and tax related valuation allowances will affect our provision for income taxes in our consolidat</w:t>
      </w:r>
      <w:r>
        <w:rPr>
          <w:rFonts w:ascii="Calibri" w:hAnsi="Calibri" w:cs="Calibri"/>
          <w:sz w:val="20"/>
          <w:szCs w:val="20"/>
        </w:rPr>
        <w:t>ed statement of operations and could have a material impact on our results of operations and financial position.</w:t>
      </w:r>
    </w:p>
    <w:p w14:paraId="3973E27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Marketable and Non-Marketable Investments </w:t>
      </w:r>
    </w:p>
    <w:p w14:paraId="3973E27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accordance with ASC 320, </w:t>
      </w:r>
      <w:r>
        <w:rPr>
          <w:rFonts w:ascii="Calibri" w:hAnsi="Calibri" w:cs="Calibri"/>
          <w:i/>
          <w:iCs/>
          <w:sz w:val="20"/>
          <w:szCs w:val="20"/>
        </w:rPr>
        <w:t>Investments—Debt Securities</w:t>
      </w:r>
      <w:r>
        <w:rPr>
          <w:rFonts w:ascii="Calibri" w:hAnsi="Calibri" w:cs="Calibri"/>
          <w:sz w:val="20"/>
          <w:szCs w:val="20"/>
        </w:rPr>
        <w:t>, and based on our intentions regarding these</w:t>
      </w:r>
      <w:r>
        <w:rPr>
          <w:rFonts w:ascii="Calibri" w:hAnsi="Calibri" w:cs="Calibri"/>
          <w:sz w:val="20"/>
          <w:szCs w:val="20"/>
        </w:rPr>
        <w:t xml:space="preserve"> instruments, we classify substantially all of our marketable debt securities investments as available-for-sale. We carry these securities at fair value, and report the unrealized gains and losses, net of taxes, as a component of stockholders’ equity, exce</w:t>
      </w:r>
      <w:r>
        <w:rPr>
          <w:rFonts w:ascii="Calibri" w:hAnsi="Calibri" w:cs="Calibri"/>
          <w:sz w:val="20"/>
          <w:szCs w:val="20"/>
        </w:rPr>
        <w:t>pt for any unrealized losses determined to be related to credit losses, which we record within non-operating expenses or income, net in the accompanying consolidated statements of operations. We periodically evaluate our investments to determine if impairm</w:t>
      </w:r>
      <w:r>
        <w:rPr>
          <w:rFonts w:ascii="Calibri" w:hAnsi="Calibri" w:cs="Calibri"/>
          <w:sz w:val="20"/>
          <w:szCs w:val="20"/>
        </w:rPr>
        <w:t>ent charges are required. Substantially all of our marketable debt securities investments are classified as current based on the nature of the investments and their availability for use in current operations.</w:t>
      </w:r>
    </w:p>
    <w:p w14:paraId="3973E27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Investments in equity securities, other than an</w:t>
      </w:r>
      <w:r>
        <w:rPr>
          <w:rFonts w:ascii="Calibri" w:hAnsi="Calibri" w:cs="Calibri"/>
          <w:sz w:val="20"/>
          <w:szCs w:val="20"/>
        </w:rPr>
        <w:t>y equity method investments, are generally recorded at their fair values, if the fair values are readily determinable. Non-marketable equity securities where we do not have control of, nor significant influence in, the investee are recorded at cost, less a</w:t>
      </w:r>
      <w:r>
        <w:rPr>
          <w:rFonts w:ascii="Calibri" w:hAnsi="Calibri" w:cs="Calibri"/>
          <w:sz w:val="20"/>
          <w:szCs w:val="20"/>
        </w:rPr>
        <w:t>ny impairment, adjusted for observable price changes from orderly transactions for identical or similar investments of the same issuer with any gains or losses recorded as a component of non-operating expenses or income, net as of and for each reporting pe</w:t>
      </w:r>
      <w:r>
        <w:rPr>
          <w:rFonts w:ascii="Calibri" w:hAnsi="Calibri" w:cs="Calibri"/>
          <w:sz w:val="20"/>
          <w:szCs w:val="20"/>
        </w:rPr>
        <w:t>riod. For investments through which we have significant influence in, but not control of, the investee, we account for such investments pursuant to the equity method of accounting whereby we record our proportionate share of the investee’s earnings or loss</w:t>
      </w:r>
      <w:r>
        <w:rPr>
          <w:rFonts w:ascii="Calibri" w:hAnsi="Calibri" w:cs="Calibri"/>
          <w:sz w:val="20"/>
          <w:szCs w:val="20"/>
        </w:rPr>
        <w:t xml:space="preserve">es, amortization of differences between our investment basis and the proportional book equity of the investee, and impairment, if any, as a component of non-operating expenses or income, net for each reporting period. </w:t>
      </w:r>
    </w:p>
    <w:p w14:paraId="3973E27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76</w:t>
      </w:r>
    </w:p>
    <w:p w14:paraId="3973E27F" w14:textId="77777777" w:rsidR="007B027D" w:rsidRDefault="008E0125">
      <w:r>
        <w:rPr>
          <w:rFonts w:ascii="Calibri" w:hAnsi="Calibri" w:cs="Calibri"/>
          <w:sz w:val="20"/>
          <w:szCs w:val="20"/>
        </w:rPr>
        <w:pict w14:anchorId="39740087">
          <v:rect id="_x0000_i1102" style="width:415.3pt;height:1.5pt" o:hralign="center" o:hrstd="t" o:hr="t" fillcolor="#a0a0a0" stroked="f"/>
        </w:pict>
      </w:r>
    </w:p>
    <w:p w14:paraId="3973E280" w14:textId="77777777" w:rsidR="007B027D" w:rsidRDefault="008E0125">
      <w:pPr>
        <w:pStyle w:val="a3"/>
        <w:spacing w:beforeAutospacing="0" w:after="120" w:afterAutospacing="0"/>
        <w:rPr>
          <w:rFonts w:ascii="Calibri" w:hAnsi="Calibri" w:cs="Calibri"/>
          <w:sz w:val="18"/>
          <w:szCs w:val="18"/>
        </w:rPr>
      </w:pPr>
      <w:hyperlink r:id="rId188" w:anchor="TABLE_OF_CONTENTS" w:history="1">
        <w:r>
          <w:rPr>
            <w:rStyle w:val="a5"/>
            <w:rFonts w:ascii="Calibri" w:hAnsi="Calibri" w:cs="Calibri"/>
            <w:sz w:val="18"/>
            <w:szCs w:val="18"/>
          </w:rPr>
          <w:t>Table of Contents</w:t>
        </w:r>
      </w:hyperlink>
    </w:p>
    <w:p w14:paraId="3973E281" w14:textId="77777777" w:rsidR="007B027D" w:rsidRDefault="008E0125">
      <w:pPr>
        <w:pStyle w:val="a3"/>
        <w:spacing w:beforeAutospacing="0" w:afterAutospacing="0"/>
        <w:rPr>
          <w:rFonts w:ascii="Calibri" w:hAnsi="Calibri" w:cs="Calibri"/>
          <w:sz w:val="18"/>
          <w:szCs w:val="18"/>
        </w:rPr>
      </w:pPr>
      <w:hyperlink r:id="rId189" w:anchor="ITEM_15_EXHIBITS_FINANCIAL_STATEMENT_SCH" w:history="1">
        <w:r>
          <w:rPr>
            <w:rStyle w:val="a5"/>
            <w:rFonts w:ascii="Calibri" w:hAnsi="Calibri" w:cs="Calibri"/>
            <w:sz w:val="18"/>
            <w:szCs w:val="18"/>
          </w:rPr>
          <w:t>Index to Financial Statements</w:t>
        </w:r>
      </w:hyperlink>
    </w:p>
    <w:p w14:paraId="3973E28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83"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84"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85"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8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non-marketable debt investments and equity securities and related instruments totaled $1.2 billion and </w:t>
      </w:r>
      <w:r>
        <w:rPr>
          <w:rFonts w:ascii="Calibri" w:hAnsi="Calibri" w:cs="Calibri"/>
          <w:sz w:val="20"/>
          <w:szCs w:val="20"/>
        </w:rPr>
        <w:t>$971 million as of May 31, 2022 and 2021, respectively, are subject to periodic impairment reviews and are generally classified as a part of non-current assets in the accompanying consolidated balance sheets. Certain of these instruments are adjusted for o</w:t>
      </w:r>
      <w:r>
        <w:rPr>
          <w:rFonts w:ascii="Calibri" w:hAnsi="Calibri" w:cs="Calibri"/>
          <w:sz w:val="20"/>
          <w:szCs w:val="20"/>
        </w:rPr>
        <w:t>bservable price changes from orderly transactions. The substantial majority of the non-marketable debt investments and equity securities and related instruments held as of May 31, 2022 and 2021 were with a related party entity for which we follow the equit</w:t>
      </w:r>
      <w:r>
        <w:rPr>
          <w:rFonts w:ascii="Calibri" w:hAnsi="Calibri" w:cs="Calibri"/>
          <w:sz w:val="20"/>
          <w:szCs w:val="20"/>
        </w:rPr>
        <w:t>y method of accounting. We are also a counterparty to certain options to acquire additional equity interests in that entity at various times through December 2023 and we could obtain control of that entity should such options be exercised.</w:t>
      </w:r>
    </w:p>
    <w:p w14:paraId="3973E28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Fair </w:t>
      </w:r>
      <w:r>
        <w:rPr>
          <w:rFonts w:ascii="Calibri" w:hAnsi="Calibri" w:cs="Calibri"/>
          <w:b/>
          <w:bCs/>
          <w:sz w:val="20"/>
          <w:szCs w:val="20"/>
        </w:rPr>
        <w:t>Values of Financial Instruments</w:t>
      </w:r>
    </w:p>
    <w:p w14:paraId="3973E28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820, </w:t>
      </w:r>
      <w:r>
        <w:rPr>
          <w:rFonts w:ascii="Calibri" w:hAnsi="Calibri" w:cs="Calibri"/>
          <w:i/>
          <w:iCs/>
          <w:sz w:val="20"/>
          <w:szCs w:val="20"/>
        </w:rPr>
        <w:t xml:space="preserve">Fair Value Measurement </w:t>
      </w:r>
      <w:r>
        <w:rPr>
          <w:rFonts w:ascii="Calibri" w:hAnsi="Calibri" w:cs="Calibri"/>
          <w:sz w:val="20"/>
          <w:szCs w:val="20"/>
        </w:rPr>
        <w:t>(ASC 820), to our assets and liabilities that we are required to measure at fair value pursuant to other accounting standards, including our investments in marketabl</w:t>
      </w:r>
      <w:r>
        <w:rPr>
          <w:rFonts w:ascii="Calibri" w:hAnsi="Calibri" w:cs="Calibri"/>
          <w:sz w:val="20"/>
          <w:szCs w:val="20"/>
        </w:rPr>
        <w:t xml:space="preserve">e debt and equity securities and our derivative financial instruments. </w:t>
      </w:r>
    </w:p>
    <w:p w14:paraId="3973E28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additional disclosures regarding our fair value measurements are included in Note 4. </w:t>
      </w:r>
    </w:p>
    <w:p w14:paraId="3973E28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Allowances for Credit Losses </w:t>
      </w:r>
    </w:p>
    <w:p w14:paraId="3973E28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record allowances for credit losses based upon a specific rev</w:t>
      </w:r>
      <w:r>
        <w:rPr>
          <w:rFonts w:ascii="Calibri" w:hAnsi="Calibri" w:cs="Calibri"/>
          <w:sz w:val="20"/>
          <w:szCs w:val="20"/>
        </w:rPr>
        <w:t>iew of all significant outstanding invoices. For those invoices not specifically reviewed, provisions are provided at differing rates, based upon the age of the receivable, the collection history associated with the geographic region that the receivable wa</w:t>
      </w:r>
      <w:r>
        <w:rPr>
          <w:rFonts w:ascii="Calibri" w:hAnsi="Calibri" w:cs="Calibri"/>
          <w:sz w:val="20"/>
          <w:szCs w:val="20"/>
        </w:rPr>
        <w:t>s recorded in and current and expected future economic conditions. We write-off a receivable and charge it against its recorded allowance when we have exhausted our collection efforts without success</w:t>
      </w:r>
      <w:r>
        <w:rPr>
          <w:rFonts w:ascii="Calibri" w:hAnsi="Calibri" w:cs="Calibri"/>
          <w:color w:val="000000"/>
          <w:sz w:val="20"/>
          <w:szCs w:val="20"/>
        </w:rPr>
        <w:t>.</w:t>
      </w:r>
    </w:p>
    <w:p w14:paraId="3973E28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Concentrations of Credit Risk </w:t>
      </w:r>
    </w:p>
    <w:p w14:paraId="3973E28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Financial instruments that are potentially subject to concentrations of credit risk consist primarily of cash and cash equivalents, marketable securities, derivatives and trade receivables. Our cash and cash equivalents are g</w:t>
      </w:r>
      <w:r>
        <w:rPr>
          <w:rFonts w:ascii="Calibri" w:hAnsi="Calibri" w:cs="Calibri"/>
          <w:sz w:val="20"/>
          <w:szCs w:val="20"/>
        </w:rPr>
        <w:t>enerally held with large, diverse financial institutions worldwide to reduce the amount of exposure to any single financial institution. Investment policies have been implemented that limit purchases of marketable debt securities to investment-grade securi</w:t>
      </w:r>
      <w:r>
        <w:rPr>
          <w:rFonts w:ascii="Calibri" w:hAnsi="Calibri" w:cs="Calibri"/>
          <w:sz w:val="20"/>
          <w:szCs w:val="20"/>
        </w:rPr>
        <w:t>ties. Our derivative contracts are transacted with various financial institutions with high credit standings and any exposure to counterparty credit-related losses in these contracts is largely mitigated with collateral security agreements that provide for</w:t>
      </w:r>
      <w:r>
        <w:rPr>
          <w:rFonts w:ascii="Calibri" w:hAnsi="Calibri" w:cs="Calibri"/>
          <w:sz w:val="20"/>
          <w:szCs w:val="20"/>
        </w:rPr>
        <w:t xml:space="preserve"> collateral to be received or posted when the net fair values of these contracts fluctuate from contractually established thresholds. We generally do not require collateral to secure accounts receivable. The risk with respect to trade receivables is mitiga</w:t>
      </w:r>
      <w:r>
        <w:rPr>
          <w:rFonts w:ascii="Calibri" w:hAnsi="Calibri" w:cs="Calibri"/>
          <w:sz w:val="20"/>
          <w:szCs w:val="20"/>
        </w:rPr>
        <w:t>ted by credit evaluations we perform on our customers, the short duration of our payment terms for the significant majority of our customer contracts and by the diversification of our customer base. No single customer accounted for 10% or more of our total</w:t>
      </w:r>
      <w:r>
        <w:rPr>
          <w:rFonts w:ascii="Calibri" w:hAnsi="Calibri" w:cs="Calibri"/>
          <w:sz w:val="20"/>
          <w:szCs w:val="20"/>
        </w:rPr>
        <w:t xml:space="preserve"> revenues in fiscal 2022, 2021 or 2020.</w:t>
      </w:r>
    </w:p>
    <w:p w14:paraId="3973E28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outsource the manufacturing, assembly and delivery of the substantial majority of our hardware products to a variety of companies, many of which are located outside the U.S. Further, we have simplified our supply </w:t>
      </w:r>
      <w:r>
        <w:rPr>
          <w:rFonts w:ascii="Calibri" w:hAnsi="Calibri" w:cs="Calibri"/>
          <w:sz w:val="20"/>
          <w:szCs w:val="20"/>
        </w:rPr>
        <w:t xml:space="preserve">chain processes by reducing the number of third-party manufacturing partners and the number of locations where these third-party manufacturers build our hardware products. Any inability of these third-party manufacturing partners to deliver the contracted </w:t>
      </w:r>
      <w:r>
        <w:rPr>
          <w:rFonts w:ascii="Calibri" w:hAnsi="Calibri" w:cs="Calibri"/>
          <w:sz w:val="20"/>
          <w:szCs w:val="20"/>
        </w:rPr>
        <w:t xml:space="preserve">services for our hardware products could adversely impact future operating results of our cloud and license and hardware businesses. </w:t>
      </w:r>
    </w:p>
    <w:p w14:paraId="3973E28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Inventories</w:t>
      </w:r>
    </w:p>
    <w:p w14:paraId="3973E29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Inventories are stated at the lower of cost or net realizable value. Cost is computed using standard cost, whi</w:t>
      </w:r>
      <w:r>
        <w:rPr>
          <w:rFonts w:ascii="Calibri" w:hAnsi="Calibri" w:cs="Calibri"/>
          <w:sz w:val="20"/>
          <w:szCs w:val="20"/>
        </w:rPr>
        <w:t xml:space="preserve">ch approximates actual cost, on a first-in, first-out basis. We evaluate our ending inventories for estimated excess quantities and obsolescence. This evaluation includes analysis of sales levels by product and projections of future </w:t>
      </w:r>
    </w:p>
    <w:p w14:paraId="3973E29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77</w:t>
      </w:r>
    </w:p>
    <w:p w14:paraId="3973E292" w14:textId="77777777" w:rsidR="007B027D" w:rsidRDefault="008E0125">
      <w:r>
        <w:rPr>
          <w:rFonts w:ascii="Calibri" w:hAnsi="Calibri" w:cs="Calibri"/>
          <w:sz w:val="20"/>
          <w:szCs w:val="20"/>
        </w:rPr>
        <w:pict w14:anchorId="39740088">
          <v:rect id="_x0000_i1103" style="width:415.3pt;height:1.5pt" o:hralign="center" o:hrstd="t" o:hr="t" fillcolor="#a0a0a0" stroked="f"/>
        </w:pict>
      </w:r>
    </w:p>
    <w:p w14:paraId="3973E293" w14:textId="77777777" w:rsidR="007B027D" w:rsidRDefault="008E0125">
      <w:pPr>
        <w:pStyle w:val="a3"/>
        <w:spacing w:beforeAutospacing="0" w:after="120" w:afterAutospacing="0"/>
        <w:rPr>
          <w:rFonts w:ascii="Calibri" w:hAnsi="Calibri" w:cs="Calibri"/>
          <w:sz w:val="18"/>
          <w:szCs w:val="18"/>
        </w:rPr>
      </w:pPr>
      <w:hyperlink r:id="rId190" w:anchor="TABLE_OF_CONTENTS" w:history="1">
        <w:r>
          <w:rPr>
            <w:rStyle w:val="a5"/>
            <w:rFonts w:ascii="Calibri" w:hAnsi="Calibri" w:cs="Calibri"/>
            <w:sz w:val="18"/>
            <w:szCs w:val="18"/>
          </w:rPr>
          <w:t>Table of Contents</w:t>
        </w:r>
      </w:hyperlink>
    </w:p>
    <w:p w14:paraId="3973E294" w14:textId="77777777" w:rsidR="007B027D" w:rsidRDefault="008E0125">
      <w:pPr>
        <w:pStyle w:val="a3"/>
        <w:spacing w:beforeAutospacing="0" w:afterAutospacing="0"/>
        <w:rPr>
          <w:rFonts w:ascii="Calibri" w:hAnsi="Calibri" w:cs="Calibri"/>
          <w:sz w:val="18"/>
          <w:szCs w:val="18"/>
        </w:rPr>
      </w:pPr>
      <w:hyperlink r:id="rId191" w:anchor="ITEM_15_EXHIBITS_FINANCIAL_STATEMENT_SCH" w:history="1">
        <w:r>
          <w:rPr>
            <w:rStyle w:val="a5"/>
            <w:rFonts w:ascii="Calibri" w:hAnsi="Calibri" w:cs="Calibri"/>
            <w:sz w:val="18"/>
            <w:szCs w:val="18"/>
          </w:rPr>
          <w:t>Index to Financial Statements</w:t>
        </w:r>
      </w:hyperlink>
    </w:p>
    <w:p w14:paraId="3973E29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9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97"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9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9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demand within specific time horizons (generally six to nine months). Inventories in excess of </w:t>
      </w:r>
      <w:r>
        <w:rPr>
          <w:rFonts w:ascii="Calibri" w:hAnsi="Calibri" w:cs="Calibri"/>
          <w:sz w:val="20"/>
          <w:szCs w:val="20"/>
        </w:rPr>
        <w:t>future demand are written down and charged to hardware expenses. In addition, we assess the impact of changing technology to our inventories and we write down inventories that are considered obsolete. At the point of loss recognition, a new, lower-cost bas</w:t>
      </w:r>
      <w:r>
        <w:rPr>
          <w:rFonts w:ascii="Calibri" w:hAnsi="Calibri" w:cs="Calibri"/>
          <w:sz w:val="20"/>
          <w:szCs w:val="20"/>
        </w:rPr>
        <w:t>is for that inventory is established, and subsequent changes in facts and circumstances do not result in the restoration or increase in that newly established cost basis. Inventories are included in prepaid expenses and other current assets in our consolid</w:t>
      </w:r>
      <w:r>
        <w:rPr>
          <w:rFonts w:ascii="Calibri" w:hAnsi="Calibri" w:cs="Calibri"/>
          <w:sz w:val="20"/>
          <w:szCs w:val="20"/>
        </w:rPr>
        <w:t>ated balance sheets and totaled $314 million and $142 million at May 31, 2022 and 2021, respectively.</w:t>
      </w:r>
    </w:p>
    <w:p w14:paraId="3973E29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Other Receivables </w:t>
      </w:r>
    </w:p>
    <w:p w14:paraId="3973E29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Other receivables represent value-added tax and sales tax receivables associated with the sale of our products and services to third pa</w:t>
      </w:r>
      <w:r>
        <w:rPr>
          <w:rFonts w:ascii="Calibri" w:hAnsi="Calibri" w:cs="Calibri"/>
          <w:sz w:val="20"/>
          <w:szCs w:val="20"/>
        </w:rPr>
        <w:t>rties. Other receivables are included in prepaid expenses and other current assets in our consolidated balance sheets and totaled $791 million and $798 million at May 31, 2022 and 2021, respectively.</w:t>
      </w:r>
    </w:p>
    <w:p w14:paraId="3973E29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Deferred Sales Commissions</w:t>
      </w:r>
    </w:p>
    <w:p w14:paraId="3973E29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defer sales commissions earned by our sales force that are considered to be incremental and recoverable costs of obtaining a cloud, license support and hardware support contract. Initial sales commissions for the majority of these aforementioned contrac</w:t>
      </w:r>
      <w:r>
        <w:rPr>
          <w:rFonts w:ascii="Calibri" w:hAnsi="Calibri" w:cs="Calibri"/>
          <w:sz w:val="20"/>
          <w:szCs w:val="20"/>
        </w:rPr>
        <w:t>ts are generally deferred and amortized on a straight-line basis over a period of benefit that we estimate to be four years. We determine the period of benefit by taking into consideration the historical and expected durations of our customer contracts, th</w:t>
      </w:r>
      <w:r>
        <w:rPr>
          <w:rFonts w:ascii="Calibri" w:hAnsi="Calibri" w:cs="Calibri"/>
          <w:sz w:val="20"/>
          <w:szCs w:val="20"/>
        </w:rPr>
        <w:t>e expected useful lives of our technologies, and other factors. Sales commissions for renewal contracts relating to certain of our cloud-based arrangements are generally deferred and then amortized on a straight-line basis over the related contractual rene</w:t>
      </w:r>
      <w:r>
        <w:rPr>
          <w:rFonts w:ascii="Calibri" w:hAnsi="Calibri" w:cs="Calibri"/>
          <w:sz w:val="20"/>
          <w:szCs w:val="20"/>
        </w:rPr>
        <w:t>wal period, which is generally one to three years. Amortization of deferred sales commissions is included as a component of sales and marketing expenses in our consolidated statements of operations and asset balances for deferred sales commissions are incl</w:t>
      </w:r>
      <w:r>
        <w:rPr>
          <w:rFonts w:ascii="Calibri" w:hAnsi="Calibri" w:cs="Calibri"/>
          <w:sz w:val="20"/>
          <w:szCs w:val="20"/>
        </w:rPr>
        <w:t xml:space="preserve">uded in other current assets and other non-current assets in our consolidated balance sheets. </w:t>
      </w:r>
    </w:p>
    <w:p w14:paraId="3973E29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Property, Plant and Equipment</w:t>
      </w:r>
    </w:p>
    <w:p w14:paraId="3973E29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Property, plant and equipment are stated at cost, less accumulated depreciation. Depreciation is computed using the straight-line m</w:t>
      </w:r>
      <w:r>
        <w:rPr>
          <w:rFonts w:ascii="Calibri" w:hAnsi="Calibri" w:cs="Calibri"/>
          <w:sz w:val="20"/>
          <w:szCs w:val="20"/>
        </w:rPr>
        <w:t xml:space="preserve">ethod based on estimated useful lives of the assets, which range from one to 40 years. Leasehold improvements are amortized over the lesser of the estimated useful lives of the improvements or the lease terms, as appropriate. Property, plant and equipment </w:t>
      </w:r>
      <w:r>
        <w:rPr>
          <w:rFonts w:ascii="Calibri" w:hAnsi="Calibri" w:cs="Calibri"/>
          <w:sz w:val="20"/>
          <w:szCs w:val="20"/>
        </w:rPr>
        <w:t>are periodically reviewed for impairment whenever events or changes in circumstances indicate that the carrying amount of an asset may not be recoverable. We did not recognize any significant property impairment charges in fiscal 2022, 2021 or 2020.</w:t>
      </w:r>
    </w:p>
    <w:p w14:paraId="3973E2A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Goodwi</w:t>
      </w:r>
      <w:r>
        <w:rPr>
          <w:rFonts w:ascii="Calibri" w:hAnsi="Calibri" w:cs="Calibri"/>
          <w:b/>
          <w:bCs/>
          <w:sz w:val="20"/>
          <w:szCs w:val="20"/>
        </w:rPr>
        <w:t>ll, Intangible Assets and Impairment Assessments</w:t>
      </w:r>
    </w:p>
    <w:p w14:paraId="3973E2A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Goodwill represents the excess of the purchase price in a business combination over the fair value of net tangible and intangible assets acquired. Intangible assets that are not considered to have an indefin</w:t>
      </w:r>
      <w:r>
        <w:rPr>
          <w:rFonts w:ascii="Calibri" w:hAnsi="Calibri" w:cs="Calibri"/>
          <w:sz w:val="20"/>
          <w:szCs w:val="20"/>
        </w:rPr>
        <w:t>ite useful life are itemized in Note 6 below and are amortized over their useful lives, which generally range from one to 10 years. Each period we evaluate the estimated remaining useful lives of purchased intangible assets and whether events or changes in</w:t>
      </w:r>
      <w:r>
        <w:rPr>
          <w:rFonts w:ascii="Calibri" w:hAnsi="Calibri" w:cs="Calibri"/>
          <w:sz w:val="20"/>
          <w:szCs w:val="20"/>
        </w:rPr>
        <w:t xml:space="preserve"> circumstances warrant a revision to the remaining periods of amortization. </w:t>
      </w:r>
    </w:p>
    <w:p w14:paraId="3973E2A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carrying amounts of our goodwill and intangible assets are periodically reviewed for impairment (at least annually for goodwill and indefinite lived intangible assets) and whe</w:t>
      </w:r>
      <w:r>
        <w:rPr>
          <w:rFonts w:ascii="Calibri" w:hAnsi="Calibri" w:cs="Calibri"/>
          <w:sz w:val="20"/>
          <w:szCs w:val="20"/>
        </w:rPr>
        <w:t>never events or changes in circumstances indicate that the carrying value of these assets may not be recoverable. When goodwill is assessed for impairment, we have the option to perform an assessment of qualitative factors of impairment (optional assessmen</w:t>
      </w:r>
      <w:r>
        <w:rPr>
          <w:rFonts w:ascii="Calibri" w:hAnsi="Calibri" w:cs="Calibri"/>
          <w:sz w:val="20"/>
          <w:szCs w:val="20"/>
        </w:rPr>
        <w:t>t) prior to necessitating a quantitative impairment test. Should the optional assessment be used for any given fiscal year, qualitative factors considered for a reporting unit include: cost factors; financial performance; legal, regulatory, contractual, po</w:t>
      </w:r>
      <w:r>
        <w:rPr>
          <w:rFonts w:ascii="Calibri" w:hAnsi="Calibri" w:cs="Calibri"/>
          <w:sz w:val="20"/>
          <w:szCs w:val="20"/>
        </w:rPr>
        <w:t xml:space="preserve">litical, business, or other factors; entity specific factors; industry and market considerations; macroeconomic conditions; and other relevant events and factors affecting the reporting unit. If we determine in </w:t>
      </w:r>
    </w:p>
    <w:p w14:paraId="3973E2A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78</w:t>
      </w:r>
    </w:p>
    <w:p w14:paraId="3973E2A4" w14:textId="77777777" w:rsidR="007B027D" w:rsidRDefault="008E0125">
      <w:r>
        <w:rPr>
          <w:rFonts w:ascii="Calibri" w:hAnsi="Calibri" w:cs="Calibri"/>
          <w:sz w:val="20"/>
          <w:szCs w:val="20"/>
        </w:rPr>
        <w:pict w14:anchorId="39740089">
          <v:rect id="_x0000_i1104" style="width:415.3pt;height:1.5pt" o:hralign="center" o:hrstd="t" o:hr="t" fillcolor="#a0a0a0" stroked="f"/>
        </w:pict>
      </w:r>
    </w:p>
    <w:p w14:paraId="3973E2A5" w14:textId="77777777" w:rsidR="007B027D" w:rsidRDefault="008E0125">
      <w:pPr>
        <w:pStyle w:val="a3"/>
        <w:spacing w:beforeAutospacing="0" w:after="120" w:afterAutospacing="0"/>
        <w:rPr>
          <w:rFonts w:ascii="Calibri" w:hAnsi="Calibri" w:cs="Calibri"/>
          <w:sz w:val="18"/>
          <w:szCs w:val="18"/>
        </w:rPr>
      </w:pPr>
      <w:hyperlink r:id="rId192" w:anchor="TABLE_OF_CONTENTS" w:history="1">
        <w:r>
          <w:rPr>
            <w:rStyle w:val="a5"/>
            <w:rFonts w:ascii="Calibri" w:hAnsi="Calibri" w:cs="Calibri"/>
            <w:sz w:val="18"/>
            <w:szCs w:val="18"/>
          </w:rPr>
          <w:t>Table of Contents</w:t>
        </w:r>
      </w:hyperlink>
    </w:p>
    <w:p w14:paraId="3973E2A6" w14:textId="77777777" w:rsidR="007B027D" w:rsidRDefault="008E0125">
      <w:pPr>
        <w:pStyle w:val="a3"/>
        <w:spacing w:beforeAutospacing="0" w:afterAutospacing="0"/>
        <w:rPr>
          <w:rFonts w:ascii="Calibri" w:hAnsi="Calibri" w:cs="Calibri"/>
          <w:sz w:val="18"/>
          <w:szCs w:val="18"/>
        </w:rPr>
      </w:pPr>
      <w:hyperlink r:id="rId193" w:anchor="ITEM_15_EXHIBITS_FINANCIAL_STATEMENT_SCH" w:history="1">
        <w:r>
          <w:rPr>
            <w:rStyle w:val="a5"/>
            <w:rFonts w:ascii="Calibri" w:hAnsi="Calibri" w:cs="Calibri"/>
            <w:sz w:val="18"/>
            <w:szCs w:val="18"/>
          </w:rPr>
          <w:t>Index to Financial Statements</w:t>
        </w:r>
      </w:hyperlink>
    </w:p>
    <w:p w14:paraId="3973E2A7"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A8"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A9"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AA"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A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qualitative assessment that it is more likely than not that the fair </w:t>
      </w:r>
      <w:r>
        <w:rPr>
          <w:rFonts w:ascii="Calibri" w:hAnsi="Calibri" w:cs="Calibri"/>
          <w:sz w:val="20"/>
          <w:szCs w:val="20"/>
        </w:rPr>
        <w:t xml:space="preserve">value of the reporting unit is less than its carrying value, a quantitative test is then performed. Otherwise, no further testing is required. For those reporting units tested using a quantitative approach, we compare the fair value of each reporting unit </w:t>
      </w:r>
      <w:r>
        <w:rPr>
          <w:rFonts w:ascii="Calibri" w:hAnsi="Calibri" w:cs="Calibri"/>
          <w:sz w:val="20"/>
          <w:szCs w:val="20"/>
        </w:rPr>
        <w:t>with the carrying amount of the reporting unit, including goodwill. To determine the fair value of each reporting unit we utilize estimates, judgments and assumptions including estimated future cash flows the reporting unit is expected to generate on a dis</w:t>
      </w:r>
      <w:r>
        <w:rPr>
          <w:rFonts w:ascii="Calibri" w:hAnsi="Calibri" w:cs="Calibri"/>
          <w:sz w:val="20"/>
          <w:szCs w:val="20"/>
        </w:rPr>
        <w:t>counted basis; the discount rate used as a part of the discounted cash flow analysis; future economic and market conditions; and market comparables of peer companies, among others. If, as per the quantitative test, the estimated fair value of the reporting</w:t>
      </w:r>
      <w:r>
        <w:rPr>
          <w:rFonts w:ascii="Calibri" w:hAnsi="Calibri" w:cs="Calibri"/>
          <w:sz w:val="20"/>
          <w:szCs w:val="20"/>
        </w:rPr>
        <w:t xml:space="preserve"> unit is less than the carrying amount of the reporting unit, impairment is recognized for the difference, limited to the amount of goodwill recognized for the reporting unit. Our most recent goodwill impairment analysis was performed on March 1, 2022 and </w:t>
      </w:r>
      <w:r>
        <w:rPr>
          <w:rFonts w:ascii="Calibri" w:hAnsi="Calibri" w:cs="Calibri"/>
          <w:sz w:val="20"/>
          <w:szCs w:val="20"/>
        </w:rPr>
        <w:t>did not result in a goodwill impairment charge. We did not recognize impairment charges in fiscal 2021 or 2020.</w:t>
      </w:r>
    </w:p>
    <w:p w14:paraId="3973E2A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Recoverability of finite lived intangible assets is measured by comparison of the carrying amount of the asset to the future undiscounted cash f</w:t>
      </w:r>
      <w:r>
        <w:rPr>
          <w:rFonts w:ascii="Calibri" w:hAnsi="Calibri" w:cs="Calibri"/>
          <w:sz w:val="20"/>
          <w:szCs w:val="20"/>
        </w:rPr>
        <w:t>lows that are expected to be generated by the lowest level associated asset grouping. Recoverability of indefinite lived intangible assets is measured by comparison of the carrying amount of the asset to its fair value. If the asset is considered to be imp</w:t>
      </w:r>
      <w:r>
        <w:rPr>
          <w:rFonts w:ascii="Calibri" w:hAnsi="Calibri" w:cs="Calibri"/>
          <w:sz w:val="20"/>
          <w:szCs w:val="20"/>
        </w:rPr>
        <w:t>aired, the amount of any impairment is measured as the difference between the carrying value and the fair value of the impaired asset. We did not recognize any intangible asset impairment charges in fiscal 2022, 2021 or 2020. At least annually, we assess t</w:t>
      </w:r>
      <w:r>
        <w:rPr>
          <w:rFonts w:ascii="Calibri" w:hAnsi="Calibri" w:cs="Calibri"/>
          <w:sz w:val="20"/>
          <w:szCs w:val="20"/>
        </w:rPr>
        <w:t>he useful lives of our finite lived intangible assets and may adjust the period over which these assets are amortized whenever events or changes in circumstances indicate that a shorter amortization period is more reflective of the period in which these as</w:t>
      </w:r>
      <w:r>
        <w:rPr>
          <w:rFonts w:ascii="Calibri" w:hAnsi="Calibri" w:cs="Calibri"/>
          <w:sz w:val="20"/>
          <w:szCs w:val="20"/>
        </w:rPr>
        <w:t xml:space="preserve">sets contribute to our cash flows. </w:t>
      </w:r>
    </w:p>
    <w:p w14:paraId="3973E2A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p w14:paraId="3973E2A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fiscal 2022, 2021 and 2020, we used derivative financial instruments to manage foreign currency and interest rate risks. We do not use derivative financial instruments for trading </w:t>
      </w:r>
      <w:r>
        <w:rPr>
          <w:rFonts w:ascii="Calibri" w:hAnsi="Calibri" w:cs="Calibri"/>
          <w:sz w:val="20"/>
          <w:szCs w:val="20"/>
        </w:rPr>
        <w:t>purposes. We account for these instruments in accordance with ASC 815,</w:t>
      </w:r>
      <w:r>
        <w:rPr>
          <w:rFonts w:ascii="Calibri" w:hAnsi="Calibri" w:cs="Calibri"/>
          <w:i/>
          <w:iCs/>
          <w:sz w:val="20"/>
          <w:szCs w:val="20"/>
        </w:rPr>
        <w:t xml:space="preserve"> Derivatives and Hedging </w:t>
      </w:r>
      <w:r>
        <w:rPr>
          <w:rFonts w:ascii="Calibri" w:hAnsi="Calibri" w:cs="Calibri"/>
          <w:sz w:val="20"/>
          <w:szCs w:val="20"/>
        </w:rPr>
        <w:t>(ASC 815), which requires that every derivative instrument be recorded on the balance sheet as either an asset or liability measured at its fair value as of each</w:t>
      </w:r>
      <w:r>
        <w:rPr>
          <w:rFonts w:ascii="Calibri" w:hAnsi="Calibri" w:cs="Calibri"/>
          <w:sz w:val="20"/>
          <w:szCs w:val="20"/>
        </w:rPr>
        <w:t xml:space="preserve"> reporting date. ASC 815 also requires that changes in our derivatives’ fair values be recognized in earnings, unless specific hedge accounting and documentation criteria are met (i.e., the instruments are accounted for as hedges). </w:t>
      </w:r>
    </w:p>
    <w:p w14:paraId="3973E2A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accounting for chan</w:t>
      </w:r>
      <w:r>
        <w:rPr>
          <w:rFonts w:ascii="Calibri" w:hAnsi="Calibri" w:cs="Calibri"/>
          <w:sz w:val="20"/>
          <w:szCs w:val="20"/>
        </w:rPr>
        <w:t>ges in the fair value of a derivative depends on the intended use of the derivative and the resulting designation. For a derivative instrument designated as a fair value hedge, loss or gain attributable to the risk being hedged is recognized in earnings in</w:t>
      </w:r>
      <w:r>
        <w:rPr>
          <w:rFonts w:ascii="Calibri" w:hAnsi="Calibri" w:cs="Calibri"/>
          <w:sz w:val="20"/>
          <w:szCs w:val="20"/>
        </w:rPr>
        <w:t xml:space="preserve"> the period of change with a corresponding earnings offset recorded to the item for which the risk is being hedged.</w:t>
      </w:r>
    </w:p>
    <w:p w14:paraId="3973E2B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Leases</w:t>
      </w:r>
    </w:p>
    <w:p w14:paraId="3973E2B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determine if an arrangement is a lease at its inception. Operating lease liabilities are recognized at the lease commencement date</w:t>
      </w:r>
      <w:r>
        <w:rPr>
          <w:rFonts w:ascii="Calibri" w:hAnsi="Calibri" w:cs="Calibri"/>
          <w:sz w:val="20"/>
          <w:szCs w:val="20"/>
        </w:rPr>
        <w:t xml:space="preserve"> based on the present value of lease payments over the lease term. We generally use our incremental borrowing rate based on the information available at the lease commencement date in determining the present value of future payments, because the implicit r</w:t>
      </w:r>
      <w:r>
        <w:rPr>
          <w:rFonts w:ascii="Calibri" w:hAnsi="Calibri" w:cs="Calibri"/>
          <w:sz w:val="20"/>
          <w:szCs w:val="20"/>
        </w:rPr>
        <w:t>ate of the lease is generally not known. ROU assets related to our operating lease liabilities are measured at lease inception based on the initial measurement of the lease liability, plus any prepaid lease payments and less any lease incentives. Our lease</w:t>
      </w:r>
      <w:r>
        <w:rPr>
          <w:rFonts w:ascii="Calibri" w:hAnsi="Calibri" w:cs="Calibri"/>
          <w:sz w:val="20"/>
          <w:szCs w:val="20"/>
        </w:rPr>
        <w:t xml:space="preserve"> terms that are used in determining our operating lease liabilities at lease inception may include options to extend or terminate the leases when it is reasonably certain that we will exercise such options. We amortize our ROU assets as operating lease exp</w:t>
      </w:r>
      <w:r>
        <w:rPr>
          <w:rFonts w:ascii="Calibri" w:hAnsi="Calibri" w:cs="Calibri"/>
          <w:sz w:val="20"/>
          <w:szCs w:val="20"/>
        </w:rPr>
        <w:t>ense generally on a straight-line basis over the lease term and classify both the lease amortization and imputed interest as operating expenses. We have lease agreements with lease and non-lease components, and in such cases, we generally account for the c</w:t>
      </w:r>
      <w:r>
        <w:rPr>
          <w:rFonts w:ascii="Calibri" w:hAnsi="Calibri" w:cs="Calibri"/>
          <w:sz w:val="20"/>
          <w:szCs w:val="20"/>
        </w:rPr>
        <w:t>omponents as a single lease component. We do not recognize lease assets and lease liabilities for any lease with an original lease term of less than one year.</w:t>
      </w:r>
    </w:p>
    <w:p w14:paraId="3973E2B2"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79</w:t>
      </w:r>
    </w:p>
    <w:p w14:paraId="3973E2B3" w14:textId="77777777" w:rsidR="007B027D" w:rsidRDefault="008E0125">
      <w:r>
        <w:rPr>
          <w:rFonts w:ascii="Calibri" w:hAnsi="Calibri" w:cs="Calibri"/>
          <w:sz w:val="20"/>
          <w:szCs w:val="20"/>
        </w:rPr>
        <w:pict w14:anchorId="3974008A">
          <v:rect id="_x0000_i1105" style="width:415.3pt;height:1.5pt" o:hralign="center" o:hrstd="t" o:hr="t" fillcolor="#a0a0a0" stroked="f"/>
        </w:pict>
      </w:r>
    </w:p>
    <w:p w14:paraId="3973E2B4" w14:textId="77777777" w:rsidR="007B027D" w:rsidRDefault="008E0125">
      <w:pPr>
        <w:pStyle w:val="a3"/>
        <w:spacing w:beforeAutospacing="0" w:after="120" w:afterAutospacing="0"/>
        <w:rPr>
          <w:rFonts w:ascii="Calibri" w:hAnsi="Calibri" w:cs="Calibri"/>
          <w:sz w:val="18"/>
          <w:szCs w:val="18"/>
        </w:rPr>
      </w:pPr>
      <w:hyperlink r:id="rId194" w:anchor="TABLE_OF_CONTENTS" w:history="1">
        <w:r>
          <w:rPr>
            <w:rStyle w:val="a5"/>
            <w:rFonts w:ascii="Calibri" w:hAnsi="Calibri" w:cs="Calibri"/>
            <w:sz w:val="18"/>
            <w:szCs w:val="18"/>
          </w:rPr>
          <w:t>Table of Contents</w:t>
        </w:r>
      </w:hyperlink>
    </w:p>
    <w:p w14:paraId="3973E2B5" w14:textId="77777777" w:rsidR="007B027D" w:rsidRDefault="008E0125">
      <w:pPr>
        <w:pStyle w:val="a3"/>
        <w:spacing w:beforeAutospacing="0" w:afterAutospacing="0"/>
        <w:rPr>
          <w:rFonts w:ascii="Calibri" w:hAnsi="Calibri" w:cs="Calibri"/>
          <w:sz w:val="18"/>
          <w:szCs w:val="18"/>
        </w:rPr>
      </w:pPr>
      <w:hyperlink r:id="rId195" w:anchor="ITEM_15_EXHIBITS_FINANCIAL_STATEMENT_SCH" w:history="1">
        <w:r>
          <w:rPr>
            <w:rStyle w:val="a5"/>
            <w:rFonts w:ascii="Calibri" w:hAnsi="Calibri" w:cs="Calibri"/>
            <w:sz w:val="18"/>
            <w:szCs w:val="18"/>
          </w:rPr>
          <w:t>Index to Financial Statements</w:t>
        </w:r>
      </w:hyperlink>
    </w:p>
    <w:p w14:paraId="3973E2B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B7"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B8"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B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B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ROU assets related to our operating leases are included in other </w:t>
      </w:r>
      <w:r>
        <w:rPr>
          <w:rFonts w:ascii="Calibri" w:hAnsi="Calibri" w:cs="Calibri"/>
          <w:sz w:val="20"/>
          <w:szCs w:val="20"/>
        </w:rPr>
        <w:t>non-current assets, short-term operating lease liabilities are included in other current liabilities, and long-term operating lease liabilities are included in other non-current liabilities in our consolidated balance sheets. Cash flow movements related to</w:t>
      </w:r>
      <w:r>
        <w:rPr>
          <w:rFonts w:ascii="Calibri" w:hAnsi="Calibri" w:cs="Calibri"/>
          <w:sz w:val="20"/>
          <w:szCs w:val="20"/>
        </w:rPr>
        <w:t xml:space="preserve"> our lease activities are included in prepaid expenses and other assets and accounts payable and other liabilities as presented in net cash provided by operating activities in our consolidated statements of cash flows for the years ended May 31, 2022 and 2</w:t>
      </w:r>
      <w:r>
        <w:rPr>
          <w:rFonts w:ascii="Calibri" w:hAnsi="Calibri" w:cs="Calibri"/>
          <w:sz w:val="20"/>
          <w:szCs w:val="20"/>
        </w:rPr>
        <w:t>021. Note 10 below provides additional information regarding our leases.</w:t>
      </w:r>
    </w:p>
    <w:p w14:paraId="3973E2B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Legal and Other Contingencies</w:t>
      </w:r>
    </w:p>
    <w:p w14:paraId="3973E2B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are currently involved in various claims and legal proceedings. Quarterly, we review the status of each significant matter and assess our potential fi</w:t>
      </w:r>
      <w:r>
        <w:rPr>
          <w:rFonts w:ascii="Calibri" w:hAnsi="Calibri" w:cs="Calibri"/>
          <w:sz w:val="20"/>
          <w:szCs w:val="20"/>
        </w:rPr>
        <w:t>nancial exposure. Descriptions of our accounting policies associated with contingencies assumed as a part of a business combination are provided under “Business Combinations” above. For legal and other contingencies that are not a part of a business combin</w:t>
      </w:r>
      <w:r>
        <w:rPr>
          <w:rFonts w:ascii="Calibri" w:hAnsi="Calibri" w:cs="Calibri"/>
          <w:sz w:val="20"/>
          <w:szCs w:val="20"/>
        </w:rPr>
        <w:t>ation or related to income taxes, we accrue a liability for an estimated loss if the potential loss from any claim or legal proceeding is considered probable, and the amount can be reasonably estimated. Note 16 below provides additional information regardi</w:t>
      </w:r>
      <w:r>
        <w:rPr>
          <w:rFonts w:ascii="Calibri" w:hAnsi="Calibri" w:cs="Calibri"/>
          <w:sz w:val="20"/>
          <w:szCs w:val="20"/>
        </w:rPr>
        <w:t>ng certain of our legal contingencies.</w:t>
      </w:r>
    </w:p>
    <w:p w14:paraId="3973E2B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Foreign Currency</w:t>
      </w:r>
    </w:p>
    <w:p w14:paraId="3973E2B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transact business in various foreign currencies. In general, the functional currency of a foreign operation is the local country’s currency. Consequently, revenues and expenses of operations outsid</w:t>
      </w:r>
      <w:r>
        <w:rPr>
          <w:rFonts w:ascii="Calibri" w:hAnsi="Calibri" w:cs="Calibri"/>
          <w:sz w:val="20"/>
          <w:szCs w:val="20"/>
        </w:rPr>
        <w:t xml:space="preserve">e the U.S. are translated into U.S. Dollars using weighted-average exchange rates while assets and liabilities of operations outside the U.S. are translated into U.S. Dollars using exchange rates at the balance sheet dates. The effects of foreign currency </w:t>
      </w:r>
      <w:r>
        <w:rPr>
          <w:rFonts w:ascii="Calibri" w:hAnsi="Calibri" w:cs="Calibri"/>
          <w:sz w:val="20"/>
          <w:szCs w:val="20"/>
        </w:rPr>
        <w:t>translation adjustments are substantially included in stockholders’ equity as a component of AOCL in the accompanying consolidated balance sheets and related periodic movements are summarized as a line item in our consolidated statements of comprehensive i</w:t>
      </w:r>
      <w:r>
        <w:rPr>
          <w:rFonts w:ascii="Calibri" w:hAnsi="Calibri" w:cs="Calibri"/>
          <w:sz w:val="20"/>
          <w:szCs w:val="20"/>
        </w:rPr>
        <w:t>ncome. Net foreign exchange transaction losses included in non-operating expenses or income, net in the accompanying consolidated statements of operations were $199 million, $112 million and $185 million in fiscal 2022, 2021 and 2020, respectively.</w:t>
      </w:r>
    </w:p>
    <w:p w14:paraId="3973E2B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Stock-B</w:t>
      </w:r>
      <w:r>
        <w:rPr>
          <w:rFonts w:ascii="Calibri" w:hAnsi="Calibri" w:cs="Calibri"/>
          <w:b/>
          <w:bCs/>
          <w:sz w:val="20"/>
          <w:szCs w:val="20"/>
        </w:rPr>
        <w:t xml:space="preserve">ased Compensation </w:t>
      </w:r>
    </w:p>
    <w:p w14:paraId="3973E2C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account for share-based payments to employees, including grants of service-based restricted stock unit awards, service-based employee stock options, performance-based stock options (PSOs), and purchases under employee stock purchase p</w:t>
      </w:r>
      <w:r>
        <w:rPr>
          <w:rFonts w:ascii="Calibri" w:hAnsi="Calibri" w:cs="Calibri"/>
          <w:sz w:val="20"/>
          <w:szCs w:val="20"/>
        </w:rPr>
        <w:t xml:space="preserve">lans in accordance with ASC 718, </w:t>
      </w:r>
      <w:r>
        <w:rPr>
          <w:rFonts w:ascii="Calibri" w:hAnsi="Calibri" w:cs="Calibri"/>
          <w:i/>
          <w:iCs/>
          <w:sz w:val="20"/>
          <w:szCs w:val="20"/>
        </w:rPr>
        <w:t>Compensation</w:t>
      </w:r>
      <w:r>
        <w:rPr>
          <w:rFonts w:ascii="Calibri" w:hAnsi="Calibri" w:cs="Calibri"/>
          <w:sz w:val="20"/>
          <w:szCs w:val="20"/>
        </w:rPr>
        <w:t>—</w:t>
      </w:r>
      <w:r>
        <w:rPr>
          <w:rFonts w:ascii="Calibri" w:hAnsi="Calibri" w:cs="Calibri"/>
          <w:i/>
          <w:iCs/>
          <w:sz w:val="20"/>
          <w:szCs w:val="20"/>
        </w:rPr>
        <w:t>Stock Compensation,</w:t>
      </w:r>
      <w:r>
        <w:rPr>
          <w:rFonts w:ascii="Calibri" w:hAnsi="Calibri" w:cs="Calibri"/>
          <w:sz w:val="20"/>
          <w:szCs w:val="20"/>
        </w:rPr>
        <w:t xml:space="preserve"> which requires that share-based payments (to the extent they are compensatory) be recognized in our consolidated statements of operations based on their fair values. We account for forfeitures of stock-based awards as they occur. </w:t>
      </w:r>
    </w:p>
    <w:p w14:paraId="3973E2C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our service-based st</w:t>
      </w:r>
      <w:r>
        <w:rPr>
          <w:rFonts w:ascii="Calibri" w:hAnsi="Calibri" w:cs="Calibri"/>
          <w:sz w:val="20"/>
          <w:szCs w:val="20"/>
        </w:rPr>
        <w:t>ock awards, we recognize stock-based compensation expense on a straight-line basis over the service period of the award, which is generally four years.</w:t>
      </w:r>
    </w:p>
    <w:p w14:paraId="3973E2C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For our PSOs, we recognize stock-based compensation expense on a straight-line basis related to awards t</w:t>
      </w:r>
      <w:r>
        <w:rPr>
          <w:rFonts w:ascii="Calibri" w:hAnsi="Calibri" w:cs="Calibri"/>
          <w:sz w:val="20"/>
          <w:szCs w:val="20"/>
        </w:rPr>
        <w:t>hat are probable of achievement over the longer of the (a) estimated implicit service period for performance-metric achievement, or (b) derived service period for market-based metric achievement. During our interim and annual reporting periods, stock-based</w:t>
      </w:r>
      <w:r>
        <w:rPr>
          <w:rFonts w:ascii="Calibri" w:hAnsi="Calibri" w:cs="Calibri"/>
          <w:sz w:val="20"/>
          <w:szCs w:val="20"/>
        </w:rPr>
        <w:t xml:space="preserve"> compensation expense is recorded based on expected attainment of performance targets. Changes in our estimates of the expected attainment of performance targets that result in a change in the number of shares that are expected to vest, or changes in our e</w:t>
      </w:r>
      <w:r>
        <w:rPr>
          <w:rFonts w:ascii="Calibri" w:hAnsi="Calibri" w:cs="Calibri"/>
          <w:sz w:val="20"/>
          <w:szCs w:val="20"/>
        </w:rPr>
        <w:t xml:space="preserve">stimates of implicit service periods, may cause the amount of stock-based compensation expense that we record for each interim reporting period to vary. Any changes in estimates that impact our expectation of the number of shares that are expected to vest </w:t>
      </w:r>
      <w:r>
        <w:rPr>
          <w:rFonts w:ascii="Calibri" w:hAnsi="Calibri" w:cs="Calibri"/>
          <w:sz w:val="20"/>
          <w:szCs w:val="20"/>
        </w:rPr>
        <w:t>are reflected in the amount of stock-based compensation expense that we recognize for each PSO tranche on a cumulative catch up basis during each interim reporting period in which such estimates are altered. Changes in estimates of the implicit service per</w:t>
      </w:r>
      <w:r>
        <w:rPr>
          <w:rFonts w:ascii="Calibri" w:hAnsi="Calibri" w:cs="Calibri"/>
          <w:sz w:val="20"/>
          <w:szCs w:val="20"/>
        </w:rPr>
        <w:t xml:space="preserve">iods are recognized prospectively. </w:t>
      </w:r>
    </w:p>
    <w:p w14:paraId="3973E2C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80</w:t>
      </w:r>
    </w:p>
    <w:p w14:paraId="3973E2C4" w14:textId="77777777" w:rsidR="007B027D" w:rsidRDefault="008E0125">
      <w:r>
        <w:rPr>
          <w:rFonts w:ascii="Calibri" w:hAnsi="Calibri" w:cs="Calibri"/>
          <w:sz w:val="20"/>
          <w:szCs w:val="20"/>
        </w:rPr>
        <w:pict w14:anchorId="3974008B">
          <v:rect id="_x0000_i1106" style="width:415.3pt;height:1.5pt" o:hralign="center" o:hrstd="t" o:hr="t" fillcolor="#a0a0a0" stroked="f"/>
        </w:pict>
      </w:r>
    </w:p>
    <w:p w14:paraId="3973E2C5" w14:textId="77777777" w:rsidR="007B027D" w:rsidRDefault="008E0125">
      <w:pPr>
        <w:pStyle w:val="a3"/>
        <w:spacing w:beforeAutospacing="0" w:after="120" w:afterAutospacing="0"/>
        <w:rPr>
          <w:rFonts w:ascii="Calibri" w:hAnsi="Calibri" w:cs="Calibri"/>
          <w:sz w:val="18"/>
          <w:szCs w:val="18"/>
        </w:rPr>
      </w:pPr>
      <w:hyperlink r:id="rId196" w:anchor="TABLE_OF_CONTENTS" w:history="1">
        <w:r>
          <w:rPr>
            <w:rStyle w:val="a5"/>
            <w:rFonts w:ascii="Calibri" w:hAnsi="Calibri" w:cs="Calibri"/>
            <w:sz w:val="18"/>
            <w:szCs w:val="18"/>
          </w:rPr>
          <w:t>Table of Contents</w:t>
        </w:r>
      </w:hyperlink>
    </w:p>
    <w:p w14:paraId="3973E2C6" w14:textId="77777777" w:rsidR="007B027D" w:rsidRDefault="008E0125">
      <w:pPr>
        <w:pStyle w:val="a3"/>
        <w:spacing w:beforeAutospacing="0" w:afterAutospacing="0"/>
        <w:rPr>
          <w:rFonts w:ascii="Calibri" w:hAnsi="Calibri" w:cs="Calibri"/>
          <w:sz w:val="18"/>
          <w:szCs w:val="18"/>
        </w:rPr>
      </w:pPr>
      <w:hyperlink r:id="rId197" w:anchor="ITEM_15_EXHIBITS_FINANCIAL_STATEMENT_SCH" w:history="1">
        <w:r>
          <w:rPr>
            <w:rStyle w:val="a5"/>
            <w:rFonts w:ascii="Calibri" w:hAnsi="Calibri" w:cs="Calibri"/>
            <w:sz w:val="18"/>
            <w:szCs w:val="18"/>
          </w:rPr>
          <w:t>Index to Financial Statements</w:t>
        </w:r>
      </w:hyperlink>
    </w:p>
    <w:p w14:paraId="3973E2C7"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2C8"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2C9"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2CA"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2C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record deferred tax assets for stock-based compensation awards that result in deductions on certain of our income tax returns based on the amount of stock-based compensation recognized in each reporting period and the fair values attributable to the ves</w:t>
      </w:r>
      <w:r>
        <w:rPr>
          <w:rFonts w:ascii="Calibri" w:hAnsi="Calibri" w:cs="Calibri"/>
          <w:sz w:val="20"/>
          <w:szCs w:val="20"/>
        </w:rPr>
        <w:t>ted portion of stock awards assumed in connection with a business combination at the statutory tax rates in the jurisdictions that we are able to recognize such tax deductions. The impacts of the actual tax deductions for stock-based awards that are realiz</w:t>
      </w:r>
      <w:r>
        <w:rPr>
          <w:rFonts w:ascii="Calibri" w:hAnsi="Calibri" w:cs="Calibri"/>
          <w:sz w:val="20"/>
          <w:szCs w:val="20"/>
        </w:rPr>
        <w:t>ed in these jurisdictions are generally recognized in the reporting period that a restricted stock-based award vests or a stock option is exercised with any shortfall/windfall relative to the deferred tax asset established recorded as a discrete detriment/</w:t>
      </w:r>
      <w:r>
        <w:rPr>
          <w:rFonts w:ascii="Calibri" w:hAnsi="Calibri" w:cs="Calibri"/>
          <w:sz w:val="20"/>
          <w:szCs w:val="20"/>
        </w:rPr>
        <w:t xml:space="preserve">benefit to our provision for income taxes in such period. Note 12 below provides additional information regarding our stock-based compensation plans and related expenses. </w:t>
      </w:r>
    </w:p>
    <w:p w14:paraId="3973E2C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Advertising </w:t>
      </w:r>
    </w:p>
    <w:p w14:paraId="3973E2C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Substantially all advertising costs are expensed as incurred. Advertisi</w:t>
      </w:r>
      <w:r>
        <w:rPr>
          <w:rFonts w:ascii="Calibri" w:hAnsi="Calibri" w:cs="Calibri"/>
          <w:sz w:val="20"/>
          <w:szCs w:val="20"/>
        </w:rPr>
        <w:t>ng expenses, which were included within sales and marketing expenses, were $273 million, $202 million and $178 million in fiscal 2022, 2021 and 2020, respectively.</w:t>
      </w:r>
    </w:p>
    <w:p w14:paraId="3973E2C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Research and Development Costs and Software Development Costs</w:t>
      </w:r>
    </w:p>
    <w:p w14:paraId="3973E2C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All research and development c</w:t>
      </w:r>
      <w:r>
        <w:rPr>
          <w:rFonts w:ascii="Calibri" w:hAnsi="Calibri" w:cs="Calibri"/>
          <w:sz w:val="20"/>
          <w:szCs w:val="20"/>
        </w:rPr>
        <w:t xml:space="preserve">osts are expensed as incurred in accordance with ASC 730, </w:t>
      </w:r>
      <w:r>
        <w:rPr>
          <w:rFonts w:ascii="Calibri" w:hAnsi="Calibri" w:cs="Calibri"/>
          <w:i/>
          <w:iCs/>
          <w:sz w:val="20"/>
          <w:szCs w:val="20"/>
        </w:rPr>
        <w:t>Research and Development</w:t>
      </w:r>
      <w:r>
        <w:rPr>
          <w:rFonts w:ascii="Calibri" w:hAnsi="Calibri" w:cs="Calibri"/>
          <w:sz w:val="20"/>
          <w:szCs w:val="20"/>
        </w:rPr>
        <w:t xml:space="preserve">. Software development costs required to be capitalized under ASC 985-20, </w:t>
      </w:r>
      <w:r>
        <w:rPr>
          <w:rFonts w:ascii="Calibri" w:hAnsi="Calibri" w:cs="Calibri"/>
          <w:i/>
          <w:iCs/>
          <w:sz w:val="20"/>
          <w:szCs w:val="20"/>
        </w:rPr>
        <w:t>Costs of Software to be Sold, Leased or Marketed</w:t>
      </w:r>
      <w:r>
        <w:rPr>
          <w:rFonts w:ascii="Calibri" w:hAnsi="Calibri" w:cs="Calibri"/>
          <w:sz w:val="20"/>
          <w:szCs w:val="20"/>
        </w:rPr>
        <w:t xml:space="preserve">, and under ASC 350-40, </w:t>
      </w:r>
      <w:r>
        <w:rPr>
          <w:rFonts w:ascii="Calibri" w:hAnsi="Calibri" w:cs="Calibri"/>
          <w:i/>
          <w:iCs/>
          <w:sz w:val="20"/>
          <w:szCs w:val="20"/>
        </w:rPr>
        <w:t>Internal-Use Software</w:t>
      </w:r>
      <w:r>
        <w:rPr>
          <w:rFonts w:ascii="Calibri" w:hAnsi="Calibri" w:cs="Calibri"/>
          <w:sz w:val="20"/>
          <w:szCs w:val="20"/>
        </w:rPr>
        <w:t>,</w:t>
      </w:r>
      <w:r>
        <w:rPr>
          <w:rFonts w:ascii="Calibri" w:hAnsi="Calibri" w:cs="Calibri"/>
          <w:i/>
          <w:iCs/>
          <w:sz w:val="20"/>
          <w:szCs w:val="20"/>
        </w:rPr>
        <w:t xml:space="preserve"> </w:t>
      </w:r>
      <w:r>
        <w:rPr>
          <w:rFonts w:ascii="Calibri" w:hAnsi="Calibri" w:cs="Calibri"/>
          <w:sz w:val="20"/>
          <w:szCs w:val="20"/>
        </w:rPr>
        <w:t xml:space="preserve">were </w:t>
      </w:r>
      <w:r>
        <w:rPr>
          <w:rFonts w:ascii="Calibri" w:hAnsi="Calibri" w:cs="Calibri"/>
          <w:sz w:val="20"/>
          <w:szCs w:val="20"/>
        </w:rPr>
        <w:t>not material to our consolidated financial statements in fiscal 2022, 2021 and 2020.</w:t>
      </w:r>
    </w:p>
    <w:p w14:paraId="3973E2D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Acquisition Related and Other Expenses</w:t>
      </w:r>
    </w:p>
    <w:p w14:paraId="3973E2D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primarily consist of personnel related costs for transitional and certain other employees, ce</w:t>
      </w:r>
      <w:r>
        <w:rPr>
          <w:rFonts w:ascii="Calibri" w:hAnsi="Calibri" w:cs="Calibri"/>
          <w:sz w:val="20"/>
          <w:szCs w:val="20"/>
        </w:rPr>
        <w:t>rtain business combination adjustments, including adjustments after the measurement period has ended, and certain other operating items, net. For fiscal 2022, acquisition related and other expenses included certain litigation related charges that we genera</w:t>
      </w:r>
      <w:r>
        <w:rPr>
          <w:rFonts w:ascii="Calibri" w:hAnsi="Calibri" w:cs="Calibri"/>
          <w:sz w:val="20"/>
          <w:szCs w:val="20"/>
        </w:rPr>
        <w:t>lly do not expect to recur as further described in Note 16 below.</w:t>
      </w:r>
    </w:p>
    <w:p w14:paraId="3973E2D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808"/>
        <w:gridCol w:w="94"/>
        <w:gridCol w:w="117"/>
        <w:gridCol w:w="884"/>
        <w:gridCol w:w="73"/>
        <w:gridCol w:w="95"/>
        <w:gridCol w:w="117"/>
        <w:gridCol w:w="885"/>
        <w:gridCol w:w="73"/>
        <w:gridCol w:w="95"/>
        <w:gridCol w:w="117"/>
        <w:gridCol w:w="887"/>
        <w:gridCol w:w="76"/>
      </w:tblGrid>
      <w:tr w:rsidR="007B027D" w14:paraId="3973E2D7" w14:textId="77777777">
        <w:tc>
          <w:tcPr>
            <w:tcW w:w="2895" w:type="pct"/>
            <w:shd w:val="clear" w:color="auto" w:fill="FFFFFF"/>
            <w:tcMar>
              <w:top w:w="15" w:type="dxa"/>
              <w:right w:w="15" w:type="dxa"/>
            </w:tcMar>
            <w:vAlign w:val="bottom"/>
          </w:tcPr>
          <w:p w14:paraId="3973E2D3"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3" w:type="pct"/>
            <w:shd w:val="clear" w:color="auto" w:fill="FFFFFF"/>
            <w:tcMar>
              <w:top w:w="15" w:type="dxa"/>
              <w:right w:w="15" w:type="dxa"/>
            </w:tcMar>
            <w:vAlign w:val="bottom"/>
          </w:tcPr>
          <w:p w14:paraId="3973E2D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91" w:type="pct"/>
            <w:gridSpan w:val="10"/>
            <w:tcBorders>
              <w:bottom w:val="single" w:sz="6" w:space="0" w:color="000000"/>
            </w:tcBorders>
            <w:shd w:val="clear" w:color="auto" w:fill="FFFFFF"/>
            <w:tcMar>
              <w:top w:w="15" w:type="dxa"/>
              <w:right w:w="15" w:type="dxa"/>
            </w:tcMar>
            <w:vAlign w:val="bottom"/>
          </w:tcPr>
          <w:p w14:paraId="3973E2D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E2D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2E2" w14:textId="77777777">
        <w:tc>
          <w:tcPr>
            <w:tcW w:w="2895" w:type="pct"/>
            <w:tcBorders>
              <w:bottom w:val="single" w:sz="6" w:space="0" w:color="000000"/>
            </w:tcBorders>
            <w:shd w:val="clear" w:color="auto" w:fill="FFFFFF"/>
            <w:tcMar>
              <w:top w:w="15" w:type="dxa"/>
              <w:right w:w="15" w:type="dxa"/>
            </w:tcMar>
            <w:vAlign w:val="bottom"/>
          </w:tcPr>
          <w:p w14:paraId="3973E2D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3" w:type="pct"/>
            <w:shd w:val="clear" w:color="auto" w:fill="FFFFFF"/>
            <w:tcMar>
              <w:top w:w="15" w:type="dxa"/>
              <w:right w:w="15" w:type="dxa"/>
            </w:tcMar>
            <w:vAlign w:val="bottom"/>
          </w:tcPr>
          <w:p w14:paraId="3973E2D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2D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2D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3973E2D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2D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2D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3973E2D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2E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E2E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2F0" w14:textId="77777777">
        <w:tc>
          <w:tcPr>
            <w:tcW w:w="2895" w:type="pct"/>
            <w:tcBorders>
              <w:top w:val="single" w:sz="6" w:space="0" w:color="000000"/>
            </w:tcBorders>
            <w:shd w:val="clear" w:color="auto" w:fill="CFF0FC"/>
            <w:tcMar>
              <w:top w:w="15" w:type="dxa"/>
              <w:right w:w="15" w:type="dxa"/>
            </w:tcMar>
          </w:tcPr>
          <w:p w14:paraId="3973E2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63" w:type="pct"/>
            <w:shd w:val="clear" w:color="auto" w:fill="CFF0FC"/>
            <w:tcMar>
              <w:top w:w="15" w:type="dxa"/>
              <w:right w:w="15" w:type="dxa"/>
            </w:tcMar>
            <w:vAlign w:val="bottom"/>
          </w:tcPr>
          <w:p w14:paraId="3973E2E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E2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2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3973E2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2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2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2E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3973E2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2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2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2E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3973E2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2FE" w14:textId="77777777">
        <w:tc>
          <w:tcPr>
            <w:tcW w:w="2895" w:type="pct"/>
            <w:shd w:val="clear" w:color="auto" w:fill="FFFFFF"/>
            <w:tcMar>
              <w:top w:w="15" w:type="dxa"/>
              <w:right w:w="15" w:type="dxa"/>
            </w:tcMar>
          </w:tcPr>
          <w:p w14:paraId="3973E2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3" w:type="pct"/>
            <w:shd w:val="clear" w:color="auto" w:fill="FFFFFF"/>
            <w:tcMar>
              <w:top w:w="15" w:type="dxa"/>
              <w:right w:w="15" w:type="dxa"/>
            </w:tcMar>
            <w:vAlign w:val="bottom"/>
          </w:tcPr>
          <w:p w14:paraId="3973E2F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2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2F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FFFFFF"/>
            <w:noWrap/>
            <w:tcMar>
              <w:top w:w="15" w:type="dxa"/>
              <w:right w:w="15" w:type="dxa"/>
            </w:tcMar>
            <w:vAlign w:val="bottom"/>
          </w:tcPr>
          <w:p w14:paraId="3973E2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2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2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2F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3973E2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2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2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2F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3973E2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30C" w14:textId="77777777">
        <w:tc>
          <w:tcPr>
            <w:tcW w:w="2895" w:type="pct"/>
            <w:shd w:val="clear" w:color="auto" w:fill="CFF0FC"/>
            <w:tcMar>
              <w:top w:w="15" w:type="dxa"/>
              <w:right w:w="15" w:type="dxa"/>
            </w:tcMar>
          </w:tcPr>
          <w:p w14:paraId="3973E2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63" w:type="pct"/>
            <w:shd w:val="clear" w:color="auto" w:fill="CFF0FC"/>
            <w:tcMar>
              <w:top w:w="15" w:type="dxa"/>
              <w:right w:w="15" w:type="dxa"/>
            </w:tcMar>
            <w:vAlign w:val="bottom"/>
          </w:tcPr>
          <w:p w14:paraId="3973E30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E3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0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4,694</w:t>
            </w:r>
          </w:p>
        </w:tc>
        <w:tc>
          <w:tcPr>
            <w:tcW w:w="50" w:type="pct"/>
            <w:shd w:val="clear" w:color="auto" w:fill="CFF0FC"/>
            <w:noWrap/>
            <w:tcMar>
              <w:top w:w="15" w:type="dxa"/>
              <w:right w:w="15" w:type="dxa"/>
            </w:tcMar>
            <w:vAlign w:val="bottom"/>
          </w:tcPr>
          <w:p w14:paraId="3973E3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3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0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CFF0FC"/>
            <w:noWrap/>
            <w:tcMar>
              <w:top w:w="15" w:type="dxa"/>
              <w:right w:w="15" w:type="dxa"/>
            </w:tcMar>
            <w:vAlign w:val="bottom"/>
          </w:tcPr>
          <w:p w14:paraId="3973E3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3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0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3973E3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1A" w14:textId="77777777">
        <w:tc>
          <w:tcPr>
            <w:tcW w:w="2895" w:type="pct"/>
            <w:shd w:val="clear" w:color="auto" w:fill="FFFFFF"/>
            <w:tcMar>
              <w:top w:w="15" w:type="dxa"/>
              <w:right w:w="15" w:type="dxa"/>
            </w:tcMar>
          </w:tcPr>
          <w:p w14:paraId="3973E30D"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3" w:type="pct"/>
            <w:shd w:val="clear" w:color="auto" w:fill="FFFFFF"/>
            <w:tcMar>
              <w:top w:w="15" w:type="dxa"/>
              <w:right w:w="15" w:type="dxa"/>
            </w:tcMar>
            <w:vAlign w:val="bottom"/>
          </w:tcPr>
          <w:p w14:paraId="3973E30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1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4,713</w:t>
            </w:r>
          </w:p>
        </w:tc>
        <w:tc>
          <w:tcPr>
            <w:tcW w:w="50" w:type="pct"/>
            <w:shd w:val="clear" w:color="auto" w:fill="FFFFFF"/>
            <w:noWrap/>
            <w:tcMar>
              <w:top w:w="15" w:type="dxa"/>
              <w:right w:w="15" w:type="dxa"/>
            </w:tcMar>
            <w:vAlign w:val="bottom"/>
          </w:tcPr>
          <w:p w14:paraId="3973E3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3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w:t>
            </w:r>
          </w:p>
        </w:tc>
        <w:tc>
          <w:tcPr>
            <w:tcW w:w="50" w:type="pct"/>
            <w:shd w:val="clear" w:color="auto" w:fill="FFFFFF"/>
            <w:noWrap/>
            <w:tcMar>
              <w:top w:w="15" w:type="dxa"/>
              <w:right w:w="15" w:type="dxa"/>
            </w:tcMar>
            <w:vAlign w:val="bottom"/>
          </w:tcPr>
          <w:p w14:paraId="3973E3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3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1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FFFFFF"/>
            <w:noWrap/>
            <w:tcMar>
              <w:top w:w="15" w:type="dxa"/>
              <w:right w:w="15" w:type="dxa"/>
            </w:tcMar>
            <w:vAlign w:val="bottom"/>
          </w:tcPr>
          <w:p w14:paraId="3973E31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31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Non-Operating (Expenses) Income, net</w:t>
      </w:r>
    </w:p>
    <w:p w14:paraId="3973E31C"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 xml:space="preserve">Non-operating (expenses) income, net consists primarily of interest </w:t>
      </w:r>
      <w:r>
        <w:rPr>
          <w:rFonts w:ascii="Calibri" w:hAnsi="Calibri" w:cs="Calibri"/>
          <w:color w:val="000000"/>
          <w:sz w:val="20"/>
          <w:szCs w:val="20"/>
          <w:shd w:val="clear" w:color="auto" w:fill="FFFFFF"/>
        </w:rPr>
        <w:t>income, net foreign currency exchange losses, the noncontrolling interests in the net profits of our majority-owned subsidiaries (primarily Oracle Financial Services Software Limited and Oracle Corporation Japan), net gains and losses related to equity inv</w:t>
      </w:r>
      <w:r>
        <w:rPr>
          <w:rFonts w:ascii="Calibri" w:hAnsi="Calibri" w:cs="Calibri"/>
          <w:color w:val="000000"/>
          <w:sz w:val="20"/>
          <w:szCs w:val="20"/>
          <w:shd w:val="clear" w:color="auto" w:fill="FFFFFF"/>
        </w:rPr>
        <w:t>estments including losses attributable to equity method investments and net other income and expenses, including net unrealized gains and losses from our investment portfolio related to our deferred compensation plan, and non-service net periodic pension i</w:t>
      </w:r>
      <w:r>
        <w:rPr>
          <w:rFonts w:ascii="Calibri" w:hAnsi="Calibri" w:cs="Calibri"/>
          <w:color w:val="000000"/>
          <w:sz w:val="20"/>
          <w:szCs w:val="20"/>
          <w:shd w:val="clear" w:color="auto" w:fill="FFFFFF"/>
        </w:rPr>
        <w:t>ncome and losses.</w:t>
      </w:r>
    </w:p>
    <w:p w14:paraId="3973E31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81</w:t>
      </w:r>
    </w:p>
    <w:p w14:paraId="3973E31E" w14:textId="77777777" w:rsidR="007B027D" w:rsidRDefault="008E0125">
      <w:r>
        <w:rPr>
          <w:rFonts w:ascii="Calibri" w:hAnsi="Calibri" w:cs="Calibri"/>
          <w:sz w:val="20"/>
          <w:szCs w:val="20"/>
        </w:rPr>
        <w:pict w14:anchorId="3974008C">
          <v:rect id="_x0000_i1107" style="width:415.3pt;height:1.5pt" o:hralign="center" o:hrstd="t" o:hr="t" fillcolor="#a0a0a0" stroked="f"/>
        </w:pict>
      </w:r>
    </w:p>
    <w:p w14:paraId="3973E31F" w14:textId="77777777" w:rsidR="007B027D" w:rsidRDefault="008E0125">
      <w:pPr>
        <w:pStyle w:val="a3"/>
        <w:spacing w:beforeAutospacing="0" w:after="120" w:afterAutospacing="0"/>
        <w:rPr>
          <w:rFonts w:ascii="Calibri" w:hAnsi="Calibri" w:cs="Calibri"/>
          <w:sz w:val="18"/>
          <w:szCs w:val="18"/>
        </w:rPr>
      </w:pPr>
      <w:hyperlink r:id="rId198" w:anchor="TABLE_OF_CONTENTS" w:history="1">
        <w:r>
          <w:rPr>
            <w:rStyle w:val="a5"/>
            <w:rFonts w:ascii="Calibri" w:hAnsi="Calibri" w:cs="Calibri"/>
            <w:sz w:val="18"/>
            <w:szCs w:val="18"/>
          </w:rPr>
          <w:t>Table of Contents</w:t>
        </w:r>
      </w:hyperlink>
    </w:p>
    <w:p w14:paraId="3973E320" w14:textId="77777777" w:rsidR="007B027D" w:rsidRDefault="008E0125">
      <w:pPr>
        <w:pStyle w:val="a3"/>
        <w:spacing w:beforeAutospacing="0" w:afterAutospacing="0"/>
        <w:rPr>
          <w:rFonts w:ascii="Calibri" w:hAnsi="Calibri" w:cs="Calibri"/>
          <w:sz w:val="18"/>
          <w:szCs w:val="18"/>
        </w:rPr>
      </w:pPr>
      <w:hyperlink r:id="rId199" w:anchor="ITEM_15_EXHIBITS_FINANCIAL_STATEMENT_SCH" w:history="1">
        <w:r>
          <w:rPr>
            <w:rStyle w:val="a5"/>
            <w:rFonts w:ascii="Calibri" w:hAnsi="Calibri" w:cs="Calibri"/>
            <w:sz w:val="18"/>
            <w:szCs w:val="18"/>
          </w:rPr>
          <w:t>Index to Financial Statements</w:t>
        </w:r>
      </w:hyperlink>
    </w:p>
    <w:p w14:paraId="3973E32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32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323"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32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325" w14:textId="77777777" w:rsidR="007B027D" w:rsidRDefault="008E0125">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808"/>
        <w:gridCol w:w="94"/>
        <w:gridCol w:w="117"/>
        <w:gridCol w:w="884"/>
        <w:gridCol w:w="76"/>
        <w:gridCol w:w="92"/>
        <w:gridCol w:w="117"/>
        <w:gridCol w:w="885"/>
        <w:gridCol w:w="76"/>
        <w:gridCol w:w="92"/>
        <w:gridCol w:w="117"/>
        <w:gridCol w:w="887"/>
        <w:gridCol w:w="76"/>
      </w:tblGrid>
      <w:tr w:rsidR="007B027D" w14:paraId="3973E32A" w14:textId="77777777">
        <w:tc>
          <w:tcPr>
            <w:tcW w:w="2895" w:type="pct"/>
            <w:shd w:val="clear" w:color="auto" w:fill="FFFFFF"/>
            <w:tcMar>
              <w:top w:w="15" w:type="dxa"/>
              <w:right w:w="15" w:type="dxa"/>
            </w:tcMar>
            <w:vAlign w:val="bottom"/>
          </w:tcPr>
          <w:p w14:paraId="3973E326"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3" w:type="pct"/>
            <w:shd w:val="clear" w:color="auto" w:fill="FFFFFF"/>
            <w:tcMar>
              <w:top w:w="15" w:type="dxa"/>
              <w:right w:w="15" w:type="dxa"/>
            </w:tcMar>
            <w:vAlign w:val="bottom"/>
          </w:tcPr>
          <w:p w14:paraId="3973E32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91" w:type="pct"/>
            <w:gridSpan w:val="10"/>
            <w:tcBorders>
              <w:bottom w:val="single" w:sz="6" w:space="0" w:color="000000"/>
            </w:tcBorders>
            <w:shd w:val="clear" w:color="auto" w:fill="FFFFFF"/>
            <w:tcMar>
              <w:top w:w="15" w:type="dxa"/>
              <w:right w:w="15" w:type="dxa"/>
            </w:tcMar>
            <w:vAlign w:val="bottom"/>
          </w:tcPr>
          <w:p w14:paraId="3973E32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E32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335" w14:textId="77777777">
        <w:tc>
          <w:tcPr>
            <w:tcW w:w="2895" w:type="pct"/>
            <w:tcBorders>
              <w:bottom w:val="single" w:sz="6" w:space="0" w:color="000000"/>
            </w:tcBorders>
            <w:shd w:val="clear" w:color="auto" w:fill="FFFFFF"/>
            <w:tcMar>
              <w:top w:w="15" w:type="dxa"/>
              <w:right w:w="15" w:type="dxa"/>
            </w:tcMar>
            <w:vAlign w:val="bottom"/>
          </w:tcPr>
          <w:p w14:paraId="3973E32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3" w:type="pct"/>
            <w:shd w:val="clear" w:color="auto" w:fill="FFFFFF"/>
            <w:tcMar>
              <w:top w:w="15" w:type="dxa"/>
              <w:right w:w="15" w:type="dxa"/>
            </w:tcMar>
            <w:vAlign w:val="bottom"/>
          </w:tcPr>
          <w:p w14:paraId="3973E32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32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32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3973E32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33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33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3973E33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3973E33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E33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343" w14:textId="77777777">
        <w:tc>
          <w:tcPr>
            <w:tcW w:w="2895" w:type="pct"/>
            <w:tcBorders>
              <w:top w:val="single" w:sz="6" w:space="0" w:color="000000"/>
            </w:tcBorders>
            <w:shd w:val="clear" w:color="auto" w:fill="CFF0FC"/>
            <w:tcMar>
              <w:top w:w="15" w:type="dxa"/>
              <w:right w:w="15" w:type="dxa"/>
            </w:tcMar>
          </w:tcPr>
          <w:p w14:paraId="3973E3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63" w:type="pct"/>
            <w:shd w:val="clear" w:color="auto" w:fill="CFF0FC"/>
            <w:tcMar>
              <w:top w:w="15" w:type="dxa"/>
              <w:right w:w="15" w:type="dxa"/>
            </w:tcMar>
            <w:vAlign w:val="bottom"/>
          </w:tcPr>
          <w:p w14:paraId="3973E33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E33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33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CFF0FC"/>
            <w:noWrap/>
            <w:tcMar>
              <w:top w:w="15" w:type="dxa"/>
              <w:right w:w="15" w:type="dxa"/>
            </w:tcMar>
            <w:vAlign w:val="bottom"/>
          </w:tcPr>
          <w:p w14:paraId="3973E33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33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3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33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CFF0FC"/>
            <w:noWrap/>
            <w:tcMar>
              <w:top w:w="15" w:type="dxa"/>
              <w:right w:w="15" w:type="dxa"/>
            </w:tcMar>
            <w:vAlign w:val="bottom"/>
          </w:tcPr>
          <w:p w14:paraId="3973E3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3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3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3973E34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527</w:t>
            </w:r>
          </w:p>
        </w:tc>
        <w:tc>
          <w:tcPr>
            <w:tcW w:w="50" w:type="pct"/>
            <w:shd w:val="clear" w:color="auto" w:fill="CFF0FC"/>
            <w:noWrap/>
            <w:tcMar>
              <w:top w:w="15" w:type="dxa"/>
              <w:right w:w="15" w:type="dxa"/>
            </w:tcMar>
            <w:vAlign w:val="bottom"/>
          </w:tcPr>
          <w:p w14:paraId="3973E3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51" w14:textId="77777777">
        <w:tc>
          <w:tcPr>
            <w:tcW w:w="2895" w:type="pct"/>
            <w:shd w:val="clear" w:color="auto" w:fill="FFFFFF"/>
            <w:tcMar>
              <w:top w:w="15" w:type="dxa"/>
              <w:right w:w="15" w:type="dxa"/>
            </w:tcMar>
          </w:tcPr>
          <w:p w14:paraId="3973E3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3" w:type="pct"/>
            <w:shd w:val="clear" w:color="auto" w:fill="FFFFFF"/>
            <w:tcMar>
              <w:top w:w="15" w:type="dxa"/>
              <w:right w:w="15" w:type="dxa"/>
            </w:tcMar>
            <w:vAlign w:val="bottom"/>
          </w:tcPr>
          <w:p w14:paraId="3973E34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34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4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(199</w:t>
            </w:r>
          </w:p>
        </w:tc>
        <w:tc>
          <w:tcPr>
            <w:tcW w:w="50" w:type="pct"/>
            <w:shd w:val="clear" w:color="auto" w:fill="FFFFFF"/>
            <w:noWrap/>
            <w:tcMar>
              <w:top w:w="15" w:type="dxa"/>
              <w:right w:w="15" w:type="dxa"/>
            </w:tcMar>
            <w:vAlign w:val="bottom"/>
          </w:tcPr>
          <w:p w14:paraId="3973E3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right w:w="15" w:type="dxa"/>
            </w:tcMar>
            <w:vAlign w:val="bottom"/>
          </w:tcPr>
          <w:p w14:paraId="3973E34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4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FFFFFF"/>
            <w:noWrap/>
            <w:tcMar>
              <w:top w:w="15" w:type="dxa"/>
              <w:right w:w="15" w:type="dxa"/>
            </w:tcMar>
            <w:vAlign w:val="bottom"/>
          </w:tcPr>
          <w:p w14:paraId="3973E3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right w:w="15" w:type="dxa"/>
            </w:tcMar>
            <w:vAlign w:val="bottom"/>
          </w:tcPr>
          <w:p w14:paraId="3973E3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3973E3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35F" w14:textId="77777777">
        <w:tc>
          <w:tcPr>
            <w:tcW w:w="2895" w:type="pct"/>
            <w:shd w:val="clear" w:color="auto" w:fill="CFF0FC"/>
            <w:tcMar>
              <w:top w:w="15" w:type="dxa"/>
              <w:right w:w="15" w:type="dxa"/>
            </w:tcMar>
          </w:tcPr>
          <w:p w14:paraId="3973E3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63" w:type="pct"/>
            <w:shd w:val="clear" w:color="auto" w:fill="CFF0FC"/>
            <w:tcMar>
              <w:top w:w="15" w:type="dxa"/>
              <w:right w:w="15" w:type="dxa"/>
            </w:tcMar>
            <w:vAlign w:val="bottom"/>
          </w:tcPr>
          <w:p w14:paraId="3973E35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3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3973E35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CFF0FC"/>
            <w:noWrap/>
            <w:tcMar>
              <w:top w:w="15" w:type="dxa"/>
              <w:right w:w="15" w:type="dxa"/>
            </w:tcMar>
            <w:vAlign w:val="bottom"/>
          </w:tcPr>
          <w:p w14:paraId="3973E3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CFF0FC"/>
            <w:tcMar>
              <w:top w:w="15" w:type="dxa"/>
              <w:right w:w="15" w:type="dxa"/>
            </w:tcMar>
            <w:vAlign w:val="bottom"/>
          </w:tcPr>
          <w:p w14:paraId="3973E35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3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3973E3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CFF0FC"/>
            <w:noWrap/>
            <w:tcMar>
              <w:top w:w="15" w:type="dxa"/>
              <w:right w:w="15" w:type="dxa"/>
            </w:tcMar>
            <w:vAlign w:val="bottom"/>
          </w:tcPr>
          <w:p w14:paraId="3973E3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CFF0FC"/>
            <w:tcMar>
              <w:top w:w="15" w:type="dxa"/>
              <w:right w:w="15" w:type="dxa"/>
            </w:tcMar>
            <w:vAlign w:val="bottom"/>
          </w:tcPr>
          <w:p w14:paraId="3973E3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3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3973E3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CFF0FC"/>
            <w:noWrap/>
            <w:tcMar>
              <w:top w:w="15" w:type="dxa"/>
              <w:right w:w="15" w:type="dxa"/>
            </w:tcMar>
            <w:vAlign w:val="bottom"/>
          </w:tcPr>
          <w:p w14:paraId="3973E3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36D" w14:textId="77777777">
        <w:tc>
          <w:tcPr>
            <w:tcW w:w="2895" w:type="pct"/>
            <w:shd w:val="clear" w:color="auto" w:fill="FFFFFF"/>
            <w:tcMar>
              <w:top w:w="15" w:type="dxa"/>
              <w:right w:w="15" w:type="dxa"/>
            </w:tcMar>
          </w:tcPr>
          <w:p w14:paraId="3973E3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(Losses) gains in equity investments, net</w:t>
            </w:r>
          </w:p>
        </w:tc>
        <w:tc>
          <w:tcPr>
            <w:tcW w:w="63" w:type="pct"/>
            <w:shd w:val="clear" w:color="auto" w:fill="FFFFFF"/>
            <w:tcMar>
              <w:top w:w="15" w:type="dxa"/>
              <w:right w:w="15" w:type="dxa"/>
            </w:tcMar>
            <w:vAlign w:val="bottom"/>
          </w:tcPr>
          <w:p w14:paraId="3973E36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3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6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w:t>
            </w:r>
          </w:p>
        </w:tc>
        <w:tc>
          <w:tcPr>
            <w:tcW w:w="50" w:type="pct"/>
            <w:shd w:val="clear" w:color="auto" w:fill="FFFFFF"/>
            <w:noWrap/>
            <w:tcMar>
              <w:top w:w="15" w:type="dxa"/>
              <w:right w:w="15" w:type="dxa"/>
            </w:tcMar>
            <w:vAlign w:val="bottom"/>
          </w:tcPr>
          <w:p w14:paraId="3973E3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right w:w="15" w:type="dxa"/>
            </w:tcMar>
            <w:vAlign w:val="bottom"/>
          </w:tcPr>
          <w:p w14:paraId="3973E3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6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FFFFFF"/>
            <w:noWrap/>
            <w:tcMar>
              <w:top w:w="15" w:type="dxa"/>
              <w:right w:w="15" w:type="dxa"/>
            </w:tcMar>
            <w:vAlign w:val="bottom"/>
          </w:tcPr>
          <w:p w14:paraId="3973E3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3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36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3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7B" w14:textId="77777777">
        <w:tc>
          <w:tcPr>
            <w:tcW w:w="2895" w:type="pct"/>
            <w:shd w:val="clear" w:color="auto" w:fill="CFF0FC"/>
            <w:tcMar>
              <w:top w:w="15" w:type="dxa"/>
              <w:right w:w="15" w:type="dxa"/>
            </w:tcMar>
          </w:tcPr>
          <w:p w14:paraId="3973E3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(losses) gains, net</w:t>
            </w:r>
          </w:p>
        </w:tc>
        <w:tc>
          <w:tcPr>
            <w:tcW w:w="63" w:type="pct"/>
            <w:shd w:val="clear" w:color="auto" w:fill="CFF0FC"/>
            <w:tcMar>
              <w:top w:w="15" w:type="dxa"/>
              <w:right w:w="15" w:type="dxa"/>
            </w:tcMar>
            <w:vAlign w:val="bottom"/>
          </w:tcPr>
          <w:p w14:paraId="3973E36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E3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7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3973E3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CFF0FC"/>
            <w:tcMar>
              <w:top w:w="15" w:type="dxa"/>
              <w:right w:w="15" w:type="dxa"/>
            </w:tcMar>
            <w:vAlign w:val="bottom"/>
          </w:tcPr>
          <w:p w14:paraId="3973E3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7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211</w:t>
            </w:r>
          </w:p>
        </w:tc>
        <w:tc>
          <w:tcPr>
            <w:tcW w:w="50" w:type="pct"/>
            <w:shd w:val="clear" w:color="auto" w:fill="CFF0FC"/>
            <w:noWrap/>
            <w:tcMar>
              <w:top w:w="15" w:type="dxa"/>
              <w:right w:w="15" w:type="dxa"/>
            </w:tcMar>
            <w:vAlign w:val="bottom"/>
          </w:tcPr>
          <w:p w14:paraId="3973E3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3973E3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3973E3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3973E3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389" w14:textId="77777777">
        <w:tc>
          <w:tcPr>
            <w:tcW w:w="2895" w:type="pct"/>
            <w:shd w:val="clear" w:color="auto" w:fill="FFFFFF"/>
            <w:tcMar>
              <w:top w:w="15" w:type="dxa"/>
              <w:right w:w="15" w:type="dxa"/>
            </w:tcMar>
          </w:tcPr>
          <w:p w14:paraId="3973E37C"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63" w:type="pct"/>
            <w:shd w:val="clear" w:color="auto" w:fill="FFFFFF"/>
            <w:tcMar>
              <w:top w:w="15" w:type="dxa"/>
              <w:right w:w="15" w:type="dxa"/>
            </w:tcMar>
            <w:vAlign w:val="bottom"/>
          </w:tcPr>
          <w:p w14:paraId="3973E37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7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FFFFFF"/>
            <w:noWrap/>
            <w:tcMar>
              <w:top w:w="15" w:type="dxa"/>
              <w:right w:w="15" w:type="dxa"/>
            </w:tcMar>
            <w:vAlign w:val="bottom"/>
          </w:tcPr>
          <w:p w14:paraId="3973E3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right w:w="15" w:type="dxa"/>
            </w:tcMar>
            <w:vAlign w:val="bottom"/>
          </w:tcPr>
          <w:p w14:paraId="3973E38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8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w:t>
            </w:r>
          </w:p>
        </w:tc>
        <w:tc>
          <w:tcPr>
            <w:tcW w:w="50" w:type="pct"/>
            <w:shd w:val="clear" w:color="auto" w:fill="FFFFFF"/>
            <w:noWrap/>
            <w:tcMar>
              <w:top w:w="15" w:type="dxa"/>
              <w:right w:w="15" w:type="dxa"/>
            </w:tcMar>
            <w:vAlign w:val="bottom"/>
          </w:tcPr>
          <w:p w14:paraId="3973E3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3973E3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3973E38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FFFFFF"/>
            <w:noWrap/>
            <w:tcMar>
              <w:top w:w="15" w:type="dxa"/>
              <w:right w:w="15" w:type="dxa"/>
            </w:tcMar>
            <w:vAlign w:val="bottom"/>
          </w:tcPr>
          <w:p w14:paraId="3973E388"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38A" w14:textId="77777777" w:rsidR="007B027D" w:rsidRDefault="008E0125">
      <w:pPr>
        <w:pStyle w:val="a3"/>
        <w:spacing w:beforeAutospacing="0" w:afterAutospacing="0"/>
        <w:jc w:val="both"/>
        <w:rPr>
          <w:rFonts w:ascii="Times New Roman" w:hAnsi="Times New Roman"/>
          <w:sz w:val="6"/>
          <w:szCs w:val="6"/>
        </w:rPr>
      </w:pPr>
      <w:r>
        <w:rPr>
          <w:rFonts w:ascii="Times New Roman" w:hAnsi="Times New Roman"/>
          <w:sz w:val="6"/>
          <w:szCs w:val="6"/>
        </w:rPr>
        <w:t> </w:t>
      </w:r>
    </w:p>
    <w:p w14:paraId="3973E38B" w14:textId="77777777" w:rsidR="007B027D" w:rsidRDefault="008E0125">
      <w:pPr>
        <w:pStyle w:val="a3"/>
        <w:spacing w:beforeAutospacing="0" w:afterAutospacing="0"/>
        <w:jc w:val="both"/>
        <w:rPr>
          <w:rFonts w:ascii="Calibri" w:hAnsi="Calibri" w:cs="Calibri"/>
          <w:sz w:val="6"/>
          <w:szCs w:val="6"/>
        </w:rPr>
      </w:pPr>
      <w:r>
        <w:rPr>
          <w:rFonts w:ascii="Calibri" w:hAnsi="Calibri" w:cs="Calibri"/>
          <w:sz w:val="6"/>
          <w:szCs w:val="6"/>
        </w:rPr>
        <w:t> </w:t>
      </w:r>
    </w:p>
    <w:p w14:paraId="3973E38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Income Taxes</w:t>
      </w:r>
    </w:p>
    <w:p w14:paraId="3973E38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account for income taxes in accordance with ASC 740, </w:t>
      </w:r>
      <w:r>
        <w:rPr>
          <w:rFonts w:ascii="Calibri" w:hAnsi="Calibri" w:cs="Calibri"/>
          <w:i/>
          <w:iCs/>
          <w:sz w:val="20"/>
          <w:szCs w:val="20"/>
        </w:rPr>
        <w:t xml:space="preserve">Income Taxes </w:t>
      </w:r>
      <w:r>
        <w:rPr>
          <w:rFonts w:ascii="Calibri" w:hAnsi="Calibri" w:cs="Calibri"/>
          <w:sz w:val="20"/>
          <w:szCs w:val="20"/>
        </w:rPr>
        <w:t xml:space="preserve">(ASC 740). Deferred income taxes are recorded for the expected tax consequences of temporary differences between the tax bases of assets and liabilities for financial reporting </w:t>
      </w:r>
      <w:r>
        <w:rPr>
          <w:rFonts w:ascii="Calibri" w:hAnsi="Calibri" w:cs="Calibri"/>
          <w:sz w:val="20"/>
          <w:szCs w:val="20"/>
        </w:rPr>
        <w:t>purposes and amounts recognized for income tax purposes. We record a valuation allowance to reduce our deferred tax assets to the amount of future tax benefit that is more likely than not to be realized.</w:t>
      </w:r>
    </w:p>
    <w:p w14:paraId="3973E38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 two-step approach is applied pursuant to ASC 740 i</w:t>
      </w:r>
      <w:r>
        <w:rPr>
          <w:rFonts w:ascii="Calibri" w:hAnsi="Calibri" w:cs="Calibri"/>
          <w:sz w:val="20"/>
          <w:szCs w:val="20"/>
        </w:rPr>
        <w:t>n the recognition and measurement of uncertain tax positions taken or expected to be taken in a tax return. The first step is to determine if the weight of available evidence indicates that it is more likely than not that the tax position will be sustained</w:t>
      </w:r>
      <w:r>
        <w:rPr>
          <w:rFonts w:ascii="Calibri" w:hAnsi="Calibri" w:cs="Calibri"/>
          <w:sz w:val="20"/>
          <w:szCs w:val="20"/>
        </w:rPr>
        <w:t xml:space="preserve"> in an audit, including resolution of any related appeals or litigation processes. The second step is to measure the tax benefit as the largest amount that is more than 50% likely to be realized upon ultimate settlement. We recognize interest and penalties</w:t>
      </w:r>
      <w:r>
        <w:rPr>
          <w:rFonts w:ascii="Calibri" w:hAnsi="Calibri" w:cs="Calibri"/>
          <w:sz w:val="20"/>
          <w:szCs w:val="20"/>
        </w:rPr>
        <w:t xml:space="preserve"> related to uncertain tax positions in our provision for income taxes line of our consolidated statements of operations.</w:t>
      </w:r>
    </w:p>
    <w:p w14:paraId="3973E38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 description of our accounting policies associated with tax related contingencies and valuation allowances assumed as a part of a busi</w:t>
      </w:r>
      <w:r>
        <w:rPr>
          <w:rFonts w:ascii="Calibri" w:hAnsi="Calibri" w:cs="Calibri"/>
          <w:sz w:val="20"/>
          <w:szCs w:val="20"/>
        </w:rPr>
        <w:t>ness combination is provided under “Business Combinations” above.</w:t>
      </w:r>
    </w:p>
    <w:p w14:paraId="3973E390"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3973E391"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 xml:space="preserve">Reference Rate Reform (Topic 848): Facilitation of </w:t>
      </w:r>
      <w:r>
        <w:rPr>
          <w:rFonts w:ascii="Calibri" w:hAnsi="Calibri" w:cs="Calibri"/>
          <w:i/>
          <w:iCs/>
          <w:sz w:val="20"/>
          <w:szCs w:val="20"/>
        </w:rPr>
        <w:t>the Effects of Reference Rate Reform on Financial Reporting</w:t>
      </w:r>
      <w:r>
        <w:rPr>
          <w:rFonts w:ascii="Calibri" w:hAnsi="Calibri" w:cs="Calibri"/>
          <w:sz w:val="20"/>
          <w:szCs w:val="20"/>
        </w:rPr>
        <w:t xml:space="preserve"> (ASU 2020-04)</w:t>
      </w:r>
      <w:r>
        <w:rPr>
          <w:rFonts w:ascii="Times New Roman" w:hAnsi="Times New Roman"/>
          <w:sz w:val="20"/>
          <w:szCs w:val="20"/>
        </w:rPr>
        <w:t xml:space="preserve"> </w:t>
      </w:r>
      <w:r>
        <w:rPr>
          <w:rFonts w:ascii="Calibri" w:hAnsi="Calibri" w:cs="Calibri"/>
          <w:sz w:val="20"/>
          <w:szCs w:val="20"/>
        </w:rPr>
        <w:t>and also issued subsequent amendments to the initial guidance (collectively, Topic 848). Topic 848 provides optional guidance for contract modifications and certain hedging relations</w:t>
      </w:r>
      <w:r>
        <w:rPr>
          <w:rFonts w:ascii="Calibri" w:hAnsi="Calibri" w:cs="Calibri"/>
          <w:sz w:val="20"/>
          <w:szCs w:val="20"/>
        </w:rPr>
        <w:t>hips associated with the transition from reference rates that are expected to be discontinued. We will adopt Topic 848 when our relevant contracts are modified upon transition to alternative reference rates and expect this to occur through December 31, 202</w:t>
      </w:r>
      <w:r>
        <w:rPr>
          <w:rFonts w:ascii="Calibri" w:hAnsi="Calibri" w:cs="Calibri"/>
          <w:sz w:val="20"/>
          <w:szCs w:val="20"/>
        </w:rPr>
        <w:t xml:space="preserve">2. We do not expect our adoption of Topic 848 to have a material impact on our consolidated financial statements.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394" w14:textId="77777777">
        <w:tc>
          <w:tcPr>
            <w:tcW w:w="262" w:type="pct"/>
            <w:shd w:val="clear" w:color="auto" w:fill="auto"/>
            <w:noWrap/>
          </w:tcPr>
          <w:p w14:paraId="3973E39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3973E39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3973E395"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 of Cerner Corporation</w:t>
      </w:r>
    </w:p>
    <w:p w14:paraId="3973E396" w14:textId="77777777" w:rsidR="007B027D" w:rsidRDefault="008E012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On December 20, 2021, we entered into an Agreement and Plan of Merger (Merger Agreement) w</w:t>
      </w:r>
      <w:r>
        <w:rPr>
          <w:rFonts w:ascii="Calibri" w:hAnsi="Calibri" w:cs="Calibri"/>
          <w:color w:val="000000"/>
          <w:sz w:val="20"/>
          <w:szCs w:val="20"/>
        </w:rPr>
        <w:t>ith Cerner Corporation (Cerner), a provider of digital information systems used within hospitals and health systems that are designed to enable medical professionals to deliver better healthcare to individual patients and communities.</w:t>
      </w:r>
    </w:p>
    <w:p w14:paraId="3973E39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January 19, 2022, </w:t>
      </w:r>
      <w:r>
        <w:rPr>
          <w:rFonts w:ascii="Calibri" w:hAnsi="Calibri" w:cs="Calibri"/>
          <w:sz w:val="20"/>
          <w:szCs w:val="20"/>
        </w:rPr>
        <w:t xml:space="preserve">pursuant to the Merger Agreement, we commenced a tender offer to purchase all of the issued and outstanding shares of common stock of Cerner at a purchase price of $95.00 per share, net to the seller in cash, without interest thereon, based upon the terms </w:t>
      </w:r>
      <w:r>
        <w:rPr>
          <w:rFonts w:ascii="Calibri" w:hAnsi="Calibri" w:cs="Calibri"/>
          <w:sz w:val="20"/>
          <w:szCs w:val="20"/>
        </w:rPr>
        <w:t>and subject to the conditions set forth in the Offer to Purchase dated January 19, 2022, and the related Letter of Transmittal.</w:t>
      </w:r>
    </w:p>
    <w:p w14:paraId="3973E39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82</w:t>
      </w:r>
    </w:p>
    <w:p w14:paraId="3973E399" w14:textId="77777777" w:rsidR="007B027D" w:rsidRDefault="008E0125">
      <w:r>
        <w:rPr>
          <w:rFonts w:ascii="Calibri" w:hAnsi="Calibri" w:cs="Calibri"/>
          <w:sz w:val="20"/>
          <w:szCs w:val="20"/>
        </w:rPr>
        <w:pict w14:anchorId="3974008D">
          <v:rect id="_x0000_i1108" style="width:415.3pt;height:1.5pt" o:hralign="center" o:hrstd="t" o:hr="t" fillcolor="#a0a0a0" stroked="f"/>
        </w:pict>
      </w:r>
    </w:p>
    <w:p w14:paraId="3973E39A" w14:textId="77777777" w:rsidR="007B027D" w:rsidRDefault="008E0125">
      <w:pPr>
        <w:pStyle w:val="a3"/>
        <w:spacing w:beforeAutospacing="0" w:after="120" w:afterAutospacing="0"/>
        <w:rPr>
          <w:rFonts w:ascii="Calibri" w:hAnsi="Calibri" w:cs="Calibri"/>
          <w:sz w:val="18"/>
          <w:szCs w:val="18"/>
        </w:rPr>
      </w:pPr>
      <w:hyperlink r:id="rId200" w:anchor="TABLE_OF_CONTENTS" w:history="1">
        <w:r>
          <w:rPr>
            <w:rStyle w:val="a5"/>
            <w:rFonts w:ascii="Calibri" w:hAnsi="Calibri" w:cs="Calibri"/>
            <w:sz w:val="18"/>
            <w:szCs w:val="18"/>
          </w:rPr>
          <w:t>Table of Contents</w:t>
        </w:r>
      </w:hyperlink>
    </w:p>
    <w:p w14:paraId="3973E39B" w14:textId="77777777" w:rsidR="007B027D" w:rsidRDefault="008E0125">
      <w:pPr>
        <w:pStyle w:val="a3"/>
        <w:spacing w:beforeAutospacing="0" w:afterAutospacing="0"/>
        <w:rPr>
          <w:rFonts w:ascii="Calibri" w:hAnsi="Calibri" w:cs="Calibri"/>
          <w:sz w:val="18"/>
          <w:szCs w:val="18"/>
        </w:rPr>
      </w:pPr>
      <w:hyperlink r:id="rId201" w:anchor="ITEM_15_EXHIBITS_FINANCIAL_STATEMENT_SCH" w:history="1">
        <w:r>
          <w:rPr>
            <w:rStyle w:val="a5"/>
            <w:rFonts w:ascii="Calibri" w:hAnsi="Calibri" w:cs="Calibri"/>
            <w:sz w:val="18"/>
            <w:szCs w:val="18"/>
          </w:rPr>
          <w:t>Index to Financial Statements</w:t>
        </w:r>
      </w:hyperlink>
    </w:p>
    <w:p w14:paraId="3973E39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39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39E"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39F"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3A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8, 2022, pursuant to the terms of the tender offer and </w:t>
      </w:r>
      <w:r>
        <w:rPr>
          <w:rFonts w:ascii="Calibri" w:hAnsi="Calibri" w:cs="Calibri"/>
          <w:sz w:val="20"/>
          <w:szCs w:val="20"/>
        </w:rPr>
        <w:t>applicable Delaware law, we acquired all the outstanding Cerner shares and effectuated the merger of Cerner with and into a wholly-owned subsidiary of Oracle and Cerner became an indirect, wholly-owned subsidiary of Oracle. Vested equity awards outstanding</w:t>
      </w:r>
      <w:r>
        <w:rPr>
          <w:rFonts w:ascii="Calibri" w:hAnsi="Calibri" w:cs="Calibri"/>
          <w:sz w:val="20"/>
          <w:szCs w:val="20"/>
        </w:rPr>
        <w:t xml:space="preserve"> immediately prior to the consummation of the merger were cancelled in exchange for the right to receive an amount in cash based on a formula contained in the Merger Agreement. The unvested equity awards to acquire Cerner common stock that were outstanding</w:t>
      </w:r>
      <w:r>
        <w:rPr>
          <w:rFonts w:ascii="Calibri" w:hAnsi="Calibri" w:cs="Calibri"/>
          <w:sz w:val="20"/>
          <w:szCs w:val="20"/>
        </w:rPr>
        <w:t xml:space="preserve"> immediately prior to the conclusion of the merger were converted into equity awards denominated in shares of Oracle common stock based on formulas contained in the Merger Agreement. We will include the financial results of Cerner in our consolidated finan</w:t>
      </w:r>
      <w:r>
        <w:rPr>
          <w:rFonts w:ascii="Calibri" w:hAnsi="Calibri" w:cs="Calibri"/>
          <w:sz w:val="20"/>
          <w:szCs w:val="20"/>
        </w:rPr>
        <w:t>cial statements from the date of acquisition.</w:t>
      </w:r>
    </w:p>
    <w:p w14:paraId="3973E3A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total preliminary purchase price for Cerner is approximately $28.2 billion, which consisted of approximately $28.2 billion in cash and $43 million for the fair values of restricted stock-based awards and st</w:t>
      </w:r>
      <w:r>
        <w:rPr>
          <w:rFonts w:ascii="Calibri" w:hAnsi="Calibri" w:cs="Calibri"/>
          <w:sz w:val="20"/>
          <w:szCs w:val="20"/>
        </w:rPr>
        <w:t>ock options assumed. In connection with the acquisition of Cerner, we assumed $1.6 billion of senior notes and other borrowings, of which $1.5 billion were paid on June 8, 2022.</w:t>
      </w:r>
    </w:p>
    <w:p w14:paraId="3973E3A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Other Fiscal 2022, 2021 and 2020 Acquisitions </w:t>
      </w:r>
    </w:p>
    <w:p w14:paraId="3973E3A3" w14:textId="77777777" w:rsidR="007B027D" w:rsidRDefault="008E0125">
      <w:pPr>
        <w:pStyle w:val="a3"/>
        <w:spacing w:before="80" w:beforeAutospacing="0" w:afterAutospacing="0"/>
        <w:jc w:val="both"/>
        <w:rPr>
          <w:rFonts w:ascii="Calibri" w:hAnsi="Calibri" w:cs="Calibri"/>
          <w:color w:val="000000"/>
          <w:sz w:val="20"/>
          <w:szCs w:val="20"/>
        </w:rPr>
      </w:pPr>
      <w:r>
        <w:rPr>
          <w:rFonts w:ascii="Calibri" w:hAnsi="Calibri" w:cs="Calibri"/>
          <w:color w:val="000000"/>
          <w:sz w:val="20"/>
          <w:szCs w:val="20"/>
        </w:rPr>
        <w:t>During fiscal 2022, 2021 and 20</w:t>
      </w:r>
      <w:r>
        <w:rPr>
          <w:rFonts w:ascii="Calibri" w:hAnsi="Calibri" w:cs="Calibri"/>
          <w:color w:val="000000"/>
          <w:sz w:val="20"/>
          <w:szCs w:val="20"/>
        </w:rPr>
        <w:t xml:space="preserve">20, we acquired certain other companies and purchased certain technology and development assets primarily to expand our products and services offerings. These acquisitions were not significant individually or in the aggregate to our consolidated financial </w:t>
      </w:r>
      <w:r>
        <w:rPr>
          <w:rFonts w:ascii="Calibri" w:hAnsi="Calibri" w:cs="Calibri"/>
          <w:color w:val="000000"/>
          <w:sz w:val="20"/>
          <w:szCs w:val="20"/>
        </w:rPr>
        <w:t>statements.</w:t>
      </w:r>
    </w:p>
    <w:p w14:paraId="3973E3A4" w14:textId="77777777" w:rsidR="007B027D" w:rsidRDefault="008E012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3A7" w14:textId="77777777">
        <w:tc>
          <w:tcPr>
            <w:tcW w:w="262" w:type="pct"/>
            <w:shd w:val="clear" w:color="auto" w:fill="auto"/>
            <w:noWrap/>
          </w:tcPr>
          <w:p w14:paraId="3973E3A5"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3973E3A6"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CASH, CASH EQUIVALENTS AND MARKETABLE SECURITIES</w:t>
            </w:r>
          </w:p>
        </w:tc>
      </w:tr>
    </w:tbl>
    <w:p w14:paraId="3973E3A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Cash and cash equivalents primarily consist of deposits held at major banks, money market funds and other securities with original maturities of 90 days or less. Marketable </w:t>
      </w:r>
      <w:r>
        <w:rPr>
          <w:rFonts w:ascii="Calibri" w:hAnsi="Calibri" w:cs="Calibri"/>
          <w:sz w:val="20"/>
          <w:szCs w:val="20"/>
        </w:rPr>
        <w:t>securities consist of time deposits and certain other securities.</w:t>
      </w:r>
    </w:p>
    <w:p w14:paraId="3973E3A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amortized principal amounts of our cash, cash equivalents and marketable securities approximated their fair values at May 31, 2022 and 2021. We use the specific identification method to </w:t>
      </w:r>
      <w:r>
        <w:rPr>
          <w:rFonts w:ascii="Calibri" w:hAnsi="Calibri" w:cs="Calibri"/>
          <w:sz w:val="20"/>
          <w:szCs w:val="20"/>
        </w:rPr>
        <w:t xml:space="preserve">determine any realized gains or losses from the sale of our marketable securities classified as available-for-sale. Such realized gains and losses were insignificant for fiscal 2022, 2021 and 2020. The following table summarizes the components of our cash </w:t>
      </w:r>
      <w:r>
        <w:rPr>
          <w:rFonts w:ascii="Calibri" w:hAnsi="Calibri" w:cs="Calibri"/>
          <w:sz w:val="20"/>
          <w:szCs w:val="20"/>
        </w:rPr>
        <w:t>equivalents and marketable securities held, substantially all of which were classified as available-for-sale:</w:t>
      </w:r>
    </w:p>
    <w:p w14:paraId="3973E3AA"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60"/>
        <w:gridCol w:w="118"/>
        <w:gridCol w:w="117"/>
        <w:gridCol w:w="1120"/>
        <w:gridCol w:w="73"/>
        <w:gridCol w:w="119"/>
        <w:gridCol w:w="117"/>
        <w:gridCol w:w="1123"/>
        <w:gridCol w:w="74"/>
      </w:tblGrid>
      <w:tr w:rsidR="007B027D" w14:paraId="3973E3AF" w14:textId="77777777">
        <w:tc>
          <w:tcPr>
            <w:tcW w:w="3286" w:type="pct"/>
            <w:shd w:val="clear" w:color="auto" w:fill="FFFFFF"/>
            <w:tcMar>
              <w:top w:w="15" w:type="dxa"/>
              <w:right w:w="15" w:type="dxa"/>
            </w:tcMar>
            <w:vAlign w:val="bottom"/>
          </w:tcPr>
          <w:p w14:paraId="3973E3AB"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7" w:type="pct"/>
            <w:shd w:val="clear" w:color="auto" w:fill="FFFFFF"/>
            <w:tcMar>
              <w:top w:w="15" w:type="dxa"/>
              <w:right w:w="15" w:type="dxa"/>
            </w:tcMar>
            <w:vAlign w:val="bottom"/>
          </w:tcPr>
          <w:p w14:paraId="3973E3A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86" w:type="pct"/>
            <w:gridSpan w:val="6"/>
            <w:tcBorders>
              <w:bottom w:val="single" w:sz="6" w:space="0" w:color="000000"/>
            </w:tcBorders>
            <w:shd w:val="clear" w:color="auto" w:fill="FFFFFF"/>
            <w:tcMar>
              <w:top w:w="15" w:type="dxa"/>
              <w:right w:w="15" w:type="dxa"/>
            </w:tcMar>
            <w:vAlign w:val="bottom"/>
          </w:tcPr>
          <w:p w14:paraId="3973E3A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E3A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3B7" w14:textId="77777777">
        <w:tc>
          <w:tcPr>
            <w:tcW w:w="3286" w:type="pct"/>
            <w:tcBorders>
              <w:bottom w:val="single" w:sz="6" w:space="0" w:color="000000"/>
            </w:tcBorders>
            <w:shd w:val="clear" w:color="auto" w:fill="FFFFFF"/>
            <w:tcMar>
              <w:top w:w="15" w:type="dxa"/>
              <w:right w:w="15" w:type="dxa"/>
            </w:tcMar>
            <w:vAlign w:val="bottom"/>
          </w:tcPr>
          <w:p w14:paraId="3973E3B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3973E3B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9" w:type="pct"/>
            <w:gridSpan w:val="2"/>
            <w:tcBorders>
              <w:top w:val="single" w:sz="6" w:space="0" w:color="000000"/>
              <w:bottom w:val="single" w:sz="6" w:space="0" w:color="000000"/>
            </w:tcBorders>
            <w:shd w:val="clear" w:color="auto" w:fill="FFFFFF"/>
            <w:tcMar>
              <w:top w:w="15" w:type="dxa"/>
              <w:right w:w="15" w:type="dxa"/>
            </w:tcMar>
            <w:vAlign w:val="bottom"/>
          </w:tcPr>
          <w:p w14:paraId="3973E3B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3B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E3B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9" w:type="pct"/>
            <w:gridSpan w:val="2"/>
            <w:tcBorders>
              <w:top w:val="single" w:sz="6" w:space="0" w:color="000000"/>
              <w:bottom w:val="single" w:sz="6" w:space="0" w:color="000000"/>
            </w:tcBorders>
            <w:shd w:val="clear" w:color="auto" w:fill="FFFFFF"/>
            <w:tcMar>
              <w:top w:w="15" w:type="dxa"/>
              <w:right w:w="15" w:type="dxa"/>
            </w:tcMar>
            <w:vAlign w:val="bottom"/>
          </w:tcPr>
          <w:p w14:paraId="3973E3B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3B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3C1" w14:textId="77777777">
        <w:tc>
          <w:tcPr>
            <w:tcW w:w="3286" w:type="pct"/>
            <w:tcBorders>
              <w:top w:val="single" w:sz="6" w:space="0" w:color="000000"/>
            </w:tcBorders>
            <w:shd w:val="clear" w:color="auto" w:fill="CFF0FC"/>
            <w:tcMar>
              <w:top w:w="15" w:type="dxa"/>
              <w:right w:w="15" w:type="dxa"/>
            </w:tcMar>
          </w:tcPr>
          <w:p w14:paraId="3973E3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Money market funds</w:t>
            </w:r>
          </w:p>
        </w:tc>
        <w:tc>
          <w:tcPr>
            <w:tcW w:w="77" w:type="pct"/>
            <w:shd w:val="clear" w:color="auto" w:fill="CFF0FC"/>
            <w:tcMar>
              <w:top w:w="15" w:type="dxa"/>
              <w:right w:w="15" w:type="dxa"/>
            </w:tcMar>
            <w:vAlign w:val="bottom"/>
          </w:tcPr>
          <w:p w14:paraId="3973E3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3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tcBorders>
            <w:shd w:val="clear" w:color="auto" w:fill="CFF0FC"/>
            <w:noWrap/>
            <w:tcMar>
              <w:top w:w="15" w:type="dxa"/>
              <w:right w:w="15" w:type="dxa"/>
            </w:tcMar>
            <w:vAlign w:val="bottom"/>
          </w:tcPr>
          <w:p w14:paraId="3973E3B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CFF0FC"/>
            <w:noWrap/>
            <w:tcMar>
              <w:top w:w="15" w:type="dxa"/>
              <w:right w:w="15" w:type="dxa"/>
            </w:tcMar>
            <w:vAlign w:val="bottom"/>
          </w:tcPr>
          <w:p w14:paraId="3973E3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E3B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3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tcBorders>
            <w:shd w:val="clear" w:color="auto" w:fill="CFF0FC"/>
            <w:noWrap/>
            <w:tcMar>
              <w:top w:w="15" w:type="dxa"/>
              <w:right w:w="15" w:type="dxa"/>
            </w:tcMar>
            <w:vAlign w:val="bottom"/>
          </w:tcPr>
          <w:p w14:paraId="3973E3B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CFF0FC"/>
            <w:noWrap/>
            <w:tcMar>
              <w:top w:w="15" w:type="dxa"/>
              <w:right w:w="15" w:type="dxa"/>
            </w:tcMar>
            <w:vAlign w:val="bottom"/>
          </w:tcPr>
          <w:p w14:paraId="3973E3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CB" w14:textId="77777777">
        <w:tc>
          <w:tcPr>
            <w:tcW w:w="3286" w:type="pct"/>
            <w:shd w:val="clear" w:color="auto" w:fill="FFFFFF"/>
            <w:tcMar>
              <w:top w:w="15" w:type="dxa"/>
              <w:right w:w="15" w:type="dxa"/>
            </w:tcMar>
          </w:tcPr>
          <w:p w14:paraId="3973E3C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Time deposits and other</w:t>
            </w:r>
          </w:p>
        </w:tc>
        <w:tc>
          <w:tcPr>
            <w:tcW w:w="77" w:type="pct"/>
            <w:shd w:val="clear" w:color="auto" w:fill="FFFFFF"/>
            <w:tcMar>
              <w:top w:w="15" w:type="dxa"/>
              <w:right w:w="15" w:type="dxa"/>
            </w:tcMar>
            <w:vAlign w:val="bottom"/>
          </w:tcPr>
          <w:p w14:paraId="3973E3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9" w:type="pct"/>
            <w:shd w:val="clear" w:color="auto" w:fill="FFFFFF"/>
            <w:noWrap/>
            <w:tcMar>
              <w:top w:w="15" w:type="dxa"/>
              <w:right w:w="15" w:type="dxa"/>
            </w:tcMar>
            <w:vAlign w:val="bottom"/>
          </w:tcPr>
          <w:p w14:paraId="3973E3C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FFFFFF"/>
            <w:noWrap/>
            <w:tcMar>
              <w:top w:w="15" w:type="dxa"/>
              <w:right w:w="15" w:type="dxa"/>
            </w:tcMar>
            <w:vAlign w:val="bottom"/>
          </w:tcPr>
          <w:p w14:paraId="3973E3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E3C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3C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9" w:type="pct"/>
            <w:shd w:val="clear" w:color="auto" w:fill="FFFFFF"/>
            <w:noWrap/>
            <w:tcMar>
              <w:top w:w="15" w:type="dxa"/>
              <w:right w:w="15" w:type="dxa"/>
            </w:tcMar>
            <w:vAlign w:val="bottom"/>
          </w:tcPr>
          <w:p w14:paraId="3973E3C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9,470</w:t>
            </w:r>
          </w:p>
        </w:tc>
        <w:tc>
          <w:tcPr>
            <w:tcW w:w="50" w:type="pct"/>
            <w:shd w:val="clear" w:color="auto" w:fill="FFFFFF"/>
            <w:noWrap/>
            <w:tcMar>
              <w:top w:w="15" w:type="dxa"/>
              <w:right w:w="15" w:type="dxa"/>
            </w:tcMar>
            <w:vAlign w:val="bottom"/>
          </w:tcPr>
          <w:p w14:paraId="3973E3C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D5" w14:textId="77777777">
        <w:tc>
          <w:tcPr>
            <w:tcW w:w="3286" w:type="pct"/>
            <w:shd w:val="clear" w:color="auto" w:fill="CFF0FC"/>
            <w:tcMar>
              <w:top w:w="15" w:type="dxa"/>
              <w:right w:w="15" w:type="dxa"/>
            </w:tcMar>
          </w:tcPr>
          <w:p w14:paraId="3973E3C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Commercial paper debt securities</w:t>
            </w:r>
          </w:p>
        </w:tc>
        <w:tc>
          <w:tcPr>
            <w:tcW w:w="77" w:type="pct"/>
            <w:shd w:val="clear" w:color="auto" w:fill="CFF0FC"/>
            <w:tcMar>
              <w:top w:w="15" w:type="dxa"/>
              <w:right w:w="15" w:type="dxa"/>
            </w:tcMar>
            <w:vAlign w:val="bottom"/>
          </w:tcPr>
          <w:p w14:paraId="3973E3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C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9" w:type="pct"/>
            <w:tcBorders>
              <w:bottom w:val="single" w:sz="6" w:space="0" w:color="000000"/>
            </w:tcBorders>
            <w:shd w:val="clear" w:color="auto" w:fill="CFF0FC"/>
            <w:noWrap/>
            <w:tcMar>
              <w:top w:w="15" w:type="dxa"/>
              <w:right w:w="15" w:type="dxa"/>
            </w:tcMar>
            <w:vAlign w:val="bottom"/>
          </w:tcPr>
          <w:p w14:paraId="3973E3C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E3D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E3D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3D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9" w:type="pct"/>
            <w:tcBorders>
              <w:bottom w:val="single" w:sz="6" w:space="0" w:color="000000"/>
            </w:tcBorders>
            <w:shd w:val="clear" w:color="auto" w:fill="CFF0FC"/>
            <w:noWrap/>
            <w:tcMar>
              <w:top w:w="15" w:type="dxa"/>
              <w:right w:w="15" w:type="dxa"/>
            </w:tcMar>
            <w:vAlign w:val="bottom"/>
          </w:tcPr>
          <w:p w14:paraId="3973E3D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CFF0FC"/>
            <w:noWrap/>
            <w:tcMar>
              <w:top w:w="15" w:type="dxa"/>
              <w:right w:w="15" w:type="dxa"/>
            </w:tcMar>
            <w:vAlign w:val="bottom"/>
          </w:tcPr>
          <w:p w14:paraId="3973E3D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DF" w14:textId="77777777">
        <w:tc>
          <w:tcPr>
            <w:tcW w:w="3286" w:type="pct"/>
            <w:shd w:val="clear" w:color="auto" w:fill="FFFFFF"/>
            <w:tcMar>
              <w:top w:w="15" w:type="dxa"/>
              <w:right w:w="15" w:type="dxa"/>
            </w:tcMar>
          </w:tcPr>
          <w:p w14:paraId="3973E3D6"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Total investments</w:t>
            </w:r>
          </w:p>
        </w:tc>
        <w:tc>
          <w:tcPr>
            <w:tcW w:w="77" w:type="pct"/>
            <w:shd w:val="clear" w:color="auto" w:fill="FFFFFF"/>
            <w:tcMar>
              <w:top w:w="15" w:type="dxa"/>
              <w:right w:w="15" w:type="dxa"/>
            </w:tcMar>
            <w:vAlign w:val="bottom"/>
          </w:tcPr>
          <w:p w14:paraId="3973E3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D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bottom w:val="double" w:sz="6" w:space="0" w:color="000000"/>
            </w:tcBorders>
            <w:shd w:val="clear" w:color="auto" w:fill="FFFFFF"/>
            <w:noWrap/>
            <w:tcMar>
              <w:top w:w="15" w:type="dxa"/>
              <w:right w:w="15" w:type="dxa"/>
            </w:tcMar>
            <w:vAlign w:val="bottom"/>
          </w:tcPr>
          <w:p w14:paraId="3973E3D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13,362</w:t>
            </w:r>
          </w:p>
        </w:tc>
        <w:tc>
          <w:tcPr>
            <w:tcW w:w="50" w:type="pct"/>
            <w:shd w:val="clear" w:color="auto" w:fill="FFFFFF"/>
            <w:noWrap/>
            <w:tcMar>
              <w:top w:w="15" w:type="dxa"/>
              <w:right w:w="15" w:type="dxa"/>
            </w:tcMar>
            <w:vAlign w:val="bottom"/>
          </w:tcPr>
          <w:p w14:paraId="3973E3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E3D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3D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single" w:sz="6" w:space="0" w:color="000000"/>
              <w:bottom w:val="double" w:sz="6" w:space="0" w:color="000000"/>
            </w:tcBorders>
            <w:shd w:val="clear" w:color="auto" w:fill="FFFFFF"/>
            <w:noWrap/>
            <w:tcMar>
              <w:top w:w="15" w:type="dxa"/>
              <w:right w:w="15" w:type="dxa"/>
            </w:tcMar>
            <w:vAlign w:val="bottom"/>
          </w:tcPr>
          <w:p w14:paraId="3973E3D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33,445</w:t>
            </w:r>
          </w:p>
        </w:tc>
        <w:tc>
          <w:tcPr>
            <w:tcW w:w="50" w:type="pct"/>
            <w:shd w:val="clear" w:color="auto" w:fill="FFFFFF"/>
            <w:noWrap/>
            <w:tcMar>
              <w:top w:w="15" w:type="dxa"/>
              <w:right w:w="15" w:type="dxa"/>
            </w:tcMar>
            <w:vAlign w:val="bottom"/>
          </w:tcPr>
          <w:p w14:paraId="3973E3D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E9" w14:textId="77777777">
        <w:tc>
          <w:tcPr>
            <w:tcW w:w="3286" w:type="pct"/>
            <w:shd w:val="clear" w:color="auto" w:fill="CFF0FC"/>
            <w:tcMar>
              <w:top w:w="15" w:type="dxa"/>
              <w:right w:w="15" w:type="dxa"/>
            </w:tcMar>
          </w:tcPr>
          <w:p w14:paraId="3973E3E0"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Investments classified as cash equivalents</w:t>
            </w:r>
          </w:p>
        </w:tc>
        <w:tc>
          <w:tcPr>
            <w:tcW w:w="77" w:type="pct"/>
            <w:shd w:val="clear" w:color="auto" w:fill="CFF0FC"/>
            <w:tcMar>
              <w:top w:w="15" w:type="dxa"/>
              <w:right w:w="15" w:type="dxa"/>
            </w:tcMar>
            <w:vAlign w:val="bottom"/>
          </w:tcPr>
          <w:p w14:paraId="3973E3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E3E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double" w:sz="6" w:space="0" w:color="000000"/>
              <w:bottom w:val="double" w:sz="6" w:space="0" w:color="000000"/>
            </w:tcBorders>
            <w:shd w:val="clear" w:color="auto" w:fill="CFF0FC"/>
            <w:noWrap/>
            <w:tcMar>
              <w:top w:w="15" w:type="dxa"/>
              <w:right w:w="15" w:type="dxa"/>
            </w:tcMar>
            <w:vAlign w:val="bottom"/>
          </w:tcPr>
          <w:p w14:paraId="3973E3E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12,843</w:t>
            </w:r>
          </w:p>
        </w:tc>
        <w:tc>
          <w:tcPr>
            <w:tcW w:w="50" w:type="pct"/>
            <w:shd w:val="clear" w:color="auto" w:fill="CFF0FC"/>
            <w:noWrap/>
            <w:tcMar>
              <w:top w:w="15" w:type="dxa"/>
              <w:right w:w="15" w:type="dxa"/>
            </w:tcMar>
            <w:vAlign w:val="bottom"/>
          </w:tcPr>
          <w:p w14:paraId="3973E3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E3E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E3E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double" w:sz="6" w:space="0" w:color="000000"/>
              <w:bottom w:val="double" w:sz="6" w:space="0" w:color="000000"/>
            </w:tcBorders>
            <w:shd w:val="clear" w:color="auto" w:fill="CFF0FC"/>
            <w:noWrap/>
            <w:tcMar>
              <w:top w:w="15" w:type="dxa"/>
              <w:right w:w="15" w:type="dxa"/>
            </w:tcMar>
            <w:vAlign w:val="bottom"/>
          </w:tcPr>
          <w:p w14:paraId="3973E3E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16,989</w:t>
            </w:r>
          </w:p>
        </w:tc>
        <w:tc>
          <w:tcPr>
            <w:tcW w:w="50" w:type="pct"/>
            <w:shd w:val="clear" w:color="auto" w:fill="CFF0FC"/>
            <w:noWrap/>
            <w:tcMar>
              <w:top w:w="15" w:type="dxa"/>
              <w:right w:w="15" w:type="dxa"/>
            </w:tcMar>
            <w:vAlign w:val="bottom"/>
          </w:tcPr>
          <w:p w14:paraId="3973E3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3F3" w14:textId="77777777">
        <w:tc>
          <w:tcPr>
            <w:tcW w:w="3286" w:type="pct"/>
            <w:shd w:val="clear" w:color="auto" w:fill="FFFFFF"/>
            <w:tcMar>
              <w:top w:w="15" w:type="dxa"/>
              <w:right w:w="15" w:type="dxa"/>
            </w:tcMar>
          </w:tcPr>
          <w:p w14:paraId="3973E3EA"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Investments classified as marketable securities</w:t>
            </w:r>
          </w:p>
        </w:tc>
        <w:tc>
          <w:tcPr>
            <w:tcW w:w="77" w:type="pct"/>
            <w:shd w:val="clear" w:color="auto" w:fill="FFFFFF"/>
            <w:tcMar>
              <w:top w:w="15" w:type="dxa"/>
              <w:right w:w="15" w:type="dxa"/>
            </w:tcMar>
            <w:vAlign w:val="bottom"/>
          </w:tcPr>
          <w:p w14:paraId="3973E3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E3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double" w:sz="6" w:space="0" w:color="000000"/>
              <w:bottom w:val="double" w:sz="6" w:space="0" w:color="000000"/>
            </w:tcBorders>
            <w:shd w:val="clear" w:color="auto" w:fill="FFFFFF"/>
            <w:noWrap/>
            <w:tcMar>
              <w:top w:w="15" w:type="dxa"/>
              <w:right w:w="15" w:type="dxa"/>
            </w:tcMar>
            <w:vAlign w:val="bottom"/>
          </w:tcPr>
          <w:p w14:paraId="3973E3E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519</w:t>
            </w:r>
          </w:p>
        </w:tc>
        <w:tc>
          <w:tcPr>
            <w:tcW w:w="50" w:type="pct"/>
            <w:shd w:val="clear" w:color="auto" w:fill="FFFFFF"/>
            <w:noWrap/>
            <w:tcMar>
              <w:top w:w="15" w:type="dxa"/>
              <w:right w:w="15" w:type="dxa"/>
            </w:tcMar>
            <w:vAlign w:val="bottom"/>
          </w:tcPr>
          <w:p w14:paraId="3973E3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E3E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E3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9" w:type="pct"/>
            <w:tcBorders>
              <w:top w:val="double" w:sz="6" w:space="0" w:color="000000"/>
              <w:bottom w:val="double" w:sz="6" w:space="0" w:color="000000"/>
            </w:tcBorders>
            <w:shd w:val="clear" w:color="auto" w:fill="FFFFFF"/>
            <w:noWrap/>
            <w:tcMar>
              <w:top w:w="15" w:type="dxa"/>
              <w:right w:w="15" w:type="dxa"/>
            </w:tcMar>
            <w:vAlign w:val="bottom"/>
          </w:tcPr>
          <w:p w14:paraId="3973E3F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16,456</w:t>
            </w:r>
          </w:p>
        </w:tc>
        <w:tc>
          <w:tcPr>
            <w:tcW w:w="50" w:type="pct"/>
            <w:shd w:val="clear" w:color="auto" w:fill="FFFFFF"/>
            <w:noWrap/>
            <w:tcMar>
              <w:top w:w="15" w:type="dxa"/>
              <w:right w:w="15" w:type="dxa"/>
            </w:tcMar>
            <w:vAlign w:val="bottom"/>
          </w:tcPr>
          <w:p w14:paraId="3973E3F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3F4" w14:textId="77777777" w:rsidR="007B027D" w:rsidRDefault="008E0125">
      <w:pPr>
        <w:pStyle w:val="a3"/>
        <w:spacing w:beforeAutospacing="0" w:afterAutospacing="0"/>
        <w:rPr>
          <w:sz w:val="12"/>
          <w:szCs w:val="12"/>
        </w:rPr>
      </w:pPr>
      <w:r>
        <w:rPr>
          <w:sz w:val="12"/>
          <w:szCs w:val="12"/>
        </w:rPr>
        <w:t> </w:t>
      </w:r>
    </w:p>
    <w:p w14:paraId="3973E3F5"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As of May </w:t>
      </w:r>
      <w:r>
        <w:rPr>
          <w:rFonts w:ascii="Calibri" w:hAnsi="Calibri" w:cs="Calibri"/>
          <w:sz w:val="20"/>
          <w:szCs w:val="20"/>
        </w:rPr>
        <w:t>31, 2022 and 2021, substantially all of our marketable debt securities investments mature within one year. Our investment portfolio is subject to market risk due to changes in interest rates. As described above, we limit purchases of marketable debt securi</w:t>
      </w:r>
      <w:r>
        <w:rPr>
          <w:rFonts w:ascii="Calibri" w:hAnsi="Calibri" w:cs="Calibri"/>
          <w:sz w:val="20"/>
          <w:szCs w:val="20"/>
        </w:rPr>
        <w:t>ties to investment-grade securities, which have high credit ratings and also limit the amount of credit exposure to any one issuer. As stated in our investment policy, we are averse to principal loss and seek to preserve our invested funds by limiting defa</w:t>
      </w:r>
      <w:r>
        <w:rPr>
          <w:rFonts w:ascii="Calibri" w:hAnsi="Calibri" w:cs="Calibri"/>
          <w:sz w:val="20"/>
          <w:szCs w:val="20"/>
        </w:rPr>
        <w:t>ult risk and market risk.</w:t>
      </w:r>
    </w:p>
    <w:p w14:paraId="3973E3F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consolidated balance sheets as of May 31, 2022 and 2021 and our consolidated statements of cash flows for the years ended May 31, 2022, 202</w:t>
      </w:r>
      <w:r>
        <w:rPr>
          <w:rFonts w:ascii="Calibri" w:hAnsi="Calibri" w:cs="Calibri"/>
          <w:sz w:val="20"/>
          <w:szCs w:val="20"/>
        </w:rPr>
        <w:t>1 and 2020 was nominal.</w:t>
      </w:r>
    </w:p>
    <w:p w14:paraId="3973E3F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83</w:t>
      </w:r>
    </w:p>
    <w:p w14:paraId="3973E3F8" w14:textId="77777777" w:rsidR="007B027D" w:rsidRDefault="008E0125">
      <w:r>
        <w:rPr>
          <w:rFonts w:ascii="Calibri" w:hAnsi="Calibri" w:cs="Calibri"/>
          <w:sz w:val="20"/>
          <w:szCs w:val="20"/>
        </w:rPr>
        <w:pict w14:anchorId="3974008E">
          <v:rect id="_x0000_i1109" style="width:415.3pt;height:1.5pt" o:hralign="center" o:hrstd="t" o:hr="t" fillcolor="#a0a0a0" stroked="f"/>
        </w:pict>
      </w:r>
    </w:p>
    <w:p w14:paraId="3973E3F9" w14:textId="77777777" w:rsidR="007B027D" w:rsidRDefault="008E0125">
      <w:pPr>
        <w:pStyle w:val="a3"/>
        <w:spacing w:beforeAutospacing="0" w:after="120" w:afterAutospacing="0"/>
        <w:rPr>
          <w:rFonts w:ascii="Calibri" w:hAnsi="Calibri" w:cs="Calibri"/>
          <w:sz w:val="18"/>
          <w:szCs w:val="18"/>
        </w:rPr>
      </w:pPr>
      <w:hyperlink r:id="rId202" w:anchor="TABLE_OF_CONTENTS" w:history="1">
        <w:r>
          <w:rPr>
            <w:rStyle w:val="a5"/>
            <w:rFonts w:ascii="Calibri" w:hAnsi="Calibri" w:cs="Calibri"/>
            <w:sz w:val="18"/>
            <w:szCs w:val="18"/>
          </w:rPr>
          <w:t>Table of Contents</w:t>
        </w:r>
      </w:hyperlink>
    </w:p>
    <w:p w14:paraId="3973E3FA" w14:textId="77777777" w:rsidR="007B027D" w:rsidRDefault="008E0125">
      <w:pPr>
        <w:pStyle w:val="a3"/>
        <w:spacing w:beforeAutospacing="0" w:afterAutospacing="0"/>
        <w:rPr>
          <w:rFonts w:ascii="Calibri" w:hAnsi="Calibri" w:cs="Calibri"/>
          <w:sz w:val="18"/>
          <w:szCs w:val="18"/>
        </w:rPr>
      </w:pPr>
      <w:hyperlink r:id="rId203" w:anchor="ITEM_15_EXHIBITS_FINANCIAL_STATEMENT_SCH" w:history="1">
        <w:r>
          <w:rPr>
            <w:rStyle w:val="a5"/>
            <w:rFonts w:ascii="Calibri" w:hAnsi="Calibri" w:cs="Calibri"/>
            <w:sz w:val="18"/>
            <w:szCs w:val="18"/>
          </w:rPr>
          <w:t>Index to Financial Statements</w:t>
        </w:r>
      </w:hyperlink>
    </w:p>
    <w:p w14:paraId="3973E3FB"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3F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3FD"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3FE"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401" w14:textId="77777777">
        <w:tc>
          <w:tcPr>
            <w:tcW w:w="262" w:type="pct"/>
            <w:shd w:val="clear" w:color="auto" w:fill="auto"/>
            <w:noWrap/>
          </w:tcPr>
          <w:p w14:paraId="3973E3FF" w14:textId="77777777" w:rsidR="007B027D" w:rsidRDefault="008E0125">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4.</w:t>
            </w:r>
          </w:p>
        </w:tc>
        <w:tc>
          <w:tcPr>
            <w:tcW w:w="0" w:type="auto"/>
            <w:shd w:val="clear" w:color="auto" w:fill="auto"/>
          </w:tcPr>
          <w:p w14:paraId="3973E400" w14:textId="77777777" w:rsidR="007B027D" w:rsidRDefault="008E0125">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 xml:space="preserve">FAIR VALUE MEASUREMENTS </w:t>
            </w:r>
          </w:p>
        </w:tc>
      </w:tr>
    </w:tbl>
    <w:p w14:paraId="3973E40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perform fair value measurements in accordance with ASC 820. ASC 820 defines fair value as the price that would be received from selling an asset or paid to transfer a liability in an orderly transaction between market participants at the measurement dat</w:t>
      </w:r>
      <w:r>
        <w:rPr>
          <w:rFonts w:ascii="Calibri" w:hAnsi="Calibri" w:cs="Calibri"/>
          <w:sz w:val="20"/>
          <w:szCs w:val="20"/>
        </w:rPr>
        <w:t>e. When determining the fair value measurements for assets and liabilities required to be recorded at their fair values, we consider the principal or most advantageous market in which we would transact and consider assumptions that market participants woul</w:t>
      </w:r>
      <w:r>
        <w:rPr>
          <w:rFonts w:ascii="Calibri" w:hAnsi="Calibri" w:cs="Calibri"/>
          <w:sz w:val="20"/>
          <w:szCs w:val="20"/>
        </w:rPr>
        <w:t xml:space="preserve">d use when pricing the assets or liabilities, such as inherent risk, transfer restrictions and risk of nonperformance. </w:t>
      </w:r>
    </w:p>
    <w:p w14:paraId="3973E40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maximize the use of observable inputs and minimize the use of unob</w:t>
      </w:r>
      <w:r>
        <w:rPr>
          <w:rFonts w:ascii="Calibri" w:hAnsi="Calibri" w:cs="Calibri"/>
          <w:sz w:val="20"/>
          <w:szCs w:val="20"/>
        </w:rPr>
        <w:t>servable inputs when measuring fair value. An asset’s or a liability’s categorization within the fair value hierarchy is based upon the lowest level of input that is significant to the fair value measurement. ASC 820 establishes three levels of inputs that</w:t>
      </w:r>
      <w:r>
        <w:rPr>
          <w:rFonts w:ascii="Calibri" w:hAnsi="Calibri" w:cs="Calibri"/>
          <w:sz w:val="20"/>
          <w:szCs w:val="20"/>
        </w:rPr>
        <w:t xml:space="preserve"> may be used to measure fair value: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407" w14:textId="77777777">
        <w:tc>
          <w:tcPr>
            <w:tcW w:w="262" w:type="pct"/>
            <w:shd w:val="clear" w:color="auto" w:fill="auto"/>
            <w:noWrap/>
          </w:tcPr>
          <w:p w14:paraId="3973E404"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405"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406"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3973E40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40C" w14:textId="77777777">
        <w:tc>
          <w:tcPr>
            <w:tcW w:w="262" w:type="pct"/>
            <w:shd w:val="clear" w:color="auto" w:fill="auto"/>
            <w:noWrap/>
          </w:tcPr>
          <w:p w14:paraId="3973E40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40A"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40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2: inputs other than Level 1 that are observable, either directly or indirectly, such as quoted prices in active markets for similar assets or liabilities, quoted prices for identical or similar assets or liabilities in markets that are not active, o</w:t>
            </w:r>
            <w:r>
              <w:rPr>
                <w:rFonts w:ascii="Calibri" w:hAnsi="Calibri" w:cs="Calibri"/>
                <w:color w:val="000000"/>
                <w:sz w:val="20"/>
                <w:szCs w:val="20"/>
              </w:rPr>
              <w:t xml:space="preserve">r other inputs that are observable or can be corroborated by observable market data for substantially the full term of the assets or liabilities; or </w:t>
            </w:r>
          </w:p>
        </w:tc>
      </w:tr>
    </w:tbl>
    <w:p w14:paraId="3973E40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411" w14:textId="77777777">
        <w:tc>
          <w:tcPr>
            <w:tcW w:w="262" w:type="pct"/>
            <w:shd w:val="clear" w:color="auto" w:fill="auto"/>
            <w:noWrap/>
          </w:tcPr>
          <w:p w14:paraId="3973E40E"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40F"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E410"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3: unobservable inputs that are supported by little or no market activity and that are signifi</w:t>
            </w:r>
            <w:r>
              <w:rPr>
                <w:rFonts w:ascii="Calibri" w:hAnsi="Calibri" w:cs="Calibri"/>
                <w:color w:val="000000"/>
                <w:sz w:val="20"/>
                <w:szCs w:val="20"/>
              </w:rPr>
              <w:t>cant to the fair values of the assets or liabilities.</w:t>
            </w:r>
          </w:p>
        </w:tc>
      </w:tr>
    </w:tbl>
    <w:p w14:paraId="3973E412"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Assets and Liabilities Measured at Fair Value on a Recurring Basis</w:t>
      </w:r>
    </w:p>
    <w:p w14:paraId="3973E41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w:t>
      </w:r>
      <w:r>
        <w:rPr>
          <w:rFonts w:ascii="Calibri" w:hAnsi="Calibri" w:cs="Calibri"/>
          <w:sz w:val="20"/>
          <w:szCs w:val="20"/>
        </w:rPr>
        <w:t xml:space="preserve">ned above): </w:t>
      </w:r>
    </w:p>
    <w:p w14:paraId="3973E414"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056"/>
        <w:gridCol w:w="61"/>
        <w:gridCol w:w="118"/>
        <w:gridCol w:w="637"/>
        <w:gridCol w:w="85"/>
        <w:gridCol w:w="85"/>
        <w:gridCol w:w="117"/>
        <w:gridCol w:w="636"/>
        <w:gridCol w:w="61"/>
        <w:gridCol w:w="61"/>
        <w:gridCol w:w="117"/>
        <w:gridCol w:w="594"/>
        <w:gridCol w:w="61"/>
        <w:gridCol w:w="61"/>
        <w:gridCol w:w="118"/>
        <w:gridCol w:w="637"/>
        <w:gridCol w:w="85"/>
        <w:gridCol w:w="85"/>
        <w:gridCol w:w="117"/>
        <w:gridCol w:w="636"/>
        <w:gridCol w:w="61"/>
        <w:gridCol w:w="61"/>
        <w:gridCol w:w="117"/>
        <w:gridCol w:w="593"/>
        <w:gridCol w:w="61"/>
      </w:tblGrid>
      <w:tr w:rsidR="007B027D" w14:paraId="3973E41C" w14:textId="77777777">
        <w:tc>
          <w:tcPr>
            <w:tcW w:w="1855" w:type="pct"/>
            <w:shd w:val="clear" w:color="auto" w:fill="FFFFFF"/>
            <w:tcMar>
              <w:top w:w="15" w:type="dxa"/>
              <w:right w:w="15" w:type="dxa"/>
            </w:tcMar>
            <w:vAlign w:val="bottom"/>
          </w:tcPr>
          <w:p w14:paraId="3973E415"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3973E41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3973E41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2022</w:t>
            </w:r>
          </w:p>
        </w:tc>
        <w:tc>
          <w:tcPr>
            <w:tcW w:w="50" w:type="pct"/>
            <w:shd w:val="clear" w:color="auto" w:fill="FFFFFF"/>
            <w:noWrap/>
            <w:tcMar>
              <w:top w:w="15" w:type="dxa"/>
              <w:right w:w="15" w:type="dxa"/>
            </w:tcMar>
            <w:vAlign w:val="bottom"/>
          </w:tcPr>
          <w:p w14:paraId="3973E41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1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3973E41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2021</w:t>
            </w:r>
          </w:p>
        </w:tc>
        <w:tc>
          <w:tcPr>
            <w:tcW w:w="50" w:type="pct"/>
            <w:shd w:val="clear" w:color="auto" w:fill="FFFFFF"/>
            <w:noWrap/>
            <w:tcMar>
              <w:top w:w="15" w:type="dxa"/>
              <w:right w:w="15" w:type="dxa"/>
            </w:tcMar>
            <w:vAlign w:val="bottom"/>
          </w:tcPr>
          <w:p w14:paraId="3973E41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42E" w14:textId="77777777">
        <w:tc>
          <w:tcPr>
            <w:tcW w:w="1855" w:type="pct"/>
            <w:shd w:val="clear" w:color="auto" w:fill="FFFFFF"/>
            <w:tcMar>
              <w:top w:w="15" w:type="dxa"/>
              <w:right w:w="15" w:type="dxa"/>
            </w:tcMar>
            <w:vAlign w:val="bottom"/>
          </w:tcPr>
          <w:p w14:paraId="3973E41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1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3973E41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3973E42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3973E42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3973E42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E42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3973E42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E42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2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3973E42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3973E42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3973E42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3973E42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3973E42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3973E42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3973E42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442" w14:textId="77777777">
        <w:tc>
          <w:tcPr>
            <w:tcW w:w="1855" w:type="pct"/>
            <w:tcBorders>
              <w:bottom w:val="single" w:sz="6" w:space="0" w:color="000000"/>
            </w:tcBorders>
            <w:shd w:val="clear" w:color="auto" w:fill="FFFFFF"/>
            <w:tcMar>
              <w:top w:w="15" w:type="dxa"/>
              <w:right w:w="15" w:type="dxa"/>
            </w:tcMar>
            <w:vAlign w:val="bottom"/>
          </w:tcPr>
          <w:p w14:paraId="3973E42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3973E43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3973E43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3973E43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3973E43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3973E43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3973E43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3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3973E43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3973E43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3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3973E43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3973E43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3973E43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3973E43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3973E43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E43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3973E44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3973E44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45C" w14:textId="77777777">
        <w:tc>
          <w:tcPr>
            <w:tcW w:w="1855" w:type="pct"/>
            <w:tcBorders>
              <w:top w:val="single" w:sz="6" w:space="0" w:color="000000"/>
            </w:tcBorders>
            <w:shd w:val="clear" w:color="auto" w:fill="CFF0FC"/>
            <w:tcMar>
              <w:top w:w="15" w:type="dxa"/>
              <w:right w:w="15" w:type="dxa"/>
            </w:tcMar>
          </w:tcPr>
          <w:p w14:paraId="3973E4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right w:w="15" w:type="dxa"/>
            </w:tcMar>
            <w:vAlign w:val="bottom"/>
          </w:tcPr>
          <w:p w14:paraId="3973E444"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45"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46"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47"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3973E448"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49"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4A"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4B"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3973E44C"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4D"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4E"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4F"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3973E450"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51"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52"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53"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3973E454"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55"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56"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57"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3973E458"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459"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3973E45A" w14:textId="77777777" w:rsidR="007B027D" w:rsidRDefault="008E012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3973E45B" w14:textId="77777777" w:rsidR="007B027D" w:rsidRDefault="008E012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7B027D" w14:paraId="3973E476" w14:textId="77777777">
        <w:tc>
          <w:tcPr>
            <w:tcW w:w="1855" w:type="pct"/>
            <w:shd w:val="clear" w:color="auto" w:fill="FFFFFF"/>
            <w:tcMar>
              <w:top w:w="15" w:type="dxa"/>
              <w:right w:w="15" w:type="dxa"/>
            </w:tcMar>
          </w:tcPr>
          <w:p w14:paraId="3973E45D"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right w:w="15" w:type="dxa"/>
            </w:tcMar>
            <w:vAlign w:val="bottom"/>
          </w:tcPr>
          <w:p w14:paraId="3973E4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3973E4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6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6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6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3973E4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6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6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3973E4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7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3973E47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3973E47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490" w14:textId="77777777">
        <w:tc>
          <w:tcPr>
            <w:tcW w:w="1855" w:type="pct"/>
            <w:shd w:val="clear" w:color="auto" w:fill="CFF0FC"/>
            <w:tcMar>
              <w:top w:w="15" w:type="dxa"/>
              <w:right w:w="15" w:type="dxa"/>
            </w:tcMar>
          </w:tcPr>
          <w:p w14:paraId="3973E477"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Time deposits and other</w:t>
            </w:r>
          </w:p>
        </w:tc>
        <w:tc>
          <w:tcPr>
            <w:tcW w:w="50" w:type="pct"/>
            <w:shd w:val="clear" w:color="auto" w:fill="CFF0FC"/>
            <w:tcMar>
              <w:top w:w="15" w:type="dxa"/>
              <w:right w:w="15" w:type="dxa"/>
            </w:tcMar>
            <w:vAlign w:val="bottom"/>
          </w:tcPr>
          <w:p w14:paraId="3973E4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7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7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3973E4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7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CFF0FC"/>
            <w:noWrap/>
            <w:tcMar>
              <w:top w:w="15" w:type="dxa"/>
              <w:right w:w="15" w:type="dxa"/>
            </w:tcMar>
            <w:vAlign w:val="bottom"/>
          </w:tcPr>
          <w:p w14:paraId="3973E4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8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8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CFF0FC"/>
            <w:noWrap/>
            <w:tcMar>
              <w:top w:w="15" w:type="dxa"/>
              <w:right w:w="15" w:type="dxa"/>
            </w:tcMar>
            <w:vAlign w:val="bottom"/>
          </w:tcPr>
          <w:p w14:paraId="3973E48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8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1,250</w:t>
            </w:r>
          </w:p>
        </w:tc>
        <w:tc>
          <w:tcPr>
            <w:tcW w:w="50" w:type="pct"/>
            <w:shd w:val="clear" w:color="auto" w:fill="CFF0FC"/>
            <w:noWrap/>
            <w:tcMar>
              <w:top w:w="15" w:type="dxa"/>
              <w:right w:w="15" w:type="dxa"/>
            </w:tcMar>
            <w:vAlign w:val="bottom"/>
          </w:tcPr>
          <w:p w14:paraId="3973E4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8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8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8,220</w:t>
            </w:r>
          </w:p>
        </w:tc>
        <w:tc>
          <w:tcPr>
            <w:tcW w:w="50" w:type="pct"/>
            <w:shd w:val="clear" w:color="auto" w:fill="CFF0FC"/>
            <w:noWrap/>
            <w:tcMar>
              <w:top w:w="15" w:type="dxa"/>
              <w:right w:w="15" w:type="dxa"/>
            </w:tcMar>
            <w:vAlign w:val="bottom"/>
          </w:tcPr>
          <w:p w14:paraId="3973E4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8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9,470</w:t>
            </w:r>
          </w:p>
        </w:tc>
        <w:tc>
          <w:tcPr>
            <w:tcW w:w="50" w:type="pct"/>
            <w:shd w:val="clear" w:color="auto" w:fill="CFF0FC"/>
            <w:noWrap/>
            <w:tcMar>
              <w:top w:w="15" w:type="dxa"/>
              <w:right w:w="15" w:type="dxa"/>
            </w:tcMar>
            <w:vAlign w:val="bottom"/>
          </w:tcPr>
          <w:p w14:paraId="3973E48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4AA" w14:textId="77777777">
        <w:tc>
          <w:tcPr>
            <w:tcW w:w="1855" w:type="pct"/>
            <w:shd w:val="clear" w:color="auto" w:fill="FFFFFF"/>
            <w:tcMar>
              <w:top w:w="15" w:type="dxa"/>
              <w:right w:w="15" w:type="dxa"/>
            </w:tcMar>
          </w:tcPr>
          <w:p w14:paraId="3973E491"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FFFFFF"/>
            <w:tcMar>
              <w:top w:w="15" w:type="dxa"/>
              <w:right w:w="15" w:type="dxa"/>
            </w:tcMar>
            <w:vAlign w:val="bottom"/>
          </w:tcPr>
          <w:p w14:paraId="3973E4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9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9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9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9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A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A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A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3973E4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4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3973E4A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3973E4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4C4" w14:textId="77777777">
        <w:tc>
          <w:tcPr>
            <w:tcW w:w="1855" w:type="pct"/>
            <w:shd w:val="clear" w:color="auto" w:fill="CFF0FC"/>
            <w:tcMar>
              <w:top w:w="15" w:type="dxa"/>
              <w:right w:w="15" w:type="dxa"/>
            </w:tcMar>
          </w:tcPr>
          <w:p w14:paraId="3973E4AB"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right w:w="15" w:type="dxa"/>
            </w:tcMar>
            <w:vAlign w:val="bottom"/>
          </w:tcPr>
          <w:p w14:paraId="3973E4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A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E4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B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E4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B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E4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B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3973E4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B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3973E4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4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3973E4C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3973E4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4DE" w14:textId="77777777">
        <w:tc>
          <w:tcPr>
            <w:tcW w:w="1855" w:type="pct"/>
            <w:shd w:val="clear" w:color="auto" w:fill="FFFFFF"/>
            <w:tcMar>
              <w:top w:w="15" w:type="dxa"/>
              <w:right w:w="15" w:type="dxa"/>
            </w:tcMar>
          </w:tcPr>
          <w:p w14:paraId="3973E4C5" w14:textId="77777777" w:rsidR="007B027D" w:rsidRDefault="008E012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right w:w="15" w:type="dxa"/>
            </w:tcMar>
            <w:vAlign w:val="bottom"/>
          </w:tcPr>
          <w:p w14:paraId="3973E4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C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13,082</w:t>
            </w:r>
          </w:p>
        </w:tc>
        <w:tc>
          <w:tcPr>
            <w:tcW w:w="50" w:type="pct"/>
            <w:shd w:val="clear" w:color="auto" w:fill="FFFFFF"/>
            <w:noWrap/>
            <w:tcMar>
              <w:top w:w="15" w:type="dxa"/>
              <w:right w:w="15" w:type="dxa"/>
            </w:tcMar>
            <w:vAlign w:val="bottom"/>
          </w:tcPr>
          <w:p w14:paraId="3973E4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C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C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FFFFFF"/>
            <w:noWrap/>
            <w:tcMar>
              <w:top w:w="15" w:type="dxa"/>
              <w:right w:w="15" w:type="dxa"/>
            </w:tcMar>
            <w:vAlign w:val="bottom"/>
          </w:tcPr>
          <w:p w14:paraId="3973E4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C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D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13,362</w:t>
            </w:r>
          </w:p>
        </w:tc>
        <w:tc>
          <w:tcPr>
            <w:tcW w:w="50" w:type="pct"/>
            <w:shd w:val="clear" w:color="auto" w:fill="FFFFFF"/>
            <w:noWrap/>
            <w:tcMar>
              <w:top w:w="15" w:type="dxa"/>
              <w:right w:w="15" w:type="dxa"/>
            </w:tcMar>
            <w:vAlign w:val="bottom"/>
          </w:tcPr>
          <w:p w14:paraId="3973E4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D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D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D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13,513</w:t>
            </w:r>
          </w:p>
        </w:tc>
        <w:tc>
          <w:tcPr>
            <w:tcW w:w="50" w:type="pct"/>
            <w:shd w:val="clear" w:color="auto" w:fill="FFFFFF"/>
            <w:noWrap/>
            <w:tcMar>
              <w:top w:w="15" w:type="dxa"/>
              <w:right w:w="15" w:type="dxa"/>
            </w:tcMar>
            <w:vAlign w:val="bottom"/>
          </w:tcPr>
          <w:p w14:paraId="3973E4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D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D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20,005</w:t>
            </w:r>
          </w:p>
        </w:tc>
        <w:tc>
          <w:tcPr>
            <w:tcW w:w="50" w:type="pct"/>
            <w:shd w:val="clear" w:color="auto" w:fill="FFFFFF"/>
            <w:noWrap/>
            <w:tcMar>
              <w:top w:w="15" w:type="dxa"/>
              <w:right w:w="15" w:type="dxa"/>
            </w:tcMar>
            <w:vAlign w:val="bottom"/>
          </w:tcPr>
          <w:p w14:paraId="3973E4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4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3973E4D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33,518</w:t>
            </w:r>
          </w:p>
        </w:tc>
        <w:tc>
          <w:tcPr>
            <w:tcW w:w="50" w:type="pct"/>
            <w:shd w:val="clear" w:color="auto" w:fill="FFFFFF"/>
            <w:noWrap/>
            <w:tcMar>
              <w:top w:w="15" w:type="dxa"/>
              <w:right w:w="15" w:type="dxa"/>
            </w:tcMar>
            <w:vAlign w:val="bottom"/>
          </w:tcPr>
          <w:p w14:paraId="3973E4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4F8" w14:textId="77777777">
        <w:tc>
          <w:tcPr>
            <w:tcW w:w="1855" w:type="pct"/>
            <w:shd w:val="clear" w:color="auto" w:fill="CFF0FC"/>
            <w:tcMar>
              <w:top w:w="15" w:type="dxa"/>
              <w:right w:w="15" w:type="dxa"/>
            </w:tcMar>
          </w:tcPr>
          <w:p w14:paraId="3973E4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right w:w="15" w:type="dxa"/>
            </w:tcMar>
            <w:vAlign w:val="bottom"/>
          </w:tcPr>
          <w:p w14:paraId="3973E4E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E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E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E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3973E4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3973E4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4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12" w14:textId="77777777">
        <w:tc>
          <w:tcPr>
            <w:tcW w:w="1855" w:type="pct"/>
            <w:shd w:val="clear" w:color="auto" w:fill="FFFFFF"/>
            <w:tcMar>
              <w:top w:w="15" w:type="dxa"/>
              <w:right w:w="15" w:type="dxa"/>
            </w:tcMar>
          </w:tcPr>
          <w:p w14:paraId="3973E4F9"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right w:w="15" w:type="dxa"/>
            </w:tcMar>
            <w:vAlign w:val="bottom"/>
          </w:tcPr>
          <w:p w14:paraId="3973E4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4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4F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4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4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4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50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3973E5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5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5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50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3973E5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5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5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5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5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5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5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50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5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3973E50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3973E5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3973E51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51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513" w14:textId="77777777" w:rsidR="007B027D" w:rsidRDefault="008E0125">
      <w:pPr>
        <w:pStyle w:val="a3"/>
        <w:spacing w:beforeAutospacing="0" w:afterAutospacing="0"/>
        <w:rPr>
          <w:sz w:val="12"/>
          <w:szCs w:val="12"/>
        </w:rPr>
      </w:pPr>
      <w:r>
        <w:rPr>
          <w:sz w:val="12"/>
          <w:szCs w:val="12"/>
        </w:rPr>
        <w:t> </w:t>
      </w:r>
    </w:p>
    <w:p w14:paraId="3973E51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marketable securities investments consist of money market funds, time deposits and certain other securities. Marketable securities as presented per our consolidated balance sheets included debt securities with original maturities at the time of purchas</w:t>
      </w:r>
      <w:r>
        <w:rPr>
          <w:rFonts w:ascii="Calibri" w:hAnsi="Calibri" w:cs="Calibri"/>
          <w:sz w:val="20"/>
          <w:szCs w:val="20"/>
        </w:rPr>
        <w:t>e greater than three months and the remainder of the debt securities were included in cash and cash equivalents. As of May 31, 2022 and May 31, 2021, substantially all of our marketable debt securities investments mature within one year. Our valuation tech</w:t>
      </w:r>
      <w:r>
        <w:rPr>
          <w:rFonts w:ascii="Calibri" w:hAnsi="Calibri" w:cs="Calibri"/>
          <w:sz w:val="20"/>
          <w:szCs w:val="20"/>
        </w:rPr>
        <w:t>niques used to measure the fair values of our instruments that were classified as Level 1 in the table above were derived from quoted market prices and active markets for these instruments that exist. Our valuation techniques used to measure the fair value</w:t>
      </w:r>
      <w:r>
        <w:rPr>
          <w:rFonts w:ascii="Calibri" w:hAnsi="Calibri" w:cs="Calibri"/>
          <w:sz w:val="20"/>
          <w:szCs w:val="20"/>
        </w:rPr>
        <w:t>s of Level 2 instruments listed in the table above were derived from the following: non-binding market consensus prices that were corroborated by observable market data, quoted market prices for similar instruments, or pricing models, such as discounted ca</w:t>
      </w:r>
      <w:r>
        <w:rPr>
          <w:rFonts w:ascii="Calibri" w:hAnsi="Calibri" w:cs="Calibri"/>
          <w:sz w:val="20"/>
          <w:szCs w:val="20"/>
        </w:rPr>
        <w:t xml:space="preserve">sh flow techniques, with all significant inputs derived from or corroborated by observable market data including reference rate yield curves, among others. </w:t>
      </w:r>
    </w:p>
    <w:p w14:paraId="3973E51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84</w:t>
      </w:r>
    </w:p>
    <w:p w14:paraId="3973E516" w14:textId="77777777" w:rsidR="007B027D" w:rsidRDefault="008E0125">
      <w:r>
        <w:rPr>
          <w:rFonts w:ascii="Calibri" w:hAnsi="Calibri" w:cs="Calibri"/>
          <w:sz w:val="20"/>
          <w:szCs w:val="20"/>
        </w:rPr>
        <w:pict w14:anchorId="3974008F">
          <v:rect id="_x0000_i1110" style="width:415.3pt;height:1.5pt" o:hralign="center" o:hrstd="t" o:hr="t" fillcolor="#a0a0a0" stroked="f"/>
        </w:pict>
      </w:r>
    </w:p>
    <w:p w14:paraId="3973E517" w14:textId="77777777" w:rsidR="007B027D" w:rsidRDefault="008E0125">
      <w:pPr>
        <w:pStyle w:val="a3"/>
        <w:spacing w:beforeAutospacing="0" w:after="120" w:afterAutospacing="0"/>
        <w:rPr>
          <w:rFonts w:ascii="Calibri" w:hAnsi="Calibri" w:cs="Calibri"/>
          <w:sz w:val="18"/>
          <w:szCs w:val="18"/>
        </w:rPr>
      </w:pPr>
      <w:hyperlink r:id="rId204" w:anchor="TABLE_OF_CONTENTS" w:history="1">
        <w:r>
          <w:rPr>
            <w:rStyle w:val="a5"/>
            <w:rFonts w:ascii="Calibri" w:hAnsi="Calibri" w:cs="Calibri"/>
            <w:sz w:val="18"/>
            <w:szCs w:val="18"/>
          </w:rPr>
          <w:t>Table of Contents</w:t>
        </w:r>
      </w:hyperlink>
    </w:p>
    <w:p w14:paraId="3973E518" w14:textId="77777777" w:rsidR="007B027D" w:rsidRDefault="008E0125">
      <w:pPr>
        <w:pStyle w:val="a3"/>
        <w:spacing w:beforeAutospacing="0" w:afterAutospacing="0"/>
        <w:rPr>
          <w:rFonts w:ascii="Calibri" w:hAnsi="Calibri" w:cs="Calibri"/>
          <w:sz w:val="18"/>
          <w:szCs w:val="18"/>
        </w:rPr>
      </w:pPr>
      <w:hyperlink r:id="rId205" w:anchor="ITEM_15_EXHIBITS_FINANCIAL_STATEMENT_SCH" w:history="1">
        <w:r>
          <w:rPr>
            <w:rStyle w:val="a5"/>
            <w:rFonts w:ascii="Calibri" w:hAnsi="Calibri" w:cs="Calibri"/>
            <w:sz w:val="18"/>
            <w:szCs w:val="18"/>
          </w:rPr>
          <w:t>Index to Financial Statements</w:t>
        </w:r>
      </w:hyperlink>
    </w:p>
    <w:p w14:paraId="3973E519"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51A"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51B"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51C"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51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$75.9 billion and $84.2 billion of </w:t>
      </w:r>
      <w:r>
        <w:rPr>
          <w:rFonts w:ascii="Calibri" w:hAnsi="Calibri" w:cs="Calibri"/>
          <w:sz w:val="20"/>
          <w:szCs w:val="20"/>
        </w:rPr>
        <w:t>senior notes and the related fair value hedges (refer to Note 7 for additional information) that we had outstanding as of May 31, 2022 and 2021, respectively, the estimated fair values of the senior notes and the related fair value hedges using Level 2 inp</w:t>
      </w:r>
      <w:r>
        <w:rPr>
          <w:rFonts w:ascii="Calibri" w:hAnsi="Calibri" w:cs="Calibri"/>
          <w:sz w:val="20"/>
          <w:szCs w:val="20"/>
        </w:rPr>
        <w:t>uts at May 31, 2022 and 2021 were $67.0 billion and $89.6 billion, respectively.</w:t>
      </w:r>
      <w:r>
        <w:rPr>
          <w:rFonts w:ascii="Times New Roman" w:hAnsi="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444"/>
        <w:gridCol w:w="7862"/>
      </w:tblGrid>
      <w:tr w:rsidR="007B027D" w14:paraId="3973E520" w14:textId="77777777">
        <w:tc>
          <w:tcPr>
            <w:tcW w:w="267" w:type="pct"/>
            <w:shd w:val="clear" w:color="auto" w:fill="auto"/>
            <w:noWrap/>
          </w:tcPr>
          <w:p w14:paraId="3973E51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3973E51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PROPERTY, PLANT AND EQUIPMENT</w:t>
            </w:r>
          </w:p>
        </w:tc>
      </w:tr>
    </w:tbl>
    <w:p w14:paraId="3973E52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Property, plant and equipment, net consisted of the following:</w:t>
      </w:r>
    </w:p>
    <w:p w14:paraId="3973E522"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099"/>
        <w:gridCol w:w="127"/>
        <w:gridCol w:w="1260"/>
        <w:gridCol w:w="128"/>
        <w:gridCol w:w="117"/>
        <w:gridCol w:w="1095"/>
        <w:gridCol w:w="76"/>
        <w:gridCol w:w="128"/>
        <w:gridCol w:w="117"/>
        <w:gridCol w:w="1098"/>
        <w:gridCol w:w="76"/>
      </w:tblGrid>
      <w:tr w:rsidR="007B027D" w14:paraId="3973E529" w14:textId="77777777">
        <w:tc>
          <w:tcPr>
            <w:tcW w:w="2467" w:type="pct"/>
            <w:shd w:val="clear" w:color="auto" w:fill="FFFFFF"/>
            <w:tcMar>
              <w:top w:w="15" w:type="dxa"/>
              <w:right w:w="15" w:type="dxa"/>
            </w:tcMar>
            <w:vAlign w:val="bottom"/>
          </w:tcPr>
          <w:p w14:paraId="3973E52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3973E52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shd w:val="clear" w:color="auto" w:fill="FFFFFF"/>
            <w:tcMar>
              <w:top w:w="15" w:type="dxa"/>
              <w:right w:w="15" w:type="dxa"/>
            </w:tcMar>
            <w:vAlign w:val="bottom"/>
          </w:tcPr>
          <w:p w14:paraId="3973E52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Estimated</w:t>
            </w:r>
          </w:p>
        </w:tc>
        <w:tc>
          <w:tcPr>
            <w:tcW w:w="81" w:type="pct"/>
            <w:shd w:val="clear" w:color="auto" w:fill="FFFFFF"/>
            <w:tcMar>
              <w:top w:w="15" w:type="dxa"/>
              <w:right w:w="15" w:type="dxa"/>
            </w:tcMar>
            <w:vAlign w:val="bottom"/>
          </w:tcPr>
          <w:p w14:paraId="3973E52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57" w:type="pct"/>
            <w:gridSpan w:val="6"/>
            <w:tcBorders>
              <w:bottom w:val="single" w:sz="6" w:space="0" w:color="000000"/>
            </w:tcBorders>
            <w:shd w:val="clear" w:color="auto" w:fill="FFFFFF"/>
            <w:tcMar>
              <w:top w:w="15" w:type="dxa"/>
              <w:right w:w="15" w:type="dxa"/>
            </w:tcMar>
            <w:vAlign w:val="bottom"/>
          </w:tcPr>
          <w:p w14:paraId="3973E52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E52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533" w14:textId="77777777">
        <w:tc>
          <w:tcPr>
            <w:tcW w:w="2467" w:type="pct"/>
            <w:tcBorders>
              <w:bottom w:val="single" w:sz="6" w:space="0" w:color="000000"/>
            </w:tcBorders>
            <w:shd w:val="clear" w:color="auto" w:fill="FFFFFF"/>
            <w:tcMar>
              <w:top w:w="15" w:type="dxa"/>
              <w:right w:w="15" w:type="dxa"/>
            </w:tcMar>
            <w:vAlign w:val="bottom"/>
          </w:tcPr>
          <w:p w14:paraId="3973E52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1" w:type="pct"/>
            <w:shd w:val="clear" w:color="auto" w:fill="FFFFFF"/>
            <w:tcMar>
              <w:top w:w="15" w:type="dxa"/>
              <w:right w:w="15" w:type="dxa"/>
            </w:tcMar>
            <w:vAlign w:val="bottom"/>
          </w:tcPr>
          <w:p w14:paraId="3973E52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tcBorders>
              <w:bottom w:val="single" w:sz="6" w:space="0" w:color="000000"/>
            </w:tcBorders>
            <w:shd w:val="clear" w:color="auto" w:fill="FFFFFF"/>
            <w:tcMar>
              <w:top w:w="15" w:type="dxa"/>
              <w:right w:w="15" w:type="dxa"/>
            </w:tcMar>
            <w:vAlign w:val="bottom"/>
          </w:tcPr>
          <w:p w14:paraId="3973E52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Useful Life</w:t>
            </w:r>
          </w:p>
        </w:tc>
        <w:tc>
          <w:tcPr>
            <w:tcW w:w="81" w:type="pct"/>
            <w:shd w:val="clear" w:color="auto" w:fill="FFFFFF"/>
            <w:tcMar>
              <w:top w:w="15" w:type="dxa"/>
              <w:right w:w="15" w:type="dxa"/>
            </w:tcMar>
            <w:vAlign w:val="bottom"/>
          </w:tcPr>
          <w:p w14:paraId="3973E52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right w:w="15" w:type="dxa"/>
            </w:tcMar>
            <w:vAlign w:val="bottom"/>
          </w:tcPr>
          <w:p w14:paraId="3973E52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52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3973E53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right w:w="15" w:type="dxa"/>
            </w:tcMar>
            <w:vAlign w:val="bottom"/>
          </w:tcPr>
          <w:p w14:paraId="3973E53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53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53F" w14:textId="77777777">
        <w:tc>
          <w:tcPr>
            <w:tcW w:w="2467" w:type="pct"/>
            <w:tcBorders>
              <w:top w:val="single" w:sz="6" w:space="0" w:color="000000"/>
            </w:tcBorders>
            <w:shd w:val="clear" w:color="auto" w:fill="CFF0FC"/>
            <w:tcMar>
              <w:top w:w="15" w:type="dxa"/>
              <w:right w:w="15" w:type="dxa"/>
            </w:tcMar>
          </w:tcPr>
          <w:p w14:paraId="3973E53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Computer, network, machinery and equipment</w:t>
            </w:r>
          </w:p>
        </w:tc>
        <w:tc>
          <w:tcPr>
            <w:tcW w:w="81" w:type="pct"/>
            <w:shd w:val="clear" w:color="auto" w:fill="CFF0FC"/>
            <w:tcMar>
              <w:top w:w="15" w:type="dxa"/>
              <w:right w:w="15" w:type="dxa"/>
            </w:tcMar>
            <w:vAlign w:val="bottom"/>
          </w:tcPr>
          <w:p w14:paraId="3973E53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tcBorders>
              <w:top w:val="single" w:sz="6" w:space="0" w:color="000000"/>
            </w:tcBorders>
            <w:shd w:val="clear" w:color="auto" w:fill="CFF0FC"/>
            <w:tcMar>
              <w:top w:w="15" w:type="dxa"/>
              <w:right w:w="15" w:type="dxa"/>
            </w:tcMar>
          </w:tcPr>
          <w:p w14:paraId="3973E53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 years</w:t>
            </w:r>
          </w:p>
        </w:tc>
        <w:tc>
          <w:tcPr>
            <w:tcW w:w="81" w:type="pct"/>
            <w:shd w:val="clear" w:color="auto" w:fill="CFF0FC"/>
            <w:tcMar>
              <w:top w:w="15" w:type="dxa"/>
              <w:right w:w="15" w:type="dxa"/>
            </w:tcMar>
            <w:vAlign w:val="bottom"/>
          </w:tcPr>
          <w:p w14:paraId="3973E53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53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right w:w="15" w:type="dxa"/>
            </w:tcMar>
            <w:vAlign w:val="bottom"/>
          </w:tcPr>
          <w:p w14:paraId="3973E53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12,844</w:t>
            </w:r>
          </w:p>
        </w:tc>
        <w:tc>
          <w:tcPr>
            <w:tcW w:w="50" w:type="pct"/>
            <w:shd w:val="clear" w:color="auto" w:fill="CFF0FC"/>
            <w:noWrap/>
            <w:tcMar>
              <w:top w:w="15" w:type="dxa"/>
              <w:right w:w="15" w:type="dxa"/>
            </w:tcMar>
            <w:vAlign w:val="bottom"/>
          </w:tcPr>
          <w:p w14:paraId="3973E53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E53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5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right w:w="15" w:type="dxa"/>
            </w:tcMar>
            <w:vAlign w:val="bottom"/>
          </w:tcPr>
          <w:p w14:paraId="3973E53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9,508</w:t>
            </w:r>
          </w:p>
        </w:tc>
        <w:tc>
          <w:tcPr>
            <w:tcW w:w="50" w:type="pct"/>
            <w:shd w:val="clear" w:color="auto" w:fill="CFF0FC"/>
            <w:noWrap/>
            <w:tcMar>
              <w:top w:w="15" w:type="dxa"/>
              <w:right w:w="15" w:type="dxa"/>
            </w:tcMar>
            <w:vAlign w:val="bottom"/>
          </w:tcPr>
          <w:p w14:paraId="3973E5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4B" w14:textId="77777777">
        <w:tc>
          <w:tcPr>
            <w:tcW w:w="2467" w:type="pct"/>
            <w:shd w:val="clear" w:color="auto" w:fill="FFFFFF"/>
            <w:tcMar>
              <w:top w:w="15" w:type="dxa"/>
              <w:right w:w="15" w:type="dxa"/>
            </w:tcMar>
          </w:tcPr>
          <w:p w14:paraId="3973E5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Buildings and improvements</w:t>
            </w:r>
          </w:p>
        </w:tc>
        <w:tc>
          <w:tcPr>
            <w:tcW w:w="81" w:type="pct"/>
            <w:shd w:val="clear" w:color="auto" w:fill="FFFFFF"/>
            <w:tcMar>
              <w:top w:w="15" w:type="dxa"/>
              <w:right w:w="15" w:type="dxa"/>
            </w:tcMar>
            <w:vAlign w:val="bottom"/>
          </w:tcPr>
          <w:p w14:paraId="3973E54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FFFFFF"/>
            <w:tcMar>
              <w:top w:w="15" w:type="dxa"/>
              <w:right w:w="15" w:type="dxa"/>
            </w:tcMar>
          </w:tcPr>
          <w:p w14:paraId="3973E54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1" w:type="pct"/>
            <w:shd w:val="clear" w:color="auto" w:fill="FFFFFF"/>
            <w:tcMar>
              <w:top w:w="15" w:type="dxa"/>
              <w:right w:w="15" w:type="dxa"/>
            </w:tcMar>
            <w:vAlign w:val="bottom"/>
          </w:tcPr>
          <w:p w14:paraId="3973E5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5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3973E54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4,729</w:t>
            </w:r>
          </w:p>
        </w:tc>
        <w:tc>
          <w:tcPr>
            <w:tcW w:w="50" w:type="pct"/>
            <w:shd w:val="clear" w:color="auto" w:fill="FFFFFF"/>
            <w:noWrap/>
            <w:tcMar>
              <w:top w:w="15" w:type="dxa"/>
              <w:right w:w="15" w:type="dxa"/>
            </w:tcMar>
            <w:vAlign w:val="bottom"/>
          </w:tcPr>
          <w:p w14:paraId="3973E54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E54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5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3973E54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4,734</w:t>
            </w:r>
          </w:p>
        </w:tc>
        <w:tc>
          <w:tcPr>
            <w:tcW w:w="50" w:type="pct"/>
            <w:shd w:val="clear" w:color="auto" w:fill="FFFFFF"/>
            <w:noWrap/>
            <w:tcMar>
              <w:top w:w="15" w:type="dxa"/>
              <w:right w:w="15" w:type="dxa"/>
            </w:tcMar>
            <w:vAlign w:val="bottom"/>
          </w:tcPr>
          <w:p w14:paraId="3973E5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57" w14:textId="77777777">
        <w:tc>
          <w:tcPr>
            <w:tcW w:w="2467" w:type="pct"/>
            <w:shd w:val="clear" w:color="auto" w:fill="CFF0FC"/>
            <w:tcMar>
              <w:top w:w="15" w:type="dxa"/>
              <w:right w:w="15" w:type="dxa"/>
            </w:tcMar>
          </w:tcPr>
          <w:p w14:paraId="3973E5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Furniture, fixtures and other</w:t>
            </w:r>
          </w:p>
        </w:tc>
        <w:tc>
          <w:tcPr>
            <w:tcW w:w="81" w:type="pct"/>
            <w:shd w:val="clear" w:color="auto" w:fill="CFF0FC"/>
            <w:tcMar>
              <w:top w:w="15" w:type="dxa"/>
              <w:right w:w="15" w:type="dxa"/>
            </w:tcMar>
            <w:vAlign w:val="bottom"/>
          </w:tcPr>
          <w:p w14:paraId="3973E54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CFF0FC"/>
            <w:tcMar>
              <w:top w:w="15" w:type="dxa"/>
              <w:right w:w="15" w:type="dxa"/>
            </w:tcMar>
          </w:tcPr>
          <w:p w14:paraId="3973E54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5-15 years</w:t>
            </w:r>
          </w:p>
        </w:tc>
        <w:tc>
          <w:tcPr>
            <w:tcW w:w="81" w:type="pct"/>
            <w:shd w:val="clear" w:color="auto" w:fill="CFF0FC"/>
            <w:tcMar>
              <w:top w:w="15" w:type="dxa"/>
              <w:right w:w="15" w:type="dxa"/>
            </w:tcMar>
            <w:vAlign w:val="bottom"/>
          </w:tcPr>
          <w:p w14:paraId="3973E54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5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right w:w="15" w:type="dxa"/>
            </w:tcMar>
            <w:vAlign w:val="bottom"/>
          </w:tcPr>
          <w:p w14:paraId="3973E55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423</w:t>
            </w:r>
          </w:p>
        </w:tc>
        <w:tc>
          <w:tcPr>
            <w:tcW w:w="50" w:type="pct"/>
            <w:shd w:val="clear" w:color="auto" w:fill="CFF0FC"/>
            <w:noWrap/>
            <w:tcMar>
              <w:top w:w="15" w:type="dxa"/>
              <w:right w:w="15" w:type="dxa"/>
            </w:tcMar>
            <w:vAlign w:val="bottom"/>
          </w:tcPr>
          <w:p w14:paraId="3973E5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E55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5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right w:w="15" w:type="dxa"/>
            </w:tcMar>
            <w:vAlign w:val="bottom"/>
          </w:tcPr>
          <w:p w14:paraId="3973E55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454</w:t>
            </w:r>
          </w:p>
        </w:tc>
        <w:tc>
          <w:tcPr>
            <w:tcW w:w="50" w:type="pct"/>
            <w:shd w:val="clear" w:color="auto" w:fill="CFF0FC"/>
            <w:noWrap/>
            <w:tcMar>
              <w:top w:w="15" w:type="dxa"/>
              <w:right w:w="15" w:type="dxa"/>
            </w:tcMar>
            <w:vAlign w:val="bottom"/>
          </w:tcPr>
          <w:p w14:paraId="3973E5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63" w14:textId="77777777">
        <w:tc>
          <w:tcPr>
            <w:tcW w:w="2467" w:type="pct"/>
            <w:shd w:val="clear" w:color="auto" w:fill="FFFFFF"/>
            <w:tcMar>
              <w:top w:w="15" w:type="dxa"/>
              <w:right w:w="15" w:type="dxa"/>
            </w:tcMar>
          </w:tcPr>
          <w:p w14:paraId="3973E5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Land</w:t>
            </w:r>
          </w:p>
        </w:tc>
        <w:tc>
          <w:tcPr>
            <w:tcW w:w="81" w:type="pct"/>
            <w:shd w:val="clear" w:color="auto" w:fill="FFFFFF"/>
            <w:tcMar>
              <w:top w:w="15" w:type="dxa"/>
              <w:right w:w="15" w:type="dxa"/>
            </w:tcMar>
            <w:vAlign w:val="bottom"/>
          </w:tcPr>
          <w:p w14:paraId="3973E55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FFFFFF"/>
            <w:tcMar>
              <w:top w:w="15" w:type="dxa"/>
              <w:right w:w="15" w:type="dxa"/>
            </w:tcMar>
          </w:tcPr>
          <w:p w14:paraId="3973E55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3973E5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5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3973E5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1,166</w:t>
            </w:r>
          </w:p>
        </w:tc>
        <w:tc>
          <w:tcPr>
            <w:tcW w:w="50" w:type="pct"/>
            <w:shd w:val="clear" w:color="auto" w:fill="FFFFFF"/>
            <w:noWrap/>
            <w:tcMar>
              <w:top w:w="15" w:type="dxa"/>
              <w:right w:w="15" w:type="dxa"/>
            </w:tcMar>
            <w:vAlign w:val="bottom"/>
          </w:tcPr>
          <w:p w14:paraId="3973E5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E55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5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3973E56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871</w:t>
            </w:r>
          </w:p>
        </w:tc>
        <w:tc>
          <w:tcPr>
            <w:tcW w:w="50" w:type="pct"/>
            <w:shd w:val="clear" w:color="auto" w:fill="FFFFFF"/>
            <w:noWrap/>
            <w:tcMar>
              <w:top w:w="15" w:type="dxa"/>
              <w:right w:w="15" w:type="dxa"/>
            </w:tcMar>
            <w:vAlign w:val="bottom"/>
          </w:tcPr>
          <w:p w14:paraId="3973E5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6F" w14:textId="77777777">
        <w:tc>
          <w:tcPr>
            <w:tcW w:w="2467" w:type="pct"/>
            <w:shd w:val="clear" w:color="auto" w:fill="CFF0FC"/>
            <w:tcMar>
              <w:top w:w="15" w:type="dxa"/>
              <w:right w:w="15" w:type="dxa"/>
            </w:tcMar>
          </w:tcPr>
          <w:p w14:paraId="3973E5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Construction in progress</w:t>
            </w:r>
          </w:p>
        </w:tc>
        <w:tc>
          <w:tcPr>
            <w:tcW w:w="81" w:type="pct"/>
            <w:shd w:val="clear" w:color="auto" w:fill="CFF0FC"/>
            <w:tcMar>
              <w:top w:w="15" w:type="dxa"/>
              <w:right w:w="15" w:type="dxa"/>
            </w:tcMar>
            <w:vAlign w:val="bottom"/>
          </w:tcPr>
          <w:p w14:paraId="3973E56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CFF0FC"/>
            <w:tcMar>
              <w:top w:w="15" w:type="dxa"/>
              <w:right w:w="15" w:type="dxa"/>
            </w:tcMar>
          </w:tcPr>
          <w:p w14:paraId="3973E56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3973E56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5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3973E56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512</w:t>
            </w:r>
          </w:p>
        </w:tc>
        <w:tc>
          <w:tcPr>
            <w:tcW w:w="50" w:type="pct"/>
            <w:shd w:val="clear" w:color="auto" w:fill="CFF0FC"/>
            <w:noWrap/>
            <w:tcMar>
              <w:top w:w="15" w:type="dxa"/>
              <w:right w:w="15" w:type="dxa"/>
            </w:tcMar>
            <w:vAlign w:val="bottom"/>
          </w:tcPr>
          <w:p w14:paraId="3973E5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E56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E5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3973E56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w:t>
            </w:r>
          </w:p>
        </w:tc>
        <w:tc>
          <w:tcPr>
            <w:tcW w:w="50" w:type="pct"/>
            <w:shd w:val="clear" w:color="auto" w:fill="CFF0FC"/>
            <w:noWrap/>
            <w:tcMar>
              <w:top w:w="15" w:type="dxa"/>
              <w:right w:w="15" w:type="dxa"/>
            </w:tcMar>
            <w:vAlign w:val="bottom"/>
          </w:tcPr>
          <w:p w14:paraId="3973E5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7B" w14:textId="77777777">
        <w:tc>
          <w:tcPr>
            <w:tcW w:w="2467" w:type="pct"/>
            <w:shd w:val="clear" w:color="auto" w:fill="FFFFFF"/>
            <w:tcMar>
              <w:top w:w="15" w:type="dxa"/>
              <w:right w:w="15" w:type="dxa"/>
            </w:tcMar>
          </w:tcPr>
          <w:p w14:paraId="3973E570"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property, plant and equipment</w:t>
            </w:r>
          </w:p>
        </w:tc>
        <w:tc>
          <w:tcPr>
            <w:tcW w:w="81" w:type="pct"/>
            <w:shd w:val="clear" w:color="auto" w:fill="FFFFFF"/>
            <w:tcMar>
              <w:top w:w="15" w:type="dxa"/>
              <w:right w:w="15" w:type="dxa"/>
            </w:tcMar>
            <w:vAlign w:val="bottom"/>
          </w:tcPr>
          <w:p w14:paraId="3973E57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FFFFFF"/>
            <w:tcMar>
              <w:top w:w="15" w:type="dxa"/>
              <w:right w:w="15" w:type="dxa"/>
            </w:tcMar>
          </w:tcPr>
          <w:p w14:paraId="3973E57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1" w:type="pct"/>
            <w:shd w:val="clear" w:color="auto" w:fill="FFFFFF"/>
            <w:tcMar>
              <w:top w:w="15" w:type="dxa"/>
              <w:right w:w="15" w:type="dxa"/>
            </w:tcMar>
            <w:vAlign w:val="bottom"/>
          </w:tcPr>
          <w:p w14:paraId="3973E5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5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bottom w:val="single" w:sz="6" w:space="0" w:color="000000"/>
            </w:tcBorders>
            <w:shd w:val="clear" w:color="auto" w:fill="FFFFFF"/>
            <w:noWrap/>
            <w:tcMar>
              <w:top w:w="15" w:type="dxa"/>
              <w:right w:w="15" w:type="dxa"/>
            </w:tcMar>
            <w:vAlign w:val="bottom"/>
          </w:tcPr>
          <w:p w14:paraId="3973E57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19,674</w:t>
            </w:r>
          </w:p>
        </w:tc>
        <w:tc>
          <w:tcPr>
            <w:tcW w:w="50" w:type="pct"/>
            <w:shd w:val="clear" w:color="auto" w:fill="FFFFFF"/>
            <w:noWrap/>
            <w:tcMar>
              <w:top w:w="15" w:type="dxa"/>
              <w:right w:w="15" w:type="dxa"/>
            </w:tcMar>
            <w:vAlign w:val="bottom"/>
          </w:tcPr>
          <w:p w14:paraId="3973E5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E57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5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bottom w:val="single" w:sz="6" w:space="0" w:color="000000"/>
            </w:tcBorders>
            <w:shd w:val="clear" w:color="auto" w:fill="FFFFFF"/>
            <w:noWrap/>
            <w:tcMar>
              <w:top w:w="15" w:type="dxa"/>
              <w:right w:w="15" w:type="dxa"/>
            </w:tcMar>
            <w:vAlign w:val="bottom"/>
          </w:tcPr>
          <w:p w14:paraId="3973E5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15,800</w:t>
            </w:r>
          </w:p>
        </w:tc>
        <w:tc>
          <w:tcPr>
            <w:tcW w:w="50" w:type="pct"/>
            <w:shd w:val="clear" w:color="auto" w:fill="FFFFFF"/>
            <w:noWrap/>
            <w:tcMar>
              <w:top w:w="15" w:type="dxa"/>
              <w:right w:w="15" w:type="dxa"/>
            </w:tcMar>
            <w:vAlign w:val="bottom"/>
          </w:tcPr>
          <w:p w14:paraId="3973E5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587" w14:textId="77777777">
        <w:tc>
          <w:tcPr>
            <w:tcW w:w="2467" w:type="pct"/>
            <w:shd w:val="clear" w:color="auto" w:fill="CFF0FC"/>
            <w:tcMar>
              <w:top w:w="15" w:type="dxa"/>
              <w:right w:w="15" w:type="dxa"/>
            </w:tcMar>
          </w:tcPr>
          <w:p w14:paraId="3973E5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Accumulated depreciation</w:t>
            </w:r>
          </w:p>
        </w:tc>
        <w:tc>
          <w:tcPr>
            <w:tcW w:w="81" w:type="pct"/>
            <w:shd w:val="clear" w:color="auto" w:fill="CFF0FC"/>
            <w:tcMar>
              <w:top w:w="15" w:type="dxa"/>
              <w:right w:w="15" w:type="dxa"/>
            </w:tcMar>
            <w:vAlign w:val="bottom"/>
          </w:tcPr>
          <w:p w14:paraId="3973E57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CFF0FC"/>
            <w:tcMar>
              <w:top w:w="15" w:type="dxa"/>
              <w:right w:w="15" w:type="dxa"/>
            </w:tcMar>
          </w:tcPr>
          <w:p w14:paraId="3973E5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3973E5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5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bottom w:val="single" w:sz="6" w:space="0" w:color="000000"/>
            </w:tcBorders>
            <w:shd w:val="clear" w:color="auto" w:fill="CFF0FC"/>
            <w:noWrap/>
            <w:tcMar>
              <w:top w:w="15" w:type="dxa"/>
              <w:right w:w="15" w:type="dxa"/>
            </w:tcMar>
            <w:vAlign w:val="bottom"/>
          </w:tcPr>
          <w:p w14:paraId="3973E5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(9,958</w:t>
            </w:r>
          </w:p>
        </w:tc>
        <w:tc>
          <w:tcPr>
            <w:tcW w:w="50" w:type="pct"/>
            <w:shd w:val="clear" w:color="auto" w:fill="CFF0FC"/>
            <w:noWrap/>
            <w:tcMar>
              <w:top w:w="15" w:type="dxa"/>
              <w:right w:w="15" w:type="dxa"/>
            </w:tcMar>
            <w:vAlign w:val="bottom"/>
          </w:tcPr>
          <w:p w14:paraId="3973E5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3973E58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5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bottom w:val="single" w:sz="6" w:space="0" w:color="000000"/>
            </w:tcBorders>
            <w:shd w:val="clear" w:color="auto" w:fill="CFF0FC"/>
            <w:noWrap/>
            <w:tcMar>
              <w:top w:w="15" w:type="dxa"/>
              <w:right w:w="15" w:type="dxa"/>
            </w:tcMar>
            <w:vAlign w:val="bottom"/>
          </w:tcPr>
          <w:p w14:paraId="3973E58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(8,751</w:t>
            </w:r>
          </w:p>
        </w:tc>
        <w:tc>
          <w:tcPr>
            <w:tcW w:w="50" w:type="pct"/>
            <w:shd w:val="clear" w:color="auto" w:fill="CFF0FC"/>
            <w:noWrap/>
            <w:tcMar>
              <w:top w:w="15" w:type="dxa"/>
              <w:right w:w="15" w:type="dxa"/>
            </w:tcMar>
            <w:vAlign w:val="bottom"/>
          </w:tcPr>
          <w:p w14:paraId="3973E5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593" w14:textId="77777777">
        <w:tc>
          <w:tcPr>
            <w:tcW w:w="2467" w:type="pct"/>
            <w:shd w:val="clear" w:color="auto" w:fill="FFFFFF"/>
            <w:tcMar>
              <w:top w:w="15" w:type="dxa"/>
              <w:right w:w="15" w:type="dxa"/>
            </w:tcMar>
          </w:tcPr>
          <w:p w14:paraId="3973E588"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property, plant and equipment, net</w:t>
            </w:r>
          </w:p>
        </w:tc>
        <w:tc>
          <w:tcPr>
            <w:tcW w:w="81" w:type="pct"/>
            <w:shd w:val="clear" w:color="auto" w:fill="FFFFFF"/>
            <w:tcMar>
              <w:top w:w="15" w:type="dxa"/>
              <w:right w:w="15" w:type="dxa"/>
            </w:tcMar>
            <w:vAlign w:val="bottom"/>
          </w:tcPr>
          <w:p w14:paraId="3973E58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762" w:type="pct"/>
            <w:shd w:val="clear" w:color="auto" w:fill="FFFFFF"/>
            <w:tcMar>
              <w:top w:w="15" w:type="dxa"/>
              <w:right w:w="15" w:type="dxa"/>
            </w:tcMar>
          </w:tcPr>
          <w:p w14:paraId="3973E58A"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E5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5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right w:w="15" w:type="dxa"/>
            </w:tcMar>
            <w:vAlign w:val="bottom"/>
          </w:tcPr>
          <w:p w14:paraId="3973E58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9,716</w:t>
            </w:r>
          </w:p>
        </w:tc>
        <w:tc>
          <w:tcPr>
            <w:tcW w:w="50" w:type="pct"/>
            <w:shd w:val="clear" w:color="auto" w:fill="FFFFFF"/>
            <w:noWrap/>
            <w:tcMar>
              <w:top w:w="15" w:type="dxa"/>
              <w:right w:w="15" w:type="dxa"/>
            </w:tcMar>
            <w:vAlign w:val="bottom"/>
          </w:tcPr>
          <w:p w14:paraId="3973E5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3973E58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5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right w:w="15" w:type="dxa"/>
            </w:tcMar>
            <w:vAlign w:val="bottom"/>
          </w:tcPr>
          <w:p w14:paraId="3973E59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7,049</w:t>
            </w:r>
          </w:p>
        </w:tc>
        <w:tc>
          <w:tcPr>
            <w:tcW w:w="50" w:type="pct"/>
            <w:shd w:val="clear" w:color="auto" w:fill="FFFFFF"/>
            <w:noWrap/>
            <w:tcMar>
              <w:top w:w="15" w:type="dxa"/>
              <w:right w:w="15" w:type="dxa"/>
            </w:tcMar>
            <w:vAlign w:val="bottom"/>
          </w:tcPr>
          <w:p w14:paraId="3973E59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594"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597" w14:textId="77777777">
        <w:tc>
          <w:tcPr>
            <w:tcW w:w="262" w:type="pct"/>
            <w:shd w:val="clear" w:color="auto" w:fill="auto"/>
            <w:noWrap/>
          </w:tcPr>
          <w:p w14:paraId="3973E595"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3973E596" w14:textId="77777777" w:rsidR="007B027D" w:rsidRDefault="008E0125">
            <w:pPr>
              <w:pStyle w:val="a3"/>
              <w:spacing w:before="120" w:beforeAutospacing="0" w:afterAutospacing="0"/>
              <w:rPr>
                <w:rFonts w:ascii="Calibri" w:hAnsi="Calibri" w:cs="Calibri"/>
                <w:b/>
                <w:bCs/>
                <w:sz w:val="20"/>
                <w:szCs w:val="20"/>
              </w:rPr>
            </w:pPr>
            <w:r>
              <w:rPr>
                <w:rFonts w:ascii="Calibri" w:hAnsi="Calibri" w:cs="Calibri"/>
                <w:b/>
                <w:bCs/>
                <w:sz w:val="20"/>
                <w:szCs w:val="20"/>
              </w:rPr>
              <w:t>INTANGIBLE ASSETS AND GOODWILL</w:t>
            </w:r>
          </w:p>
        </w:tc>
      </w:tr>
    </w:tbl>
    <w:p w14:paraId="3973E59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2022 and the net book value of intangible assets as of May 31, 2022 and 2021 were as follows:</w:t>
      </w:r>
    </w:p>
    <w:p w14:paraId="3973E599"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1556"/>
        <w:gridCol w:w="45"/>
        <w:gridCol w:w="86"/>
        <w:gridCol w:w="405"/>
        <w:gridCol w:w="47"/>
        <w:gridCol w:w="47"/>
        <w:gridCol w:w="122"/>
        <w:gridCol w:w="558"/>
        <w:gridCol w:w="65"/>
        <w:gridCol w:w="47"/>
        <w:gridCol w:w="113"/>
        <w:gridCol w:w="517"/>
        <w:gridCol w:w="58"/>
        <w:gridCol w:w="47"/>
        <w:gridCol w:w="86"/>
        <w:gridCol w:w="405"/>
        <w:gridCol w:w="47"/>
        <w:gridCol w:w="47"/>
        <w:gridCol w:w="86"/>
        <w:gridCol w:w="377"/>
        <w:gridCol w:w="58"/>
        <w:gridCol w:w="47"/>
        <w:gridCol w:w="86"/>
        <w:gridCol w:w="377"/>
        <w:gridCol w:w="58"/>
        <w:gridCol w:w="47"/>
        <w:gridCol w:w="113"/>
        <w:gridCol w:w="517"/>
        <w:gridCol w:w="47"/>
        <w:gridCol w:w="47"/>
        <w:gridCol w:w="86"/>
        <w:gridCol w:w="377"/>
        <w:gridCol w:w="58"/>
        <w:gridCol w:w="47"/>
        <w:gridCol w:w="86"/>
        <w:gridCol w:w="334"/>
        <w:gridCol w:w="47"/>
        <w:gridCol w:w="47"/>
        <w:gridCol w:w="86"/>
        <w:gridCol w:w="334"/>
        <w:gridCol w:w="47"/>
        <w:gridCol w:w="47"/>
        <w:gridCol w:w="89"/>
        <w:gridCol w:w="413"/>
        <w:gridCol w:w="65"/>
      </w:tblGrid>
      <w:tr w:rsidR="007B027D" w14:paraId="3973E5AA" w14:textId="77777777">
        <w:tc>
          <w:tcPr>
            <w:tcW w:w="1039" w:type="pct"/>
            <w:shd w:val="clear" w:color="auto" w:fill="FFFFFF"/>
            <w:tcMar>
              <w:top w:w="15" w:type="dxa"/>
              <w:right w:w="15" w:type="dxa"/>
            </w:tcMar>
            <w:vAlign w:val="bottom"/>
          </w:tcPr>
          <w:p w14:paraId="3973E59A"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9" w:type="pct"/>
            <w:shd w:val="clear" w:color="auto" w:fill="FFFFFF"/>
            <w:tcMar>
              <w:top w:w="15" w:type="dxa"/>
              <w:right w:w="15" w:type="dxa"/>
            </w:tcMar>
            <w:vAlign w:val="bottom"/>
          </w:tcPr>
          <w:p w14:paraId="3973E59B"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1455" w:type="pct"/>
            <w:gridSpan w:val="14"/>
            <w:tcBorders>
              <w:bottom w:val="single" w:sz="6" w:space="0" w:color="000000"/>
            </w:tcBorders>
            <w:shd w:val="clear" w:color="auto" w:fill="FFFFFF"/>
            <w:tcMar>
              <w:top w:w="15" w:type="dxa"/>
              <w:right w:w="15" w:type="dxa"/>
            </w:tcMar>
            <w:vAlign w:val="bottom"/>
          </w:tcPr>
          <w:p w14:paraId="3973E59C"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Intangible Assets, Gross</w:t>
            </w:r>
          </w:p>
        </w:tc>
        <w:tc>
          <w:tcPr>
            <w:tcW w:w="38" w:type="pct"/>
            <w:shd w:val="clear" w:color="auto" w:fill="FFFFFF"/>
            <w:noWrap/>
            <w:tcMar>
              <w:top w:w="15" w:type="dxa"/>
              <w:right w:w="15" w:type="dxa"/>
            </w:tcMar>
            <w:vAlign w:val="bottom"/>
          </w:tcPr>
          <w:p w14:paraId="3973E59D"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shd w:val="clear" w:color="auto" w:fill="FFFFFF"/>
            <w:tcMar>
              <w:top w:w="15" w:type="dxa"/>
              <w:right w:w="15" w:type="dxa"/>
            </w:tcMar>
            <w:vAlign w:val="bottom"/>
          </w:tcPr>
          <w:p w14:paraId="3973E59E"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1353" w:type="pct"/>
            <w:gridSpan w:val="14"/>
            <w:tcBorders>
              <w:bottom w:val="single" w:sz="6" w:space="0" w:color="000000"/>
            </w:tcBorders>
            <w:shd w:val="clear" w:color="auto" w:fill="FFFFFF"/>
            <w:tcMar>
              <w:top w:w="15" w:type="dxa"/>
              <w:right w:w="15" w:type="dxa"/>
            </w:tcMar>
            <w:vAlign w:val="bottom"/>
          </w:tcPr>
          <w:p w14:paraId="3973E59F"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Accumulated Amortization</w:t>
            </w:r>
          </w:p>
        </w:tc>
        <w:tc>
          <w:tcPr>
            <w:tcW w:w="39" w:type="pct"/>
            <w:shd w:val="clear" w:color="auto" w:fill="FFFFFF"/>
            <w:noWrap/>
            <w:tcMar>
              <w:top w:w="15" w:type="dxa"/>
              <w:right w:w="15" w:type="dxa"/>
            </w:tcMar>
            <w:vAlign w:val="bottom"/>
          </w:tcPr>
          <w:p w14:paraId="3973E5A0"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shd w:val="clear" w:color="auto" w:fill="FFFFFF"/>
            <w:tcMar>
              <w:top w:w="15" w:type="dxa"/>
              <w:right w:w="15" w:type="dxa"/>
            </w:tcMar>
            <w:vAlign w:val="bottom"/>
          </w:tcPr>
          <w:p w14:paraId="3973E5A1" w14:textId="77777777" w:rsidR="007B027D" w:rsidRDefault="008E012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01" w:type="pct"/>
            <w:gridSpan w:val="6"/>
            <w:tcBorders>
              <w:bottom w:val="single" w:sz="6" w:space="0" w:color="000000"/>
            </w:tcBorders>
            <w:shd w:val="clear" w:color="auto" w:fill="FFFFFF"/>
            <w:tcMar>
              <w:top w:w="15" w:type="dxa"/>
              <w:right w:w="15" w:type="dxa"/>
            </w:tcMar>
            <w:vAlign w:val="bottom"/>
          </w:tcPr>
          <w:p w14:paraId="3973E5A2"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Intangible Assets, Net</w:t>
            </w:r>
          </w:p>
        </w:tc>
        <w:tc>
          <w:tcPr>
            <w:tcW w:w="39" w:type="pct"/>
            <w:shd w:val="clear" w:color="auto" w:fill="FFFFFF"/>
            <w:noWrap/>
            <w:tcMar>
              <w:top w:w="15" w:type="dxa"/>
              <w:right w:w="15" w:type="dxa"/>
            </w:tcMar>
            <w:vAlign w:val="bottom"/>
          </w:tcPr>
          <w:p w14:paraId="3973E5A3"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0" w:type="pct"/>
            <w:shd w:val="clear" w:color="auto" w:fill="FFFFFF"/>
            <w:tcMar>
              <w:top w:w="15" w:type="dxa"/>
              <w:right w:w="15" w:type="dxa"/>
            </w:tcMar>
            <w:vAlign w:val="bottom"/>
          </w:tcPr>
          <w:p w14:paraId="3973E5A4" w14:textId="77777777" w:rsidR="007B027D" w:rsidRDefault="008E012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268" w:type="pct"/>
            <w:gridSpan w:val="2"/>
            <w:vMerge w:val="restart"/>
            <w:shd w:val="clear" w:color="auto" w:fill="FFFFFF"/>
            <w:tcMar>
              <w:top w:w="15" w:type="dxa"/>
              <w:right w:w="15" w:type="dxa"/>
            </w:tcMar>
            <w:vAlign w:val="bottom"/>
          </w:tcPr>
          <w:p w14:paraId="3973E5A5"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Weighted</w:t>
            </w:r>
          </w:p>
          <w:p w14:paraId="3973E5A6"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Average</w:t>
            </w:r>
          </w:p>
          <w:p w14:paraId="3973E5A7"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Useful</w:t>
            </w:r>
          </w:p>
          <w:p w14:paraId="3973E5A8"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Life</w:t>
            </w:r>
            <w:r>
              <w:rPr>
                <w:rFonts w:ascii="Calibri" w:hAnsi="Calibri" w:cs="Calibri"/>
                <w:b/>
                <w:bCs/>
                <w:color w:val="000000"/>
                <w:sz w:val="10"/>
                <w:szCs w:val="10"/>
              </w:rPr>
              <w:t>(2)</w:t>
            </w:r>
          </w:p>
        </w:tc>
        <w:tc>
          <w:tcPr>
            <w:tcW w:w="11" w:type="pct"/>
            <w:shd w:val="clear" w:color="auto" w:fill="FFFFFF"/>
            <w:noWrap/>
            <w:tcMar>
              <w:top w:w="15" w:type="dxa"/>
              <w:right w:w="15" w:type="dxa"/>
            </w:tcMar>
            <w:vAlign w:val="bottom"/>
          </w:tcPr>
          <w:p w14:paraId="3973E5A9"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r>
      <w:tr w:rsidR="008E0125" w14:paraId="3973E5D4" w14:textId="77777777">
        <w:tc>
          <w:tcPr>
            <w:tcW w:w="1039" w:type="pct"/>
            <w:tcBorders>
              <w:bottom w:val="single" w:sz="6" w:space="0" w:color="000000"/>
            </w:tcBorders>
            <w:shd w:val="clear" w:color="auto" w:fill="FFFFFF"/>
            <w:tcMar>
              <w:top w:w="15" w:type="dxa"/>
              <w:right w:w="15" w:type="dxa"/>
            </w:tcMar>
            <w:vAlign w:val="bottom"/>
          </w:tcPr>
          <w:p w14:paraId="3973E5AB"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(Dollars in millions)</w:t>
            </w:r>
          </w:p>
        </w:tc>
        <w:tc>
          <w:tcPr>
            <w:tcW w:w="39" w:type="pct"/>
            <w:shd w:val="clear" w:color="auto" w:fill="FFFFFF"/>
            <w:tcMar>
              <w:top w:w="15" w:type="dxa"/>
              <w:right w:w="15" w:type="dxa"/>
            </w:tcMar>
            <w:vAlign w:val="bottom"/>
          </w:tcPr>
          <w:p w14:paraId="3973E5AC"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262" w:type="pct"/>
            <w:gridSpan w:val="2"/>
            <w:tcBorders>
              <w:top w:val="single" w:sz="6" w:space="0" w:color="000000"/>
              <w:bottom w:val="single" w:sz="6" w:space="0" w:color="000000"/>
            </w:tcBorders>
            <w:shd w:val="clear" w:color="auto" w:fill="FFFFFF"/>
            <w:tcMar>
              <w:top w:w="15" w:type="dxa"/>
              <w:right w:w="15" w:type="dxa"/>
            </w:tcMar>
            <w:vAlign w:val="bottom"/>
          </w:tcPr>
          <w:p w14:paraId="3973E5AD"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AE"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2021</w:t>
            </w:r>
          </w:p>
        </w:tc>
        <w:tc>
          <w:tcPr>
            <w:tcW w:w="38" w:type="pct"/>
            <w:shd w:val="clear" w:color="auto" w:fill="FFFFFF"/>
            <w:noWrap/>
            <w:tcMar>
              <w:top w:w="15" w:type="dxa"/>
              <w:right w:w="15" w:type="dxa"/>
            </w:tcMar>
            <w:vAlign w:val="bottom"/>
          </w:tcPr>
          <w:p w14:paraId="3973E5AF"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B0"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63" w:type="pct"/>
            <w:gridSpan w:val="2"/>
            <w:tcBorders>
              <w:top w:val="single" w:sz="6" w:space="0" w:color="000000"/>
              <w:bottom w:val="single" w:sz="6" w:space="0" w:color="000000"/>
            </w:tcBorders>
            <w:shd w:val="clear" w:color="auto" w:fill="FFFFFF"/>
            <w:tcMar>
              <w:top w:w="15" w:type="dxa"/>
              <w:right w:w="15" w:type="dxa"/>
            </w:tcMar>
            <w:vAlign w:val="bottom"/>
          </w:tcPr>
          <w:p w14:paraId="3973E5B1"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Additions &amp;</w:t>
            </w:r>
          </w:p>
          <w:p w14:paraId="3973E5B2"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 xml:space="preserve">Adjustments, net </w:t>
            </w:r>
            <w:r>
              <w:rPr>
                <w:rFonts w:ascii="Calibri" w:hAnsi="Calibri" w:cs="Calibri"/>
                <w:b/>
                <w:bCs/>
                <w:color w:val="000000"/>
                <w:sz w:val="10"/>
                <w:szCs w:val="10"/>
              </w:rPr>
              <w:t>(1)</w:t>
            </w:r>
          </w:p>
        </w:tc>
        <w:tc>
          <w:tcPr>
            <w:tcW w:w="39" w:type="pct"/>
            <w:shd w:val="clear" w:color="auto" w:fill="FFFFFF"/>
            <w:noWrap/>
            <w:tcMar>
              <w:top w:w="15" w:type="dxa"/>
              <w:right w:w="15" w:type="dxa"/>
            </w:tcMar>
            <w:vAlign w:val="bottom"/>
          </w:tcPr>
          <w:p w14:paraId="3973E5B3"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39" w:type="pct"/>
            <w:tcBorders>
              <w:top w:val="single" w:sz="6" w:space="0" w:color="000000"/>
            </w:tcBorders>
            <w:shd w:val="clear" w:color="auto" w:fill="FFFFFF"/>
            <w:tcMar>
              <w:top w:w="15" w:type="dxa"/>
              <w:right w:w="15" w:type="dxa"/>
            </w:tcMar>
            <w:vAlign w:val="bottom"/>
          </w:tcPr>
          <w:p w14:paraId="3973E5B4"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3973E5B5"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Retirements</w:t>
            </w:r>
          </w:p>
        </w:tc>
        <w:tc>
          <w:tcPr>
            <w:tcW w:w="39" w:type="pct"/>
            <w:shd w:val="clear" w:color="auto" w:fill="FFFFFF"/>
            <w:noWrap/>
            <w:tcMar>
              <w:top w:w="15" w:type="dxa"/>
              <w:right w:w="15" w:type="dxa"/>
            </w:tcMar>
            <w:vAlign w:val="bottom"/>
          </w:tcPr>
          <w:p w14:paraId="3973E5B6"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B7"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2" w:type="pct"/>
            <w:gridSpan w:val="2"/>
            <w:tcBorders>
              <w:top w:val="single" w:sz="6" w:space="0" w:color="000000"/>
              <w:bottom w:val="single" w:sz="6" w:space="0" w:color="000000"/>
            </w:tcBorders>
            <w:shd w:val="clear" w:color="auto" w:fill="FFFFFF"/>
            <w:tcMar>
              <w:top w:w="15" w:type="dxa"/>
              <w:right w:w="15" w:type="dxa"/>
            </w:tcMar>
            <w:vAlign w:val="bottom"/>
          </w:tcPr>
          <w:p w14:paraId="3973E5B8"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B9"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2022</w:t>
            </w:r>
          </w:p>
        </w:tc>
        <w:tc>
          <w:tcPr>
            <w:tcW w:w="38" w:type="pct"/>
            <w:shd w:val="clear" w:color="auto" w:fill="FFFFFF"/>
            <w:noWrap/>
            <w:tcMar>
              <w:top w:w="15" w:type="dxa"/>
              <w:right w:w="15" w:type="dxa"/>
            </w:tcMar>
            <w:vAlign w:val="bottom"/>
          </w:tcPr>
          <w:p w14:paraId="3973E5BA"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shd w:val="clear" w:color="auto" w:fill="FFFFFF"/>
            <w:tcMar>
              <w:top w:w="15" w:type="dxa"/>
              <w:right w:w="15" w:type="dxa"/>
            </w:tcMar>
            <w:vAlign w:val="bottom"/>
          </w:tcPr>
          <w:p w14:paraId="3973E5BB"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0" w:type="pct"/>
            <w:gridSpan w:val="2"/>
            <w:tcBorders>
              <w:top w:val="single" w:sz="6" w:space="0" w:color="000000"/>
              <w:bottom w:val="single" w:sz="6" w:space="0" w:color="000000"/>
            </w:tcBorders>
            <w:shd w:val="clear" w:color="auto" w:fill="FFFFFF"/>
            <w:tcMar>
              <w:top w:w="15" w:type="dxa"/>
              <w:right w:w="15" w:type="dxa"/>
            </w:tcMar>
            <w:vAlign w:val="bottom"/>
          </w:tcPr>
          <w:p w14:paraId="3973E5BC"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BD"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2021</w:t>
            </w:r>
          </w:p>
        </w:tc>
        <w:tc>
          <w:tcPr>
            <w:tcW w:w="39" w:type="pct"/>
            <w:shd w:val="clear" w:color="auto" w:fill="FFFFFF"/>
            <w:noWrap/>
            <w:tcMar>
              <w:top w:w="15" w:type="dxa"/>
              <w:right w:w="15" w:type="dxa"/>
            </w:tcMar>
            <w:vAlign w:val="bottom"/>
          </w:tcPr>
          <w:p w14:paraId="3973E5BE"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BF"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0" w:type="pct"/>
            <w:gridSpan w:val="2"/>
            <w:tcBorders>
              <w:top w:val="single" w:sz="6" w:space="0" w:color="000000"/>
              <w:bottom w:val="single" w:sz="6" w:space="0" w:color="000000"/>
            </w:tcBorders>
            <w:shd w:val="clear" w:color="auto" w:fill="FFFFFF"/>
            <w:tcMar>
              <w:top w:w="15" w:type="dxa"/>
              <w:right w:w="15" w:type="dxa"/>
            </w:tcMar>
            <w:vAlign w:val="bottom"/>
          </w:tcPr>
          <w:p w14:paraId="3973E5C0"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Expense</w:t>
            </w:r>
          </w:p>
        </w:tc>
        <w:tc>
          <w:tcPr>
            <w:tcW w:w="39" w:type="pct"/>
            <w:shd w:val="clear" w:color="auto" w:fill="FFFFFF"/>
            <w:noWrap/>
            <w:tcMar>
              <w:top w:w="15" w:type="dxa"/>
              <w:right w:w="15" w:type="dxa"/>
            </w:tcMar>
            <w:vAlign w:val="bottom"/>
          </w:tcPr>
          <w:p w14:paraId="3973E5C1"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C2"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3973E5C3"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Retirements</w:t>
            </w:r>
          </w:p>
        </w:tc>
        <w:tc>
          <w:tcPr>
            <w:tcW w:w="39" w:type="pct"/>
            <w:shd w:val="clear" w:color="auto" w:fill="FFFFFF"/>
            <w:noWrap/>
            <w:tcMar>
              <w:top w:w="15" w:type="dxa"/>
              <w:right w:w="15" w:type="dxa"/>
            </w:tcMar>
            <w:vAlign w:val="bottom"/>
          </w:tcPr>
          <w:p w14:paraId="3973E5C4"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C5"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1" w:type="pct"/>
            <w:gridSpan w:val="2"/>
            <w:tcBorders>
              <w:top w:val="single" w:sz="6" w:space="0" w:color="000000"/>
              <w:bottom w:val="single" w:sz="6" w:space="0" w:color="000000"/>
            </w:tcBorders>
            <w:shd w:val="clear" w:color="auto" w:fill="FFFFFF"/>
            <w:tcMar>
              <w:top w:w="15" w:type="dxa"/>
              <w:right w:w="15" w:type="dxa"/>
            </w:tcMar>
            <w:vAlign w:val="bottom"/>
          </w:tcPr>
          <w:p w14:paraId="3973E5C6"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C7"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2022</w:t>
            </w:r>
          </w:p>
        </w:tc>
        <w:tc>
          <w:tcPr>
            <w:tcW w:w="39" w:type="pct"/>
            <w:shd w:val="clear" w:color="auto" w:fill="FFFFFF"/>
            <w:noWrap/>
            <w:tcMar>
              <w:top w:w="15" w:type="dxa"/>
              <w:right w:w="15" w:type="dxa"/>
            </w:tcMar>
            <w:vAlign w:val="bottom"/>
          </w:tcPr>
          <w:p w14:paraId="3973E5C8"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shd w:val="clear" w:color="auto" w:fill="FFFFFF"/>
            <w:tcMar>
              <w:top w:w="15" w:type="dxa"/>
              <w:right w:w="15" w:type="dxa"/>
            </w:tcMar>
            <w:vAlign w:val="bottom"/>
          </w:tcPr>
          <w:p w14:paraId="3973E5C9"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1" w:type="pct"/>
            <w:gridSpan w:val="2"/>
            <w:tcBorders>
              <w:top w:val="single" w:sz="6" w:space="0" w:color="000000"/>
              <w:bottom w:val="single" w:sz="6" w:space="0" w:color="000000"/>
            </w:tcBorders>
            <w:shd w:val="clear" w:color="auto" w:fill="FFFFFF"/>
            <w:tcMar>
              <w:top w:w="15" w:type="dxa"/>
              <w:right w:w="15" w:type="dxa"/>
            </w:tcMar>
            <w:vAlign w:val="bottom"/>
          </w:tcPr>
          <w:p w14:paraId="3973E5CA"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CB"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2021</w:t>
            </w:r>
          </w:p>
        </w:tc>
        <w:tc>
          <w:tcPr>
            <w:tcW w:w="39" w:type="pct"/>
            <w:shd w:val="clear" w:color="auto" w:fill="FFFFFF"/>
            <w:noWrap/>
            <w:tcMar>
              <w:top w:w="15" w:type="dxa"/>
              <w:right w:w="15" w:type="dxa"/>
            </w:tcMar>
            <w:vAlign w:val="bottom"/>
          </w:tcPr>
          <w:p w14:paraId="3973E5CC"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9" w:type="pct"/>
            <w:tcBorders>
              <w:top w:val="single" w:sz="6" w:space="0" w:color="000000"/>
            </w:tcBorders>
            <w:shd w:val="clear" w:color="auto" w:fill="FFFFFF"/>
            <w:tcMar>
              <w:top w:w="15" w:type="dxa"/>
              <w:right w:w="15" w:type="dxa"/>
            </w:tcMar>
            <w:vAlign w:val="bottom"/>
          </w:tcPr>
          <w:p w14:paraId="3973E5CD"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1" w:type="pct"/>
            <w:gridSpan w:val="2"/>
            <w:tcBorders>
              <w:top w:val="single" w:sz="6" w:space="0" w:color="000000"/>
              <w:bottom w:val="single" w:sz="6" w:space="0" w:color="000000"/>
            </w:tcBorders>
            <w:shd w:val="clear" w:color="auto" w:fill="FFFFFF"/>
            <w:tcMar>
              <w:top w:w="15" w:type="dxa"/>
              <w:right w:w="15" w:type="dxa"/>
            </w:tcMar>
            <w:vAlign w:val="bottom"/>
          </w:tcPr>
          <w:p w14:paraId="3973E5CE"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3973E5CF" w14:textId="77777777" w:rsidR="007B027D" w:rsidRDefault="008E0125">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2022</w:t>
            </w:r>
          </w:p>
        </w:tc>
        <w:tc>
          <w:tcPr>
            <w:tcW w:w="39" w:type="pct"/>
            <w:shd w:val="clear" w:color="auto" w:fill="FFFFFF"/>
            <w:noWrap/>
            <w:tcMar>
              <w:top w:w="15" w:type="dxa"/>
              <w:right w:w="15" w:type="dxa"/>
            </w:tcMar>
            <w:vAlign w:val="bottom"/>
          </w:tcPr>
          <w:p w14:paraId="3973E5D0"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0" w:type="pct"/>
            <w:shd w:val="clear" w:color="auto" w:fill="FFFFFF"/>
            <w:tcMar>
              <w:top w:w="15" w:type="dxa"/>
              <w:right w:w="15" w:type="dxa"/>
            </w:tcMar>
            <w:vAlign w:val="bottom"/>
          </w:tcPr>
          <w:p w14:paraId="3973E5D1" w14:textId="77777777" w:rsidR="007B027D" w:rsidRDefault="008E012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8" w:type="pct"/>
            <w:gridSpan w:val="2"/>
            <w:vMerge/>
            <w:shd w:val="clear" w:color="auto" w:fill="FFFFFF"/>
            <w:tcMar>
              <w:top w:w="15" w:type="dxa"/>
              <w:right w:w="15" w:type="dxa"/>
            </w:tcMar>
            <w:vAlign w:val="bottom"/>
          </w:tcPr>
          <w:p w14:paraId="3973E5D2" w14:textId="77777777" w:rsidR="007B027D" w:rsidRDefault="007B027D">
            <w:pPr>
              <w:rPr>
                <w:rFonts w:ascii="宋体"/>
              </w:rPr>
            </w:pPr>
          </w:p>
        </w:tc>
        <w:tc>
          <w:tcPr>
            <w:tcW w:w="11" w:type="pct"/>
            <w:shd w:val="clear" w:color="auto" w:fill="FFFFFF"/>
            <w:noWrap/>
            <w:tcMar>
              <w:top w:w="15" w:type="dxa"/>
              <w:right w:w="15" w:type="dxa"/>
            </w:tcMar>
            <w:vAlign w:val="bottom"/>
          </w:tcPr>
          <w:p w14:paraId="3973E5D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8E0125" w14:paraId="3973E602" w14:textId="77777777">
        <w:tc>
          <w:tcPr>
            <w:tcW w:w="1039" w:type="pct"/>
            <w:tcBorders>
              <w:top w:val="single" w:sz="6" w:space="0" w:color="000000"/>
            </w:tcBorders>
            <w:shd w:val="clear" w:color="auto" w:fill="CFF0FC"/>
            <w:tcMar>
              <w:top w:w="15" w:type="dxa"/>
              <w:right w:w="15" w:type="dxa"/>
            </w:tcMar>
          </w:tcPr>
          <w:p w14:paraId="3973E5D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Developed technology</w:t>
            </w:r>
          </w:p>
        </w:tc>
        <w:tc>
          <w:tcPr>
            <w:tcW w:w="39" w:type="pct"/>
            <w:shd w:val="clear" w:color="auto" w:fill="CFF0FC"/>
            <w:tcMar>
              <w:top w:w="15" w:type="dxa"/>
              <w:right w:w="15" w:type="dxa"/>
            </w:tcMar>
            <w:vAlign w:val="bottom"/>
          </w:tcPr>
          <w:p w14:paraId="3973E5D6" w14:textId="77777777" w:rsidR="007B027D" w:rsidRDefault="008E012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6" w:type="pct"/>
            <w:tcBorders>
              <w:top w:val="single" w:sz="6" w:space="0" w:color="000000"/>
            </w:tcBorders>
            <w:shd w:val="clear" w:color="auto" w:fill="CFF0FC"/>
            <w:noWrap/>
            <w:tcMar>
              <w:top w:w="15" w:type="dxa"/>
              <w:right w:w="15" w:type="dxa"/>
            </w:tcMar>
            <w:vAlign w:val="bottom"/>
          </w:tcPr>
          <w:p w14:paraId="3973E5D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6" w:type="pct"/>
            <w:tcBorders>
              <w:top w:val="single" w:sz="6" w:space="0" w:color="000000"/>
            </w:tcBorders>
            <w:shd w:val="clear" w:color="auto" w:fill="CFF0FC"/>
            <w:noWrap/>
            <w:tcMar>
              <w:top w:w="15" w:type="dxa"/>
              <w:right w:w="15" w:type="dxa"/>
            </w:tcMar>
            <w:vAlign w:val="bottom"/>
          </w:tcPr>
          <w:p w14:paraId="3973E5D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4,237</w:t>
            </w:r>
          </w:p>
        </w:tc>
        <w:tc>
          <w:tcPr>
            <w:tcW w:w="38" w:type="pct"/>
            <w:shd w:val="clear" w:color="auto" w:fill="CFF0FC"/>
            <w:noWrap/>
            <w:tcMar>
              <w:top w:w="15" w:type="dxa"/>
              <w:right w:w="15" w:type="dxa"/>
            </w:tcMar>
            <w:vAlign w:val="bottom"/>
          </w:tcPr>
          <w:p w14:paraId="3973E5D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5D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tcBorders>
              <w:top w:val="single" w:sz="6" w:space="0" w:color="000000"/>
            </w:tcBorders>
            <w:shd w:val="clear" w:color="auto" w:fill="CFF0FC"/>
            <w:noWrap/>
            <w:tcMar>
              <w:top w:w="15" w:type="dxa"/>
              <w:right w:w="15" w:type="dxa"/>
            </w:tcMar>
            <w:vAlign w:val="bottom"/>
          </w:tcPr>
          <w:p w14:paraId="3973E5D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8" w:type="pct"/>
            <w:tcBorders>
              <w:top w:val="single" w:sz="6" w:space="0" w:color="000000"/>
            </w:tcBorders>
            <w:shd w:val="clear" w:color="auto" w:fill="CFF0FC"/>
            <w:noWrap/>
            <w:tcMar>
              <w:top w:w="15" w:type="dxa"/>
              <w:right w:w="15" w:type="dxa"/>
            </w:tcMar>
            <w:vAlign w:val="bottom"/>
          </w:tcPr>
          <w:p w14:paraId="3973E5D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165</w:t>
            </w:r>
          </w:p>
        </w:tc>
        <w:tc>
          <w:tcPr>
            <w:tcW w:w="39" w:type="pct"/>
            <w:shd w:val="clear" w:color="auto" w:fill="CFF0FC"/>
            <w:noWrap/>
            <w:tcMar>
              <w:top w:w="15" w:type="dxa"/>
              <w:right w:w="15" w:type="dxa"/>
            </w:tcMar>
            <w:vAlign w:val="bottom"/>
          </w:tcPr>
          <w:p w14:paraId="3973E5D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5D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tcBorders>
            <w:shd w:val="clear" w:color="auto" w:fill="CFF0FC"/>
            <w:noWrap/>
            <w:tcMar>
              <w:top w:w="15" w:type="dxa"/>
              <w:right w:w="15" w:type="dxa"/>
            </w:tcMar>
            <w:vAlign w:val="bottom"/>
          </w:tcPr>
          <w:p w14:paraId="3973E5D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tcBorders>
            <w:shd w:val="clear" w:color="auto" w:fill="CFF0FC"/>
            <w:noWrap/>
            <w:tcMar>
              <w:top w:w="15" w:type="dxa"/>
              <w:right w:w="15" w:type="dxa"/>
            </w:tcMar>
            <w:vAlign w:val="bottom"/>
          </w:tcPr>
          <w:p w14:paraId="3973E5E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(436</w:t>
            </w:r>
          </w:p>
        </w:tc>
        <w:tc>
          <w:tcPr>
            <w:tcW w:w="39" w:type="pct"/>
            <w:shd w:val="clear" w:color="auto" w:fill="CFF0FC"/>
            <w:noWrap/>
            <w:tcMar>
              <w:top w:w="15" w:type="dxa"/>
              <w:right w:w="15" w:type="dxa"/>
            </w:tcMar>
            <w:vAlign w:val="bottom"/>
          </w:tcPr>
          <w:p w14:paraId="3973E5E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5E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E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6" w:type="pct"/>
            <w:tcBorders>
              <w:top w:val="single" w:sz="6" w:space="0" w:color="000000"/>
            </w:tcBorders>
            <w:shd w:val="clear" w:color="auto" w:fill="CFF0FC"/>
            <w:noWrap/>
            <w:tcMar>
              <w:top w:w="15" w:type="dxa"/>
              <w:right w:w="15" w:type="dxa"/>
            </w:tcMar>
            <w:vAlign w:val="bottom"/>
          </w:tcPr>
          <w:p w14:paraId="3973E5E4"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3,966</w:t>
            </w:r>
          </w:p>
        </w:tc>
        <w:tc>
          <w:tcPr>
            <w:tcW w:w="38" w:type="pct"/>
            <w:shd w:val="clear" w:color="auto" w:fill="CFF0FC"/>
            <w:noWrap/>
            <w:tcMar>
              <w:top w:w="15" w:type="dxa"/>
              <w:right w:w="15" w:type="dxa"/>
            </w:tcMar>
            <w:vAlign w:val="bottom"/>
          </w:tcPr>
          <w:p w14:paraId="3973E5E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5E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E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tcBorders>
            <w:shd w:val="clear" w:color="auto" w:fill="CFF0FC"/>
            <w:noWrap/>
            <w:tcMar>
              <w:top w:w="15" w:type="dxa"/>
              <w:right w:w="15" w:type="dxa"/>
            </w:tcMar>
            <w:vAlign w:val="bottom"/>
          </w:tcPr>
          <w:p w14:paraId="3973E5E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(3,621</w:t>
            </w:r>
          </w:p>
        </w:tc>
        <w:tc>
          <w:tcPr>
            <w:tcW w:w="39" w:type="pct"/>
            <w:shd w:val="clear" w:color="auto" w:fill="CFF0FC"/>
            <w:noWrap/>
            <w:tcMar>
              <w:top w:w="15" w:type="dxa"/>
              <w:right w:w="15" w:type="dxa"/>
            </w:tcMar>
            <w:vAlign w:val="bottom"/>
          </w:tcPr>
          <w:p w14:paraId="3973E5E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5E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E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tcBorders>
            <w:shd w:val="clear" w:color="auto" w:fill="CFF0FC"/>
            <w:noWrap/>
            <w:tcMar>
              <w:top w:w="15" w:type="dxa"/>
              <w:right w:w="15" w:type="dxa"/>
            </w:tcMar>
            <w:vAlign w:val="bottom"/>
          </w:tcPr>
          <w:p w14:paraId="3973E5E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(475</w:t>
            </w:r>
          </w:p>
        </w:tc>
        <w:tc>
          <w:tcPr>
            <w:tcW w:w="39" w:type="pct"/>
            <w:shd w:val="clear" w:color="auto" w:fill="CFF0FC"/>
            <w:noWrap/>
            <w:tcMar>
              <w:top w:w="15" w:type="dxa"/>
              <w:right w:w="15" w:type="dxa"/>
            </w:tcMar>
            <w:vAlign w:val="bottom"/>
          </w:tcPr>
          <w:p w14:paraId="3973E5E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5E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tcBorders>
            <w:shd w:val="clear" w:color="auto" w:fill="CFF0FC"/>
            <w:noWrap/>
            <w:tcMar>
              <w:top w:w="15" w:type="dxa"/>
              <w:right w:w="15" w:type="dxa"/>
            </w:tcMar>
            <w:vAlign w:val="bottom"/>
          </w:tcPr>
          <w:p w14:paraId="3973E5E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tcBorders>
            <w:shd w:val="clear" w:color="auto" w:fill="CFF0FC"/>
            <w:noWrap/>
            <w:tcMar>
              <w:top w:w="15" w:type="dxa"/>
              <w:right w:w="15" w:type="dxa"/>
            </w:tcMar>
            <w:vAlign w:val="bottom"/>
          </w:tcPr>
          <w:p w14:paraId="3973E5F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436</w:t>
            </w:r>
          </w:p>
        </w:tc>
        <w:tc>
          <w:tcPr>
            <w:tcW w:w="39" w:type="pct"/>
            <w:shd w:val="clear" w:color="auto" w:fill="CFF0FC"/>
            <w:noWrap/>
            <w:tcMar>
              <w:top w:w="15" w:type="dxa"/>
              <w:right w:w="15" w:type="dxa"/>
            </w:tcMar>
            <w:vAlign w:val="bottom"/>
          </w:tcPr>
          <w:p w14:paraId="3973E5F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5F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F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tcBorders>
            <w:shd w:val="clear" w:color="auto" w:fill="CFF0FC"/>
            <w:noWrap/>
            <w:tcMar>
              <w:top w:w="15" w:type="dxa"/>
              <w:right w:w="15" w:type="dxa"/>
            </w:tcMar>
            <w:vAlign w:val="bottom"/>
          </w:tcPr>
          <w:p w14:paraId="3973E5F4"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(3,660</w:t>
            </w:r>
          </w:p>
        </w:tc>
        <w:tc>
          <w:tcPr>
            <w:tcW w:w="39" w:type="pct"/>
            <w:shd w:val="clear" w:color="auto" w:fill="CFF0FC"/>
            <w:noWrap/>
            <w:tcMar>
              <w:top w:w="15" w:type="dxa"/>
              <w:right w:w="15" w:type="dxa"/>
            </w:tcMar>
            <w:vAlign w:val="bottom"/>
          </w:tcPr>
          <w:p w14:paraId="3973E5F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5F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F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tcBorders>
            <w:shd w:val="clear" w:color="auto" w:fill="CFF0FC"/>
            <w:noWrap/>
            <w:tcMar>
              <w:top w:w="15" w:type="dxa"/>
              <w:right w:w="15" w:type="dxa"/>
            </w:tcMar>
            <w:vAlign w:val="bottom"/>
          </w:tcPr>
          <w:p w14:paraId="3973E5F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616</w:t>
            </w:r>
          </w:p>
        </w:tc>
        <w:tc>
          <w:tcPr>
            <w:tcW w:w="39" w:type="pct"/>
            <w:shd w:val="clear" w:color="auto" w:fill="CFF0FC"/>
            <w:noWrap/>
            <w:tcMar>
              <w:top w:w="15" w:type="dxa"/>
              <w:right w:w="15" w:type="dxa"/>
            </w:tcMar>
            <w:vAlign w:val="bottom"/>
          </w:tcPr>
          <w:p w14:paraId="3973E5F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5F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3973E5F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tcBorders>
            <w:shd w:val="clear" w:color="auto" w:fill="CFF0FC"/>
            <w:noWrap/>
            <w:tcMar>
              <w:top w:w="15" w:type="dxa"/>
              <w:right w:w="15" w:type="dxa"/>
            </w:tcMar>
            <w:vAlign w:val="bottom"/>
          </w:tcPr>
          <w:p w14:paraId="3973E5F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306</w:t>
            </w:r>
          </w:p>
        </w:tc>
        <w:tc>
          <w:tcPr>
            <w:tcW w:w="39" w:type="pct"/>
            <w:shd w:val="clear" w:color="auto" w:fill="CFF0FC"/>
            <w:noWrap/>
            <w:tcMar>
              <w:top w:w="15" w:type="dxa"/>
              <w:right w:w="15" w:type="dxa"/>
            </w:tcMar>
            <w:vAlign w:val="bottom"/>
          </w:tcPr>
          <w:p w14:paraId="3973E5F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0" w:type="pct"/>
            <w:shd w:val="clear" w:color="auto" w:fill="CFF0FC"/>
            <w:tcMar>
              <w:top w:w="15" w:type="dxa"/>
              <w:right w:w="15" w:type="dxa"/>
            </w:tcMar>
            <w:vAlign w:val="bottom"/>
          </w:tcPr>
          <w:p w14:paraId="3973E5F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tcBorders>
              <w:top w:val="single" w:sz="6" w:space="0" w:color="000000"/>
            </w:tcBorders>
            <w:shd w:val="clear" w:color="auto" w:fill="CFF0FC"/>
            <w:noWrap/>
            <w:tcMar>
              <w:top w:w="15" w:type="dxa"/>
              <w:right w:w="15" w:type="dxa"/>
            </w:tcMar>
            <w:vAlign w:val="bottom"/>
          </w:tcPr>
          <w:p w14:paraId="3973E5F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tcBorders>
              <w:top w:val="single" w:sz="6" w:space="0" w:color="000000"/>
            </w:tcBorders>
            <w:shd w:val="clear" w:color="auto" w:fill="CFF0FC"/>
            <w:noWrap/>
            <w:tcMar>
              <w:top w:w="15" w:type="dxa"/>
              <w:right w:w="15" w:type="dxa"/>
            </w:tcMar>
            <w:vAlign w:val="bottom"/>
          </w:tcPr>
          <w:p w14:paraId="3973E60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w:t>
            </w:r>
          </w:p>
        </w:tc>
        <w:tc>
          <w:tcPr>
            <w:tcW w:w="11" w:type="pct"/>
            <w:shd w:val="clear" w:color="auto" w:fill="CFF0FC"/>
            <w:noWrap/>
            <w:tcMar>
              <w:top w:w="15" w:type="dxa"/>
              <w:right w:w="15" w:type="dxa"/>
            </w:tcMar>
            <w:vAlign w:val="bottom"/>
          </w:tcPr>
          <w:p w14:paraId="3973E60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8E0125" w14:paraId="3973E62F" w14:textId="77777777">
        <w:tc>
          <w:tcPr>
            <w:tcW w:w="1039" w:type="pct"/>
            <w:shd w:val="clear" w:color="auto" w:fill="FFFFFF"/>
            <w:tcMar>
              <w:top w:w="15" w:type="dxa"/>
              <w:right w:w="15" w:type="dxa"/>
            </w:tcMar>
          </w:tcPr>
          <w:p w14:paraId="3973E603" w14:textId="77777777" w:rsidR="007B027D" w:rsidRDefault="008E0125">
            <w:pPr>
              <w:pStyle w:val="a3"/>
              <w:spacing w:beforeAutospacing="0" w:afterAutospacing="0"/>
              <w:ind w:left="144" w:hanging="144"/>
              <w:rPr>
                <w:rFonts w:ascii="Calibri" w:hAnsi="Calibri" w:cs="Calibri"/>
                <w:color w:val="000000"/>
                <w:sz w:val="14"/>
                <w:szCs w:val="14"/>
              </w:rPr>
            </w:pPr>
            <w:r>
              <w:rPr>
                <w:rFonts w:ascii="Calibri" w:hAnsi="Calibri" w:cs="Calibri"/>
                <w:color w:val="000000"/>
                <w:sz w:val="14"/>
                <w:szCs w:val="14"/>
              </w:rPr>
              <w:t>Cloud services and license support agreements and related relationships</w:t>
            </w:r>
          </w:p>
        </w:tc>
        <w:tc>
          <w:tcPr>
            <w:tcW w:w="39" w:type="pct"/>
            <w:shd w:val="clear" w:color="auto" w:fill="FFFFFF"/>
            <w:tcMar>
              <w:top w:w="15" w:type="dxa"/>
              <w:right w:w="15" w:type="dxa"/>
            </w:tcMar>
            <w:vAlign w:val="bottom"/>
          </w:tcPr>
          <w:p w14:paraId="3973E604" w14:textId="77777777" w:rsidR="007B027D" w:rsidRDefault="008E012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6" w:type="pct"/>
            <w:shd w:val="clear" w:color="auto" w:fill="FFFFFF"/>
            <w:noWrap/>
            <w:tcMar>
              <w:top w:w="15" w:type="dxa"/>
              <w:right w:w="15" w:type="dxa"/>
            </w:tcMar>
            <w:vAlign w:val="bottom"/>
          </w:tcPr>
          <w:p w14:paraId="3973E60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6" w:type="pct"/>
            <w:shd w:val="clear" w:color="auto" w:fill="FFFFFF"/>
            <w:noWrap/>
            <w:tcMar>
              <w:top w:w="15" w:type="dxa"/>
              <w:right w:w="15" w:type="dxa"/>
            </w:tcMar>
            <w:vAlign w:val="bottom"/>
          </w:tcPr>
          <w:p w14:paraId="3973E606"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5,497</w:t>
            </w:r>
          </w:p>
        </w:tc>
        <w:tc>
          <w:tcPr>
            <w:tcW w:w="38" w:type="pct"/>
            <w:shd w:val="clear" w:color="auto" w:fill="FFFFFF"/>
            <w:noWrap/>
            <w:tcMar>
              <w:top w:w="15" w:type="dxa"/>
              <w:right w:w="15" w:type="dxa"/>
            </w:tcMar>
            <w:vAlign w:val="bottom"/>
          </w:tcPr>
          <w:p w14:paraId="3973E60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0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FFFFFF"/>
            <w:noWrap/>
            <w:tcMar>
              <w:top w:w="15" w:type="dxa"/>
              <w:right w:w="15" w:type="dxa"/>
            </w:tcMar>
            <w:vAlign w:val="bottom"/>
          </w:tcPr>
          <w:p w14:paraId="3973E60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8" w:type="pct"/>
            <w:shd w:val="clear" w:color="auto" w:fill="FFFFFF"/>
            <w:noWrap/>
            <w:tcMar>
              <w:top w:w="15" w:type="dxa"/>
              <w:right w:w="15" w:type="dxa"/>
            </w:tcMar>
            <w:vAlign w:val="bottom"/>
          </w:tcPr>
          <w:p w14:paraId="3973E60A"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w:t>
            </w:r>
          </w:p>
        </w:tc>
        <w:tc>
          <w:tcPr>
            <w:tcW w:w="39" w:type="pct"/>
            <w:shd w:val="clear" w:color="auto" w:fill="FFFFFF"/>
            <w:noWrap/>
            <w:tcMar>
              <w:top w:w="15" w:type="dxa"/>
              <w:right w:w="15" w:type="dxa"/>
            </w:tcMar>
            <w:vAlign w:val="bottom"/>
          </w:tcPr>
          <w:p w14:paraId="3973E60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0C"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shd w:val="clear" w:color="auto" w:fill="FFFFFF"/>
            <w:noWrap/>
            <w:tcMar>
              <w:top w:w="15" w:type="dxa"/>
              <w:right w:w="15" w:type="dxa"/>
            </w:tcMar>
            <w:vAlign w:val="bottom"/>
          </w:tcPr>
          <w:p w14:paraId="3973E60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shd w:val="clear" w:color="auto" w:fill="FFFFFF"/>
            <w:noWrap/>
            <w:tcMar>
              <w:top w:w="15" w:type="dxa"/>
              <w:right w:w="15" w:type="dxa"/>
            </w:tcMar>
            <w:vAlign w:val="bottom"/>
          </w:tcPr>
          <w:p w14:paraId="3973E60E"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(232</w:t>
            </w:r>
          </w:p>
        </w:tc>
        <w:tc>
          <w:tcPr>
            <w:tcW w:w="39" w:type="pct"/>
            <w:shd w:val="clear" w:color="auto" w:fill="FFFFFF"/>
            <w:noWrap/>
            <w:tcMar>
              <w:top w:w="15" w:type="dxa"/>
              <w:right w:w="15" w:type="dxa"/>
            </w:tcMar>
            <w:vAlign w:val="bottom"/>
          </w:tcPr>
          <w:p w14:paraId="3973E60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1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1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6" w:type="pct"/>
            <w:shd w:val="clear" w:color="auto" w:fill="FFFFFF"/>
            <w:noWrap/>
            <w:tcMar>
              <w:top w:w="15" w:type="dxa"/>
              <w:right w:w="15" w:type="dxa"/>
            </w:tcMar>
            <w:vAlign w:val="bottom"/>
          </w:tcPr>
          <w:p w14:paraId="3973E61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5,260</w:t>
            </w:r>
          </w:p>
        </w:tc>
        <w:tc>
          <w:tcPr>
            <w:tcW w:w="38" w:type="pct"/>
            <w:shd w:val="clear" w:color="auto" w:fill="FFFFFF"/>
            <w:noWrap/>
            <w:tcMar>
              <w:top w:w="15" w:type="dxa"/>
              <w:right w:w="15" w:type="dxa"/>
            </w:tcMar>
            <w:vAlign w:val="bottom"/>
          </w:tcPr>
          <w:p w14:paraId="3973E61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1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1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shd w:val="clear" w:color="auto" w:fill="FFFFFF"/>
            <w:noWrap/>
            <w:tcMar>
              <w:top w:w="15" w:type="dxa"/>
              <w:right w:w="15" w:type="dxa"/>
            </w:tcMar>
            <w:vAlign w:val="bottom"/>
          </w:tcPr>
          <w:p w14:paraId="3973E616"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(3,834</w:t>
            </w:r>
          </w:p>
        </w:tc>
        <w:tc>
          <w:tcPr>
            <w:tcW w:w="39" w:type="pct"/>
            <w:shd w:val="clear" w:color="auto" w:fill="FFFFFF"/>
            <w:noWrap/>
            <w:tcMar>
              <w:top w:w="15" w:type="dxa"/>
              <w:right w:w="15" w:type="dxa"/>
            </w:tcMar>
            <w:vAlign w:val="bottom"/>
          </w:tcPr>
          <w:p w14:paraId="3973E61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1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1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shd w:val="clear" w:color="auto" w:fill="FFFFFF"/>
            <w:noWrap/>
            <w:tcMar>
              <w:top w:w="15" w:type="dxa"/>
              <w:right w:w="15" w:type="dxa"/>
            </w:tcMar>
            <w:vAlign w:val="bottom"/>
          </w:tcPr>
          <w:p w14:paraId="3973E61A"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(592</w:t>
            </w:r>
          </w:p>
        </w:tc>
        <w:tc>
          <w:tcPr>
            <w:tcW w:w="39" w:type="pct"/>
            <w:shd w:val="clear" w:color="auto" w:fill="FFFFFF"/>
            <w:noWrap/>
            <w:tcMar>
              <w:top w:w="15" w:type="dxa"/>
              <w:right w:w="15" w:type="dxa"/>
            </w:tcMar>
            <w:vAlign w:val="bottom"/>
          </w:tcPr>
          <w:p w14:paraId="3973E61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1C"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shd w:val="clear" w:color="auto" w:fill="FFFFFF"/>
            <w:noWrap/>
            <w:tcMar>
              <w:top w:w="15" w:type="dxa"/>
              <w:right w:w="15" w:type="dxa"/>
            </w:tcMar>
            <w:vAlign w:val="bottom"/>
          </w:tcPr>
          <w:p w14:paraId="3973E61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shd w:val="clear" w:color="auto" w:fill="FFFFFF"/>
            <w:noWrap/>
            <w:tcMar>
              <w:top w:w="15" w:type="dxa"/>
              <w:right w:w="15" w:type="dxa"/>
            </w:tcMar>
            <w:vAlign w:val="bottom"/>
          </w:tcPr>
          <w:p w14:paraId="3973E61E"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232</w:t>
            </w:r>
          </w:p>
        </w:tc>
        <w:tc>
          <w:tcPr>
            <w:tcW w:w="39" w:type="pct"/>
            <w:shd w:val="clear" w:color="auto" w:fill="FFFFFF"/>
            <w:noWrap/>
            <w:tcMar>
              <w:top w:w="15" w:type="dxa"/>
              <w:right w:w="15" w:type="dxa"/>
            </w:tcMar>
            <w:vAlign w:val="bottom"/>
          </w:tcPr>
          <w:p w14:paraId="3973E61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2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2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shd w:val="clear" w:color="auto" w:fill="FFFFFF"/>
            <w:noWrap/>
            <w:tcMar>
              <w:top w:w="15" w:type="dxa"/>
              <w:right w:w="15" w:type="dxa"/>
            </w:tcMar>
            <w:vAlign w:val="bottom"/>
          </w:tcPr>
          <w:p w14:paraId="3973E62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(4,194</w:t>
            </w:r>
          </w:p>
        </w:tc>
        <w:tc>
          <w:tcPr>
            <w:tcW w:w="39" w:type="pct"/>
            <w:shd w:val="clear" w:color="auto" w:fill="FFFFFF"/>
            <w:noWrap/>
            <w:tcMar>
              <w:top w:w="15" w:type="dxa"/>
              <w:right w:w="15" w:type="dxa"/>
            </w:tcMar>
            <w:vAlign w:val="bottom"/>
          </w:tcPr>
          <w:p w14:paraId="3973E62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2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2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shd w:val="clear" w:color="auto" w:fill="FFFFFF"/>
            <w:noWrap/>
            <w:tcMar>
              <w:top w:w="15" w:type="dxa"/>
              <w:right w:w="15" w:type="dxa"/>
            </w:tcMar>
            <w:vAlign w:val="bottom"/>
          </w:tcPr>
          <w:p w14:paraId="3973E626"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1,663</w:t>
            </w:r>
          </w:p>
        </w:tc>
        <w:tc>
          <w:tcPr>
            <w:tcW w:w="39" w:type="pct"/>
            <w:shd w:val="clear" w:color="auto" w:fill="FFFFFF"/>
            <w:noWrap/>
            <w:tcMar>
              <w:top w:w="15" w:type="dxa"/>
              <w:right w:w="15" w:type="dxa"/>
            </w:tcMar>
            <w:vAlign w:val="bottom"/>
          </w:tcPr>
          <w:p w14:paraId="3973E62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2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3973E62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shd w:val="clear" w:color="auto" w:fill="FFFFFF"/>
            <w:noWrap/>
            <w:tcMar>
              <w:top w:w="15" w:type="dxa"/>
              <w:right w:w="15" w:type="dxa"/>
            </w:tcMar>
            <w:vAlign w:val="bottom"/>
          </w:tcPr>
          <w:p w14:paraId="3973E62A"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1,066</w:t>
            </w:r>
          </w:p>
        </w:tc>
        <w:tc>
          <w:tcPr>
            <w:tcW w:w="39" w:type="pct"/>
            <w:shd w:val="clear" w:color="auto" w:fill="FFFFFF"/>
            <w:noWrap/>
            <w:tcMar>
              <w:top w:w="15" w:type="dxa"/>
              <w:right w:w="15" w:type="dxa"/>
            </w:tcMar>
            <w:vAlign w:val="bottom"/>
          </w:tcPr>
          <w:p w14:paraId="3973E62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0" w:type="pct"/>
            <w:shd w:val="clear" w:color="auto" w:fill="FFFFFF"/>
            <w:tcMar>
              <w:top w:w="15" w:type="dxa"/>
              <w:right w:w="15" w:type="dxa"/>
            </w:tcMar>
            <w:vAlign w:val="bottom"/>
          </w:tcPr>
          <w:p w14:paraId="3973E62C"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68" w:type="pct"/>
            <w:gridSpan w:val="2"/>
            <w:shd w:val="clear" w:color="auto" w:fill="FFFFFF"/>
            <w:tcMar>
              <w:top w:w="15" w:type="dxa"/>
              <w:right w:w="15" w:type="dxa"/>
            </w:tcMar>
            <w:vAlign w:val="bottom"/>
          </w:tcPr>
          <w:p w14:paraId="3973E62D"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11" w:type="pct"/>
            <w:shd w:val="clear" w:color="auto" w:fill="FFFFFF"/>
            <w:noWrap/>
            <w:tcMar>
              <w:top w:w="15" w:type="dxa"/>
              <w:right w:w="15" w:type="dxa"/>
            </w:tcMar>
            <w:vAlign w:val="bottom"/>
          </w:tcPr>
          <w:p w14:paraId="3973E62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8E0125" w14:paraId="3973E65C" w14:textId="77777777">
        <w:tc>
          <w:tcPr>
            <w:tcW w:w="1039" w:type="pct"/>
            <w:shd w:val="clear" w:color="auto" w:fill="CFF0FC"/>
            <w:tcMar>
              <w:top w:w="15" w:type="dxa"/>
              <w:right w:w="15" w:type="dxa"/>
            </w:tcMar>
          </w:tcPr>
          <w:p w14:paraId="3973E63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Other</w:t>
            </w:r>
          </w:p>
        </w:tc>
        <w:tc>
          <w:tcPr>
            <w:tcW w:w="39" w:type="pct"/>
            <w:shd w:val="clear" w:color="auto" w:fill="CFF0FC"/>
            <w:tcMar>
              <w:top w:w="15" w:type="dxa"/>
              <w:right w:w="15" w:type="dxa"/>
            </w:tcMar>
            <w:vAlign w:val="bottom"/>
          </w:tcPr>
          <w:p w14:paraId="3973E631" w14:textId="77777777" w:rsidR="007B027D" w:rsidRDefault="008E012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6" w:type="pct"/>
            <w:tcBorders>
              <w:bottom w:val="single" w:sz="6" w:space="0" w:color="000000"/>
            </w:tcBorders>
            <w:shd w:val="clear" w:color="auto" w:fill="CFF0FC"/>
            <w:noWrap/>
            <w:tcMar>
              <w:top w:w="15" w:type="dxa"/>
              <w:right w:w="15" w:type="dxa"/>
            </w:tcMar>
            <w:vAlign w:val="bottom"/>
          </w:tcPr>
          <w:p w14:paraId="3973E63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6" w:type="pct"/>
            <w:tcBorders>
              <w:bottom w:val="single" w:sz="6" w:space="0" w:color="000000"/>
            </w:tcBorders>
            <w:shd w:val="clear" w:color="auto" w:fill="CFF0FC"/>
            <w:noWrap/>
            <w:tcMar>
              <w:top w:w="15" w:type="dxa"/>
              <w:right w:w="15" w:type="dxa"/>
            </w:tcMar>
            <w:vAlign w:val="bottom"/>
          </w:tcPr>
          <w:p w14:paraId="3973E633"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1,269</w:t>
            </w:r>
          </w:p>
        </w:tc>
        <w:tc>
          <w:tcPr>
            <w:tcW w:w="38" w:type="pct"/>
            <w:shd w:val="clear" w:color="auto" w:fill="CFF0FC"/>
            <w:noWrap/>
            <w:tcMar>
              <w:top w:w="15" w:type="dxa"/>
              <w:right w:w="15" w:type="dxa"/>
            </w:tcMar>
            <w:vAlign w:val="bottom"/>
          </w:tcPr>
          <w:p w14:paraId="3973E63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63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tcBorders>
              <w:bottom w:val="single" w:sz="6" w:space="0" w:color="000000"/>
            </w:tcBorders>
            <w:shd w:val="clear" w:color="auto" w:fill="CFF0FC"/>
            <w:noWrap/>
            <w:tcMar>
              <w:top w:w="15" w:type="dxa"/>
              <w:right w:w="15" w:type="dxa"/>
            </w:tcMar>
            <w:vAlign w:val="bottom"/>
          </w:tcPr>
          <w:p w14:paraId="3973E63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8" w:type="pct"/>
            <w:tcBorders>
              <w:bottom w:val="single" w:sz="6" w:space="0" w:color="000000"/>
            </w:tcBorders>
            <w:shd w:val="clear" w:color="auto" w:fill="CFF0FC"/>
            <w:noWrap/>
            <w:tcMar>
              <w:top w:w="15" w:type="dxa"/>
              <w:right w:w="15" w:type="dxa"/>
            </w:tcMar>
            <w:vAlign w:val="bottom"/>
          </w:tcPr>
          <w:p w14:paraId="3973E637"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noWrap/>
            <w:tcMar>
              <w:top w:w="15" w:type="dxa"/>
              <w:right w:w="15" w:type="dxa"/>
            </w:tcMar>
            <w:vAlign w:val="bottom"/>
          </w:tcPr>
          <w:p w14:paraId="3973E63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63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bottom w:val="single" w:sz="6" w:space="0" w:color="000000"/>
            </w:tcBorders>
            <w:shd w:val="clear" w:color="auto" w:fill="CFF0FC"/>
            <w:noWrap/>
            <w:tcMar>
              <w:top w:w="15" w:type="dxa"/>
              <w:right w:w="15" w:type="dxa"/>
            </w:tcMar>
            <w:vAlign w:val="bottom"/>
          </w:tcPr>
          <w:p w14:paraId="3973E63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tcBorders>
              <w:bottom w:val="single" w:sz="6" w:space="0" w:color="000000"/>
            </w:tcBorders>
            <w:shd w:val="clear" w:color="auto" w:fill="CFF0FC"/>
            <w:noWrap/>
            <w:tcMar>
              <w:top w:w="15" w:type="dxa"/>
              <w:right w:w="15" w:type="dxa"/>
            </w:tcMar>
            <w:vAlign w:val="bottom"/>
          </w:tcPr>
          <w:p w14:paraId="3973E63B"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(48</w:t>
            </w:r>
          </w:p>
        </w:tc>
        <w:tc>
          <w:tcPr>
            <w:tcW w:w="39" w:type="pct"/>
            <w:shd w:val="clear" w:color="auto" w:fill="CFF0FC"/>
            <w:noWrap/>
            <w:tcMar>
              <w:top w:w="15" w:type="dxa"/>
              <w:right w:w="15" w:type="dxa"/>
            </w:tcMar>
            <w:vAlign w:val="bottom"/>
          </w:tcPr>
          <w:p w14:paraId="3973E63C"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63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3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6" w:type="pct"/>
            <w:tcBorders>
              <w:bottom w:val="single" w:sz="6" w:space="0" w:color="000000"/>
            </w:tcBorders>
            <w:shd w:val="clear" w:color="auto" w:fill="CFF0FC"/>
            <w:noWrap/>
            <w:tcMar>
              <w:top w:w="15" w:type="dxa"/>
              <w:right w:w="15" w:type="dxa"/>
            </w:tcMar>
            <w:vAlign w:val="bottom"/>
          </w:tcPr>
          <w:p w14:paraId="3973E63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1,221</w:t>
            </w:r>
          </w:p>
        </w:tc>
        <w:tc>
          <w:tcPr>
            <w:tcW w:w="38" w:type="pct"/>
            <w:shd w:val="clear" w:color="auto" w:fill="CFF0FC"/>
            <w:noWrap/>
            <w:tcMar>
              <w:top w:w="15" w:type="dxa"/>
              <w:right w:w="15" w:type="dxa"/>
            </w:tcMar>
            <w:vAlign w:val="bottom"/>
          </w:tcPr>
          <w:p w14:paraId="3973E64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64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4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tcBorders>
              <w:bottom w:val="single" w:sz="6" w:space="0" w:color="000000"/>
            </w:tcBorders>
            <w:shd w:val="clear" w:color="auto" w:fill="CFF0FC"/>
            <w:noWrap/>
            <w:tcMar>
              <w:top w:w="15" w:type="dxa"/>
              <w:right w:w="15" w:type="dxa"/>
            </w:tcMar>
            <w:vAlign w:val="bottom"/>
          </w:tcPr>
          <w:p w14:paraId="3973E643"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(1,118</w:t>
            </w:r>
          </w:p>
        </w:tc>
        <w:tc>
          <w:tcPr>
            <w:tcW w:w="39" w:type="pct"/>
            <w:shd w:val="clear" w:color="auto" w:fill="CFF0FC"/>
            <w:noWrap/>
            <w:tcMar>
              <w:top w:w="15" w:type="dxa"/>
              <w:right w:w="15" w:type="dxa"/>
            </w:tcMar>
            <w:vAlign w:val="bottom"/>
          </w:tcPr>
          <w:p w14:paraId="3973E64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64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4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tcBorders>
              <w:bottom w:val="single" w:sz="6" w:space="0" w:color="000000"/>
            </w:tcBorders>
            <w:shd w:val="clear" w:color="auto" w:fill="CFF0FC"/>
            <w:noWrap/>
            <w:tcMar>
              <w:top w:w="15" w:type="dxa"/>
              <w:right w:w="15" w:type="dxa"/>
            </w:tcMar>
            <w:vAlign w:val="bottom"/>
          </w:tcPr>
          <w:p w14:paraId="3973E647"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(83</w:t>
            </w:r>
          </w:p>
        </w:tc>
        <w:tc>
          <w:tcPr>
            <w:tcW w:w="39" w:type="pct"/>
            <w:shd w:val="clear" w:color="auto" w:fill="CFF0FC"/>
            <w:noWrap/>
            <w:tcMar>
              <w:top w:w="15" w:type="dxa"/>
              <w:right w:w="15" w:type="dxa"/>
            </w:tcMar>
            <w:vAlign w:val="bottom"/>
          </w:tcPr>
          <w:p w14:paraId="3973E64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64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bottom w:val="single" w:sz="6" w:space="0" w:color="000000"/>
            </w:tcBorders>
            <w:shd w:val="clear" w:color="auto" w:fill="CFF0FC"/>
            <w:noWrap/>
            <w:tcMar>
              <w:top w:w="15" w:type="dxa"/>
              <w:right w:w="15" w:type="dxa"/>
            </w:tcMar>
            <w:vAlign w:val="bottom"/>
          </w:tcPr>
          <w:p w14:paraId="3973E64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tcBorders>
              <w:bottom w:val="single" w:sz="6" w:space="0" w:color="000000"/>
            </w:tcBorders>
            <w:shd w:val="clear" w:color="auto" w:fill="CFF0FC"/>
            <w:noWrap/>
            <w:tcMar>
              <w:top w:w="15" w:type="dxa"/>
              <w:right w:w="15" w:type="dxa"/>
            </w:tcMar>
            <w:vAlign w:val="bottom"/>
          </w:tcPr>
          <w:p w14:paraId="3973E64B"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48</w:t>
            </w:r>
          </w:p>
        </w:tc>
        <w:tc>
          <w:tcPr>
            <w:tcW w:w="39" w:type="pct"/>
            <w:shd w:val="clear" w:color="auto" w:fill="CFF0FC"/>
            <w:noWrap/>
            <w:tcMar>
              <w:top w:w="15" w:type="dxa"/>
              <w:right w:w="15" w:type="dxa"/>
            </w:tcMar>
            <w:vAlign w:val="bottom"/>
          </w:tcPr>
          <w:p w14:paraId="3973E64C"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64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4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tcBorders>
              <w:bottom w:val="single" w:sz="6" w:space="0" w:color="000000"/>
            </w:tcBorders>
            <w:shd w:val="clear" w:color="auto" w:fill="CFF0FC"/>
            <w:noWrap/>
            <w:tcMar>
              <w:top w:w="15" w:type="dxa"/>
              <w:right w:w="15" w:type="dxa"/>
            </w:tcMar>
            <w:vAlign w:val="bottom"/>
          </w:tcPr>
          <w:p w14:paraId="3973E64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(1,153</w:t>
            </w:r>
          </w:p>
        </w:tc>
        <w:tc>
          <w:tcPr>
            <w:tcW w:w="39" w:type="pct"/>
            <w:shd w:val="clear" w:color="auto" w:fill="CFF0FC"/>
            <w:noWrap/>
            <w:tcMar>
              <w:top w:w="15" w:type="dxa"/>
              <w:right w:w="15" w:type="dxa"/>
            </w:tcMar>
            <w:vAlign w:val="bottom"/>
          </w:tcPr>
          <w:p w14:paraId="3973E65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CFF0FC"/>
            <w:tcMar>
              <w:top w:w="15" w:type="dxa"/>
              <w:right w:w="15" w:type="dxa"/>
            </w:tcMar>
            <w:vAlign w:val="bottom"/>
          </w:tcPr>
          <w:p w14:paraId="3973E65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5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tcBorders>
              <w:bottom w:val="single" w:sz="6" w:space="0" w:color="000000"/>
            </w:tcBorders>
            <w:shd w:val="clear" w:color="auto" w:fill="CFF0FC"/>
            <w:noWrap/>
            <w:tcMar>
              <w:top w:w="15" w:type="dxa"/>
              <w:right w:w="15" w:type="dxa"/>
            </w:tcMar>
            <w:vAlign w:val="bottom"/>
          </w:tcPr>
          <w:p w14:paraId="3973E653"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151</w:t>
            </w:r>
          </w:p>
        </w:tc>
        <w:tc>
          <w:tcPr>
            <w:tcW w:w="39" w:type="pct"/>
            <w:shd w:val="clear" w:color="auto" w:fill="CFF0FC"/>
            <w:noWrap/>
            <w:tcMar>
              <w:top w:w="15" w:type="dxa"/>
              <w:right w:w="15" w:type="dxa"/>
            </w:tcMar>
            <w:vAlign w:val="bottom"/>
          </w:tcPr>
          <w:p w14:paraId="3973E65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CFF0FC"/>
            <w:tcMar>
              <w:top w:w="15" w:type="dxa"/>
              <w:right w:w="15" w:type="dxa"/>
            </w:tcMar>
            <w:vAlign w:val="bottom"/>
          </w:tcPr>
          <w:p w14:paraId="3973E65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3973E65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4" w:type="pct"/>
            <w:tcBorders>
              <w:bottom w:val="single" w:sz="6" w:space="0" w:color="000000"/>
            </w:tcBorders>
            <w:shd w:val="clear" w:color="auto" w:fill="CFF0FC"/>
            <w:noWrap/>
            <w:tcMar>
              <w:top w:w="15" w:type="dxa"/>
              <w:right w:w="15" w:type="dxa"/>
            </w:tcMar>
            <w:vAlign w:val="bottom"/>
          </w:tcPr>
          <w:p w14:paraId="3973E657"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68</w:t>
            </w:r>
          </w:p>
        </w:tc>
        <w:tc>
          <w:tcPr>
            <w:tcW w:w="39" w:type="pct"/>
            <w:shd w:val="clear" w:color="auto" w:fill="CFF0FC"/>
            <w:noWrap/>
            <w:tcMar>
              <w:top w:w="15" w:type="dxa"/>
              <w:right w:w="15" w:type="dxa"/>
            </w:tcMar>
            <w:vAlign w:val="bottom"/>
          </w:tcPr>
          <w:p w14:paraId="3973E65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0" w:type="pct"/>
            <w:shd w:val="clear" w:color="auto" w:fill="CFF0FC"/>
            <w:tcMar>
              <w:top w:w="15" w:type="dxa"/>
              <w:right w:w="15" w:type="dxa"/>
            </w:tcMar>
            <w:vAlign w:val="bottom"/>
          </w:tcPr>
          <w:p w14:paraId="3973E65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68" w:type="pct"/>
            <w:gridSpan w:val="2"/>
            <w:shd w:val="clear" w:color="auto" w:fill="CFF0FC"/>
            <w:tcMar>
              <w:top w:w="15" w:type="dxa"/>
              <w:right w:w="15" w:type="dxa"/>
            </w:tcMar>
            <w:vAlign w:val="bottom"/>
          </w:tcPr>
          <w:p w14:paraId="3973E65A"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11" w:type="pct"/>
            <w:shd w:val="clear" w:color="auto" w:fill="CFF0FC"/>
            <w:noWrap/>
            <w:tcMar>
              <w:top w:w="15" w:type="dxa"/>
              <w:right w:w="15" w:type="dxa"/>
            </w:tcMar>
            <w:vAlign w:val="bottom"/>
          </w:tcPr>
          <w:p w14:paraId="3973E65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8E0125" w14:paraId="3973E68A" w14:textId="77777777">
        <w:tc>
          <w:tcPr>
            <w:tcW w:w="1039" w:type="pct"/>
            <w:shd w:val="clear" w:color="auto" w:fill="FFFFFF"/>
            <w:tcMar>
              <w:top w:w="15" w:type="dxa"/>
              <w:right w:w="15" w:type="dxa"/>
            </w:tcMar>
          </w:tcPr>
          <w:p w14:paraId="3973E65D"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Total intangible assets, net</w:t>
            </w:r>
          </w:p>
        </w:tc>
        <w:tc>
          <w:tcPr>
            <w:tcW w:w="39" w:type="pct"/>
            <w:shd w:val="clear" w:color="auto" w:fill="FFFFFF"/>
            <w:tcMar>
              <w:top w:w="15" w:type="dxa"/>
              <w:right w:w="15" w:type="dxa"/>
            </w:tcMar>
            <w:vAlign w:val="bottom"/>
          </w:tcPr>
          <w:p w14:paraId="3973E65E" w14:textId="77777777" w:rsidR="007B027D" w:rsidRDefault="008E012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5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6" w:type="pct"/>
            <w:tcBorders>
              <w:top w:val="single" w:sz="6" w:space="0" w:color="000000"/>
              <w:bottom w:val="double" w:sz="6" w:space="0" w:color="000000"/>
            </w:tcBorders>
            <w:shd w:val="clear" w:color="auto" w:fill="FFFFFF"/>
            <w:noWrap/>
            <w:tcMar>
              <w:top w:w="15" w:type="dxa"/>
              <w:right w:w="15" w:type="dxa"/>
            </w:tcMar>
            <w:vAlign w:val="bottom"/>
          </w:tcPr>
          <w:p w14:paraId="3973E66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11,003</w:t>
            </w:r>
          </w:p>
        </w:tc>
        <w:tc>
          <w:tcPr>
            <w:tcW w:w="38" w:type="pct"/>
            <w:shd w:val="clear" w:color="auto" w:fill="FFFFFF"/>
            <w:noWrap/>
            <w:tcMar>
              <w:top w:w="15" w:type="dxa"/>
              <w:right w:w="15" w:type="dxa"/>
            </w:tcMar>
            <w:vAlign w:val="bottom"/>
          </w:tcPr>
          <w:p w14:paraId="3973E66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6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tcBorders>
              <w:top w:val="single" w:sz="6" w:space="0" w:color="000000"/>
              <w:bottom w:val="double" w:sz="6" w:space="0" w:color="000000"/>
            </w:tcBorders>
            <w:shd w:val="clear" w:color="auto" w:fill="FFFFFF"/>
            <w:noWrap/>
            <w:tcMar>
              <w:top w:w="15" w:type="dxa"/>
              <w:right w:w="15" w:type="dxa"/>
            </w:tcMar>
            <w:vAlign w:val="bottom"/>
          </w:tcPr>
          <w:p w14:paraId="3973E66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8" w:type="pct"/>
            <w:tcBorders>
              <w:top w:val="single" w:sz="6" w:space="0" w:color="000000"/>
              <w:bottom w:val="double" w:sz="6" w:space="0" w:color="000000"/>
            </w:tcBorders>
            <w:shd w:val="clear" w:color="auto" w:fill="FFFFFF"/>
            <w:noWrap/>
            <w:tcMar>
              <w:top w:w="15" w:type="dxa"/>
              <w:right w:w="15" w:type="dxa"/>
            </w:tcMar>
            <w:vAlign w:val="bottom"/>
          </w:tcPr>
          <w:p w14:paraId="3973E664"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160</w:t>
            </w:r>
          </w:p>
        </w:tc>
        <w:tc>
          <w:tcPr>
            <w:tcW w:w="39" w:type="pct"/>
            <w:shd w:val="clear" w:color="auto" w:fill="FFFFFF"/>
            <w:noWrap/>
            <w:tcMar>
              <w:top w:w="15" w:type="dxa"/>
              <w:right w:w="15" w:type="dxa"/>
            </w:tcMar>
            <w:vAlign w:val="bottom"/>
          </w:tcPr>
          <w:p w14:paraId="3973E66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6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bottom w:val="double" w:sz="6" w:space="0" w:color="000000"/>
            </w:tcBorders>
            <w:shd w:val="clear" w:color="auto" w:fill="FFFFFF"/>
            <w:noWrap/>
            <w:tcMar>
              <w:top w:w="15" w:type="dxa"/>
              <w:right w:w="15" w:type="dxa"/>
            </w:tcMar>
            <w:vAlign w:val="bottom"/>
          </w:tcPr>
          <w:p w14:paraId="3973E66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3973E66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(716</w:t>
            </w:r>
          </w:p>
        </w:tc>
        <w:tc>
          <w:tcPr>
            <w:tcW w:w="39" w:type="pct"/>
            <w:shd w:val="clear" w:color="auto" w:fill="FFFFFF"/>
            <w:noWrap/>
            <w:tcMar>
              <w:top w:w="15" w:type="dxa"/>
              <w:right w:w="15" w:type="dxa"/>
            </w:tcMar>
            <w:vAlign w:val="bottom"/>
          </w:tcPr>
          <w:p w14:paraId="3973E66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6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6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6" w:type="pct"/>
            <w:tcBorders>
              <w:top w:val="single" w:sz="6" w:space="0" w:color="000000"/>
              <w:bottom w:val="double" w:sz="6" w:space="0" w:color="000000"/>
            </w:tcBorders>
            <w:shd w:val="clear" w:color="auto" w:fill="FFFFFF"/>
            <w:noWrap/>
            <w:tcMar>
              <w:top w:w="15" w:type="dxa"/>
              <w:right w:w="15" w:type="dxa"/>
            </w:tcMar>
            <w:vAlign w:val="bottom"/>
          </w:tcPr>
          <w:p w14:paraId="3973E66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10,447</w:t>
            </w:r>
          </w:p>
        </w:tc>
        <w:tc>
          <w:tcPr>
            <w:tcW w:w="38" w:type="pct"/>
            <w:shd w:val="clear" w:color="auto" w:fill="FFFFFF"/>
            <w:noWrap/>
            <w:tcMar>
              <w:top w:w="15" w:type="dxa"/>
              <w:right w:w="15" w:type="dxa"/>
            </w:tcMar>
            <w:vAlign w:val="bottom"/>
          </w:tcPr>
          <w:p w14:paraId="3973E66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6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6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bottom w:val="double" w:sz="6" w:space="0" w:color="000000"/>
            </w:tcBorders>
            <w:shd w:val="clear" w:color="auto" w:fill="FFFFFF"/>
            <w:noWrap/>
            <w:tcMar>
              <w:top w:w="15" w:type="dxa"/>
              <w:right w:w="15" w:type="dxa"/>
            </w:tcMar>
            <w:vAlign w:val="bottom"/>
          </w:tcPr>
          <w:p w14:paraId="3973E67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(8,573</w:t>
            </w:r>
          </w:p>
        </w:tc>
        <w:tc>
          <w:tcPr>
            <w:tcW w:w="39" w:type="pct"/>
            <w:shd w:val="clear" w:color="auto" w:fill="FFFFFF"/>
            <w:noWrap/>
            <w:tcMar>
              <w:top w:w="15" w:type="dxa"/>
              <w:right w:w="15" w:type="dxa"/>
            </w:tcMar>
            <w:vAlign w:val="bottom"/>
          </w:tcPr>
          <w:p w14:paraId="3973E67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7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7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bottom w:val="double" w:sz="6" w:space="0" w:color="000000"/>
            </w:tcBorders>
            <w:shd w:val="clear" w:color="auto" w:fill="FFFFFF"/>
            <w:noWrap/>
            <w:tcMar>
              <w:top w:w="15" w:type="dxa"/>
              <w:right w:w="15" w:type="dxa"/>
            </w:tcMar>
            <w:vAlign w:val="bottom"/>
          </w:tcPr>
          <w:p w14:paraId="3973E674"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(1,150</w:t>
            </w:r>
          </w:p>
        </w:tc>
        <w:tc>
          <w:tcPr>
            <w:tcW w:w="39" w:type="pct"/>
            <w:shd w:val="clear" w:color="auto" w:fill="FFFFFF"/>
            <w:noWrap/>
            <w:tcMar>
              <w:top w:w="15" w:type="dxa"/>
              <w:right w:w="15" w:type="dxa"/>
            </w:tcMar>
            <w:vAlign w:val="bottom"/>
          </w:tcPr>
          <w:p w14:paraId="3973E67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7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bottom w:val="double" w:sz="6" w:space="0" w:color="000000"/>
            </w:tcBorders>
            <w:shd w:val="clear" w:color="auto" w:fill="FFFFFF"/>
            <w:noWrap/>
            <w:tcMar>
              <w:top w:w="15" w:type="dxa"/>
              <w:right w:w="15" w:type="dxa"/>
            </w:tcMar>
            <w:vAlign w:val="bottom"/>
          </w:tcPr>
          <w:p w14:paraId="3973E67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3973E67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716</w:t>
            </w:r>
          </w:p>
        </w:tc>
        <w:tc>
          <w:tcPr>
            <w:tcW w:w="39" w:type="pct"/>
            <w:shd w:val="clear" w:color="auto" w:fill="FFFFFF"/>
            <w:noWrap/>
            <w:tcMar>
              <w:top w:w="15" w:type="dxa"/>
              <w:right w:w="15" w:type="dxa"/>
            </w:tcMar>
            <w:vAlign w:val="bottom"/>
          </w:tcPr>
          <w:p w14:paraId="3973E679"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7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7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bottom w:val="double" w:sz="6" w:space="0" w:color="000000"/>
            </w:tcBorders>
            <w:shd w:val="clear" w:color="auto" w:fill="FFFFFF"/>
            <w:noWrap/>
            <w:tcMar>
              <w:top w:w="15" w:type="dxa"/>
              <w:right w:w="15" w:type="dxa"/>
            </w:tcMar>
            <w:vAlign w:val="bottom"/>
          </w:tcPr>
          <w:p w14:paraId="3973E67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(9,007</w:t>
            </w:r>
          </w:p>
        </w:tc>
        <w:tc>
          <w:tcPr>
            <w:tcW w:w="39" w:type="pct"/>
            <w:shd w:val="clear" w:color="auto" w:fill="FFFFFF"/>
            <w:noWrap/>
            <w:tcMar>
              <w:top w:w="15" w:type="dxa"/>
              <w:right w:w="15" w:type="dxa"/>
            </w:tcMar>
            <w:vAlign w:val="bottom"/>
          </w:tcPr>
          <w:p w14:paraId="3973E67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9" w:type="pct"/>
            <w:shd w:val="clear" w:color="auto" w:fill="FFFFFF"/>
            <w:tcMar>
              <w:top w:w="15" w:type="dxa"/>
              <w:right w:w="15" w:type="dxa"/>
            </w:tcMar>
            <w:vAlign w:val="bottom"/>
          </w:tcPr>
          <w:p w14:paraId="3973E67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7F"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bottom w:val="double" w:sz="6" w:space="0" w:color="000000"/>
            </w:tcBorders>
            <w:shd w:val="clear" w:color="auto" w:fill="FFFFFF"/>
            <w:noWrap/>
            <w:tcMar>
              <w:top w:w="15" w:type="dxa"/>
              <w:right w:w="15" w:type="dxa"/>
            </w:tcMar>
            <w:vAlign w:val="bottom"/>
          </w:tcPr>
          <w:p w14:paraId="3973E680"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2,430</w:t>
            </w:r>
          </w:p>
        </w:tc>
        <w:tc>
          <w:tcPr>
            <w:tcW w:w="39" w:type="pct"/>
            <w:shd w:val="clear" w:color="auto" w:fill="FFFFFF"/>
            <w:noWrap/>
            <w:tcMar>
              <w:top w:w="15" w:type="dxa"/>
              <w:right w:w="15" w:type="dxa"/>
            </w:tcMar>
            <w:vAlign w:val="bottom"/>
          </w:tcPr>
          <w:p w14:paraId="3973E68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9" w:type="pct"/>
            <w:shd w:val="clear" w:color="auto" w:fill="FFFFFF"/>
            <w:tcMar>
              <w:top w:w="15" w:type="dxa"/>
              <w:right w:w="15" w:type="dxa"/>
            </w:tcMar>
            <w:vAlign w:val="bottom"/>
          </w:tcPr>
          <w:p w14:paraId="3973E682"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3973E68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4" w:type="pct"/>
            <w:tcBorders>
              <w:top w:val="single" w:sz="6" w:space="0" w:color="000000"/>
              <w:bottom w:val="double" w:sz="6" w:space="0" w:color="000000"/>
            </w:tcBorders>
            <w:shd w:val="clear" w:color="auto" w:fill="FFFFFF"/>
            <w:noWrap/>
            <w:tcMar>
              <w:top w:w="15" w:type="dxa"/>
              <w:right w:w="15" w:type="dxa"/>
            </w:tcMar>
            <w:vAlign w:val="bottom"/>
          </w:tcPr>
          <w:p w14:paraId="3973E684"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1,440</w:t>
            </w:r>
          </w:p>
        </w:tc>
        <w:tc>
          <w:tcPr>
            <w:tcW w:w="39" w:type="pct"/>
            <w:shd w:val="clear" w:color="auto" w:fill="FFFFFF"/>
            <w:noWrap/>
            <w:tcMar>
              <w:top w:w="15" w:type="dxa"/>
              <w:right w:w="15" w:type="dxa"/>
            </w:tcMar>
            <w:vAlign w:val="bottom"/>
          </w:tcPr>
          <w:p w14:paraId="3973E685"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0" w:type="pct"/>
            <w:shd w:val="clear" w:color="auto" w:fill="FFFFFF"/>
            <w:tcMar>
              <w:top w:w="15" w:type="dxa"/>
              <w:right w:w="15" w:type="dxa"/>
            </w:tcMar>
            <w:vAlign w:val="bottom"/>
          </w:tcPr>
          <w:p w14:paraId="3973E686"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shd w:val="clear" w:color="auto" w:fill="FFFFFF"/>
            <w:noWrap/>
            <w:tcMar>
              <w:top w:w="15" w:type="dxa"/>
              <w:right w:w="15" w:type="dxa"/>
            </w:tcMar>
            <w:vAlign w:val="bottom"/>
          </w:tcPr>
          <w:p w14:paraId="3973E68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shd w:val="clear" w:color="auto" w:fill="FFFFFF"/>
            <w:noWrap/>
            <w:tcMar>
              <w:top w:w="15" w:type="dxa"/>
              <w:right w:w="15" w:type="dxa"/>
            </w:tcMar>
            <w:vAlign w:val="bottom"/>
          </w:tcPr>
          <w:p w14:paraId="3973E688"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11" w:type="pct"/>
            <w:shd w:val="clear" w:color="auto" w:fill="FFFFFF"/>
            <w:noWrap/>
            <w:tcMar>
              <w:top w:w="15" w:type="dxa"/>
              <w:right w:w="15" w:type="dxa"/>
            </w:tcMar>
            <w:vAlign w:val="bottom"/>
          </w:tcPr>
          <w:p w14:paraId="3973E68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68B"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68E" w14:textId="77777777">
        <w:tc>
          <w:tcPr>
            <w:tcW w:w="192" w:type="pct"/>
            <w:shd w:val="clear" w:color="auto" w:fill="auto"/>
            <w:noWrap/>
          </w:tcPr>
          <w:p w14:paraId="3973E68C"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E68D"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also included any </w:t>
            </w:r>
            <w:r>
              <w:rPr>
                <w:rFonts w:ascii="Calibri" w:hAnsi="Calibri" w:cs="Calibri"/>
                <w:sz w:val="15"/>
                <w:szCs w:val="15"/>
              </w:rPr>
              <w:t>changes in intangible asset balances for the periods presented that resulted from foreign currency translations.</w:t>
            </w:r>
          </w:p>
        </w:tc>
      </w:tr>
    </w:tbl>
    <w:p w14:paraId="3973E68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692" w14:textId="77777777">
        <w:tc>
          <w:tcPr>
            <w:tcW w:w="192" w:type="pct"/>
            <w:shd w:val="clear" w:color="auto" w:fill="auto"/>
            <w:noWrap/>
          </w:tcPr>
          <w:p w14:paraId="3973E690"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3973E691"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Represents weighted-average useful lives (in years) of intangible assets acquired during fiscal 2022.</w:t>
            </w:r>
          </w:p>
        </w:tc>
      </w:tr>
    </w:tbl>
    <w:p w14:paraId="3973E69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85</w:t>
      </w:r>
    </w:p>
    <w:p w14:paraId="3973E694" w14:textId="77777777" w:rsidR="007B027D" w:rsidRDefault="008E0125">
      <w:r>
        <w:rPr>
          <w:rFonts w:ascii="Calibri" w:hAnsi="Calibri" w:cs="Calibri"/>
          <w:sz w:val="20"/>
          <w:szCs w:val="20"/>
        </w:rPr>
        <w:pict w14:anchorId="39740090">
          <v:rect id="_x0000_i1111" style="width:415.3pt;height:1.5pt" o:hralign="center" o:hrstd="t" o:hr="t" fillcolor="#a0a0a0" stroked="f"/>
        </w:pict>
      </w:r>
    </w:p>
    <w:p w14:paraId="3973E695" w14:textId="77777777" w:rsidR="007B027D" w:rsidRDefault="008E0125">
      <w:pPr>
        <w:pStyle w:val="a3"/>
        <w:spacing w:beforeAutospacing="0" w:after="120" w:afterAutospacing="0"/>
        <w:rPr>
          <w:rFonts w:ascii="Calibri" w:hAnsi="Calibri" w:cs="Calibri"/>
          <w:sz w:val="18"/>
          <w:szCs w:val="18"/>
        </w:rPr>
      </w:pPr>
      <w:hyperlink r:id="rId206" w:anchor="TABLE_OF_CONTENTS" w:history="1">
        <w:r>
          <w:rPr>
            <w:rStyle w:val="a5"/>
            <w:rFonts w:ascii="Calibri" w:hAnsi="Calibri" w:cs="Calibri"/>
            <w:sz w:val="18"/>
            <w:szCs w:val="18"/>
          </w:rPr>
          <w:t>Table of Contents</w:t>
        </w:r>
      </w:hyperlink>
    </w:p>
    <w:p w14:paraId="3973E696" w14:textId="77777777" w:rsidR="007B027D" w:rsidRDefault="008E0125">
      <w:pPr>
        <w:pStyle w:val="a3"/>
        <w:spacing w:beforeAutospacing="0" w:afterAutospacing="0"/>
        <w:rPr>
          <w:rFonts w:ascii="Calibri" w:hAnsi="Calibri" w:cs="Calibri"/>
          <w:sz w:val="18"/>
          <w:szCs w:val="18"/>
        </w:rPr>
      </w:pPr>
      <w:hyperlink r:id="rId207" w:anchor="ITEM_15_EXHIBITS_FINANCIAL_STATEMENT_SCH" w:history="1">
        <w:r>
          <w:rPr>
            <w:rStyle w:val="a5"/>
            <w:rFonts w:ascii="Calibri" w:hAnsi="Calibri" w:cs="Calibri"/>
            <w:sz w:val="18"/>
            <w:szCs w:val="18"/>
          </w:rPr>
          <w:t>Index to Financial Statements</w:t>
        </w:r>
      </w:hyperlink>
    </w:p>
    <w:p w14:paraId="3973E697"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698"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699"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69A"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69B"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69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May 31, 2022, estimated future amortization expenses related to intangible assets were as follows (in millions): </w:t>
      </w:r>
    </w:p>
    <w:p w14:paraId="3973E69D"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7095"/>
        <w:gridCol w:w="147"/>
        <w:gridCol w:w="117"/>
        <w:gridCol w:w="887"/>
        <w:gridCol w:w="75"/>
      </w:tblGrid>
      <w:tr w:rsidR="007B027D" w14:paraId="3973E6A3" w14:textId="77777777">
        <w:tc>
          <w:tcPr>
            <w:tcW w:w="4267" w:type="pct"/>
            <w:shd w:val="clear" w:color="auto" w:fill="CFF0FC"/>
            <w:tcMar>
              <w:top w:w="15" w:type="dxa"/>
              <w:right w:w="15" w:type="dxa"/>
            </w:tcMar>
            <w:vAlign w:val="bottom"/>
          </w:tcPr>
          <w:p w14:paraId="3973E6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93" w:type="pct"/>
            <w:shd w:val="clear" w:color="auto" w:fill="CFF0FC"/>
            <w:tcMar>
              <w:top w:w="15" w:type="dxa"/>
              <w:right w:w="15" w:type="dxa"/>
            </w:tcMar>
            <w:vAlign w:val="bottom"/>
          </w:tcPr>
          <w:p w14:paraId="3973E69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6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shd w:val="clear" w:color="auto" w:fill="CFF0FC"/>
            <w:noWrap/>
            <w:tcMar>
              <w:top w:w="15" w:type="dxa"/>
              <w:right w:w="15" w:type="dxa"/>
            </w:tcMar>
            <w:vAlign w:val="bottom"/>
          </w:tcPr>
          <w:p w14:paraId="3973E6A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750</w:t>
            </w:r>
          </w:p>
        </w:tc>
        <w:tc>
          <w:tcPr>
            <w:tcW w:w="50" w:type="pct"/>
            <w:shd w:val="clear" w:color="auto" w:fill="CFF0FC"/>
            <w:noWrap/>
            <w:tcMar>
              <w:top w:w="15" w:type="dxa"/>
              <w:right w:w="15" w:type="dxa"/>
            </w:tcMar>
            <w:vAlign w:val="bottom"/>
          </w:tcPr>
          <w:p w14:paraId="3973E6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A9" w14:textId="77777777">
        <w:tc>
          <w:tcPr>
            <w:tcW w:w="4267" w:type="pct"/>
            <w:shd w:val="clear" w:color="auto" w:fill="FFFFFF"/>
            <w:tcMar>
              <w:top w:w="15" w:type="dxa"/>
              <w:right w:w="15" w:type="dxa"/>
            </w:tcMar>
            <w:vAlign w:val="bottom"/>
          </w:tcPr>
          <w:p w14:paraId="3973E6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93" w:type="pct"/>
            <w:shd w:val="clear" w:color="auto" w:fill="FFFFFF"/>
            <w:tcMar>
              <w:top w:w="15" w:type="dxa"/>
              <w:right w:w="15" w:type="dxa"/>
            </w:tcMar>
            <w:vAlign w:val="bottom"/>
          </w:tcPr>
          <w:p w14:paraId="3973E6A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6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6A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508</w:t>
            </w:r>
          </w:p>
        </w:tc>
        <w:tc>
          <w:tcPr>
            <w:tcW w:w="50" w:type="pct"/>
            <w:shd w:val="clear" w:color="auto" w:fill="FFFFFF"/>
            <w:noWrap/>
            <w:tcMar>
              <w:top w:w="15" w:type="dxa"/>
              <w:right w:w="15" w:type="dxa"/>
            </w:tcMar>
            <w:vAlign w:val="bottom"/>
          </w:tcPr>
          <w:p w14:paraId="3973E6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AF" w14:textId="77777777">
        <w:tc>
          <w:tcPr>
            <w:tcW w:w="4267" w:type="pct"/>
            <w:shd w:val="clear" w:color="auto" w:fill="CFF0FC"/>
            <w:tcMar>
              <w:top w:w="15" w:type="dxa"/>
              <w:right w:w="15" w:type="dxa"/>
            </w:tcMar>
            <w:vAlign w:val="bottom"/>
          </w:tcPr>
          <w:p w14:paraId="3973E6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93" w:type="pct"/>
            <w:shd w:val="clear" w:color="auto" w:fill="CFF0FC"/>
            <w:tcMar>
              <w:top w:w="15" w:type="dxa"/>
              <w:right w:w="15" w:type="dxa"/>
            </w:tcMar>
            <w:vAlign w:val="bottom"/>
          </w:tcPr>
          <w:p w14:paraId="3973E6A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6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3973E6A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148</w:t>
            </w:r>
          </w:p>
        </w:tc>
        <w:tc>
          <w:tcPr>
            <w:tcW w:w="50" w:type="pct"/>
            <w:shd w:val="clear" w:color="auto" w:fill="CFF0FC"/>
            <w:noWrap/>
            <w:tcMar>
              <w:top w:w="15" w:type="dxa"/>
              <w:right w:w="15" w:type="dxa"/>
            </w:tcMar>
            <w:vAlign w:val="bottom"/>
          </w:tcPr>
          <w:p w14:paraId="3973E6A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B5" w14:textId="77777777">
        <w:tc>
          <w:tcPr>
            <w:tcW w:w="4267" w:type="pct"/>
            <w:shd w:val="clear" w:color="auto" w:fill="FFFFFF"/>
            <w:tcMar>
              <w:top w:w="15" w:type="dxa"/>
              <w:right w:w="15" w:type="dxa"/>
            </w:tcMar>
            <w:vAlign w:val="bottom"/>
          </w:tcPr>
          <w:p w14:paraId="3973E6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93" w:type="pct"/>
            <w:shd w:val="clear" w:color="auto" w:fill="FFFFFF"/>
            <w:tcMar>
              <w:top w:w="15" w:type="dxa"/>
              <w:right w:w="15" w:type="dxa"/>
            </w:tcMar>
            <w:vAlign w:val="bottom"/>
          </w:tcPr>
          <w:p w14:paraId="3973E6B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6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3973E6B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3973E6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BB" w14:textId="77777777">
        <w:tc>
          <w:tcPr>
            <w:tcW w:w="4267" w:type="pct"/>
            <w:shd w:val="clear" w:color="auto" w:fill="CFF0FC"/>
            <w:tcMar>
              <w:top w:w="15" w:type="dxa"/>
              <w:right w:w="15" w:type="dxa"/>
            </w:tcMar>
            <w:vAlign w:val="bottom"/>
          </w:tcPr>
          <w:p w14:paraId="3973E6B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93" w:type="pct"/>
            <w:shd w:val="clear" w:color="auto" w:fill="CFF0FC"/>
            <w:tcMar>
              <w:top w:w="15" w:type="dxa"/>
              <w:right w:w="15" w:type="dxa"/>
            </w:tcMar>
            <w:vAlign w:val="bottom"/>
          </w:tcPr>
          <w:p w14:paraId="3973E6B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6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3973E6B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noWrap/>
            <w:tcMar>
              <w:top w:w="15" w:type="dxa"/>
              <w:right w:w="15" w:type="dxa"/>
            </w:tcMar>
            <w:vAlign w:val="bottom"/>
          </w:tcPr>
          <w:p w14:paraId="3973E6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C1" w14:textId="77777777">
        <w:tc>
          <w:tcPr>
            <w:tcW w:w="4267" w:type="pct"/>
            <w:shd w:val="clear" w:color="auto" w:fill="FFFFFF"/>
            <w:tcMar>
              <w:top w:w="15" w:type="dxa"/>
              <w:right w:w="15" w:type="dxa"/>
            </w:tcMar>
            <w:vAlign w:val="bottom"/>
          </w:tcPr>
          <w:p w14:paraId="3973E6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93" w:type="pct"/>
            <w:shd w:val="clear" w:color="auto" w:fill="FFFFFF"/>
            <w:tcMar>
              <w:top w:w="15" w:type="dxa"/>
              <w:right w:w="15" w:type="dxa"/>
            </w:tcMar>
            <w:vAlign w:val="bottom"/>
          </w:tcPr>
          <w:p w14:paraId="3973E6B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E6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3973E6B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3973E6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C7" w14:textId="77777777">
        <w:tc>
          <w:tcPr>
            <w:tcW w:w="4267" w:type="pct"/>
            <w:shd w:val="clear" w:color="auto" w:fill="CFF0FC"/>
            <w:tcMar>
              <w:top w:w="15" w:type="dxa"/>
              <w:right w:w="15" w:type="dxa"/>
            </w:tcMar>
            <w:vAlign w:val="bottom"/>
          </w:tcPr>
          <w:p w14:paraId="3973E6C2"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93" w:type="pct"/>
            <w:shd w:val="clear" w:color="auto" w:fill="CFF0FC"/>
            <w:tcMar>
              <w:top w:w="15" w:type="dxa"/>
              <w:right w:w="15" w:type="dxa"/>
            </w:tcMar>
            <w:vAlign w:val="bottom"/>
          </w:tcPr>
          <w:p w14:paraId="3973E6C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6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3973E6C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1,440</w:t>
            </w:r>
          </w:p>
        </w:tc>
        <w:tc>
          <w:tcPr>
            <w:tcW w:w="50" w:type="pct"/>
            <w:shd w:val="clear" w:color="auto" w:fill="CFF0FC"/>
            <w:noWrap/>
            <w:tcMar>
              <w:top w:w="15" w:type="dxa"/>
              <w:right w:w="15" w:type="dxa"/>
            </w:tcMar>
            <w:vAlign w:val="bottom"/>
          </w:tcPr>
          <w:p w14:paraId="3973E6C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6C8" w14:textId="77777777" w:rsidR="007B027D" w:rsidRDefault="008E0125">
      <w:pPr>
        <w:pStyle w:val="a3"/>
        <w:spacing w:beforeAutospacing="0" w:afterAutospacing="0"/>
        <w:rPr>
          <w:sz w:val="12"/>
          <w:szCs w:val="12"/>
        </w:rPr>
      </w:pPr>
      <w:r>
        <w:rPr>
          <w:sz w:val="12"/>
          <w:szCs w:val="12"/>
        </w:rPr>
        <w:t> </w:t>
      </w:r>
    </w:p>
    <w:p w14:paraId="3973E6C9"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The changes in the carrying amounts of goodwill, net, which is generally not deductible for tax purposes, for our operating segments for fiscal 2022 and 2021 were as follows:</w:t>
      </w:r>
    </w:p>
    <w:p w14:paraId="3973E6CA" w14:textId="77777777" w:rsidR="007B027D" w:rsidRDefault="008E0125">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559"/>
        <w:gridCol w:w="118"/>
        <w:gridCol w:w="117"/>
        <w:gridCol w:w="1130"/>
        <w:gridCol w:w="72"/>
        <w:gridCol w:w="119"/>
        <w:gridCol w:w="118"/>
        <w:gridCol w:w="1131"/>
        <w:gridCol w:w="72"/>
        <w:gridCol w:w="119"/>
        <w:gridCol w:w="117"/>
        <w:gridCol w:w="1131"/>
        <w:gridCol w:w="76"/>
        <w:gridCol w:w="117"/>
        <w:gridCol w:w="117"/>
        <w:gridCol w:w="1132"/>
        <w:gridCol w:w="76"/>
      </w:tblGrid>
      <w:tr w:rsidR="007B027D" w14:paraId="3973E6D8" w14:textId="77777777">
        <w:tc>
          <w:tcPr>
            <w:tcW w:w="1543" w:type="pct"/>
            <w:tcBorders>
              <w:bottom w:val="single" w:sz="6" w:space="0" w:color="000000"/>
            </w:tcBorders>
            <w:shd w:val="clear" w:color="auto" w:fill="FFFFFF"/>
            <w:tcMar>
              <w:top w:w="15" w:type="dxa"/>
              <w:right w:w="15" w:type="dxa"/>
            </w:tcMar>
            <w:vAlign w:val="bottom"/>
          </w:tcPr>
          <w:p w14:paraId="3973E6C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3973E6C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5" w:type="pct"/>
            <w:gridSpan w:val="2"/>
            <w:tcBorders>
              <w:bottom w:val="single" w:sz="6" w:space="0" w:color="000000"/>
            </w:tcBorders>
            <w:shd w:val="clear" w:color="auto" w:fill="FFFFFF"/>
            <w:tcMar>
              <w:top w:w="15" w:type="dxa"/>
              <w:right w:w="15" w:type="dxa"/>
            </w:tcMar>
            <w:vAlign w:val="bottom"/>
          </w:tcPr>
          <w:p w14:paraId="3973E6C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Cloud and </w:t>
            </w:r>
            <w:r>
              <w:rPr>
                <w:rFonts w:ascii="Calibri" w:hAnsi="Calibri" w:cs="Calibri"/>
                <w:b/>
                <w:bCs/>
                <w:color w:val="000000"/>
                <w:sz w:val="15"/>
                <w:szCs w:val="15"/>
              </w:rPr>
              <w:t>License</w:t>
            </w:r>
          </w:p>
        </w:tc>
        <w:tc>
          <w:tcPr>
            <w:tcW w:w="50" w:type="pct"/>
            <w:shd w:val="clear" w:color="auto" w:fill="FFFFFF"/>
            <w:noWrap/>
            <w:tcMar>
              <w:top w:w="15" w:type="dxa"/>
              <w:right w:w="15" w:type="dxa"/>
            </w:tcMar>
            <w:vAlign w:val="bottom"/>
          </w:tcPr>
          <w:p w14:paraId="3973E6C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E6C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5" w:type="pct"/>
            <w:gridSpan w:val="2"/>
            <w:tcBorders>
              <w:bottom w:val="single" w:sz="6" w:space="0" w:color="000000"/>
            </w:tcBorders>
            <w:shd w:val="clear" w:color="auto" w:fill="FFFFFF"/>
            <w:tcMar>
              <w:top w:w="15" w:type="dxa"/>
              <w:right w:w="15" w:type="dxa"/>
            </w:tcMar>
            <w:vAlign w:val="bottom"/>
          </w:tcPr>
          <w:p w14:paraId="3973E6D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3973E6D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E6D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5" w:type="pct"/>
            <w:gridSpan w:val="2"/>
            <w:tcBorders>
              <w:bottom w:val="single" w:sz="6" w:space="0" w:color="000000"/>
            </w:tcBorders>
            <w:shd w:val="clear" w:color="auto" w:fill="FFFFFF"/>
            <w:tcMar>
              <w:top w:w="15" w:type="dxa"/>
              <w:right w:w="15" w:type="dxa"/>
            </w:tcMar>
            <w:vAlign w:val="bottom"/>
          </w:tcPr>
          <w:p w14:paraId="3973E6D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3973E6D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3973E6D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5" w:type="pct"/>
            <w:gridSpan w:val="2"/>
            <w:tcBorders>
              <w:bottom w:val="single" w:sz="6" w:space="0" w:color="000000"/>
            </w:tcBorders>
            <w:shd w:val="clear" w:color="auto" w:fill="FFFFFF"/>
            <w:tcMar>
              <w:top w:w="15" w:type="dxa"/>
              <w:right w:w="15" w:type="dxa"/>
            </w:tcMar>
            <w:vAlign w:val="bottom"/>
          </w:tcPr>
          <w:p w14:paraId="3973E6D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3973E6D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6EA" w14:textId="77777777">
        <w:tc>
          <w:tcPr>
            <w:tcW w:w="1543" w:type="pct"/>
            <w:tcBorders>
              <w:top w:val="single" w:sz="6" w:space="0" w:color="000000"/>
            </w:tcBorders>
            <w:shd w:val="clear" w:color="auto" w:fill="CFF0FC"/>
            <w:tcMar>
              <w:top w:w="15" w:type="dxa"/>
              <w:right w:w="15" w:type="dxa"/>
            </w:tcMar>
          </w:tcPr>
          <w:p w14:paraId="3973E6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2020</w:t>
            </w:r>
          </w:p>
        </w:tc>
        <w:tc>
          <w:tcPr>
            <w:tcW w:w="78" w:type="pct"/>
            <w:shd w:val="clear" w:color="auto" w:fill="CFF0FC"/>
            <w:tcMar>
              <w:top w:w="15" w:type="dxa"/>
              <w:right w:w="15" w:type="dxa"/>
            </w:tcMar>
            <w:vAlign w:val="bottom"/>
          </w:tcPr>
          <w:p w14:paraId="3973E6D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E6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3973E6D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39,637</w:t>
            </w:r>
          </w:p>
        </w:tc>
        <w:tc>
          <w:tcPr>
            <w:tcW w:w="50" w:type="pct"/>
            <w:shd w:val="clear" w:color="auto" w:fill="CFF0FC"/>
            <w:noWrap/>
            <w:tcMar>
              <w:top w:w="15" w:type="dxa"/>
              <w:right w:w="15" w:type="dxa"/>
            </w:tcMar>
            <w:vAlign w:val="bottom"/>
          </w:tcPr>
          <w:p w14:paraId="3973E6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6D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6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3973E6E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3973E6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6E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6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3973E6E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1,765</w:t>
            </w:r>
          </w:p>
        </w:tc>
        <w:tc>
          <w:tcPr>
            <w:tcW w:w="50" w:type="pct"/>
            <w:shd w:val="clear" w:color="auto" w:fill="CFF0FC"/>
            <w:noWrap/>
            <w:tcMar>
              <w:top w:w="15" w:type="dxa"/>
              <w:right w:w="15" w:type="dxa"/>
            </w:tcMar>
            <w:vAlign w:val="bottom"/>
          </w:tcPr>
          <w:p w14:paraId="3973E6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6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6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3973E6E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43,769</w:t>
            </w:r>
          </w:p>
        </w:tc>
        <w:tc>
          <w:tcPr>
            <w:tcW w:w="50" w:type="pct"/>
            <w:shd w:val="clear" w:color="auto" w:fill="CFF0FC"/>
            <w:noWrap/>
            <w:tcMar>
              <w:top w:w="15" w:type="dxa"/>
              <w:right w:w="15" w:type="dxa"/>
            </w:tcMar>
            <w:vAlign w:val="bottom"/>
          </w:tcPr>
          <w:p w14:paraId="3973E6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6FC" w14:textId="77777777">
        <w:tc>
          <w:tcPr>
            <w:tcW w:w="1543" w:type="pct"/>
            <w:shd w:val="clear" w:color="auto" w:fill="FFFFFF"/>
            <w:tcMar>
              <w:top w:w="15" w:type="dxa"/>
              <w:right w:w="15" w:type="dxa"/>
            </w:tcMar>
          </w:tcPr>
          <w:p w14:paraId="3973E6EB"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78" w:type="pct"/>
            <w:shd w:val="clear" w:color="auto" w:fill="FFFFFF"/>
            <w:tcMar>
              <w:top w:w="15" w:type="dxa"/>
              <w:right w:w="15" w:type="dxa"/>
            </w:tcMar>
            <w:vAlign w:val="bottom"/>
          </w:tcPr>
          <w:p w14:paraId="3973E6EC"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E6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3973E6E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w:t>
            </w:r>
          </w:p>
        </w:tc>
        <w:tc>
          <w:tcPr>
            <w:tcW w:w="50" w:type="pct"/>
            <w:shd w:val="clear" w:color="auto" w:fill="FFFFFF"/>
            <w:noWrap/>
            <w:tcMar>
              <w:top w:w="15" w:type="dxa"/>
              <w:right w:w="15" w:type="dxa"/>
            </w:tcMar>
            <w:vAlign w:val="bottom"/>
          </w:tcPr>
          <w:p w14:paraId="3973E6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3973E6F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6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3973E6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6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3973E6F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6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3973E6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3973E6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3973E6F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6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3973E6F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w:t>
            </w:r>
          </w:p>
        </w:tc>
        <w:tc>
          <w:tcPr>
            <w:tcW w:w="50" w:type="pct"/>
            <w:shd w:val="clear" w:color="auto" w:fill="FFFFFF"/>
            <w:noWrap/>
            <w:tcMar>
              <w:top w:w="15" w:type="dxa"/>
              <w:right w:w="15" w:type="dxa"/>
            </w:tcMar>
            <w:vAlign w:val="bottom"/>
          </w:tcPr>
          <w:p w14:paraId="3973E6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70E" w14:textId="77777777">
        <w:tc>
          <w:tcPr>
            <w:tcW w:w="1543" w:type="pct"/>
            <w:shd w:val="clear" w:color="auto" w:fill="CFF0FC"/>
            <w:tcMar>
              <w:top w:w="15" w:type="dxa"/>
              <w:right w:w="15" w:type="dxa"/>
            </w:tcMar>
          </w:tcPr>
          <w:p w14:paraId="3973E6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2021</w:t>
            </w:r>
          </w:p>
        </w:tc>
        <w:tc>
          <w:tcPr>
            <w:tcW w:w="78" w:type="pct"/>
            <w:shd w:val="clear" w:color="auto" w:fill="CFF0FC"/>
            <w:tcMar>
              <w:top w:w="15" w:type="dxa"/>
              <w:right w:w="15" w:type="dxa"/>
            </w:tcMar>
            <w:vAlign w:val="bottom"/>
          </w:tcPr>
          <w:p w14:paraId="3973E6F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6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CFF0FC"/>
            <w:noWrap/>
            <w:tcMar>
              <w:top w:w="15" w:type="dxa"/>
              <w:right w:w="15" w:type="dxa"/>
            </w:tcMar>
            <w:vAlign w:val="bottom"/>
          </w:tcPr>
          <w:p w14:paraId="3973E70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39,786</w:t>
            </w:r>
          </w:p>
        </w:tc>
        <w:tc>
          <w:tcPr>
            <w:tcW w:w="50" w:type="pct"/>
            <w:shd w:val="clear" w:color="auto" w:fill="CFF0FC"/>
            <w:noWrap/>
            <w:tcMar>
              <w:top w:w="15" w:type="dxa"/>
              <w:right w:w="15" w:type="dxa"/>
            </w:tcMar>
            <w:vAlign w:val="bottom"/>
          </w:tcPr>
          <w:p w14:paraId="3973E7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0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7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CFF0FC"/>
            <w:noWrap/>
            <w:tcMar>
              <w:top w:w="15" w:type="dxa"/>
              <w:right w:w="15" w:type="dxa"/>
            </w:tcMar>
            <w:vAlign w:val="bottom"/>
          </w:tcPr>
          <w:p w14:paraId="3973E70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3973E7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0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7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CFF0FC"/>
            <w:noWrap/>
            <w:tcMar>
              <w:top w:w="15" w:type="dxa"/>
              <w:right w:w="15" w:type="dxa"/>
            </w:tcMar>
            <w:vAlign w:val="bottom"/>
          </w:tcPr>
          <w:p w14:paraId="3973E7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1,782</w:t>
            </w:r>
          </w:p>
        </w:tc>
        <w:tc>
          <w:tcPr>
            <w:tcW w:w="50" w:type="pct"/>
            <w:shd w:val="clear" w:color="auto" w:fill="CFF0FC"/>
            <w:noWrap/>
            <w:tcMar>
              <w:top w:w="15" w:type="dxa"/>
              <w:right w:w="15" w:type="dxa"/>
            </w:tcMar>
            <w:vAlign w:val="bottom"/>
          </w:tcPr>
          <w:p w14:paraId="3973E7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0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7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CFF0FC"/>
            <w:noWrap/>
            <w:tcMar>
              <w:top w:w="15" w:type="dxa"/>
              <w:right w:w="15" w:type="dxa"/>
            </w:tcMar>
            <w:vAlign w:val="bottom"/>
          </w:tcPr>
          <w:p w14:paraId="3973E70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43,935</w:t>
            </w:r>
          </w:p>
        </w:tc>
        <w:tc>
          <w:tcPr>
            <w:tcW w:w="50" w:type="pct"/>
            <w:shd w:val="clear" w:color="auto" w:fill="CFF0FC"/>
            <w:noWrap/>
            <w:tcMar>
              <w:top w:w="15" w:type="dxa"/>
              <w:right w:w="15" w:type="dxa"/>
            </w:tcMar>
            <w:vAlign w:val="bottom"/>
          </w:tcPr>
          <w:p w14:paraId="3973E7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720" w14:textId="77777777">
        <w:tc>
          <w:tcPr>
            <w:tcW w:w="1543" w:type="pct"/>
            <w:shd w:val="clear" w:color="auto" w:fill="FFFFFF"/>
            <w:tcMar>
              <w:top w:w="15" w:type="dxa"/>
              <w:right w:w="15" w:type="dxa"/>
            </w:tcMar>
          </w:tcPr>
          <w:p w14:paraId="3973E70F"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78" w:type="pct"/>
            <w:shd w:val="clear" w:color="auto" w:fill="FFFFFF"/>
            <w:tcMar>
              <w:top w:w="15" w:type="dxa"/>
              <w:right w:w="15" w:type="dxa"/>
            </w:tcMar>
            <w:vAlign w:val="bottom"/>
          </w:tcPr>
          <w:p w14:paraId="3973E71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7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FFFFFF"/>
            <w:noWrap/>
            <w:tcMar>
              <w:top w:w="15" w:type="dxa"/>
              <w:right w:w="15" w:type="dxa"/>
            </w:tcMar>
            <w:vAlign w:val="bottom"/>
          </w:tcPr>
          <w:p w14:paraId="3973E71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FFFFFF"/>
            <w:noWrap/>
            <w:tcMar>
              <w:top w:w="15" w:type="dxa"/>
              <w:right w:w="15" w:type="dxa"/>
            </w:tcMar>
            <w:vAlign w:val="bottom"/>
          </w:tcPr>
          <w:p w14:paraId="3973E7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3973E71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7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FFFFFF"/>
            <w:noWrap/>
            <w:tcMar>
              <w:top w:w="15" w:type="dxa"/>
              <w:right w:w="15" w:type="dxa"/>
            </w:tcMar>
            <w:vAlign w:val="bottom"/>
          </w:tcPr>
          <w:p w14:paraId="3973E71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E7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3973E7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7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FFFFFF"/>
            <w:noWrap/>
            <w:tcMar>
              <w:top w:w="15" w:type="dxa"/>
              <w:right w:w="15" w:type="dxa"/>
            </w:tcMar>
            <w:vAlign w:val="bottom"/>
          </w:tcPr>
          <w:p w14:paraId="3973E71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w:t>
            </w:r>
          </w:p>
        </w:tc>
        <w:tc>
          <w:tcPr>
            <w:tcW w:w="50" w:type="pct"/>
            <w:shd w:val="clear" w:color="auto" w:fill="FFFFFF"/>
            <w:noWrap/>
            <w:tcMar>
              <w:top w:w="15" w:type="dxa"/>
              <w:right w:w="15" w:type="dxa"/>
            </w:tcMar>
            <w:vAlign w:val="bottom"/>
          </w:tcPr>
          <w:p w14:paraId="3973E7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3973E71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7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top w:val="single" w:sz="6" w:space="0" w:color="000000"/>
              <w:bottom w:val="single" w:sz="6" w:space="0" w:color="000000"/>
            </w:tcBorders>
            <w:shd w:val="clear" w:color="auto" w:fill="FFFFFF"/>
            <w:noWrap/>
            <w:tcMar>
              <w:top w:w="15" w:type="dxa"/>
              <w:right w:w="15" w:type="dxa"/>
            </w:tcMar>
            <w:vAlign w:val="bottom"/>
          </w:tcPr>
          <w:p w14:paraId="3973E71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FFFFFF"/>
            <w:noWrap/>
            <w:tcMar>
              <w:top w:w="15" w:type="dxa"/>
              <w:right w:w="15" w:type="dxa"/>
            </w:tcMar>
            <w:vAlign w:val="bottom"/>
          </w:tcPr>
          <w:p w14:paraId="3973E7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732" w14:textId="77777777">
        <w:tc>
          <w:tcPr>
            <w:tcW w:w="1543" w:type="pct"/>
            <w:shd w:val="clear" w:color="auto" w:fill="CFF0FC"/>
            <w:tcMar>
              <w:top w:w="15" w:type="dxa"/>
              <w:right w:w="15" w:type="dxa"/>
            </w:tcMar>
          </w:tcPr>
          <w:p w14:paraId="3973E7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2022</w:t>
            </w:r>
          </w:p>
        </w:tc>
        <w:tc>
          <w:tcPr>
            <w:tcW w:w="78" w:type="pct"/>
            <w:shd w:val="clear" w:color="auto" w:fill="CFF0FC"/>
            <w:tcMar>
              <w:top w:w="15" w:type="dxa"/>
              <w:right w:w="15" w:type="dxa"/>
            </w:tcMar>
            <w:vAlign w:val="bottom"/>
          </w:tcPr>
          <w:p w14:paraId="3973E72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7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3973E72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39,938</w:t>
            </w:r>
          </w:p>
        </w:tc>
        <w:tc>
          <w:tcPr>
            <w:tcW w:w="50" w:type="pct"/>
            <w:shd w:val="clear" w:color="auto" w:fill="CFF0FC"/>
            <w:noWrap/>
            <w:tcMar>
              <w:top w:w="15" w:type="dxa"/>
              <w:right w:w="15" w:type="dxa"/>
            </w:tcMar>
            <w:vAlign w:val="bottom"/>
          </w:tcPr>
          <w:p w14:paraId="3973E72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72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3973E72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3973E72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2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72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3973E72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1,506</w:t>
            </w:r>
          </w:p>
        </w:tc>
        <w:tc>
          <w:tcPr>
            <w:tcW w:w="50" w:type="pct"/>
            <w:shd w:val="clear" w:color="auto" w:fill="CFF0FC"/>
            <w:noWrap/>
            <w:tcMar>
              <w:top w:w="15" w:type="dxa"/>
              <w:right w:w="15" w:type="dxa"/>
            </w:tcMar>
            <w:vAlign w:val="bottom"/>
          </w:tcPr>
          <w:p w14:paraId="3973E7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3973E72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7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3973E73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43,811</w:t>
            </w:r>
          </w:p>
        </w:tc>
        <w:tc>
          <w:tcPr>
            <w:tcW w:w="50" w:type="pct"/>
            <w:shd w:val="clear" w:color="auto" w:fill="CFF0FC"/>
            <w:noWrap/>
            <w:tcMar>
              <w:top w:w="15" w:type="dxa"/>
              <w:right w:w="15" w:type="dxa"/>
            </w:tcMar>
            <w:vAlign w:val="bottom"/>
          </w:tcPr>
          <w:p w14:paraId="3973E73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733"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736" w14:textId="77777777">
        <w:tc>
          <w:tcPr>
            <w:tcW w:w="192" w:type="pct"/>
            <w:shd w:val="clear" w:color="auto" w:fill="auto"/>
            <w:noWrap/>
          </w:tcPr>
          <w:p w14:paraId="3973E734"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E735"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include any changes in goodwill balances for the period presented that substantially resulted from foreign currency translations and, during fiscal 2022, the realignment of an operating segment component. </w:t>
            </w:r>
          </w:p>
        </w:tc>
      </w:tr>
    </w:tbl>
    <w:p w14:paraId="3973E737" w14:textId="77777777" w:rsidR="007B027D" w:rsidRDefault="008E0125">
      <w:pPr>
        <w:pStyle w:val="a3"/>
        <w:spacing w:before="40" w:beforeAutospacing="0" w:afterAutospacing="0"/>
        <w:ind w:hanging="471"/>
        <w:jc w:val="both"/>
        <w:rPr>
          <w:rFonts w:ascii="Times New Roman" w:hAnsi="Times New Roman"/>
          <w:sz w:val="15"/>
          <w:szCs w:val="15"/>
        </w:rPr>
      </w:pPr>
      <w:r>
        <w:rPr>
          <w:rFonts w:ascii="Times New Roman" w:hAnsi="Times New Roman"/>
          <w:sz w:val="15"/>
          <w:szCs w:val="15"/>
        </w:rPr>
        <w:t> </w:t>
      </w:r>
    </w:p>
    <w:p w14:paraId="3973E73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86</w:t>
      </w:r>
    </w:p>
    <w:p w14:paraId="3973E739" w14:textId="77777777" w:rsidR="007B027D" w:rsidRDefault="008E0125">
      <w:r>
        <w:rPr>
          <w:rFonts w:ascii="Calibri" w:hAnsi="Calibri" w:cs="Calibri"/>
          <w:sz w:val="20"/>
          <w:szCs w:val="20"/>
        </w:rPr>
        <w:pict w14:anchorId="39740091">
          <v:rect id="_x0000_i1112" style="width:415.3pt;height:1.5pt" o:hralign="center" o:hrstd="t" o:hr="t" fillcolor="#a0a0a0" stroked="f"/>
        </w:pict>
      </w:r>
    </w:p>
    <w:p w14:paraId="3973E73A" w14:textId="77777777" w:rsidR="007B027D" w:rsidRDefault="008E0125">
      <w:pPr>
        <w:pStyle w:val="a3"/>
        <w:spacing w:beforeAutospacing="0" w:after="120" w:afterAutospacing="0"/>
        <w:rPr>
          <w:rFonts w:ascii="Calibri" w:hAnsi="Calibri" w:cs="Calibri"/>
          <w:sz w:val="18"/>
          <w:szCs w:val="18"/>
        </w:rPr>
      </w:pPr>
      <w:hyperlink r:id="rId208" w:anchor="TABLE_OF_CONTENTS" w:history="1">
        <w:r>
          <w:rPr>
            <w:rStyle w:val="a5"/>
            <w:rFonts w:ascii="Calibri" w:hAnsi="Calibri" w:cs="Calibri"/>
            <w:sz w:val="18"/>
            <w:szCs w:val="18"/>
          </w:rPr>
          <w:t>Table of Contents</w:t>
        </w:r>
      </w:hyperlink>
    </w:p>
    <w:p w14:paraId="3973E73B" w14:textId="77777777" w:rsidR="007B027D" w:rsidRDefault="008E0125">
      <w:pPr>
        <w:pStyle w:val="a3"/>
        <w:spacing w:beforeAutospacing="0" w:afterAutospacing="0"/>
        <w:rPr>
          <w:rFonts w:ascii="Calibri" w:hAnsi="Calibri" w:cs="Calibri"/>
          <w:sz w:val="18"/>
          <w:szCs w:val="18"/>
        </w:rPr>
      </w:pPr>
      <w:hyperlink r:id="rId209" w:anchor="ITEM_15_EXHIBITS_FINANCIAL_STATEMENT_SCH" w:history="1">
        <w:r>
          <w:rPr>
            <w:rStyle w:val="a5"/>
            <w:rFonts w:ascii="Calibri" w:hAnsi="Calibri" w:cs="Calibri"/>
            <w:sz w:val="18"/>
            <w:szCs w:val="18"/>
          </w:rPr>
          <w:t>Index to Financial Statements</w:t>
        </w:r>
      </w:hyperlink>
    </w:p>
    <w:p w14:paraId="3973E73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73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E73E"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73F"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74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743" w14:textId="77777777">
        <w:tc>
          <w:tcPr>
            <w:tcW w:w="262" w:type="pct"/>
            <w:shd w:val="clear" w:color="auto" w:fill="auto"/>
            <w:noWrap/>
          </w:tcPr>
          <w:p w14:paraId="3973E74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3973E74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NOTES PAYABLE AND OTHER BORROWINGS</w:t>
            </w:r>
          </w:p>
        </w:tc>
      </w:tr>
    </w:tbl>
    <w:p w14:paraId="3973E74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Notes payable and other borrowings consisted of the following: </w:t>
      </w:r>
    </w:p>
    <w:p w14:paraId="3973E745"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743"/>
        <w:gridCol w:w="111"/>
        <w:gridCol w:w="1254"/>
        <w:gridCol w:w="111"/>
        <w:gridCol w:w="86"/>
        <w:gridCol w:w="522"/>
        <w:gridCol w:w="83"/>
        <w:gridCol w:w="112"/>
        <w:gridCol w:w="691"/>
        <w:gridCol w:w="112"/>
        <w:gridCol w:w="86"/>
        <w:gridCol w:w="523"/>
        <w:gridCol w:w="83"/>
        <w:gridCol w:w="112"/>
        <w:gridCol w:w="692"/>
      </w:tblGrid>
      <w:tr w:rsidR="007B027D" w14:paraId="3973E74B" w14:textId="77777777">
        <w:tc>
          <w:tcPr>
            <w:tcW w:w="2249" w:type="pct"/>
            <w:shd w:val="clear" w:color="auto" w:fill="FFFFFF"/>
            <w:tcMar>
              <w:top w:w="15" w:type="dxa"/>
              <w:right w:w="15" w:type="dxa"/>
            </w:tcMar>
            <w:vAlign w:val="bottom"/>
          </w:tcPr>
          <w:p w14:paraId="3973E746" w14:textId="77777777" w:rsidR="007B027D" w:rsidRDefault="008E0125">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67" w:type="pct"/>
            <w:shd w:val="clear" w:color="auto" w:fill="FFFFFF"/>
            <w:tcMar>
              <w:top w:w="15" w:type="dxa"/>
              <w:right w:w="15" w:type="dxa"/>
            </w:tcMar>
            <w:vAlign w:val="bottom"/>
          </w:tcPr>
          <w:p w14:paraId="3973E747"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54" w:type="pct"/>
            <w:shd w:val="clear" w:color="auto" w:fill="FFFFFF"/>
            <w:tcMar>
              <w:top w:w="15" w:type="dxa"/>
              <w:right w:w="15" w:type="dxa"/>
            </w:tcMar>
            <w:vAlign w:val="bottom"/>
          </w:tcPr>
          <w:p w14:paraId="3973E748"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 </w:t>
            </w:r>
          </w:p>
        </w:tc>
        <w:tc>
          <w:tcPr>
            <w:tcW w:w="67" w:type="pct"/>
            <w:shd w:val="clear" w:color="auto" w:fill="FFFFFF"/>
            <w:tcMar>
              <w:top w:w="15" w:type="dxa"/>
              <w:right w:w="15" w:type="dxa"/>
            </w:tcMar>
            <w:vAlign w:val="bottom"/>
          </w:tcPr>
          <w:p w14:paraId="3973E749"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1860" w:type="pct"/>
            <w:gridSpan w:val="11"/>
            <w:tcBorders>
              <w:bottom w:val="single" w:sz="6" w:space="0" w:color="000000"/>
            </w:tcBorders>
            <w:shd w:val="clear" w:color="auto" w:fill="FFFFFF"/>
            <w:tcMar>
              <w:top w:w="15" w:type="dxa"/>
              <w:right w:w="15" w:type="dxa"/>
            </w:tcMar>
            <w:vAlign w:val="bottom"/>
          </w:tcPr>
          <w:p w14:paraId="3973E74A"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tc>
      </w:tr>
      <w:tr w:rsidR="007B027D" w14:paraId="3973E753" w14:textId="77777777">
        <w:tc>
          <w:tcPr>
            <w:tcW w:w="2249" w:type="pct"/>
            <w:shd w:val="clear" w:color="auto" w:fill="FFFFFF"/>
            <w:tcMar>
              <w:top w:w="15" w:type="dxa"/>
              <w:right w:w="15" w:type="dxa"/>
            </w:tcMar>
            <w:vAlign w:val="bottom"/>
          </w:tcPr>
          <w:p w14:paraId="3973E74C"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 </w:t>
            </w:r>
          </w:p>
        </w:tc>
        <w:tc>
          <w:tcPr>
            <w:tcW w:w="67" w:type="pct"/>
            <w:shd w:val="clear" w:color="auto" w:fill="FFFFFF"/>
            <w:tcMar>
              <w:top w:w="15" w:type="dxa"/>
              <w:right w:w="15" w:type="dxa"/>
            </w:tcMar>
            <w:vAlign w:val="bottom"/>
          </w:tcPr>
          <w:p w14:paraId="3973E74D"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54" w:type="pct"/>
            <w:shd w:val="clear" w:color="auto" w:fill="FFFFFF"/>
            <w:tcMar>
              <w:top w:w="15" w:type="dxa"/>
              <w:right w:w="15" w:type="dxa"/>
            </w:tcMar>
            <w:vAlign w:val="bottom"/>
          </w:tcPr>
          <w:p w14:paraId="3973E74E"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 </w:t>
            </w:r>
          </w:p>
        </w:tc>
        <w:tc>
          <w:tcPr>
            <w:tcW w:w="67" w:type="pct"/>
            <w:shd w:val="clear" w:color="auto" w:fill="FFFFFF"/>
            <w:tcMar>
              <w:top w:w="15" w:type="dxa"/>
              <w:right w:w="15" w:type="dxa"/>
            </w:tcMar>
            <w:vAlign w:val="bottom"/>
          </w:tcPr>
          <w:p w14:paraId="3973E74F"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896" w:type="pct"/>
            <w:gridSpan w:val="5"/>
            <w:tcBorders>
              <w:top w:val="single" w:sz="6" w:space="0" w:color="000000"/>
              <w:bottom w:val="single" w:sz="6" w:space="0" w:color="000000"/>
            </w:tcBorders>
            <w:shd w:val="clear" w:color="auto" w:fill="FFFFFF"/>
            <w:tcMar>
              <w:top w:w="15" w:type="dxa"/>
              <w:right w:w="15" w:type="dxa"/>
            </w:tcMar>
            <w:vAlign w:val="bottom"/>
          </w:tcPr>
          <w:p w14:paraId="3973E750"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2022</w:t>
            </w:r>
          </w:p>
        </w:tc>
        <w:tc>
          <w:tcPr>
            <w:tcW w:w="67" w:type="pct"/>
            <w:tcBorders>
              <w:top w:val="single" w:sz="6" w:space="0" w:color="000000"/>
            </w:tcBorders>
            <w:shd w:val="clear" w:color="auto" w:fill="FFFFFF"/>
            <w:tcMar>
              <w:top w:w="15" w:type="dxa"/>
              <w:right w:w="15" w:type="dxa"/>
            </w:tcMar>
            <w:vAlign w:val="bottom"/>
          </w:tcPr>
          <w:p w14:paraId="3973E751"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896" w:type="pct"/>
            <w:gridSpan w:val="5"/>
            <w:tcBorders>
              <w:top w:val="single" w:sz="6" w:space="0" w:color="000000"/>
              <w:bottom w:val="single" w:sz="6" w:space="0" w:color="000000"/>
            </w:tcBorders>
            <w:shd w:val="clear" w:color="auto" w:fill="FFFFFF"/>
            <w:tcMar>
              <w:top w:w="15" w:type="dxa"/>
              <w:right w:w="15" w:type="dxa"/>
            </w:tcMar>
            <w:vAlign w:val="bottom"/>
          </w:tcPr>
          <w:p w14:paraId="3973E752"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2021</w:t>
            </w:r>
          </w:p>
        </w:tc>
      </w:tr>
      <w:tr w:rsidR="007B027D" w14:paraId="3973E766" w14:textId="77777777">
        <w:tc>
          <w:tcPr>
            <w:tcW w:w="2249" w:type="pct"/>
            <w:tcBorders>
              <w:bottom w:val="single" w:sz="6" w:space="0" w:color="000000"/>
            </w:tcBorders>
            <w:shd w:val="clear" w:color="auto" w:fill="FFFFFF"/>
            <w:tcMar>
              <w:top w:w="15" w:type="dxa"/>
              <w:right w:w="15" w:type="dxa"/>
            </w:tcMar>
            <w:vAlign w:val="bottom"/>
          </w:tcPr>
          <w:p w14:paraId="3973E754"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(Amounts in millions)</w:t>
            </w:r>
          </w:p>
        </w:tc>
        <w:tc>
          <w:tcPr>
            <w:tcW w:w="67" w:type="pct"/>
            <w:shd w:val="clear" w:color="auto" w:fill="FFFFFF"/>
            <w:tcMar>
              <w:top w:w="15" w:type="dxa"/>
              <w:right w:w="15" w:type="dxa"/>
            </w:tcMar>
            <w:vAlign w:val="bottom"/>
          </w:tcPr>
          <w:p w14:paraId="3973E755"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54" w:type="pct"/>
            <w:tcBorders>
              <w:bottom w:val="single" w:sz="6" w:space="0" w:color="000000"/>
            </w:tcBorders>
            <w:shd w:val="clear" w:color="auto" w:fill="FFFFFF"/>
            <w:tcMar>
              <w:top w:w="15" w:type="dxa"/>
              <w:right w:w="15" w:type="dxa"/>
            </w:tcMar>
            <w:vAlign w:val="bottom"/>
          </w:tcPr>
          <w:p w14:paraId="3973E756"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Date of</w:t>
            </w:r>
          </w:p>
          <w:p w14:paraId="3973E757"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Issuance</w:t>
            </w:r>
          </w:p>
        </w:tc>
        <w:tc>
          <w:tcPr>
            <w:tcW w:w="67" w:type="pct"/>
            <w:shd w:val="clear" w:color="auto" w:fill="FFFFFF"/>
            <w:tcMar>
              <w:top w:w="15" w:type="dxa"/>
              <w:right w:w="15" w:type="dxa"/>
            </w:tcMar>
            <w:vAlign w:val="bottom"/>
          </w:tcPr>
          <w:p w14:paraId="3973E758"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64" w:type="pct"/>
            <w:gridSpan w:val="2"/>
            <w:tcBorders>
              <w:top w:val="single" w:sz="6" w:space="0" w:color="000000"/>
              <w:bottom w:val="single" w:sz="6" w:space="0" w:color="000000"/>
            </w:tcBorders>
            <w:shd w:val="clear" w:color="auto" w:fill="FFFFFF"/>
            <w:tcMar>
              <w:top w:w="15" w:type="dxa"/>
              <w:right w:w="15" w:type="dxa"/>
            </w:tcMar>
            <w:vAlign w:val="bottom"/>
          </w:tcPr>
          <w:p w14:paraId="3973E759"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Amount</w:t>
            </w:r>
          </w:p>
        </w:tc>
        <w:tc>
          <w:tcPr>
            <w:tcW w:w="50" w:type="pct"/>
            <w:shd w:val="clear" w:color="auto" w:fill="FFFFFF"/>
            <w:noWrap/>
            <w:tcMar>
              <w:top w:w="15" w:type="dxa"/>
              <w:right w:w="15" w:type="dxa"/>
            </w:tcMar>
            <w:vAlign w:val="bottom"/>
          </w:tcPr>
          <w:p w14:paraId="3973E75A"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67" w:type="pct"/>
            <w:tcBorders>
              <w:top w:val="single" w:sz="6" w:space="0" w:color="000000"/>
            </w:tcBorders>
            <w:shd w:val="clear" w:color="auto" w:fill="FFFFFF"/>
            <w:tcMar>
              <w:top w:w="15" w:type="dxa"/>
              <w:right w:w="15" w:type="dxa"/>
            </w:tcMar>
            <w:vAlign w:val="bottom"/>
          </w:tcPr>
          <w:p w14:paraId="3973E75B"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14" w:type="pct"/>
            <w:tcBorders>
              <w:top w:val="single" w:sz="6" w:space="0" w:color="000000"/>
              <w:bottom w:val="single" w:sz="6" w:space="0" w:color="000000"/>
            </w:tcBorders>
            <w:shd w:val="clear" w:color="auto" w:fill="FFFFFF"/>
            <w:tcMar>
              <w:top w:w="15" w:type="dxa"/>
              <w:right w:w="15" w:type="dxa"/>
            </w:tcMar>
            <w:vAlign w:val="bottom"/>
          </w:tcPr>
          <w:p w14:paraId="3973E75C"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Effective</w:t>
            </w:r>
          </w:p>
          <w:p w14:paraId="3973E75D"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Interest</w:t>
            </w:r>
          </w:p>
          <w:p w14:paraId="3973E75E"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Rate</w:t>
            </w:r>
          </w:p>
        </w:tc>
        <w:tc>
          <w:tcPr>
            <w:tcW w:w="67" w:type="pct"/>
            <w:shd w:val="clear" w:color="auto" w:fill="FFFFFF"/>
            <w:tcMar>
              <w:top w:w="15" w:type="dxa"/>
              <w:right w:w="15" w:type="dxa"/>
            </w:tcMar>
            <w:vAlign w:val="bottom"/>
          </w:tcPr>
          <w:p w14:paraId="3973E75F"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64" w:type="pct"/>
            <w:gridSpan w:val="2"/>
            <w:tcBorders>
              <w:top w:val="single" w:sz="6" w:space="0" w:color="000000"/>
              <w:bottom w:val="single" w:sz="6" w:space="0" w:color="000000"/>
            </w:tcBorders>
            <w:shd w:val="clear" w:color="auto" w:fill="FFFFFF"/>
            <w:tcMar>
              <w:top w:w="15" w:type="dxa"/>
              <w:right w:w="15" w:type="dxa"/>
            </w:tcMar>
            <w:vAlign w:val="bottom"/>
          </w:tcPr>
          <w:p w14:paraId="3973E760"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Amount</w:t>
            </w:r>
          </w:p>
        </w:tc>
        <w:tc>
          <w:tcPr>
            <w:tcW w:w="50" w:type="pct"/>
            <w:shd w:val="clear" w:color="auto" w:fill="FFFFFF"/>
            <w:noWrap/>
            <w:tcMar>
              <w:top w:w="15" w:type="dxa"/>
              <w:right w:w="15" w:type="dxa"/>
            </w:tcMar>
            <w:vAlign w:val="bottom"/>
          </w:tcPr>
          <w:p w14:paraId="3973E761"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67" w:type="pct"/>
            <w:tcBorders>
              <w:top w:val="single" w:sz="6" w:space="0" w:color="000000"/>
            </w:tcBorders>
            <w:shd w:val="clear" w:color="auto" w:fill="FFFFFF"/>
            <w:tcMar>
              <w:top w:w="15" w:type="dxa"/>
              <w:right w:w="15" w:type="dxa"/>
            </w:tcMar>
            <w:vAlign w:val="bottom"/>
          </w:tcPr>
          <w:p w14:paraId="3973E762" w14:textId="77777777" w:rsidR="007B027D" w:rsidRDefault="008E012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14" w:type="pct"/>
            <w:tcBorders>
              <w:top w:val="single" w:sz="6" w:space="0" w:color="000000"/>
              <w:bottom w:val="single" w:sz="6" w:space="0" w:color="000000"/>
            </w:tcBorders>
            <w:shd w:val="clear" w:color="auto" w:fill="FFFFFF"/>
            <w:tcMar>
              <w:top w:w="15" w:type="dxa"/>
              <w:right w:w="15" w:type="dxa"/>
            </w:tcMar>
            <w:vAlign w:val="bottom"/>
          </w:tcPr>
          <w:p w14:paraId="3973E763"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Effective</w:t>
            </w:r>
          </w:p>
          <w:p w14:paraId="3973E764"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Interest</w:t>
            </w:r>
          </w:p>
          <w:p w14:paraId="3973E765" w14:textId="77777777" w:rsidR="007B027D" w:rsidRDefault="008E012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Rate</w:t>
            </w:r>
          </w:p>
        </w:tc>
      </w:tr>
      <w:tr w:rsidR="007B027D" w14:paraId="3973E776" w14:textId="77777777">
        <w:tc>
          <w:tcPr>
            <w:tcW w:w="2249" w:type="pct"/>
            <w:tcBorders>
              <w:top w:val="single" w:sz="6" w:space="0" w:color="000000"/>
            </w:tcBorders>
            <w:shd w:val="clear" w:color="auto" w:fill="CFF0FC"/>
            <w:tcMar>
              <w:top w:w="15" w:type="dxa"/>
              <w:right w:w="15" w:type="dxa"/>
            </w:tcMar>
          </w:tcPr>
          <w:p w14:paraId="3973E76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Fixed-rate senior notes:</w:t>
            </w:r>
          </w:p>
        </w:tc>
        <w:tc>
          <w:tcPr>
            <w:tcW w:w="67" w:type="pct"/>
            <w:shd w:val="clear" w:color="auto" w:fill="CFF0FC"/>
            <w:tcMar>
              <w:top w:w="15" w:type="dxa"/>
              <w:right w:w="15" w:type="dxa"/>
            </w:tcMar>
            <w:vAlign w:val="bottom"/>
          </w:tcPr>
          <w:p w14:paraId="3973E76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tcBorders>
              <w:top w:val="single" w:sz="6" w:space="0" w:color="000000"/>
            </w:tcBorders>
            <w:shd w:val="clear" w:color="auto" w:fill="CFF0FC"/>
            <w:tcMar>
              <w:top w:w="15" w:type="dxa"/>
              <w:right w:w="15" w:type="dxa"/>
            </w:tcMar>
            <w:vAlign w:val="bottom"/>
          </w:tcPr>
          <w:p w14:paraId="3973E76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6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3973E76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top w:val="single" w:sz="6" w:space="0" w:color="000000"/>
            </w:tcBorders>
            <w:shd w:val="clear" w:color="auto" w:fill="CFF0FC"/>
            <w:noWrap/>
            <w:tcMar>
              <w:top w:w="15" w:type="dxa"/>
              <w:right w:w="15" w:type="dxa"/>
            </w:tcMar>
            <w:vAlign w:val="bottom"/>
          </w:tcPr>
          <w:p w14:paraId="3973E76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76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6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tcBorders>
              <w:top w:val="single" w:sz="6" w:space="0" w:color="000000"/>
            </w:tcBorders>
            <w:shd w:val="clear" w:color="auto" w:fill="CFF0FC"/>
            <w:tcMar>
              <w:top w:w="15" w:type="dxa"/>
              <w:right w:w="15" w:type="dxa"/>
            </w:tcMar>
            <w:vAlign w:val="bottom"/>
          </w:tcPr>
          <w:p w14:paraId="3973E76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7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3973E77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top w:val="single" w:sz="6" w:space="0" w:color="000000"/>
            </w:tcBorders>
            <w:shd w:val="clear" w:color="auto" w:fill="CFF0FC"/>
            <w:noWrap/>
            <w:tcMar>
              <w:top w:w="15" w:type="dxa"/>
              <w:right w:w="15" w:type="dxa"/>
            </w:tcMar>
            <w:vAlign w:val="bottom"/>
          </w:tcPr>
          <w:p w14:paraId="3973E77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77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7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tcBorders>
              <w:top w:val="single" w:sz="6" w:space="0" w:color="000000"/>
            </w:tcBorders>
            <w:shd w:val="clear" w:color="auto" w:fill="CFF0FC"/>
            <w:tcMar>
              <w:top w:w="15" w:type="dxa"/>
              <w:right w:w="15" w:type="dxa"/>
            </w:tcMar>
            <w:vAlign w:val="bottom"/>
          </w:tcPr>
          <w:p w14:paraId="3973E77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786" w14:textId="77777777">
        <w:tc>
          <w:tcPr>
            <w:tcW w:w="2249" w:type="pct"/>
            <w:shd w:val="clear" w:color="auto" w:fill="FFFFFF"/>
            <w:tcMar>
              <w:top w:w="15" w:type="dxa"/>
              <w:right w:w="15" w:type="dxa"/>
            </w:tcMar>
          </w:tcPr>
          <w:p w14:paraId="3973E77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$1,500, 2.80%, due July 2021</w:t>
            </w:r>
            <w:r>
              <w:rPr>
                <w:rFonts w:ascii="Calibri" w:hAnsi="Calibri" w:cs="Calibri"/>
                <w:color w:val="000000"/>
                <w:sz w:val="11"/>
                <w:szCs w:val="11"/>
              </w:rPr>
              <w:t>(1)</w:t>
            </w:r>
          </w:p>
        </w:tc>
        <w:tc>
          <w:tcPr>
            <w:tcW w:w="67" w:type="pct"/>
            <w:shd w:val="clear" w:color="auto" w:fill="FFFFFF"/>
            <w:tcMar>
              <w:top w:w="15" w:type="dxa"/>
              <w:right w:w="15" w:type="dxa"/>
            </w:tcMar>
            <w:vAlign w:val="bottom"/>
          </w:tcPr>
          <w:p w14:paraId="3973E77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77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67" w:type="pct"/>
            <w:shd w:val="clear" w:color="auto" w:fill="FFFFFF"/>
            <w:tcMar>
              <w:top w:w="15" w:type="dxa"/>
              <w:right w:w="15" w:type="dxa"/>
            </w:tcMar>
            <w:vAlign w:val="bottom"/>
          </w:tcPr>
          <w:p w14:paraId="3973E77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7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shd w:val="clear" w:color="auto" w:fill="FFFFFF"/>
            <w:noWrap/>
            <w:tcMar>
              <w:top w:w="15" w:type="dxa"/>
              <w:right w:w="15" w:type="dxa"/>
            </w:tcMar>
            <w:vAlign w:val="bottom"/>
          </w:tcPr>
          <w:p w14:paraId="3973E77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FFFFFF"/>
            <w:noWrap/>
            <w:tcMar>
              <w:top w:w="15" w:type="dxa"/>
              <w:right w:w="15" w:type="dxa"/>
            </w:tcMar>
            <w:vAlign w:val="bottom"/>
          </w:tcPr>
          <w:p w14:paraId="3973E77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7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7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67" w:type="pct"/>
            <w:shd w:val="clear" w:color="auto" w:fill="FFFFFF"/>
            <w:tcMar>
              <w:top w:w="15" w:type="dxa"/>
              <w:right w:w="15" w:type="dxa"/>
            </w:tcMar>
            <w:vAlign w:val="bottom"/>
          </w:tcPr>
          <w:p w14:paraId="3973E78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8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shd w:val="clear" w:color="auto" w:fill="FFFFFF"/>
            <w:noWrap/>
            <w:tcMar>
              <w:top w:w="15" w:type="dxa"/>
              <w:right w:w="15" w:type="dxa"/>
            </w:tcMar>
            <w:vAlign w:val="bottom"/>
          </w:tcPr>
          <w:p w14:paraId="3973E78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1,500</w:t>
            </w:r>
          </w:p>
        </w:tc>
        <w:tc>
          <w:tcPr>
            <w:tcW w:w="50" w:type="pct"/>
            <w:shd w:val="clear" w:color="auto" w:fill="FFFFFF"/>
            <w:noWrap/>
            <w:tcMar>
              <w:top w:w="15" w:type="dxa"/>
              <w:right w:w="15" w:type="dxa"/>
            </w:tcMar>
            <w:vAlign w:val="bottom"/>
          </w:tcPr>
          <w:p w14:paraId="3973E78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8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8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2.82%</w:t>
            </w:r>
          </w:p>
        </w:tc>
      </w:tr>
      <w:tr w:rsidR="007B027D" w14:paraId="3973E796" w14:textId="77777777">
        <w:tc>
          <w:tcPr>
            <w:tcW w:w="2249" w:type="pct"/>
            <w:shd w:val="clear" w:color="auto" w:fill="CFF0FC"/>
            <w:tcMar>
              <w:top w:w="15" w:type="dxa"/>
              <w:right w:w="15" w:type="dxa"/>
            </w:tcMar>
          </w:tcPr>
          <w:p w14:paraId="3973E78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$4,250, 1.90%, due September 2021</w:t>
            </w:r>
          </w:p>
        </w:tc>
        <w:tc>
          <w:tcPr>
            <w:tcW w:w="67" w:type="pct"/>
            <w:shd w:val="clear" w:color="auto" w:fill="CFF0FC"/>
            <w:tcMar>
              <w:top w:w="15" w:type="dxa"/>
              <w:right w:w="15" w:type="dxa"/>
            </w:tcMar>
            <w:vAlign w:val="bottom"/>
          </w:tcPr>
          <w:p w14:paraId="3973E78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78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67" w:type="pct"/>
            <w:shd w:val="clear" w:color="auto" w:fill="CFF0FC"/>
            <w:tcMar>
              <w:top w:w="15" w:type="dxa"/>
              <w:right w:w="15" w:type="dxa"/>
            </w:tcMar>
            <w:vAlign w:val="bottom"/>
          </w:tcPr>
          <w:p w14:paraId="3973E78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8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8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3973E78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8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8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67" w:type="pct"/>
            <w:shd w:val="clear" w:color="auto" w:fill="CFF0FC"/>
            <w:tcMar>
              <w:top w:w="15" w:type="dxa"/>
              <w:right w:w="15" w:type="dxa"/>
            </w:tcMar>
            <w:vAlign w:val="bottom"/>
          </w:tcPr>
          <w:p w14:paraId="3973E79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9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9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4,250</w:t>
            </w:r>
          </w:p>
        </w:tc>
        <w:tc>
          <w:tcPr>
            <w:tcW w:w="50" w:type="pct"/>
            <w:shd w:val="clear" w:color="auto" w:fill="CFF0FC"/>
            <w:noWrap/>
            <w:tcMar>
              <w:top w:w="15" w:type="dxa"/>
              <w:right w:w="15" w:type="dxa"/>
            </w:tcMar>
            <w:vAlign w:val="bottom"/>
          </w:tcPr>
          <w:p w14:paraId="3973E79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9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9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1.94%</w:t>
            </w:r>
          </w:p>
        </w:tc>
      </w:tr>
      <w:tr w:rsidR="007B027D" w14:paraId="3973E7A6" w14:textId="77777777">
        <w:tc>
          <w:tcPr>
            <w:tcW w:w="2249" w:type="pct"/>
            <w:shd w:val="clear" w:color="auto" w:fill="FFFFFF"/>
            <w:tcMar>
              <w:top w:w="15" w:type="dxa"/>
              <w:right w:w="15" w:type="dxa"/>
            </w:tcMar>
          </w:tcPr>
          <w:p w14:paraId="3973E79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2.50%, due May 2022</w:t>
            </w:r>
          </w:p>
        </w:tc>
        <w:tc>
          <w:tcPr>
            <w:tcW w:w="67" w:type="pct"/>
            <w:shd w:val="clear" w:color="auto" w:fill="FFFFFF"/>
            <w:tcMar>
              <w:top w:w="15" w:type="dxa"/>
              <w:right w:w="15" w:type="dxa"/>
            </w:tcMar>
            <w:vAlign w:val="bottom"/>
          </w:tcPr>
          <w:p w14:paraId="3973E79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79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FFFFFF"/>
            <w:tcMar>
              <w:top w:w="15" w:type="dxa"/>
              <w:right w:w="15" w:type="dxa"/>
            </w:tcMar>
            <w:vAlign w:val="bottom"/>
          </w:tcPr>
          <w:p w14:paraId="3973E79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9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9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FFFFFF"/>
            <w:noWrap/>
            <w:tcMar>
              <w:top w:w="15" w:type="dxa"/>
              <w:right w:w="15" w:type="dxa"/>
            </w:tcMar>
            <w:vAlign w:val="bottom"/>
          </w:tcPr>
          <w:p w14:paraId="3973E79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9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9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67" w:type="pct"/>
            <w:shd w:val="clear" w:color="auto" w:fill="FFFFFF"/>
            <w:tcMar>
              <w:top w:w="15" w:type="dxa"/>
              <w:right w:w="15" w:type="dxa"/>
            </w:tcMar>
            <w:vAlign w:val="bottom"/>
          </w:tcPr>
          <w:p w14:paraId="3973E7A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A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A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3973E7A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A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A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2.56%</w:t>
            </w:r>
          </w:p>
        </w:tc>
      </w:tr>
      <w:tr w:rsidR="007B027D" w14:paraId="3973E7B6" w14:textId="77777777">
        <w:tc>
          <w:tcPr>
            <w:tcW w:w="2249" w:type="pct"/>
            <w:shd w:val="clear" w:color="auto" w:fill="CFF0FC"/>
            <w:tcMar>
              <w:top w:w="15" w:type="dxa"/>
              <w:right w:w="15" w:type="dxa"/>
            </w:tcMar>
          </w:tcPr>
          <w:p w14:paraId="3973E7A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 xml:space="preserve">$2,500, </w:t>
            </w:r>
            <w:r>
              <w:rPr>
                <w:rFonts w:ascii="Calibri" w:hAnsi="Calibri" w:cs="Calibri"/>
                <w:color w:val="000000"/>
                <w:sz w:val="14"/>
                <w:szCs w:val="14"/>
              </w:rPr>
              <w:t>2.50%, due October 2022</w:t>
            </w:r>
          </w:p>
        </w:tc>
        <w:tc>
          <w:tcPr>
            <w:tcW w:w="67" w:type="pct"/>
            <w:shd w:val="clear" w:color="auto" w:fill="CFF0FC"/>
            <w:tcMar>
              <w:top w:w="15" w:type="dxa"/>
              <w:right w:w="15" w:type="dxa"/>
            </w:tcMar>
            <w:vAlign w:val="bottom"/>
          </w:tcPr>
          <w:p w14:paraId="3973E7A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7A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October 2012</w:t>
            </w:r>
          </w:p>
        </w:tc>
        <w:tc>
          <w:tcPr>
            <w:tcW w:w="67" w:type="pct"/>
            <w:shd w:val="clear" w:color="auto" w:fill="CFF0FC"/>
            <w:tcMar>
              <w:top w:w="15" w:type="dxa"/>
              <w:right w:w="15" w:type="dxa"/>
            </w:tcMar>
            <w:vAlign w:val="bottom"/>
          </w:tcPr>
          <w:p w14:paraId="3973E7A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A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A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CFF0FC"/>
            <w:noWrap/>
            <w:tcMar>
              <w:top w:w="15" w:type="dxa"/>
              <w:right w:w="15" w:type="dxa"/>
            </w:tcMar>
            <w:vAlign w:val="bottom"/>
          </w:tcPr>
          <w:p w14:paraId="3973E7A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A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A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c>
          <w:tcPr>
            <w:tcW w:w="67" w:type="pct"/>
            <w:shd w:val="clear" w:color="auto" w:fill="CFF0FC"/>
            <w:tcMar>
              <w:top w:w="15" w:type="dxa"/>
              <w:right w:w="15" w:type="dxa"/>
            </w:tcMar>
            <w:vAlign w:val="bottom"/>
          </w:tcPr>
          <w:p w14:paraId="3973E7B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B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B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CFF0FC"/>
            <w:noWrap/>
            <w:tcMar>
              <w:top w:w="15" w:type="dxa"/>
              <w:right w:w="15" w:type="dxa"/>
            </w:tcMar>
            <w:vAlign w:val="bottom"/>
          </w:tcPr>
          <w:p w14:paraId="3973E7B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B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B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r>
      <w:tr w:rsidR="007B027D" w14:paraId="3973E7C6" w14:textId="77777777">
        <w:tc>
          <w:tcPr>
            <w:tcW w:w="2249" w:type="pct"/>
            <w:shd w:val="clear" w:color="auto" w:fill="FFFFFF"/>
            <w:tcMar>
              <w:top w:w="15" w:type="dxa"/>
              <w:right w:w="15" w:type="dxa"/>
            </w:tcMar>
          </w:tcPr>
          <w:p w14:paraId="3973E7B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2.625%, due February 2023</w:t>
            </w:r>
          </w:p>
        </w:tc>
        <w:tc>
          <w:tcPr>
            <w:tcW w:w="67" w:type="pct"/>
            <w:shd w:val="clear" w:color="auto" w:fill="FFFFFF"/>
            <w:tcMar>
              <w:top w:w="15" w:type="dxa"/>
              <w:right w:w="15" w:type="dxa"/>
            </w:tcMar>
            <w:vAlign w:val="bottom"/>
          </w:tcPr>
          <w:p w14:paraId="3973E7B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7B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67" w:type="pct"/>
            <w:shd w:val="clear" w:color="auto" w:fill="FFFFFF"/>
            <w:tcMar>
              <w:top w:w="15" w:type="dxa"/>
              <w:right w:w="15" w:type="dxa"/>
            </w:tcMar>
            <w:vAlign w:val="bottom"/>
          </w:tcPr>
          <w:p w14:paraId="3973E7B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B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B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7B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B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B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2.64%</w:t>
            </w:r>
          </w:p>
        </w:tc>
        <w:tc>
          <w:tcPr>
            <w:tcW w:w="67" w:type="pct"/>
            <w:shd w:val="clear" w:color="auto" w:fill="FFFFFF"/>
            <w:tcMar>
              <w:top w:w="15" w:type="dxa"/>
              <w:right w:w="15" w:type="dxa"/>
            </w:tcMar>
            <w:vAlign w:val="bottom"/>
          </w:tcPr>
          <w:p w14:paraId="3973E7C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C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C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7C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C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C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2.64%</w:t>
            </w:r>
          </w:p>
        </w:tc>
      </w:tr>
      <w:tr w:rsidR="007B027D" w14:paraId="3973E7D6" w14:textId="77777777">
        <w:tc>
          <w:tcPr>
            <w:tcW w:w="2249" w:type="pct"/>
            <w:shd w:val="clear" w:color="auto" w:fill="CFF0FC"/>
            <w:tcMar>
              <w:top w:w="15" w:type="dxa"/>
              <w:right w:w="15" w:type="dxa"/>
            </w:tcMar>
          </w:tcPr>
          <w:p w14:paraId="3973E7C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$1,000, 3.625%, due July 2023</w:t>
            </w:r>
          </w:p>
        </w:tc>
        <w:tc>
          <w:tcPr>
            <w:tcW w:w="67" w:type="pct"/>
            <w:shd w:val="clear" w:color="auto" w:fill="CFF0FC"/>
            <w:tcMar>
              <w:top w:w="15" w:type="dxa"/>
              <w:right w:w="15" w:type="dxa"/>
            </w:tcMar>
            <w:vAlign w:val="bottom"/>
          </w:tcPr>
          <w:p w14:paraId="3973E7C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7C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2013</w:t>
            </w:r>
          </w:p>
        </w:tc>
        <w:tc>
          <w:tcPr>
            <w:tcW w:w="67" w:type="pct"/>
            <w:shd w:val="clear" w:color="auto" w:fill="CFF0FC"/>
            <w:tcMar>
              <w:top w:w="15" w:type="dxa"/>
              <w:right w:w="15" w:type="dxa"/>
            </w:tcMar>
            <w:vAlign w:val="bottom"/>
          </w:tcPr>
          <w:p w14:paraId="3973E7C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C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C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3973E7C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C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C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3.73%</w:t>
            </w:r>
          </w:p>
        </w:tc>
        <w:tc>
          <w:tcPr>
            <w:tcW w:w="67" w:type="pct"/>
            <w:shd w:val="clear" w:color="auto" w:fill="CFF0FC"/>
            <w:tcMar>
              <w:top w:w="15" w:type="dxa"/>
              <w:right w:w="15" w:type="dxa"/>
            </w:tcMar>
            <w:vAlign w:val="bottom"/>
          </w:tcPr>
          <w:p w14:paraId="3973E7D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D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D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3973E7D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D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D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3.73%</w:t>
            </w:r>
          </w:p>
        </w:tc>
      </w:tr>
      <w:tr w:rsidR="007B027D" w14:paraId="3973E7E6" w14:textId="77777777">
        <w:tc>
          <w:tcPr>
            <w:tcW w:w="2249" w:type="pct"/>
            <w:shd w:val="clear" w:color="auto" w:fill="FFFFFF"/>
            <w:tcMar>
              <w:top w:w="15" w:type="dxa"/>
              <w:right w:w="15" w:type="dxa"/>
            </w:tcMar>
          </w:tcPr>
          <w:p w14:paraId="3973E7D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2.40%, due September 2023</w:t>
            </w:r>
          </w:p>
        </w:tc>
        <w:tc>
          <w:tcPr>
            <w:tcW w:w="67" w:type="pct"/>
            <w:shd w:val="clear" w:color="auto" w:fill="FFFFFF"/>
            <w:tcMar>
              <w:top w:w="15" w:type="dxa"/>
              <w:right w:w="15" w:type="dxa"/>
            </w:tcMar>
            <w:vAlign w:val="bottom"/>
          </w:tcPr>
          <w:p w14:paraId="3973E7D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7D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67" w:type="pct"/>
            <w:shd w:val="clear" w:color="auto" w:fill="FFFFFF"/>
            <w:tcMar>
              <w:top w:w="15" w:type="dxa"/>
              <w:right w:w="15" w:type="dxa"/>
            </w:tcMar>
            <w:vAlign w:val="bottom"/>
          </w:tcPr>
          <w:p w14:paraId="3973E7D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D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D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3973E7D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D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D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2.40%</w:t>
            </w:r>
          </w:p>
        </w:tc>
        <w:tc>
          <w:tcPr>
            <w:tcW w:w="67" w:type="pct"/>
            <w:shd w:val="clear" w:color="auto" w:fill="FFFFFF"/>
            <w:tcMar>
              <w:top w:w="15" w:type="dxa"/>
              <w:right w:w="15" w:type="dxa"/>
            </w:tcMar>
            <w:vAlign w:val="bottom"/>
          </w:tcPr>
          <w:p w14:paraId="3973E7E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E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E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3973E7E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E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E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2.40%</w:t>
            </w:r>
          </w:p>
        </w:tc>
      </w:tr>
      <w:tr w:rsidR="007B027D" w14:paraId="3973E7F6" w14:textId="77777777">
        <w:tc>
          <w:tcPr>
            <w:tcW w:w="2249" w:type="pct"/>
            <w:shd w:val="clear" w:color="auto" w:fill="CFF0FC"/>
            <w:tcMar>
              <w:top w:w="15" w:type="dxa"/>
              <w:right w:w="15" w:type="dxa"/>
            </w:tcMar>
          </w:tcPr>
          <w:p w14:paraId="3973E7E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3.40%, due July 2024</w:t>
            </w:r>
          </w:p>
        </w:tc>
        <w:tc>
          <w:tcPr>
            <w:tcW w:w="67" w:type="pct"/>
            <w:shd w:val="clear" w:color="auto" w:fill="CFF0FC"/>
            <w:tcMar>
              <w:top w:w="15" w:type="dxa"/>
              <w:right w:w="15" w:type="dxa"/>
            </w:tcMar>
            <w:vAlign w:val="bottom"/>
          </w:tcPr>
          <w:p w14:paraId="3973E7E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7E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67" w:type="pct"/>
            <w:shd w:val="clear" w:color="auto" w:fill="CFF0FC"/>
            <w:tcMar>
              <w:top w:w="15" w:type="dxa"/>
              <w:right w:w="15" w:type="dxa"/>
            </w:tcMar>
            <w:vAlign w:val="bottom"/>
          </w:tcPr>
          <w:p w14:paraId="3973E7E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E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E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CFF0FC"/>
            <w:noWrap/>
            <w:tcMar>
              <w:top w:w="15" w:type="dxa"/>
              <w:right w:w="15" w:type="dxa"/>
            </w:tcMar>
            <w:vAlign w:val="bottom"/>
          </w:tcPr>
          <w:p w14:paraId="3973E7E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E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E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c>
          <w:tcPr>
            <w:tcW w:w="67" w:type="pct"/>
            <w:shd w:val="clear" w:color="auto" w:fill="CFF0FC"/>
            <w:tcMar>
              <w:top w:w="15" w:type="dxa"/>
              <w:right w:w="15" w:type="dxa"/>
            </w:tcMar>
            <w:vAlign w:val="bottom"/>
          </w:tcPr>
          <w:p w14:paraId="3973E7F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7F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7F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CFF0FC"/>
            <w:noWrap/>
            <w:tcMar>
              <w:top w:w="15" w:type="dxa"/>
              <w:right w:w="15" w:type="dxa"/>
            </w:tcMar>
            <w:vAlign w:val="bottom"/>
          </w:tcPr>
          <w:p w14:paraId="3973E7F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7F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7F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r>
      <w:tr w:rsidR="007B027D" w14:paraId="3973E806" w14:textId="77777777">
        <w:tc>
          <w:tcPr>
            <w:tcW w:w="2249" w:type="pct"/>
            <w:shd w:val="clear" w:color="auto" w:fill="FFFFFF"/>
            <w:tcMar>
              <w:top w:w="15" w:type="dxa"/>
              <w:right w:w="15" w:type="dxa"/>
            </w:tcMar>
          </w:tcPr>
          <w:p w14:paraId="3973E7F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2.95%, due November 2024</w:t>
            </w:r>
          </w:p>
        </w:tc>
        <w:tc>
          <w:tcPr>
            <w:tcW w:w="67" w:type="pct"/>
            <w:shd w:val="clear" w:color="auto" w:fill="FFFFFF"/>
            <w:tcMar>
              <w:top w:w="15" w:type="dxa"/>
              <w:right w:w="15" w:type="dxa"/>
            </w:tcMar>
            <w:vAlign w:val="bottom"/>
          </w:tcPr>
          <w:p w14:paraId="3973E7F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7F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67" w:type="pct"/>
            <w:shd w:val="clear" w:color="auto" w:fill="FFFFFF"/>
            <w:tcMar>
              <w:top w:w="15" w:type="dxa"/>
              <w:right w:w="15" w:type="dxa"/>
            </w:tcMar>
            <w:vAlign w:val="bottom"/>
          </w:tcPr>
          <w:p w14:paraId="3973E7F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7F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7F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7F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7F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7F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2.98%</w:t>
            </w:r>
          </w:p>
        </w:tc>
        <w:tc>
          <w:tcPr>
            <w:tcW w:w="67" w:type="pct"/>
            <w:shd w:val="clear" w:color="auto" w:fill="FFFFFF"/>
            <w:tcMar>
              <w:top w:w="15" w:type="dxa"/>
              <w:right w:w="15" w:type="dxa"/>
            </w:tcMar>
            <w:vAlign w:val="bottom"/>
          </w:tcPr>
          <w:p w14:paraId="3973E80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0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0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80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0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0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2.98%</w:t>
            </w:r>
          </w:p>
        </w:tc>
      </w:tr>
      <w:tr w:rsidR="007B027D" w14:paraId="3973E816" w14:textId="77777777">
        <w:tc>
          <w:tcPr>
            <w:tcW w:w="2249" w:type="pct"/>
            <w:shd w:val="clear" w:color="auto" w:fill="CFF0FC"/>
            <w:tcMar>
              <w:top w:w="15" w:type="dxa"/>
              <w:right w:w="15" w:type="dxa"/>
            </w:tcMar>
          </w:tcPr>
          <w:p w14:paraId="3973E80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$3,500, 2.50%, due April 2025</w:t>
            </w:r>
          </w:p>
        </w:tc>
        <w:tc>
          <w:tcPr>
            <w:tcW w:w="67" w:type="pct"/>
            <w:shd w:val="clear" w:color="auto" w:fill="CFF0FC"/>
            <w:tcMar>
              <w:top w:w="15" w:type="dxa"/>
              <w:right w:w="15" w:type="dxa"/>
            </w:tcMar>
            <w:vAlign w:val="bottom"/>
          </w:tcPr>
          <w:p w14:paraId="3973E80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0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CFF0FC"/>
            <w:tcMar>
              <w:top w:w="15" w:type="dxa"/>
              <w:right w:w="15" w:type="dxa"/>
            </w:tcMar>
            <w:vAlign w:val="bottom"/>
          </w:tcPr>
          <w:p w14:paraId="3973E80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0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0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CFF0FC"/>
            <w:noWrap/>
            <w:tcMar>
              <w:top w:w="15" w:type="dxa"/>
              <w:right w:w="15" w:type="dxa"/>
            </w:tcMar>
            <w:vAlign w:val="bottom"/>
          </w:tcPr>
          <w:p w14:paraId="3973E80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0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0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c>
          <w:tcPr>
            <w:tcW w:w="67" w:type="pct"/>
            <w:shd w:val="clear" w:color="auto" w:fill="CFF0FC"/>
            <w:tcMar>
              <w:top w:w="15" w:type="dxa"/>
              <w:right w:w="15" w:type="dxa"/>
            </w:tcMar>
            <w:vAlign w:val="bottom"/>
          </w:tcPr>
          <w:p w14:paraId="3973E81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1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1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CFF0FC"/>
            <w:noWrap/>
            <w:tcMar>
              <w:top w:w="15" w:type="dxa"/>
              <w:right w:w="15" w:type="dxa"/>
            </w:tcMar>
            <w:vAlign w:val="bottom"/>
          </w:tcPr>
          <w:p w14:paraId="3973E81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1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1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r>
      <w:tr w:rsidR="007B027D" w14:paraId="3973E826" w14:textId="77777777">
        <w:tc>
          <w:tcPr>
            <w:tcW w:w="2249" w:type="pct"/>
            <w:shd w:val="clear" w:color="auto" w:fill="FFFFFF"/>
            <w:tcMar>
              <w:top w:w="15" w:type="dxa"/>
              <w:right w:w="15" w:type="dxa"/>
            </w:tcMar>
          </w:tcPr>
          <w:p w14:paraId="3973E81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2.95%, due May 2025</w:t>
            </w:r>
          </w:p>
        </w:tc>
        <w:tc>
          <w:tcPr>
            <w:tcW w:w="67" w:type="pct"/>
            <w:shd w:val="clear" w:color="auto" w:fill="FFFFFF"/>
            <w:tcMar>
              <w:top w:w="15" w:type="dxa"/>
              <w:right w:w="15" w:type="dxa"/>
            </w:tcMar>
            <w:vAlign w:val="bottom"/>
          </w:tcPr>
          <w:p w14:paraId="3973E81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1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FFFFFF"/>
            <w:tcMar>
              <w:top w:w="15" w:type="dxa"/>
              <w:right w:w="15" w:type="dxa"/>
            </w:tcMar>
            <w:vAlign w:val="bottom"/>
          </w:tcPr>
          <w:p w14:paraId="3973E81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1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1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3973E81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1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1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w:t>
            </w:r>
          </w:p>
        </w:tc>
        <w:tc>
          <w:tcPr>
            <w:tcW w:w="67" w:type="pct"/>
            <w:shd w:val="clear" w:color="auto" w:fill="FFFFFF"/>
            <w:tcMar>
              <w:top w:w="15" w:type="dxa"/>
              <w:right w:w="15" w:type="dxa"/>
            </w:tcMar>
            <w:vAlign w:val="bottom"/>
          </w:tcPr>
          <w:p w14:paraId="3973E82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2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2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3973E82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2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2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w:t>
            </w:r>
          </w:p>
        </w:tc>
      </w:tr>
      <w:tr w:rsidR="007B027D" w14:paraId="3973E836" w14:textId="77777777">
        <w:tc>
          <w:tcPr>
            <w:tcW w:w="2249" w:type="pct"/>
            <w:shd w:val="clear" w:color="auto" w:fill="CFF0FC"/>
            <w:tcMar>
              <w:top w:w="15" w:type="dxa"/>
              <w:right w:w="15" w:type="dxa"/>
            </w:tcMar>
          </w:tcPr>
          <w:p w14:paraId="3973E82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€750, 3.125%, due July 2025</w:t>
            </w:r>
            <w:r>
              <w:rPr>
                <w:rFonts w:ascii="Calibri" w:hAnsi="Calibri" w:cs="Calibri"/>
                <w:color w:val="000000"/>
                <w:sz w:val="11"/>
                <w:szCs w:val="11"/>
              </w:rPr>
              <w:t>(2)(3)</w:t>
            </w:r>
          </w:p>
        </w:tc>
        <w:tc>
          <w:tcPr>
            <w:tcW w:w="67" w:type="pct"/>
            <w:shd w:val="clear" w:color="auto" w:fill="CFF0FC"/>
            <w:tcMar>
              <w:top w:w="15" w:type="dxa"/>
              <w:right w:w="15" w:type="dxa"/>
            </w:tcMar>
            <w:vAlign w:val="bottom"/>
          </w:tcPr>
          <w:p w14:paraId="3973E82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2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2013</w:t>
            </w:r>
          </w:p>
        </w:tc>
        <w:tc>
          <w:tcPr>
            <w:tcW w:w="67" w:type="pct"/>
            <w:shd w:val="clear" w:color="auto" w:fill="CFF0FC"/>
            <w:tcMar>
              <w:top w:w="15" w:type="dxa"/>
              <w:right w:w="15" w:type="dxa"/>
            </w:tcMar>
            <w:vAlign w:val="bottom"/>
          </w:tcPr>
          <w:p w14:paraId="3973E82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2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2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803</w:t>
            </w:r>
          </w:p>
        </w:tc>
        <w:tc>
          <w:tcPr>
            <w:tcW w:w="50" w:type="pct"/>
            <w:shd w:val="clear" w:color="auto" w:fill="CFF0FC"/>
            <w:noWrap/>
            <w:tcMar>
              <w:top w:w="15" w:type="dxa"/>
              <w:right w:w="15" w:type="dxa"/>
            </w:tcMar>
            <w:vAlign w:val="bottom"/>
          </w:tcPr>
          <w:p w14:paraId="3973E82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2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2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3.17%</w:t>
            </w:r>
          </w:p>
        </w:tc>
        <w:tc>
          <w:tcPr>
            <w:tcW w:w="67" w:type="pct"/>
            <w:shd w:val="clear" w:color="auto" w:fill="CFF0FC"/>
            <w:tcMar>
              <w:top w:w="15" w:type="dxa"/>
              <w:right w:w="15" w:type="dxa"/>
            </w:tcMar>
            <w:vAlign w:val="bottom"/>
          </w:tcPr>
          <w:p w14:paraId="3973E83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3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3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916</w:t>
            </w:r>
          </w:p>
        </w:tc>
        <w:tc>
          <w:tcPr>
            <w:tcW w:w="50" w:type="pct"/>
            <w:shd w:val="clear" w:color="auto" w:fill="CFF0FC"/>
            <w:noWrap/>
            <w:tcMar>
              <w:top w:w="15" w:type="dxa"/>
              <w:right w:w="15" w:type="dxa"/>
            </w:tcMar>
            <w:vAlign w:val="bottom"/>
          </w:tcPr>
          <w:p w14:paraId="3973E83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3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3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3.17%</w:t>
            </w:r>
          </w:p>
        </w:tc>
      </w:tr>
      <w:tr w:rsidR="007B027D" w14:paraId="3973E846" w14:textId="77777777">
        <w:tc>
          <w:tcPr>
            <w:tcW w:w="2249" w:type="pct"/>
            <w:shd w:val="clear" w:color="auto" w:fill="FFFFFF"/>
            <w:tcMar>
              <w:top w:w="15" w:type="dxa"/>
              <w:right w:w="15" w:type="dxa"/>
            </w:tcMar>
          </w:tcPr>
          <w:p w14:paraId="3973E83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$2,750, 1.65%, due March 2026</w:t>
            </w:r>
          </w:p>
        </w:tc>
        <w:tc>
          <w:tcPr>
            <w:tcW w:w="67" w:type="pct"/>
            <w:shd w:val="clear" w:color="auto" w:fill="FFFFFF"/>
            <w:tcMar>
              <w:top w:w="15" w:type="dxa"/>
              <w:right w:w="15" w:type="dxa"/>
            </w:tcMar>
            <w:vAlign w:val="bottom"/>
          </w:tcPr>
          <w:p w14:paraId="3973E83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3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FFFFFF"/>
            <w:tcMar>
              <w:top w:w="15" w:type="dxa"/>
              <w:right w:w="15" w:type="dxa"/>
            </w:tcMar>
            <w:vAlign w:val="bottom"/>
          </w:tcPr>
          <w:p w14:paraId="3973E83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3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3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FFFFFF"/>
            <w:noWrap/>
            <w:tcMar>
              <w:top w:w="15" w:type="dxa"/>
              <w:right w:w="15" w:type="dxa"/>
            </w:tcMar>
            <w:vAlign w:val="bottom"/>
          </w:tcPr>
          <w:p w14:paraId="3973E83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3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3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1.66%</w:t>
            </w:r>
          </w:p>
        </w:tc>
        <w:tc>
          <w:tcPr>
            <w:tcW w:w="67" w:type="pct"/>
            <w:shd w:val="clear" w:color="auto" w:fill="FFFFFF"/>
            <w:tcMar>
              <w:top w:w="15" w:type="dxa"/>
              <w:right w:w="15" w:type="dxa"/>
            </w:tcMar>
            <w:vAlign w:val="bottom"/>
          </w:tcPr>
          <w:p w14:paraId="3973E84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4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4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FFFFFF"/>
            <w:noWrap/>
            <w:tcMar>
              <w:top w:w="15" w:type="dxa"/>
              <w:right w:w="15" w:type="dxa"/>
            </w:tcMar>
            <w:vAlign w:val="bottom"/>
          </w:tcPr>
          <w:p w14:paraId="3973E84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4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4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1.66%</w:t>
            </w:r>
          </w:p>
        </w:tc>
      </w:tr>
      <w:tr w:rsidR="007B027D" w14:paraId="3973E856" w14:textId="77777777">
        <w:tc>
          <w:tcPr>
            <w:tcW w:w="2249" w:type="pct"/>
            <w:shd w:val="clear" w:color="auto" w:fill="CFF0FC"/>
            <w:tcMar>
              <w:top w:w="15" w:type="dxa"/>
              <w:right w:w="15" w:type="dxa"/>
            </w:tcMar>
          </w:tcPr>
          <w:p w14:paraId="3973E84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2.65%, due July 2026</w:t>
            </w:r>
          </w:p>
        </w:tc>
        <w:tc>
          <w:tcPr>
            <w:tcW w:w="67" w:type="pct"/>
            <w:shd w:val="clear" w:color="auto" w:fill="CFF0FC"/>
            <w:tcMar>
              <w:top w:w="15" w:type="dxa"/>
              <w:right w:w="15" w:type="dxa"/>
            </w:tcMar>
            <w:vAlign w:val="bottom"/>
          </w:tcPr>
          <w:p w14:paraId="3973E84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4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67" w:type="pct"/>
            <w:shd w:val="clear" w:color="auto" w:fill="CFF0FC"/>
            <w:tcMar>
              <w:top w:w="15" w:type="dxa"/>
              <w:right w:w="15" w:type="dxa"/>
            </w:tcMar>
            <w:vAlign w:val="bottom"/>
          </w:tcPr>
          <w:p w14:paraId="3973E84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4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4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3973E84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4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4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2.69%</w:t>
            </w:r>
          </w:p>
        </w:tc>
        <w:tc>
          <w:tcPr>
            <w:tcW w:w="67" w:type="pct"/>
            <w:shd w:val="clear" w:color="auto" w:fill="CFF0FC"/>
            <w:tcMar>
              <w:top w:w="15" w:type="dxa"/>
              <w:right w:w="15" w:type="dxa"/>
            </w:tcMar>
            <w:vAlign w:val="bottom"/>
          </w:tcPr>
          <w:p w14:paraId="3973E85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5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5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3973E85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5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5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2.69%</w:t>
            </w:r>
          </w:p>
        </w:tc>
      </w:tr>
      <w:tr w:rsidR="007B027D" w14:paraId="3973E866" w14:textId="77777777">
        <w:tc>
          <w:tcPr>
            <w:tcW w:w="2249" w:type="pct"/>
            <w:shd w:val="clear" w:color="auto" w:fill="FFFFFF"/>
            <w:tcMar>
              <w:top w:w="15" w:type="dxa"/>
              <w:right w:w="15" w:type="dxa"/>
            </w:tcMar>
          </w:tcPr>
          <w:p w14:paraId="3973E85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2.80%, due April 2027</w:t>
            </w:r>
          </w:p>
        </w:tc>
        <w:tc>
          <w:tcPr>
            <w:tcW w:w="67" w:type="pct"/>
            <w:shd w:val="clear" w:color="auto" w:fill="FFFFFF"/>
            <w:tcMar>
              <w:top w:w="15" w:type="dxa"/>
              <w:right w:w="15" w:type="dxa"/>
            </w:tcMar>
            <w:vAlign w:val="bottom"/>
          </w:tcPr>
          <w:p w14:paraId="3973E85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5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FFFFFF"/>
            <w:tcMar>
              <w:top w:w="15" w:type="dxa"/>
              <w:right w:w="15" w:type="dxa"/>
            </w:tcMar>
            <w:vAlign w:val="bottom"/>
          </w:tcPr>
          <w:p w14:paraId="3973E85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5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5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85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5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5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2.83%</w:t>
            </w:r>
          </w:p>
        </w:tc>
        <w:tc>
          <w:tcPr>
            <w:tcW w:w="67" w:type="pct"/>
            <w:shd w:val="clear" w:color="auto" w:fill="FFFFFF"/>
            <w:tcMar>
              <w:top w:w="15" w:type="dxa"/>
              <w:right w:w="15" w:type="dxa"/>
            </w:tcMar>
            <w:vAlign w:val="bottom"/>
          </w:tcPr>
          <w:p w14:paraId="3973E86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6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6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86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6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6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2.83%</w:t>
            </w:r>
          </w:p>
        </w:tc>
      </w:tr>
      <w:tr w:rsidR="007B027D" w14:paraId="3973E876" w14:textId="77777777">
        <w:tc>
          <w:tcPr>
            <w:tcW w:w="2249" w:type="pct"/>
            <w:shd w:val="clear" w:color="auto" w:fill="CFF0FC"/>
            <w:tcMar>
              <w:top w:w="15" w:type="dxa"/>
              <w:right w:w="15" w:type="dxa"/>
            </w:tcMar>
          </w:tcPr>
          <w:p w14:paraId="3973E86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$2,750, 3.25%, due November 2027</w:t>
            </w:r>
          </w:p>
        </w:tc>
        <w:tc>
          <w:tcPr>
            <w:tcW w:w="67" w:type="pct"/>
            <w:shd w:val="clear" w:color="auto" w:fill="CFF0FC"/>
            <w:tcMar>
              <w:top w:w="15" w:type="dxa"/>
              <w:right w:w="15" w:type="dxa"/>
            </w:tcMar>
            <w:vAlign w:val="bottom"/>
          </w:tcPr>
          <w:p w14:paraId="3973E86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6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67" w:type="pct"/>
            <w:shd w:val="clear" w:color="auto" w:fill="CFF0FC"/>
            <w:tcMar>
              <w:top w:w="15" w:type="dxa"/>
              <w:right w:w="15" w:type="dxa"/>
            </w:tcMar>
            <w:vAlign w:val="bottom"/>
          </w:tcPr>
          <w:p w14:paraId="3973E86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6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6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CFF0FC"/>
            <w:noWrap/>
            <w:tcMar>
              <w:top w:w="15" w:type="dxa"/>
              <w:right w:w="15" w:type="dxa"/>
            </w:tcMar>
            <w:vAlign w:val="bottom"/>
          </w:tcPr>
          <w:p w14:paraId="3973E86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6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6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3.26%</w:t>
            </w:r>
          </w:p>
        </w:tc>
        <w:tc>
          <w:tcPr>
            <w:tcW w:w="67" w:type="pct"/>
            <w:shd w:val="clear" w:color="auto" w:fill="CFF0FC"/>
            <w:tcMar>
              <w:top w:w="15" w:type="dxa"/>
              <w:right w:w="15" w:type="dxa"/>
            </w:tcMar>
            <w:vAlign w:val="bottom"/>
          </w:tcPr>
          <w:p w14:paraId="3973E87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7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7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CFF0FC"/>
            <w:noWrap/>
            <w:tcMar>
              <w:top w:w="15" w:type="dxa"/>
              <w:right w:w="15" w:type="dxa"/>
            </w:tcMar>
            <w:vAlign w:val="bottom"/>
          </w:tcPr>
          <w:p w14:paraId="3973E87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7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7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3.26%</w:t>
            </w:r>
          </w:p>
        </w:tc>
      </w:tr>
      <w:tr w:rsidR="007B027D" w14:paraId="3973E886" w14:textId="77777777">
        <w:tc>
          <w:tcPr>
            <w:tcW w:w="2249" w:type="pct"/>
            <w:shd w:val="clear" w:color="auto" w:fill="FFFFFF"/>
            <w:tcMar>
              <w:top w:w="15" w:type="dxa"/>
              <w:right w:w="15" w:type="dxa"/>
            </w:tcMar>
          </w:tcPr>
          <w:p w14:paraId="3973E87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2.30%, due March 2028</w:t>
            </w:r>
          </w:p>
        </w:tc>
        <w:tc>
          <w:tcPr>
            <w:tcW w:w="67" w:type="pct"/>
            <w:shd w:val="clear" w:color="auto" w:fill="FFFFFF"/>
            <w:tcMar>
              <w:top w:w="15" w:type="dxa"/>
              <w:right w:w="15" w:type="dxa"/>
            </w:tcMar>
            <w:vAlign w:val="bottom"/>
          </w:tcPr>
          <w:p w14:paraId="3973E87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7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FFFFFF"/>
            <w:tcMar>
              <w:top w:w="15" w:type="dxa"/>
              <w:right w:w="15" w:type="dxa"/>
            </w:tcMar>
            <w:vAlign w:val="bottom"/>
          </w:tcPr>
          <w:p w14:paraId="3973E87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87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7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87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7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87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2.34%</w:t>
            </w:r>
          </w:p>
        </w:tc>
        <w:tc>
          <w:tcPr>
            <w:tcW w:w="67" w:type="pct"/>
            <w:shd w:val="clear" w:color="auto" w:fill="FFFFFF"/>
            <w:tcMar>
              <w:top w:w="15" w:type="dxa"/>
              <w:right w:w="15" w:type="dxa"/>
            </w:tcMar>
            <w:vAlign w:val="bottom"/>
          </w:tcPr>
          <w:p w14:paraId="3973E88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88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8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88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8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88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2.34%</w:t>
            </w:r>
          </w:p>
        </w:tc>
      </w:tr>
      <w:tr w:rsidR="007B027D" w14:paraId="3973E896" w14:textId="77777777">
        <w:tc>
          <w:tcPr>
            <w:tcW w:w="2249" w:type="pct"/>
            <w:shd w:val="clear" w:color="auto" w:fill="CFF0FC"/>
            <w:tcMar>
              <w:top w:w="15" w:type="dxa"/>
              <w:right w:w="15" w:type="dxa"/>
            </w:tcMar>
          </w:tcPr>
          <w:p w14:paraId="3973E88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$3,250, 2.95%, due April 2030</w:t>
            </w:r>
          </w:p>
        </w:tc>
        <w:tc>
          <w:tcPr>
            <w:tcW w:w="67" w:type="pct"/>
            <w:shd w:val="clear" w:color="auto" w:fill="CFF0FC"/>
            <w:tcMar>
              <w:top w:w="15" w:type="dxa"/>
              <w:right w:w="15" w:type="dxa"/>
            </w:tcMar>
            <w:vAlign w:val="bottom"/>
          </w:tcPr>
          <w:p w14:paraId="3973E88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8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CFF0FC"/>
            <w:tcMar>
              <w:top w:w="15" w:type="dxa"/>
              <w:right w:w="15" w:type="dxa"/>
            </w:tcMar>
            <w:vAlign w:val="bottom"/>
          </w:tcPr>
          <w:p w14:paraId="3973E88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8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8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CFF0FC"/>
            <w:noWrap/>
            <w:tcMar>
              <w:top w:w="15" w:type="dxa"/>
              <w:right w:w="15" w:type="dxa"/>
            </w:tcMar>
            <w:vAlign w:val="bottom"/>
          </w:tcPr>
          <w:p w14:paraId="3973E88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8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8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2.96%</w:t>
            </w:r>
          </w:p>
        </w:tc>
        <w:tc>
          <w:tcPr>
            <w:tcW w:w="67" w:type="pct"/>
            <w:shd w:val="clear" w:color="auto" w:fill="CFF0FC"/>
            <w:tcMar>
              <w:top w:w="15" w:type="dxa"/>
              <w:right w:w="15" w:type="dxa"/>
            </w:tcMar>
            <w:vAlign w:val="bottom"/>
          </w:tcPr>
          <w:p w14:paraId="3973E89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9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9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CFF0FC"/>
            <w:noWrap/>
            <w:tcMar>
              <w:top w:w="15" w:type="dxa"/>
              <w:right w:w="15" w:type="dxa"/>
            </w:tcMar>
            <w:vAlign w:val="bottom"/>
          </w:tcPr>
          <w:p w14:paraId="3973E89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9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9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2.96%</w:t>
            </w:r>
          </w:p>
        </w:tc>
      </w:tr>
      <w:tr w:rsidR="007B027D" w14:paraId="3973E8A6" w14:textId="77777777">
        <w:tc>
          <w:tcPr>
            <w:tcW w:w="2249" w:type="pct"/>
            <w:shd w:val="clear" w:color="auto" w:fill="FFFFFF"/>
            <w:tcMar>
              <w:top w:w="15" w:type="dxa"/>
              <w:right w:w="15" w:type="dxa"/>
            </w:tcMar>
          </w:tcPr>
          <w:p w14:paraId="3973E89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$500, 3.25%, due May 2030</w:t>
            </w:r>
          </w:p>
        </w:tc>
        <w:tc>
          <w:tcPr>
            <w:tcW w:w="67" w:type="pct"/>
            <w:shd w:val="clear" w:color="auto" w:fill="FFFFFF"/>
            <w:tcMar>
              <w:top w:w="15" w:type="dxa"/>
              <w:right w:w="15" w:type="dxa"/>
            </w:tcMar>
            <w:vAlign w:val="bottom"/>
          </w:tcPr>
          <w:p w14:paraId="3973E89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9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FFFFFF"/>
            <w:tcMar>
              <w:top w:w="15" w:type="dxa"/>
              <w:right w:w="15" w:type="dxa"/>
            </w:tcMar>
            <w:vAlign w:val="bottom"/>
          </w:tcPr>
          <w:p w14:paraId="3973E89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89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9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500</w:t>
            </w:r>
          </w:p>
        </w:tc>
        <w:tc>
          <w:tcPr>
            <w:tcW w:w="50" w:type="pct"/>
            <w:shd w:val="clear" w:color="auto" w:fill="FFFFFF"/>
            <w:noWrap/>
            <w:tcMar>
              <w:top w:w="15" w:type="dxa"/>
              <w:right w:w="15" w:type="dxa"/>
            </w:tcMar>
            <w:vAlign w:val="bottom"/>
          </w:tcPr>
          <w:p w14:paraId="3973E89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9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89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3.30%</w:t>
            </w:r>
          </w:p>
        </w:tc>
        <w:tc>
          <w:tcPr>
            <w:tcW w:w="67" w:type="pct"/>
            <w:shd w:val="clear" w:color="auto" w:fill="FFFFFF"/>
            <w:tcMar>
              <w:top w:w="15" w:type="dxa"/>
              <w:right w:w="15" w:type="dxa"/>
            </w:tcMar>
            <w:vAlign w:val="bottom"/>
          </w:tcPr>
          <w:p w14:paraId="3973E8A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8A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A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500</w:t>
            </w:r>
          </w:p>
        </w:tc>
        <w:tc>
          <w:tcPr>
            <w:tcW w:w="50" w:type="pct"/>
            <w:shd w:val="clear" w:color="auto" w:fill="FFFFFF"/>
            <w:noWrap/>
            <w:tcMar>
              <w:top w:w="15" w:type="dxa"/>
              <w:right w:w="15" w:type="dxa"/>
            </w:tcMar>
            <w:vAlign w:val="bottom"/>
          </w:tcPr>
          <w:p w14:paraId="3973E8A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A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8A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3.30%</w:t>
            </w:r>
          </w:p>
        </w:tc>
      </w:tr>
      <w:tr w:rsidR="007B027D" w14:paraId="3973E8B6" w14:textId="77777777">
        <w:tc>
          <w:tcPr>
            <w:tcW w:w="2249" w:type="pct"/>
            <w:shd w:val="clear" w:color="auto" w:fill="CFF0FC"/>
            <w:tcMar>
              <w:top w:w="15" w:type="dxa"/>
              <w:right w:w="15" w:type="dxa"/>
            </w:tcMar>
          </w:tcPr>
          <w:p w14:paraId="3973E8A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$3,250, 2.875%, due March 2031</w:t>
            </w:r>
          </w:p>
        </w:tc>
        <w:tc>
          <w:tcPr>
            <w:tcW w:w="67" w:type="pct"/>
            <w:shd w:val="clear" w:color="auto" w:fill="CFF0FC"/>
            <w:tcMar>
              <w:top w:w="15" w:type="dxa"/>
              <w:right w:w="15" w:type="dxa"/>
            </w:tcMar>
            <w:vAlign w:val="bottom"/>
          </w:tcPr>
          <w:p w14:paraId="3973E8A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A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CFF0FC"/>
            <w:tcMar>
              <w:top w:w="15" w:type="dxa"/>
              <w:right w:w="15" w:type="dxa"/>
            </w:tcMar>
            <w:vAlign w:val="bottom"/>
          </w:tcPr>
          <w:p w14:paraId="3973E8A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A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A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CFF0FC"/>
            <w:noWrap/>
            <w:tcMar>
              <w:top w:w="15" w:type="dxa"/>
              <w:right w:w="15" w:type="dxa"/>
            </w:tcMar>
            <w:vAlign w:val="bottom"/>
          </w:tcPr>
          <w:p w14:paraId="3973E8A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A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A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2.89%</w:t>
            </w:r>
          </w:p>
        </w:tc>
        <w:tc>
          <w:tcPr>
            <w:tcW w:w="67" w:type="pct"/>
            <w:shd w:val="clear" w:color="auto" w:fill="CFF0FC"/>
            <w:tcMar>
              <w:top w:w="15" w:type="dxa"/>
              <w:right w:w="15" w:type="dxa"/>
            </w:tcMar>
            <w:vAlign w:val="bottom"/>
          </w:tcPr>
          <w:p w14:paraId="3973E8B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8B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B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CFF0FC"/>
            <w:noWrap/>
            <w:tcMar>
              <w:top w:w="15" w:type="dxa"/>
              <w:right w:w="15" w:type="dxa"/>
            </w:tcMar>
            <w:vAlign w:val="bottom"/>
          </w:tcPr>
          <w:p w14:paraId="3973E8B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B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8B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2.89%</w:t>
            </w:r>
          </w:p>
        </w:tc>
      </w:tr>
      <w:tr w:rsidR="007B027D" w14:paraId="3973E8C6" w14:textId="77777777">
        <w:tc>
          <w:tcPr>
            <w:tcW w:w="2249" w:type="pct"/>
            <w:shd w:val="clear" w:color="auto" w:fill="FFFFFF"/>
            <w:tcMar>
              <w:top w:w="15" w:type="dxa"/>
              <w:right w:w="15" w:type="dxa"/>
            </w:tcMar>
          </w:tcPr>
          <w:p w14:paraId="3973E8B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$1,750, 4.30%, due July 2034</w:t>
            </w:r>
          </w:p>
        </w:tc>
        <w:tc>
          <w:tcPr>
            <w:tcW w:w="67" w:type="pct"/>
            <w:shd w:val="clear" w:color="auto" w:fill="FFFFFF"/>
            <w:tcMar>
              <w:top w:w="15" w:type="dxa"/>
              <w:right w:w="15" w:type="dxa"/>
            </w:tcMar>
            <w:vAlign w:val="bottom"/>
          </w:tcPr>
          <w:p w14:paraId="3973E8B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B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67" w:type="pct"/>
            <w:shd w:val="clear" w:color="auto" w:fill="FFFFFF"/>
            <w:tcMar>
              <w:top w:w="15" w:type="dxa"/>
              <w:right w:w="15" w:type="dxa"/>
            </w:tcMar>
            <w:vAlign w:val="bottom"/>
          </w:tcPr>
          <w:p w14:paraId="3973E8B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B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B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FFFFFF"/>
            <w:noWrap/>
            <w:tcMar>
              <w:top w:w="15" w:type="dxa"/>
              <w:right w:w="15" w:type="dxa"/>
            </w:tcMar>
            <w:vAlign w:val="bottom"/>
          </w:tcPr>
          <w:p w14:paraId="3973E8B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B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B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4.30%</w:t>
            </w:r>
          </w:p>
        </w:tc>
        <w:tc>
          <w:tcPr>
            <w:tcW w:w="67" w:type="pct"/>
            <w:shd w:val="clear" w:color="auto" w:fill="FFFFFF"/>
            <w:tcMar>
              <w:top w:w="15" w:type="dxa"/>
              <w:right w:w="15" w:type="dxa"/>
            </w:tcMar>
            <w:vAlign w:val="bottom"/>
          </w:tcPr>
          <w:p w14:paraId="3973E8C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C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C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FFFFFF"/>
            <w:noWrap/>
            <w:tcMar>
              <w:top w:w="15" w:type="dxa"/>
              <w:right w:w="15" w:type="dxa"/>
            </w:tcMar>
            <w:vAlign w:val="bottom"/>
          </w:tcPr>
          <w:p w14:paraId="3973E8C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C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C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4.30%</w:t>
            </w:r>
          </w:p>
        </w:tc>
      </w:tr>
      <w:tr w:rsidR="007B027D" w14:paraId="3973E8D6" w14:textId="77777777">
        <w:tc>
          <w:tcPr>
            <w:tcW w:w="2249" w:type="pct"/>
            <w:shd w:val="clear" w:color="auto" w:fill="CFF0FC"/>
            <w:tcMar>
              <w:top w:w="15" w:type="dxa"/>
              <w:right w:w="15" w:type="dxa"/>
            </w:tcMar>
          </w:tcPr>
          <w:p w14:paraId="3973E8C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3.90%, due May 2035</w:t>
            </w:r>
          </w:p>
        </w:tc>
        <w:tc>
          <w:tcPr>
            <w:tcW w:w="67" w:type="pct"/>
            <w:shd w:val="clear" w:color="auto" w:fill="CFF0FC"/>
            <w:tcMar>
              <w:top w:w="15" w:type="dxa"/>
              <w:right w:w="15" w:type="dxa"/>
            </w:tcMar>
            <w:vAlign w:val="bottom"/>
          </w:tcPr>
          <w:p w14:paraId="3973E8C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C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CFF0FC"/>
            <w:tcMar>
              <w:top w:w="15" w:type="dxa"/>
              <w:right w:w="15" w:type="dxa"/>
            </w:tcMar>
            <w:vAlign w:val="bottom"/>
          </w:tcPr>
          <w:p w14:paraId="3973E8C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C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C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8C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C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C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3.95%</w:t>
            </w:r>
          </w:p>
        </w:tc>
        <w:tc>
          <w:tcPr>
            <w:tcW w:w="67" w:type="pct"/>
            <w:shd w:val="clear" w:color="auto" w:fill="CFF0FC"/>
            <w:tcMar>
              <w:top w:w="15" w:type="dxa"/>
              <w:right w:w="15" w:type="dxa"/>
            </w:tcMar>
            <w:vAlign w:val="bottom"/>
          </w:tcPr>
          <w:p w14:paraId="3973E8D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D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D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8D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D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D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3.95%</w:t>
            </w:r>
          </w:p>
        </w:tc>
      </w:tr>
      <w:tr w:rsidR="007B027D" w14:paraId="3973E8E6" w14:textId="77777777">
        <w:tc>
          <w:tcPr>
            <w:tcW w:w="2249" w:type="pct"/>
            <w:shd w:val="clear" w:color="auto" w:fill="FFFFFF"/>
            <w:tcMar>
              <w:top w:w="15" w:type="dxa"/>
              <w:right w:w="15" w:type="dxa"/>
            </w:tcMar>
          </w:tcPr>
          <w:p w14:paraId="3973E8D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3.85%, due July 2036</w:t>
            </w:r>
          </w:p>
        </w:tc>
        <w:tc>
          <w:tcPr>
            <w:tcW w:w="67" w:type="pct"/>
            <w:shd w:val="clear" w:color="auto" w:fill="FFFFFF"/>
            <w:tcMar>
              <w:top w:w="15" w:type="dxa"/>
              <w:right w:w="15" w:type="dxa"/>
            </w:tcMar>
            <w:vAlign w:val="bottom"/>
          </w:tcPr>
          <w:p w14:paraId="3973E8D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D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67" w:type="pct"/>
            <w:shd w:val="clear" w:color="auto" w:fill="FFFFFF"/>
            <w:tcMar>
              <w:top w:w="15" w:type="dxa"/>
              <w:right w:w="15" w:type="dxa"/>
            </w:tcMar>
            <w:vAlign w:val="bottom"/>
          </w:tcPr>
          <w:p w14:paraId="3973E8D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D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D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8D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D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D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3.85%</w:t>
            </w:r>
          </w:p>
        </w:tc>
        <w:tc>
          <w:tcPr>
            <w:tcW w:w="67" w:type="pct"/>
            <w:shd w:val="clear" w:color="auto" w:fill="FFFFFF"/>
            <w:tcMar>
              <w:top w:w="15" w:type="dxa"/>
              <w:right w:w="15" w:type="dxa"/>
            </w:tcMar>
            <w:vAlign w:val="bottom"/>
          </w:tcPr>
          <w:p w14:paraId="3973E8E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8E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E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8E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E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8E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3.85%</w:t>
            </w:r>
          </w:p>
        </w:tc>
      </w:tr>
      <w:tr w:rsidR="007B027D" w14:paraId="3973E8F6" w14:textId="77777777">
        <w:tc>
          <w:tcPr>
            <w:tcW w:w="2249" w:type="pct"/>
            <w:shd w:val="clear" w:color="auto" w:fill="CFF0FC"/>
            <w:tcMar>
              <w:top w:w="15" w:type="dxa"/>
              <w:right w:w="15" w:type="dxa"/>
            </w:tcMar>
          </w:tcPr>
          <w:p w14:paraId="3973E8E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$1,750, 3.80%, due November 2037</w:t>
            </w:r>
          </w:p>
        </w:tc>
        <w:tc>
          <w:tcPr>
            <w:tcW w:w="67" w:type="pct"/>
            <w:shd w:val="clear" w:color="auto" w:fill="CFF0FC"/>
            <w:tcMar>
              <w:top w:w="15" w:type="dxa"/>
              <w:right w:w="15" w:type="dxa"/>
            </w:tcMar>
            <w:vAlign w:val="bottom"/>
          </w:tcPr>
          <w:p w14:paraId="3973E8E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8E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67" w:type="pct"/>
            <w:shd w:val="clear" w:color="auto" w:fill="CFF0FC"/>
            <w:tcMar>
              <w:top w:w="15" w:type="dxa"/>
              <w:right w:w="15" w:type="dxa"/>
            </w:tcMar>
            <w:vAlign w:val="bottom"/>
          </w:tcPr>
          <w:p w14:paraId="3973E8E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E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E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CFF0FC"/>
            <w:noWrap/>
            <w:tcMar>
              <w:top w:w="15" w:type="dxa"/>
              <w:right w:w="15" w:type="dxa"/>
            </w:tcMar>
            <w:vAlign w:val="bottom"/>
          </w:tcPr>
          <w:p w14:paraId="3973E8E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E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E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3.83%</w:t>
            </w:r>
          </w:p>
        </w:tc>
        <w:tc>
          <w:tcPr>
            <w:tcW w:w="67" w:type="pct"/>
            <w:shd w:val="clear" w:color="auto" w:fill="CFF0FC"/>
            <w:tcMar>
              <w:top w:w="15" w:type="dxa"/>
              <w:right w:w="15" w:type="dxa"/>
            </w:tcMar>
            <w:vAlign w:val="bottom"/>
          </w:tcPr>
          <w:p w14:paraId="3973E8F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8F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8F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CFF0FC"/>
            <w:noWrap/>
            <w:tcMar>
              <w:top w:w="15" w:type="dxa"/>
              <w:right w:w="15" w:type="dxa"/>
            </w:tcMar>
            <w:vAlign w:val="bottom"/>
          </w:tcPr>
          <w:p w14:paraId="3973E8F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8F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8F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3.83%</w:t>
            </w:r>
          </w:p>
        </w:tc>
      </w:tr>
      <w:tr w:rsidR="007B027D" w14:paraId="3973E906" w14:textId="77777777">
        <w:tc>
          <w:tcPr>
            <w:tcW w:w="2249" w:type="pct"/>
            <w:shd w:val="clear" w:color="auto" w:fill="FFFFFF"/>
            <w:tcMar>
              <w:top w:w="15" w:type="dxa"/>
              <w:right w:w="15" w:type="dxa"/>
            </w:tcMar>
          </w:tcPr>
          <w:p w14:paraId="3973E8F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6.50%, due April 2038</w:t>
            </w:r>
          </w:p>
        </w:tc>
        <w:tc>
          <w:tcPr>
            <w:tcW w:w="67" w:type="pct"/>
            <w:shd w:val="clear" w:color="auto" w:fill="FFFFFF"/>
            <w:tcMar>
              <w:top w:w="15" w:type="dxa"/>
              <w:right w:w="15" w:type="dxa"/>
            </w:tcMar>
            <w:vAlign w:val="bottom"/>
          </w:tcPr>
          <w:p w14:paraId="3973E8F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8F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2008</w:t>
            </w:r>
          </w:p>
        </w:tc>
        <w:tc>
          <w:tcPr>
            <w:tcW w:w="67" w:type="pct"/>
            <w:shd w:val="clear" w:color="auto" w:fill="FFFFFF"/>
            <w:tcMar>
              <w:top w:w="15" w:type="dxa"/>
              <w:right w:w="15" w:type="dxa"/>
            </w:tcMar>
            <w:vAlign w:val="bottom"/>
          </w:tcPr>
          <w:p w14:paraId="3973E8F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8F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8F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8F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8F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8F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6.52%</w:t>
            </w:r>
          </w:p>
        </w:tc>
        <w:tc>
          <w:tcPr>
            <w:tcW w:w="67" w:type="pct"/>
            <w:shd w:val="clear" w:color="auto" w:fill="FFFFFF"/>
            <w:tcMar>
              <w:top w:w="15" w:type="dxa"/>
              <w:right w:w="15" w:type="dxa"/>
            </w:tcMar>
            <w:vAlign w:val="bottom"/>
          </w:tcPr>
          <w:p w14:paraId="3973E90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90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0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3973E90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0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0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6.52%</w:t>
            </w:r>
          </w:p>
        </w:tc>
      </w:tr>
      <w:tr w:rsidR="007B027D" w14:paraId="3973E916" w14:textId="77777777">
        <w:tc>
          <w:tcPr>
            <w:tcW w:w="2249" w:type="pct"/>
            <w:shd w:val="clear" w:color="auto" w:fill="CFF0FC"/>
            <w:tcMar>
              <w:top w:w="15" w:type="dxa"/>
              <w:right w:w="15" w:type="dxa"/>
            </w:tcMar>
          </w:tcPr>
          <w:p w14:paraId="3973E90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6.125%, due July 2039</w:t>
            </w:r>
          </w:p>
        </w:tc>
        <w:tc>
          <w:tcPr>
            <w:tcW w:w="67" w:type="pct"/>
            <w:shd w:val="clear" w:color="auto" w:fill="CFF0FC"/>
            <w:tcMar>
              <w:top w:w="15" w:type="dxa"/>
              <w:right w:w="15" w:type="dxa"/>
            </w:tcMar>
            <w:vAlign w:val="bottom"/>
          </w:tcPr>
          <w:p w14:paraId="3973E90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0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2009</w:t>
            </w:r>
          </w:p>
        </w:tc>
        <w:tc>
          <w:tcPr>
            <w:tcW w:w="67" w:type="pct"/>
            <w:shd w:val="clear" w:color="auto" w:fill="CFF0FC"/>
            <w:tcMar>
              <w:top w:w="15" w:type="dxa"/>
              <w:right w:w="15" w:type="dxa"/>
            </w:tcMar>
            <w:vAlign w:val="bottom"/>
          </w:tcPr>
          <w:p w14:paraId="3973E90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0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0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90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0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0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6.19%</w:t>
            </w:r>
          </w:p>
        </w:tc>
        <w:tc>
          <w:tcPr>
            <w:tcW w:w="67" w:type="pct"/>
            <w:shd w:val="clear" w:color="auto" w:fill="CFF0FC"/>
            <w:tcMar>
              <w:top w:w="15" w:type="dxa"/>
              <w:right w:w="15" w:type="dxa"/>
            </w:tcMar>
            <w:vAlign w:val="bottom"/>
          </w:tcPr>
          <w:p w14:paraId="3973E91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1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1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91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1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1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6.19%</w:t>
            </w:r>
          </w:p>
        </w:tc>
      </w:tr>
      <w:tr w:rsidR="007B027D" w14:paraId="3973E926" w14:textId="77777777">
        <w:tc>
          <w:tcPr>
            <w:tcW w:w="2249" w:type="pct"/>
            <w:shd w:val="clear" w:color="auto" w:fill="FFFFFF"/>
            <w:tcMar>
              <w:top w:w="15" w:type="dxa"/>
              <w:right w:w="15" w:type="dxa"/>
            </w:tcMar>
          </w:tcPr>
          <w:p w14:paraId="3973E91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3.60%, due April 2040</w:t>
            </w:r>
          </w:p>
        </w:tc>
        <w:tc>
          <w:tcPr>
            <w:tcW w:w="67" w:type="pct"/>
            <w:shd w:val="clear" w:color="auto" w:fill="FFFFFF"/>
            <w:tcMar>
              <w:top w:w="15" w:type="dxa"/>
              <w:right w:w="15" w:type="dxa"/>
            </w:tcMar>
            <w:vAlign w:val="bottom"/>
          </w:tcPr>
          <w:p w14:paraId="3973E91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1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FFFFFF"/>
            <w:tcMar>
              <w:top w:w="15" w:type="dxa"/>
              <w:right w:w="15" w:type="dxa"/>
            </w:tcMar>
            <w:vAlign w:val="bottom"/>
          </w:tcPr>
          <w:p w14:paraId="3973E91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1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1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FFFFFF"/>
            <w:noWrap/>
            <w:tcMar>
              <w:top w:w="15" w:type="dxa"/>
              <w:right w:w="15" w:type="dxa"/>
            </w:tcMar>
            <w:vAlign w:val="bottom"/>
          </w:tcPr>
          <w:p w14:paraId="3973E91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1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1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c>
          <w:tcPr>
            <w:tcW w:w="67" w:type="pct"/>
            <w:shd w:val="clear" w:color="auto" w:fill="FFFFFF"/>
            <w:tcMar>
              <w:top w:w="15" w:type="dxa"/>
              <w:right w:w="15" w:type="dxa"/>
            </w:tcMar>
            <w:vAlign w:val="bottom"/>
          </w:tcPr>
          <w:p w14:paraId="3973E92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2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2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FFFFFF"/>
            <w:noWrap/>
            <w:tcMar>
              <w:top w:w="15" w:type="dxa"/>
              <w:right w:w="15" w:type="dxa"/>
            </w:tcMar>
            <w:vAlign w:val="bottom"/>
          </w:tcPr>
          <w:p w14:paraId="3973E92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2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2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r>
      <w:tr w:rsidR="007B027D" w14:paraId="3973E936" w14:textId="77777777">
        <w:tc>
          <w:tcPr>
            <w:tcW w:w="2249" w:type="pct"/>
            <w:shd w:val="clear" w:color="auto" w:fill="CFF0FC"/>
            <w:tcMar>
              <w:top w:w="15" w:type="dxa"/>
              <w:right w:w="15" w:type="dxa"/>
            </w:tcMar>
          </w:tcPr>
          <w:p w14:paraId="3973E92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5.375%, due July 2040</w:t>
            </w:r>
          </w:p>
        </w:tc>
        <w:tc>
          <w:tcPr>
            <w:tcW w:w="67" w:type="pct"/>
            <w:shd w:val="clear" w:color="auto" w:fill="CFF0FC"/>
            <w:tcMar>
              <w:top w:w="15" w:type="dxa"/>
              <w:right w:w="15" w:type="dxa"/>
            </w:tcMar>
            <w:vAlign w:val="bottom"/>
          </w:tcPr>
          <w:p w14:paraId="3973E92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2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2010</w:t>
            </w:r>
          </w:p>
        </w:tc>
        <w:tc>
          <w:tcPr>
            <w:tcW w:w="67" w:type="pct"/>
            <w:shd w:val="clear" w:color="auto" w:fill="CFF0FC"/>
            <w:tcMar>
              <w:top w:w="15" w:type="dxa"/>
              <w:right w:w="15" w:type="dxa"/>
            </w:tcMar>
            <w:vAlign w:val="bottom"/>
          </w:tcPr>
          <w:p w14:paraId="3973E92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2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2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CFF0FC"/>
            <w:noWrap/>
            <w:tcMar>
              <w:top w:w="15" w:type="dxa"/>
              <w:right w:w="15" w:type="dxa"/>
            </w:tcMar>
            <w:vAlign w:val="bottom"/>
          </w:tcPr>
          <w:p w14:paraId="3973E92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2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2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5.45%</w:t>
            </w:r>
          </w:p>
        </w:tc>
        <w:tc>
          <w:tcPr>
            <w:tcW w:w="67" w:type="pct"/>
            <w:shd w:val="clear" w:color="auto" w:fill="CFF0FC"/>
            <w:tcMar>
              <w:top w:w="15" w:type="dxa"/>
              <w:right w:w="15" w:type="dxa"/>
            </w:tcMar>
            <w:vAlign w:val="bottom"/>
          </w:tcPr>
          <w:p w14:paraId="3973E93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3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3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CFF0FC"/>
            <w:noWrap/>
            <w:tcMar>
              <w:top w:w="15" w:type="dxa"/>
              <w:right w:w="15" w:type="dxa"/>
            </w:tcMar>
            <w:vAlign w:val="bottom"/>
          </w:tcPr>
          <w:p w14:paraId="3973E93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3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3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5.45%</w:t>
            </w:r>
          </w:p>
        </w:tc>
      </w:tr>
      <w:tr w:rsidR="007B027D" w14:paraId="3973E946" w14:textId="77777777">
        <w:tc>
          <w:tcPr>
            <w:tcW w:w="2249" w:type="pct"/>
            <w:shd w:val="clear" w:color="auto" w:fill="FFFFFF"/>
            <w:tcMar>
              <w:top w:w="15" w:type="dxa"/>
              <w:right w:w="15" w:type="dxa"/>
            </w:tcMar>
          </w:tcPr>
          <w:p w14:paraId="3973E93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3.65%, due March 2041</w:t>
            </w:r>
          </w:p>
        </w:tc>
        <w:tc>
          <w:tcPr>
            <w:tcW w:w="67" w:type="pct"/>
            <w:shd w:val="clear" w:color="auto" w:fill="FFFFFF"/>
            <w:tcMar>
              <w:top w:w="15" w:type="dxa"/>
              <w:right w:w="15" w:type="dxa"/>
            </w:tcMar>
            <w:vAlign w:val="bottom"/>
          </w:tcPr>
          <w:p w14:paraId="3973E93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3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FFFFFF"/>
            <w:tcMar>
              <w:top w:w="15" w:type="dxa"/>
              <w:right w:w="15" w:type="dxa"/>
            </w:tcMar>
            <w:vAlign w:val="bottom"/>
          </w:tcPr>
          <w:p w14:paraId="3973E93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3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3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93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3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3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3.70%</w:t>
            </w:r>
          </w:p>
        </w:tc>
        <w:tc>
          <w:tcPr>
            <w:tcW w:w="67" w:type="pct"/>
            <w:shd w:val="clear" w:color="auto" w:fill="FFFFFF"/>
            <w:tcMar>
              <w:top w:w="15" w:type="dxa"/>
              <w:right w:w="15" w:type="dxa"/>
            </w:tcMar>
            <w:vAlign w:val="bottom"/>
          </w:tcPr>
          <w:p w14:paraId="3973E94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4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4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94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4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4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3.70%</w:t>
            </w:r>
          </w:p>
        </w:tc>
      </w:tr>
      <w:tr w:rsidR="007B027D" w14:paraId="3973E956" w14:textId="77777777">
        <w:tc>
          <w:tcPr>
            <w:tcW w:w="2249" w:type="pct"/>
            <w:shd w:val="clear" w:color="auto" w:fill="CFF0FC"/>
            <w:tcMar>
              <w:top w:w="15" w:type="dxa"/>
              <w:right w:w="15" w:type="dxa"/>
            </w:tcMar>
          </w:tcPr>
          <w:p w14:paraId="3973E94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$1,000, 4.50%, due July 2044</w:t>
            </w:r>
          </w:p>
        </w:tc>
        <w:tc>
          <w:tcPr>
            <w:tcW w:w="67" w:type="pct"/>
            <w:shd w:val="clear" w:color="auto" w:fill="CFF0FC"/>
            <w:tcMar>
              <w:top w:w="15" w:type="dxa"/>
              <w:right w:w="15" w:type="dxa"/>
            </w:tcMar>
            <w:vAlign w:val="bottom"/>
          </w:tcPr>
          <w:p w14:paraId="3973E94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4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67" w:type="pct"/>
            <w:shd w:val="clear" w:color="auto" w:fill="CFF0FC"/>
            <w:tcMar>
              <w:top w:w="15" w:type="dxa"/>
              <w:right w:w="15" w:type="dxa"/>
            </w:tcMar>
            <w:vAlign w:val="bottom"/>
          </w:tcPr>
          <w:p w14:paraId="3973E94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4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4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3973E94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4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4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w:t>
            </w:r>
          </w:p>
        </w:tc>
        <w:tc>
          <w:tcPr>
            <w:tcW w:w="67" w:type="pct"/>
            <w:shd w:val="clear" w:color="auto" w:fill="CFF0FC"/>
            <w:tcMar>
              <w:top w:w="15" w:type="dxa"/>
              <w:right w:w="15" w:type="dxa"/>
            </w:tcMar>
            <w:vAlign w:val="bottom"/>
          </w:tcPr>
          <w:p w14:paraId="3973E95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5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5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3973E95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5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5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w:t>
            </w:r>
          </w:p>
        </w:tc>
      </w:tr>
      <w:tr w:rsidR="007B027D" w14:paraId="3973E966" w14:textId="77777777">
        <w:tc>
          <w:tcPr>
            <w:tcW w:w="2249" w:type="pct"/>
            <w:shd w:val="clear" w:color="auto" w:fill="FFFFFF"/>
            <w:tcMar>
              <w:top w:w="15" w:type="dxa"/>
              <w:right w:w="15" w:type="dxa"/>
            </w:tcMar>
          </w:tcPr>
          <w:p w14:paraId="3973E95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4.125%, due May 2045</w:t>
            </w:r>
          </w:p>
        </w:tc>
        <w:tc>
          <w:tcPr>
            <w:tcW w:w="67" w:type="pct"/>
            <w:shd w:val="clear" w:color="auto" w:fill="FFFFFF"/>
            <w:tcMar>
              <w:top w:w="15" w:type="dxa"/>
              <w:right w:w="15" w:type="dxa"/>
            </w:tcMar>
            <w:vAlign w:val="bottom"/>
          </w:tcPr>
          <w:p w14:paraId="3973E95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5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FFFFFF"/>
            <w:tcMar>
              <w:top w:w="15" w:type="dxa"/>
              <w:right w:w="15" w:type="dxa"/>
            </w:tcMar>
            <w:vAlign w:val="bottom"/>
          </w:tcPr>
          <w:p w14:paraId="3973E95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5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5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95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5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5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4.15%</w:t>
            </w:r>
          </w:p>
        </w:tc>
        <w:tc>
          <w:tcPr>
            <w:tcW w:w="67" w:type="pct"/>
            <w:shd w:val="clear" w:color="auto" w:fill="FFFFFF"/>
            <w:tcMar>
              <w:top w:w="15" w:type="dxa"/>
              <w:right w:w="15" w:type="dxa"/>
            </w:tcMar>
            <w:vAlign w:val="bottom"/>
          </w:tcPr>
          <w:p w14:paraId="3973E96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6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6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3973E96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6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6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4.15%</w:t>
            </w:r>
          </w:p>
        </w:tc>
      </w:tr>
      <w:tr w:rsidR="007B027D" w14:paraId="3973E976" w14:textId="77777777">
        <w:tc>
          <w:tcPr>
            <w:tcW w:w="2249" w:type="pct"/>
            <w:shd w:val="clear" w:color="auto" w:fill="CFF0FC"/>
            <w:tcMar>
              <w:top w:w="15" w:type="dxa"/>
              <w:right w:w="15" w:type="dxa"/>
            </w:tcMar>
          </w:tcPr>
          <w:p w14:paraId="3973E96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4.00%, due July 2046</w:t>
            </w:r>
          </w:p>
        </w:tc>
        <w:tc>
          <w:tcPr>
            <w:tcW w:w="67" w:type="pct"/>
            <w:shd w:val="clear" w:color="auto" w:fill="CFF0FC"/>
            <w:tcMar>
              <w:top w:w="15" w:type="dxa"/>
              <w:right w:w="15" w:type="dxa"/>
            </w:tcMar>
            <w:vAlign w:val="bottom"/>
          </w:tcPr>
          <w:p w14:paraId="3973E96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6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67" w:type="pct"/>
            <w:shd w:val="clear" w:color="auto" w:fill="CFF0FC"/>
            <w:tcMar>
              <w:top w:w="15" w:type="dxa"/>
              <w:right w:w="15" w:type="dxa"/>
            </w:tcMar>
            <w:vAlign w:val="bottom"/>
          </w:tcPr>
          <w:p w14:paraId="3973E96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6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6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3973E96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6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6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4.00%</w:t>
            </w:r>
          </w:p>
        </w:tc>
        <w:tc>
          <w:tcPr>
            <w:tcW w:w="67" w:type="pct"/>
            <w:shd w:val="clear" w:color="auto" w:fill="CFF0FC"/>
            <w:tcMar>
              <w:top w:w="15" w:type="dxa"/>
              <w:right w:w="15" w:type="dxa"/>
            </w:tcMar>
            <w:vAlign w:val="bottom"/>
          </w:tcPr>
          <w:p w14:paraId="3973E97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7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7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3973E97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7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7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4.00%</w:t>
            </w:r>
          </w:p>
        </w:tc>
      </w:tr>
      <w:tr w:rsidR="007B027D" w14:paraId="3973E986" w14:textId="77777777">
        <w:tc>
          <w:tcPr>
            <w:tcW w:w="2249" w:type="pct"/>
            <w:shd w:val="clear" w:color="auto" w:fill="FFFFFF"/>
            <w:tcMar>
              <w:top w:w="15" w:type="dxa"/>
              <w:right w:w="15" w:type="dxa"/>
            </w:tcMar>
          </w:tcPr>
          <w:p w14:paraId="3973E97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4.00%, due November 2047</w:t>
            </w:r>
          </w:p>
        </w:tc>
        <w:tc>
          <w:tcPr>
            <w:tcW w:w="67" w:type="pct"/>
            <w:shd w:val="clear" w:color="auto" w:fill="FFFFFF"/>
            <w:tcMar>
              <w:top w:w="15" w:type="dxa"/>
              <w:right w:w="15" w:type="dxa"/>
            </w:tcMar>
            <w:vAlign w:val="bottom"/>
          </w:tcPr>
          <w:p w14:paraId="3973E97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7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67" w:type="pct"/>
            <w:shd w:val="clear" w:color="auto" w:fill="FFFFFF"/>
            <w:tcMar>
              <w:top w:w="15" w:type="dxa"/>
              <w:right w:w="15" w:type="dxa"/>
            </w:tcMar>
            <w:vAlign w:val="bottom"/>
          </w:tcPr>
          <w:p w14:paraId="3973E97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7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7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97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7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7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4.03%</w:t>
            </w:r>
          </w:p>
        </w:tc>
        <w:tc>
          <w:tcPr>
            <w:tcW w:w="67" w:type="pct"/>
            <w:shd w:val="clear" w:color="auto" w:fill="FFFFFF"/>
            <w:tcMar>
              <w:top w:w="15" w:type="dxa"/>
              <w:right w:w="15" w:type="dxa"/>
            </w:tcMar>
            <w:vAlign w:val="bottom"/>
          </w:tcPr>
          <w:p w14:paraId="3973E98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3973E98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8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3973E98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8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8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4.03%</w:t>
            </w:r>
          </w:p>
        </w:tc>
      </w:tr>
      <w:tr w:rsidR="007B027D" w14:paraId="3973E996" w14:textId="77777777">
        <w:tc>
          <w:tcPr>
            <w:tcW w:w="2249" w:type="pct"/>
            <w:shd w:val="clear" w:color="auto" w:fill="CFF0FC"/>
            <w:tcMar>
              <w:top w:w="15" w:type="dxa"/>
              <w:right w:w="15" w:type="dxa"/>
            </w:tcMar>
          </w:tcPr>
          <w:p w14:paraId="3973E98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$4,500, 3.60%, due April 2050</w:t>
            </w:r>
          </w:p>
        </w:tc>
        <w:tc>
          <w:tcPr>
            <w:tcW w:w="67" w:type="pct"/>
            <w:shd w:val="clear" w:color="auto" w:fill="CFF0FC"/>
            <w:tcMar>
              <w:top w:w="15" w:type="dxa"/>
              <w:right w:w="15" w:type="dxa"/>
            </w:tcMar>
            <w:vAlign w:val="bottom"/>
          </w:tcPr>
          <w:p w14:paraId="3973E98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8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CFF0FC"/>
            <w:tcMar>
              <w:top w:w="15" w:type="dxa"/>
              <w:right w:w="15" w:type="dxa"/>
            </w:tcMar>
            <w:vAlign w:val="bottom"/>
          </w:tcPr>
          <w:p w14:paraId="3973E98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8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8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4,500</w:t>
            </w:r>
          </w:p>
        </w:tc>
        <w:tc>
          <w:tcPr>
            <w:tcW w:w="50" w:type="pct"/>
            <w:shd w:val="clear" w:color="auto" w:fill="CFF0FC"/>
            <w:noWrap/>
            <w:tcMar>
              <w:top w:w="15" w:type="dxa"/>
              <w:right w:w="15" w:type="dxa"/>
            </w:tcMar>
            <w:vAlign w:val="bottom"/>
          </w:tcPr>
          <w:p w14:paraId="3973E98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8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8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c>
          <w:tcPr>
            <w:tcW w:w="67" w:type="pct"/>
            <w:shd w:val="clear" w:color="auto" w:fill="CFF0FC"/>
            <w:tcMar>
              <w:top w:w="15" w:type="dxa"/>
              <w:right w:w="15" w:type="dxa"/>
            </w:tcMar>
            <w:vAlign w:val="bottom"/>
          </w:tcPr>
          <w:p w14:paraId="3973E99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9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9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4,500</w:t>
            </w:r>
          </w:p>
        </w:tc>
        <w:tc>
          <w:tcPr>
            <w:tcW w:w="50" w:type="pct"/>
            <w:shd w:val="clear" w:color="auto" w:fill="CFF0FC"/>
            <w:noWrap/>
            <w:tcMar>
              <w:top w:w="15" w:type="dxa"/>
              <w:right w:w="15" w:type="dxa"/>
            </w:tcMar>
            <w:vAlign w:val="bottom"/>
          </w:tcPr>
          <w:p w14:paraId="3973E99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9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9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r>
      <w:tr w:rsidR="007B027D" w14:paraId="3973E9A6" w14:textId="77777777">
        <w:tc>
          <w:tcPr>
            <w:tcW w:w="2249" w:type="pct"/>
            <w:shd w:val="clear" w:color="auto" w:fill="FFFFFF"/>
            <w:tcMar>
              <w:top w:w="15" w:type="dxa"/>
              <w:right w:w="15" w:type="dxa"/>
            </w:tcMar>
          </w:tcPr>
          <w:p w14:paraId="3973E99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$3,250, 3.95%, due March 2051</w:t>
            </w:r>
          </w:p>
        </w:tc>
        <w:tc>
          <w:tcPr>
            <w:tcW w:w="67" w:type="pct"/>
            <w:shd w:val="clear" w:color="auto" w:fill="FFFFFF"/>
            <w:tcMar>
              <w:top w:w="15" w:type="dxa"/>
              <w:right w:w="15" w:type="dxa"/>
            </w:tcMar>
            <w:vAlign w:val="bottom"/>
          </w:tcPr>
          <w:p w14:paraId="3973E99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9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FFFFFF"/>
            <w:tcMar>
              <w:top w:w="15" w:type="dxa"/>
              <w:right w:w="15" w:type="dxa"/>
            </w:tcMar>
            <w:vAlign w:val="bottom"/>
          </w:tcPr>
          <w:p w14:paraId="3973E99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99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9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FFFFFF"/>
            <w:noWrap/>
            <w:tcMar>
              <w:top w:w="15" w:type="dxa"/>
              <w:right w:w="15" w:type="dxa"/>
            </w:tcMar>
            <w:vAlign w:val="bottom"/>
          </w:tcPr>
          <w:p w14:paraId="3973E99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9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9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3.96%</w:t>
            </w:r>
          </w:p>
        </w:tc>
        <w:tc>
          <w:tcPr>
            <w:tcW w:w="67" w:type="pct"/>
            <w:shd w:val="clear" w:color="auto" w:fill="FFFFFF"/>
            <w:tcMar>
              <w:top w:w="15" w:type="dxa"/>
              <w:right w:w="15" w:type="dxa"/>
            </w:tcMar>
            <w:vAlign w:val="bottom"/>
          </w:tcPr>
          <w:p w14:paraId="3973E9A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9A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A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FFFFFF"/>
            <w:noWrap/>
            <w:tcMar>
              <w:top w:w="15" w:type="dxa"/>
              <w:right w:w="15" w:type="dxa"/>
            </w:tcMar>
            <w:vAlign w:val="bottom"/>
          </w:tcPr>
          <w:p w14:paraId="3973E9A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A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A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3.96%</w:t>
            </w:r>
          </w:p>
        </w:tc>
      </w:tr>
      <w:tr w:rsidR="007B027D" w14:paraId="3973E9B6" w14:textId="77777777">
        <w:tc>
          <w:tcPr>
            <w:tcW w:w="2249" w:type="pct"/>
            <w:shd w:val="clear" w:color="auto" w:fill="CFF0FC"/>
            <w:tcMar>
              <w:top w:w="15" w:type="dxa"/>
              <w:right w:w="15" w:type="dxa"/>
            </w:tcMar>
          </w:tcPr>
          <w:p w14:paraId="3973E9A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4.375%, due May 2055</w:t>
            </w:r>
          </w:p>
        </w:tc>
        <w:tc>
          <w:tcPr>
            <w:tcW w:w="67" w:type="pct"/>
            <w:shd w:val="clear" w:color="auto" w:fill="CFF0FC"/>
            <w:tcMar>
              <w:top w:w="15" w:type="dxa"/>
              <w:right w:w="15" w:type="dxa"/>
            </w:tcMar>
            <w:vAlign w:val="bottom"/>
          </w:tcPr>
          <w:p w14:paraId="3973E9A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A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67" w:type="pct"/>
            <w:shd w:val="clear" w:color="auto" w:fill="CFF0FC"/>
            <w:tcMar>
              <w:top w:w="15" w:type="dxa"/>
              <w:right w:w="15" w:type="dxa"/>
            </w:tcMar>
            <w:vAlign w:val="bottom"/>
          </w:tcPr>
          <w:p w14:paraId="3973E9A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A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A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9A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A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A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4.40%</w:t>
            </w:r>
          </w:p>
        </w:tc>
        <w:tc>
          <w:tcPr>
            <w:tcW w:w="67" w:type="pct"/>
            <w:shd w:val="clear" w:color="auto" w:fill="CFF0FC"/>
            <w:tcMar>
              <w:top w:w="15" w:type="dxa"/>
              <w:right w:w="15" w:type="dxa"/>
            </w:tcMar>
            <w:vAlign w:val="bottom"/>
          </w:tcPr>
          <w:p w14:paraId="3973E9B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3973E9B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B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3973E9B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B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B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4.40%</w:t>
            </w:r>
          </w:p>
        </w:tc>
      </w:tr>
      <w:tr w:rsidR="007B027D" w14:paraId="3973E9C6" w14:textId="77777777">
        <w:tc>
          <w:tcPr>
            <w:tcW w:w="2249" w:type="pct"/>
            <w:shd w:val="clear" w:color="auto" w:fill="FFFFFF"/>
            <w:tcMar>
              <w:top w:w="15" w:type="dxa"/>
              <w:right w:w="15" w:type="dxa"/>
            </w:tcMar>
          </w:tcPr>
          <w:p w14:paraId="3973E9B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$3,500, 3.85%, due April 2060</w:t>
            </w:r>
          </w:p>
        </w:tc>
        <w:tc>
          <w:tcPr>
            <w:tcW w:w="67" w:type="pct"/>
            <w:shd w:val="clear" w:color="auto" w:fill="FFFFFF"/>
            <w:tcMar>
              <w:top w:w="15" w:type="dxa"/>
              <w:right w:w="15" w:type="dxa"/>
            </w:tcMar>
            <w:vAlign w:val="bottom"/>
          </w:tcPr>
          <w:p w14:paraId="3973E9B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B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67" w:type="pct"/>
            <w:shd w:val="clear" w:color="auto" w:fill="FFFFFF"/>
            <w:tcMar>
              <w:top w:w="15" w:type="dxa"/>
              <w:right w:w="15" w:type="dxa"/>
            </w:tcMar>
            <w:vAlign w:val="bottom"/>
          </w:tcPr>
          <w:p w14:paraId="3973E9B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9B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B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FFFFFF"/>
            <w:noWrap/>
            <w:tcMar>
              <w:top w:w="15" w:type="dxa"/>
              <w:right w:w="15" w:type="dxa"/>
            </w:tcMar>
            <w:vAlign w:val="bottom"/>
          </w:tcPr>
          <w:p w14:paraId="3973E9B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B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B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3.87%</w:t>
            </w:r>
          </w:p>
        </w:tc>
        <w:tc>
          <w:tcPr>
            <w:tcW w:w="67" w:type="pct"/>
            <w:shd w:val="clear" w:color="auto" w:fill="FFFFFF"/>
            <w:tcMar>
              <w:top w:w="15" w:type="dxa"/>
              <w:right w:w="15" w:type="dxa"/>
            </w:tcMar>
            <w:vAlign w:val="bottom"/>
          </w:tcPr>
          <w:p w14:paraId="3973E9C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3973E9C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FFFFFF"/>
            <w:noWrap/>
            <w:tcMar>
              <w:top w:w="15" w:type="dxa"/>
              <w:right w:w="15" w:type="dxa"/>
            </w:tcMar>
            <w:vAlign w:val="bottom"/>
          </w:tcPr>
          <w:p w14:paraId="3973E9C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FFFFFF"/>
            <w:noWrap/>
            <w:tcMar>
              <w:top w:w="15" w:type="dxa"/>
              <w:right w:w="15" w:type="dxa"/>
            </w:tcMar>
            <w:vAlign w:val="bottom"/>
          </w:tcPr>
          <w:p w14:paraId="3973E9C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C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C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3.87%</w:t>
            </w:r>
          </w:p>
        </w:tc>
      </w:tr>
      <w:tr w:rsidR="007B027D" w14:paraId="3973E9D6" w14:textId="77777777">
        <w:tc>
          <w:tcPr>
            <w:tcW w:w="2249" w:type="pct"/>
            <w:shd w:val="clear" w:color="auto" w:fill="CFF0FC"/>
            <w:tcMar>
              <w:top w:w="15" w:type="dxa"/>
              <w:right w:w="15" w:type="dxa"/>
            </w:tcMar>
          </w:tcPr>
          <w:p w14:paraId="3973E9C7" w14:textId="77777777" w:rsidR="007B027D" w:rsidRDefault="008E012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$1,500, 4.10%, due March 2061</w:t>
            </w:r>
          </w:p>
        </w:tc>
        <w:tc>
          <w:tcPr>
            <w:tcW w:w="67" w:type="pct"/>
            <w:shd w:val="clear" w:color="auto" w:fill="CFF0FC"/>
            <w:tcMar>
              <w:top w:w="15" w:type="dxa"/>
              <w:right w:w="15" w:type="dxa"/>
            </w:tcMar>
            <w:vAlign w:val="bottom"/>
          </w:tcPr>
          <w:p w14:paraId="3973E9C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C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March 2021</w:t>
            </w:r>
          </w:p>
        </w:tc>
        <w:tc>
          <w:tcPr>
            <w:tcW w:w="67" w:type="pct"/>
            <w:shd w:val="clear" w:color="auto" w:fill="CFF0FC"/>
            <w:tcMar>
              <w:top w:w="15" w:type="dxa"/>
              <w:right w:w="15" w:type="dxa"/>
            </w:tcMar>
            <w:vAlign w:val="bottom"/>
          </w:tcPr>
          <w:p w14:paraId="3973E9C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C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C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1,500</w:t>
            </w:r>
          </w:p>
        </w:tc>
        <w:tc>
          <w:tcPr>
            <w:tcW w:w="50" w:type="pct"/>
            <w:shd w:val="clear" w:color="auto" w:fill="CFF0FC"/>
            <w:noWrap/>
            <w:tcMar>
              <w:top w:w="15" w:type="dxa"/>
              <w:right w:w="15" w:type="dxa"/>
            </w:tcMar>
            <w:vAlign w:val="bottom"/>
          </w:tcPr>
          <w:p w14:paraId="3973E9C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C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C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4.11%</w:t>
            </w:r>
          </w:p>
        </w:tc>
        <w:tc>
          <w:tcPr>
            <w:tcW w:w="67" w:type="pct"/>
            <w:shd w:val="clear" w:color="auto" w:fill="CFF0FC"/>
            <w:tcMar>
              <w:top w:w="15" w:type="dxa"/>
              <w:right w:w="15" w:type="dxa"/>
            </w:tcMar>
            <w:vAlign w:val="bottom"/>
          </w:tcPr>
          <w:p w14:paraId="3973E9D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3973E9D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shd w:val="clear" w:color="auto" w:fill="CFF0FC"/>
            <w:noWrap/>
            <w:tcMar>
              <w:top w:w="15" w:type="dxa"/>
              <w:right w:w="15" w:type="dxa"/>
            </w:tcMar>
            <w:vAlign w:val="bottom"/>
          </w:tcPr>
          <w:p w14:paraId="3973E9D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1,500</w:t>
            </w:r>
          </w:p>
        </w:tc>
        <w:tc>
          <w:tcPr>
            <w:tcW w:w="50" w:type="pct"/>
            <w:shd w:val="clear" w:color="auto" w:fill="CFF0FC"/>
            <w:noWrap/>
            <w:tcMar>
              <w:top w:w="15" w:type="dxa"/>
              <w:right w:w="15" w:type="dxa"/>
            </w:tcMar>
            <w:vAlign w:val="bottom"/>
          </w:tcPr>
          <w:p w14:paraId="3973E9D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D4"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CFF0FC"/>
            <w:tcMar>
              <w:top w:w="15" w:type="dxa"/>
              <w:right w:w="15" w:type="dxa"/>
            </w:tcMar>
            <w:vAlign w:val="bottom"/>
          </w:tcPr>
          <w:p w14:paraId="3973E9D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4.11%</w:t>
            </w:r>
          </w:p>
        </w:tc>
      </w:tr>
      <w:tr w:rsidR="007B027D" w14:paraId="3973E9E6" w14:textId="77777777">
        <w:tc>
          <w:tcPr>
            <w:tcW w:w="2249" w:type="pct"/>
            <w:shd w:val="clear" w:color="auto" w:fill="FFFFFF"/>
            <w:tcMar>
              <w:top w:w="15" w:type="dxa"/>
              <w:right w:w="15" w:type="dxa"/>
            </w:tcMar>
            <w:vAlign w:val="bottom"/>
          </w:tcPr>
          <w:p w14:paraId="3973E9D7"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Other borrowings due August 2025</w:t>
            </w:r>
          </w:p>
        </w:tc>
        <w:tc>
          <w:tcPr>
            <w:tcW w:w="67" w:type="pct"/>
            <w:shd w:val="clear" w:color="auto" w:fill="FFFFFF"/>
            <w:tcMar>
              <w:top w:w="15" w:type="dxa"/>
              <w:right w:w="15" w:type="dxa"/>
            </w:tcMar>
            <w:vAlign w:val="bottom"/>
          </w:tcPr>
          <w:p w14:paraId="3973E9D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D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2016</w:t>
            </w:r>
          </w:p>
        </w:tc>
        <w:tc>
          <w:tcPr>
            <w:tcW w:w="67" w:type="pct"/>
            <w:shd w:val="clear" w:color="auto" w:fill="FFFFFF"/>
            <w:tcMar>
              <w:top w:w="15" w:type="dxa"/>
              <w:right w:w="15" w:type="dxa"/>
            </w:tcMar>
            <w:vAlign w:val="bottom"/>
          </w:tcPr>
          <w:p w14:paraId="3973E9DA"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bottom w:val="single" w:sz="6" w:space="0" w:color="000000"/>
            </w:tcBorders>
            <w:shd w:val="clear" w:color="auto" w:fill="FFFFFF"/>
            <w:noWrap/>
            <w:tcMar>
              <w:top w:w="15" w:type="dxa"/>
              <w:right w:w="15" w:type="dxa"/>
            </w:tcMar>
            <w:vAlign w:val="bottom"/>
          </w:tcPr>
          <w:p w14:paraId="3973E9D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bottom w:val="single" w:sz="6" w:space="0" w:color="000000"/>
            </w:tcBorders>
            <w:shd w:val="clear" w:color="auto" w:fill="FFFFFF"/>
            <w:noWrap/>
            <w:tcMar>
              <w:top w:w="15" w:type="dxa"/>
              <w:right w:w="15" w:type="dxa"/>
            </w:tcMar>
            <w:vAlign w:val="bottom"/>
          </w:tcPr>
          <w:p w14:paraId="3973E9D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113</w:t>
            </w:r>
          </w:p>
        </w:tc>
        <w:tc>
          <w:tcPr>
            <w:tcW w:w="50" w:type="pct"/>
            <w:shd w:val="clear" w:color="auto" w:fill="FFFFFF"/>
            <w:noWrap/>
            <w:tcMar>
              <w:top w:w="15" w:type="dxa"/>
              <w:right w:w="15" w:type="dxa"/>
            </w:tcMar>
            <w:vAlign w:val="bottom"/>
          </w:tcPr>
          <w:p w14:paraId="3973E9D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DE"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4" w:type="pct"/>
            <w:shd w:val="clear" w:color="auto" w:fill="FFFFFF"/>
            <w:tcMar>
              <w:top w:w="15" w:type="dxa"/>
              <w:right w:w="15" w:type="dxa"/>
            </w:tcMar>
            <w:vAlign w:val="bottom"/>
          </w:tcPr>
          <w:p w14:paraId="3973E9D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3.53%</w:t>
            </w:r>
          </w:p>
        </w:tc>
        <w:tc>
          <w:tcPr>
            <w:tcW w:w="67" w:type="pct"/>
            <w:shd w:val="clear" w:color="auto" w:fill="FFFFFF"/>
            <w:tcMar>
              <w:top w:w="15" w:type="dxa"/>
              <w:right w:w="15" w:type="dxa"/>
            </w:tcMar>
            <w:vAlign w:val="bottom"/>
          </w:tcPr>
          <w:p w14:paraId="3973E9E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bottom w:val="single" w:sz="6" w:space="0" w:color="000000"/>
            </w:tcBorders>
            <w:shd w:val="clear" w:color="auto" w:fill="FFFFFF"/>
            <w:noWrap/>
            <w:tcMar>
              <w:top w:w="15" w:type="dxa"/>
              <w:right w:w="15" w:type="dxa"/>
            </w:tcMar>
            <w:vAlign w:val="bottom"/>
          </w:tcPr>
          <w:p w14:paraId="3973E9E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bottom w:val="single" w:sz="6" w:space="0" w:color="000000"/>
            </w:tcBorders>
            <w:shd w:val="clear" w:color="auto" w:fill="FFFFFF"/>
            <w:noWrap/>
            <w:tcMar>
              <w:top w:w="15" w:type="dxa"/>
              <w:right w:w="15" w:type="dxa"/>
            </w:tcMar>
            <w:vAlign w:val="bottom"/>
          </w:tcPr>
          <w:p w14:paraId="3973E9E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113</w:t>
            </w:r>
          </w:p>
        </w:tc>
        <w:tc>
          <w:tcPr>
            <w:tcW w:w="50" w:type="pct"/>
            <w:shd w:val="clear" w:color="auto" w:fill="FFFFFF"/>
            <w:noWrap/>
            <w:tcMar>
              <w:top w:w="15" w:type="dxa"/>
              <w:right w:w="15" w:type="dxa"/>
            </w:tcMar>
            <w:vAlign w:val="bottom"/>
          </w:tcPr>
          <w:p w14:paraId="3973E9E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E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E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3.53%</w:t>
            </w:r>
          </w:p>
        </w:tc>
      </w:tr>
      <w:tr w:rsidR="007B027D" w14:paraId="3973E9F6" w14:textId="77777777">
        <w:tc>
          <w:tcPr>
            <w:tcW w:w="2249" w:type="pct"/>
            <w:shd w:val="clear" w:color="auto" w:fill="CFF0FC"/>
            <w:tcMar>
              <w:top w:w="15" w:type="dxa"/>
              <w:right w:w="15" w:type="dxa"/>
            </w:tcMar>
          </w:tcPr>
          <w:p w14:paraId="3973E9E7" w14:textId="77777777" w:rsidR="007B027D" w:rsidRDefault="008E0125">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Total senior notes and other borrowings</w:t>
            </w:r>
          </w:p>
        </w:tc>
        <w:tc>
          <w:tcPr>
            <w:tcW w:w="67" w:type="pct"/>
            <w:shd w:val="clear" w:color="auto" w:fill="CFF0FC"/>
            <w:tcMar>
              <w:top w:w="15" w:type="dxa"/>
              <w:right w:w="15" w:type="dxa"/>
            </w:tcMar>
            <w:vAlign w:val="bottom"/>
          </w:tcPr>
          <w:p w14:paraId="3973E9E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9E9"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E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9E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single" w:sz="6" w:space="0" w:color="000000"/>
              <w:bottom w:val="single" w:sz="6" w:space="0" w:color="000000"/>
            </w:tcBorders>
            <w:shd w:val="clear" w:color="auto" w:fill="CFF0FC"/>
            <w:noWrap/>
            <w:tcMar>
              <w:top w:w="15" w:type="dxa"/>
              <w:right w:w="15" w:type="dxa"/>
            </w:tcMar>
            <w:vAlign w:val="bottom"/>
          </w:tcPr>
          <w:p w14:paraId="3973E9E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76,166</w:t>
            </w:r>
          </w:p>
        </w:tc>
        <w:tc>
          <w:tcPr>
            <w:tcW w:w="50" w:type="pct"/>
            <w:shd w:val="clear" w:color="auto" w:fill="CFF0FC"/>
            <w:noWrap/>
            <w:tcMar>
              <w:top w:w="15" w:type="dxa"/>
              <w:right w:w="15" w:type="dxa"/>
            </w:tcMar>
            <w:vAlign w:val="bottom"/>
          </w:tcPr>
          <w:p w14:paraId="3973E9E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E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E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F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9F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single" w:sz="6" w:space="0" w:color="000000"/>
              <w:bottom w:val="single" w:sz="6" w:space="0" w:color="000000"/>
            </w:tcBorders>
            <w:shd w:val="clear" w:color="auto" w:fill="CFF0FC"/>
            <w:noWrap/>
            <w:tcMar>
              <w:top w:w="15" w:type="dxa"/>
              <w:right w:w="15" w:type="dxa"/>
            </w:tcMar>
            <w:vAlign w:val="bottom"/>
          </w:tcPr>
          <w:p w14:paraId="3973E9F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84,529</w:t>
            </w:r>
          </w:p>
        </w:tc>
        <w:tc>
          <w:tcPr>
            <w:tcW w:w="50" w:type="pct"/>
            <w:shd w:val="clear" w:color="auto" w:fill="CFF0FC"/>
            <w:noWrap/>
            <w:tcMar>
              <w:top w:w="15" w:type="dxa"/>
              <w:right w:w="15" w:type="dxa"/>
            </w:tcMar>
            <w:vAlign w:val="bottom"/>
          </w:tcPr>
          <w:p w14:paraId="3973E9F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9F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9F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A06" w14:textId="77777777">
        <w:tc>
          <w:tcPr>
            <w:tcW w:w="2249" w:type="pct"/>
            <w:shd w:val="clear" w:color="auto" w:fill="FFFFFF"/>
            <w:tcMar>
              <w:top w:w="15" w:type="dxa"/>
              <w:right w:w="15" w:type="dxa"/>
            </w:tcMar>
          </w:tcPr>
          <w:p w14:paraId="3973E9F7" w14:textId="77777777" w:rsidR="007B027D" w:rsidRDefault="008E0125">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Unamortized discount/issuance costs</w:t>
            </w:r>
          </w:p>
        </w:tc>
        <w:tc>
          <w:tcPr>
            <w:tcW w:w="67" w:type="pct"/>
            <w:shd w:val="clear" w:color="auto" w:fill="FFFFFF"/>
            <w:tcMar>
              <w:top w:w="15" w:type="dxa"/>
              <w:right w:w="15" w:type="dxa"/>
            </w:tcMar>
            <w:vAlign w:val="bottom"/>
          </w:tcPr>
          <w:p w14:paraId="3973E9F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9F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9F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FFFFFF"/>
            <w:noWrap/>
            <w:tcMar>
              <w:top w:w="15" w:type="dxa"/>
              <w:right w:w="15" w:type="dxa"/>
            </w:tcMar>
            <w:vAlign w:val="bottom"/>
          </w:tcPr>
          <w:p w14:paraId="3973E9F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top w:val="single" w:sz="6" w:space="0" w:color="000000"/>
            </w:tcBorders>
            <w:shd w:val="clear" w:color="auto" w:fill="FFFFFF"/>
            <w:noWrap/>
            <w:tcMar>
              <w:top w:w="15" w:type="dxa"/>
              <w:right w:w="15" w:type="dxa"/>
            </w:tcMar>
            <w:vAlign w:val="bottom"/>
          </w:tcPr>
          <w:p w14:paraId="3973E9F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(284</w:t>
            </w:r>
          </w:p>
        </w:tc>
        <w:tc>
          <w:tcPr>
            <w:tcW w:w="50" w:type="pct"/>
            <w:shd w:val="clear" w:color="auto" w:fill="FFFFFF"/>
            <w:noWrap/>
            <w:tcMar>
              <w:top w:w="15" w:type="dxa"/>
              <w:right w:w="15" w:type="dxa"/>
            </w:tcMar>
            <w:vAlign w:val="bottom"/>
          </w:tcPr>
          <w:p w14:paraId="3973E9F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67" w:type="pct"/>
            <w:shd w:val="clear" w:color="auto" w:fill="FFFFFF"/>
            <w:tcMar>
              <w:top w:w="15" w:type="dxa"/>
              <w:right w:w="15" w:type="dxa"/>
            </w:tcMar>
            <w:vAlign w:val="bottom"/>
          </w:tcPr>
          <w:p w14:paraId="3973E9F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9F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0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FFFFFF"/>
            <w:noWrap/>
            <w:tcMar>
              <w:top w:w="15" w:type="dxa"/>
              <w:right w:w="15" w:type="dxa"/>
            </w:tcMar>
            <w:vAlign w:val="bottom"/>
          </w:tcPr>
          <w:p w14:paraId="3973EA0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top w:val="single" w:sz="6" w:space="0" w:color="000000"/>
            </w:tcBorders>
            <w:shd w:val="clear" w:color="auto" w:fill="FFFFFF"/>
            <w:noWrap/>
            <w:tcMar>
              <w:top w:w="15" w:type="dxa"/>
              <w:right w:w="15" w:type="dxa"/>
            </w:tcMar>
            <w:vAlign w:val="bottom"/>
          </w:tcPr>
          <w:p w14:paraId="3973EA0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(315</w:t>
            </w:r>
          </w:p>
        </w:tc>
        <w:tc>
          <w:tcPr>
            <w:tcW w:w="50" w:type="pct"/>
            <w:shd w:val="clear" w:color="auto" w:fill="FFFFFF"/>
            <w:noWrap/>
            <w:tcMar>
              <w:top w:w="15" w:type="dxa"/>
              <w:right w:w="15" w:type="dxa"/>
            </w:tcMar>
            <w:vAlign w:val="bottom"/>
          </w:tcPr>
          <w:p w14:paraId="3973EA0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67" w:type="pct"/>
            <w:shd w:val="clear" w:color="auto" w:fill="FFFFFF"/>
            <w:tcMar>
              <w:top w:w="15" w:type="dxa"/>
              <w:right w:w="15" w:type="dxa"/>
            </w:tcMar>
            <w:vAlign w:val="bottom"/>
          </w:tcPr>
          <w:p w14:paraId="3973EA0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A0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A16" w14:textId="77777777">
        <w:tc>
          <w:tcPr>
            <w:tcW w:w="2249" w:type="pct"/>
            <w:shd w:val="clear" w:color="auto" w:fill="CFF0FC"/>
            <w:tcMar>
              <w:top w:w="15" w:type="dxa"/>
              <w:right w:w="15" w:type="dxa"/>
            </w:tcMar>
          </w:tcPr>
          <w:p w14:paraId="3973EA07" w14:textId="77777777" w:rsidR="007B027D" w:rsidRDefault="008E0125">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Hedge accounting fair value adjustments</w:t>
            </w:r>
            <w:r>
              <w:rPr>
                <w:rFonts w:ascii="Calibri" w:hAnsi="Calibri" w:cs="Calibri"/>
                <w:color w:val="000000"/>
                <w:sz w:val="11"/>
                <w:szCs w:val="11"/>
              </w:rPr>
              <w:t>(1)(3)</w:t>
            </w:r>
          </w:p>
        </w:tc>
        <w:tc>
          <w:tcPr>
            <w:tcW w:w="67" w:type="pct"/>
            <w:shd w:val="clear" w:color="auto" w:fill="CFF0FC"/>
            <w:tcMar>
              <w:top w:w="15" w:type="dxa"/>
              <w:right w:w="15" w:type="dxa"/>
            </w:tcMar>
            <w:vAlign w:val="bottom"/>
          </w:tcPr>
          <w:p w14:paraId="3973EA0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A0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0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bottom w:val="single" w:sz="6" w:space="0" w:color="000000"/>
            </w:tcBorders>
            <w:shd w:val="clear" w:color="auto" w:fill="CFF0FC"/>
            <w:noWrap/>
            <w:tcMar>
              <w:top w:w="15" w:type="dxa"/>
              <w:right w:w="15" w:type="dxa"/>
            </w:tcMar>
            <w:vAlign w:val="bottom"/>
          </w:tcPr>
          <w:p w14:paraId="3973EA0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bottom w:val="single" w:sz="6" w:space="0" w:color="000000"/>
            </w:tcBorders>
            <w:shd w:val="clear" w:color="auto" w:fill="CFF0FC"/>
            <w:noWrap/>
            <w:tcMar>
              <w:top w:w="15" w:type="dxa"/>
              <w:right w:w="15" w:type="dxa"/>
            </w:tcMar>
            <w:vAlign w:val="bottom"/>
          </w:tcPr>
          <w:p w14:paraId="3973EA0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w:t>
            </w:r>
          </w:p>
        </w:tc>
        <w:tc>
          <w:tcPr>
            <w:tcW w:w="50" w:type="pct"/>
            <w:shd w:val="clear" w:color="auto" w:fill="CFF0FC"/>
            <w:noWrap/>
            <w:tcMar>
              <w:top w:w="15" w:type="dxa"/>
              <w:right w:w="15" w:type="dxa"/>
            </w:tcMar>
            <w:vAlign w:val="bottom"/>
          </w:tcPr>
          <w:p w14:paraId="3973EA0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67" w:type="pct"/>
            <w:shd w:val="clear" w:color="auto" w:fill="CFF0FC"/>
            <w:tcMar>
              <w:top w:w="15" w:type="dxa"/>
              <w:right w:w="15" w:type="dxa"/>
            </w:tcMar>
            <w:vAlign w:val="bottom"/>
          </w:tcPr>
          <w:p w14:paraId="3973EA0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A0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1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bottom w:val="single" w:sz="6" w:space="0" w:color="000000"/>
            </w:tcBorders>
            <w:shd w:val="clear" w:color="auto" w:fill="CFF0FC"/>
            <w:noWrap/>
            <w:tcMar>
              <w:top w:w="15" w:type="dxa"/>
              <w:right w:w="15" w:type="dxa"/>
            </w:tcMar>
            <w:vAlign w:val="bottom"/>
          </w:tcPr>
          <w:p w14:paraId="3973EA1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4" w:type="pct"/>
            <w:tcBorders>
              <w:bottom w:val="single" w:sz="6" w:space="0" w:color="000000"/>
            </w:tcBorders>
            <w:shd w:val="clear" w:color="auto" w:fill="CFF0FC"/>
            <w:noWrap/>
            <w:tcMar>
              <w:top w:w="15" w:type="dxa"/>
              <w:right w:w="15" w:type="dxa"/>
            </w:tcMar>
            <w:vAlign w:val="bottom"/>
          </w:tcPr>
          <w:p w14:paraId="3973EA1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w:t>
            </w:r>
          </w:p>
        </w:tc>
        <w:tc>
          <w:tcPr>
            <w:tcW w:w="50" w:type="pct"/>
            <w:shd w:val="clear" w:color="auto" w:fill="CFF0FC"/>
            <w:noWrap/>
            <w:tcMar>
              <w:top w:w="15" w:type="dxa"/>
              <w:right w:w="15" w:type="dxa"/>
            </w:tcMar>
            <w:vAlign w:val="bottom"/>
          </w:tcPr>
          <w:p w14:paraId="3973EA1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1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A1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A26" w14:textId="77777777">
        <w:tc>
          <w:tcPr>
            <w:tcW w:w="2249" w:type="pct"/>
            <w:shd w:val="clear" w:color="auto" w:fill="FFFFFF"/>
            <w:tcMar>
              <w:top w:w="15" w:type="dxa"/>
              <w:right w:w="15" w:type="dxa"/>
            </w:tcMar>
          </w:tcPr>
          <w:p w14:paraId="3973EA17" w14:textId="77777777" w:rsidR="007B027D" w:rsidRDefault="008E0125">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 xml:space="preserve">Total notes </w:t>
            </w:r>
            <w:r>
              <w:rPr>
                <w:rFonts w:ascii="Calibri" w:hAnsi="Calibri" w:cs="Calibri"/>
                <w:color w:val="000000"/>
                <w:sz w:val="14"/>
                <w:szCs w:val="14"/>
              </w:rPr>
              <w:t>payable and other borrowings</w:t>
            </w:r>
          </w:p>
        </w:tc>
        <w:tc>
          <w:tcPr>
            <w:tcW w:w="67" w:type="pct"/>
            <w:shd w:val="clear" w:color="auto" w:fill="FFFFFF"/>
            <w:tcMar>
              <w:top w:w="15" w:type="dxa"/>
              <w:right w:w="15" w:type="dxa"/>
            </w:tcMar>
            <w:vAlign w:val="bottom"/>
          </w:tcPr>
          <w:p w14:paraId="3973EA1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A1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1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A1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single" w:sz="6" w:space="0" w:color="000000"/>
              <w:bottom w:val="double" w:sz="6" w:space="0" w:color="000000"/>
            </w:tcBorders>
            <w:shd w:val="clear" w:color="auto" w:fill="FFFFFF"/>
            <w:noWrap/>
            <w:tcMar>
              <w:top w:w="15" w:type="dxa"/>
              <w:right w:w="15" w:type="dxa"/>
            </w:tcMar>
            <w:vAlign w:val="bottom"/>
          </w:tcPr>
          <w:p w14:paraId="3973EA1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75,859</w:t>
            </w:r>
          </w:p>
        </w:tc>
        <w:tc>
          <w:tcPr>
            <w:tcW w:w="50" w:type="pct"/>
            <w:shd w:val="clear" w:color="auto" w:fill="FFFFFF"/>
            <w:noWrap/>
            <w:tcMar>
              <w:top w:w="15" w:type="dxa"/>
              <w:right w:w="15" w:type="dxa"/>
            </w:tcMar>
            <w:vAlign w:val="bottom"/>
          </w:tcPr>
          <w:p w14:paraId="3973EA1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1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A1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2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EA2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single" w:sz="6" w:space="0" w:color="000000"/>
              <w:bottom w:val="double" w:sz="6" w:space="0" w:color="000000"/>
            </w:tcBorders>
            <w:shd w:val="clear" w:color="auto" w:fill="FFFFFF"/>
            <w:noWrap/>
            <w:tcMar>
              <w:top w:w="15" w:type="dxa"/>
              <w:right w:w="15" w:type="dxa"/>
            </w:tcMar>
            <w:vAlign w:val="bottom"/>
          </w:tcPr>
          <w:p w14:paraId="3973EA2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84,245</w:t>
            </w:r>
          </w:p>
        </w:tc>
        <w:tc>
          <w:tcPr>
            <w:tcW w:w="50" w:type="pct"/>
            <w:shd w:val="clear" w:color="auto" w:fill="FFFFFF"/>
            <w:noWrap/>
            <w:tcMar>
              <w:top w:w="15" w:type="dxa"/>
              <w:right w:w="15" w:type="dxa"/>
            </w:tcMar>
            <w:vAlign w:val="bottom"/>
          </w:tcPr>
          <w:p w14:paraId="3973EA2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2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A2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A36" w14:textId="77777777">
        <w:tc>
          <w:tcPr>
            <w:tcW w:w="2249" w:type="pct"/>
            <w:shd w:val="clear" w:color="auto" w:fill="CFF0FC"/>
            <w:tcMar>
              <w:top w:w="15" w:type="dxa"/>
              <w:right w:w="15" w:type="dxa"/>
            </w:tcMar>
          </w:tcPr>
          <w:p w14:paraId="3973EA27" w14:textId="77777777" w:rsidR="007B027D" w:rsidRDefault="008E0125">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Notes payable, current</w:t>
            </w:r>
          </w:p>
        </w:tc>
        <w:tc>
          <w:tcPr>
            <w:tcW w:w="67" w:type="pct"/>
            <w:shd w:val="clear" w:color="auto" w:fill="CFF0FC"/>
            <w:tcMar>
              <w:top w:w="15" w:type="dxa"/>
              <w:right w:w="15" w:type="dxa"/>
            </w:tcMar>
            <w:vAlign w:val="bottom"/>
          </w:tcPr>
          <w:p w14:paraId="3973EA2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CFF0FC"/>
            <w:tcMar>
              <w:top w:w="15" w:type="dxa"/>
              <w:right w:w="15" w:type="dxa"/>
            </w:tcMar>
            <w:vAlign w:val="bottom"/>
          </w:tcPr>
          <w:p w14:paraId="3973EA29" w14:textId="77777777" w:rsidR="007B027D" w:rsidRDefault="008E0125">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2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EA2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double" w:sz="6" w:space="0" w:color="000000"/>
              <w:bottom w:val="double" w:sz="6" w:space="0" w:color="000000"/>
            </w:tcBorders>
            <w:shd w:val="clear" w:color="auto" w:fill="CFF0FC"/>
            <w:noWrap/>
            <w:tcMar>
              <w:top w:w="15" w:type="dxa"/>
              <w:right w:w="15" w:type="dxa"/>
            </w:tcMar>
            <w:vAlign w:val="bottom"/>
          </w:tcPr>
          <w:p w14:paraId="3973EA2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3,749</w:t>
            </w:r>
          </w:p>
        </w:tc>
        <w:tc>
          <w:tcPr>
            <w:tcW w:w="50" w:type="pct"/>
            <w:shd w:val="clear" w:color="auto" w:fill="CFF0FC"/>
            <w:noWrap/>
            <w:tcMar>
              <w:top w:w="15" w:type="dxa"/>
              <w:right w:w="15" w:type="dxa"/>
            </w:tcMar>
            <w:vAlign w:val="bottom"/>
          </w:tcPr>
          <w:p w14:paraId="3973EA2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2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A2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3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3973EA3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double" w:sz="6" w:space="0" w:color="000000"/>
              <w:bottom w:val="double" w:sz="6" w:space="0" w:color="000000"/>
            </w:tcBorders>
            <w:shd w:val="clear" w:color="auto" w:fill="CFF0FC"/>
            <w:noWrap/>
            <w:tcMar>
              <w:top w:w="15" w:type="dxa"/>
              <w:right w:w="15" w:type="dxa"/>
            </w:tcMar>
            <w:vAlign w:val="bottom"/>
          </w:tcPr>
          <w:p w14:paraId="3973EA3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8,250</w:t>
            </w:r>
          </w:p>
        </w:tc>
        <w:tc>
          <w:tcPr>
            <w:tcW w:w="50" w:type="pct"/>
            <w:shd w:val="clear" w:color="auto" w:fill="CFF0FC"/>
            <w:noWrap/>
            <w:tcMar>
              <w:top w:w="15" w:type="dxa"/>
              <w:right w:w="15" w:type="dxa"/>
            </w:tcMar>
            <w:vAlign w:val="bottom"/>
          </w:tcPr>
          <w:p w14:paraId="3973EA3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CFF0FC"/>
            <w:tcMar>
              <w:top w:w="15" w:type="dxa"/>
              <w:right w:w="15" w:type="dxa"/>
            </w:tcMar>
            <w:vAlign w:val="bottom"/>
          </w:tcPr>
          <w:p w14:paraId="3973EA3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CFF0FC"/>
            <w:tcMar>
              <w:top w:w="15" w:type="dxa"/>
              <w:right w:w="15" w:type="dxa"/>
            </w:tcMar>
            <w:vAlign w:val="bottom"/>
          </w:tcPr>
          <w:p w14:paraId="3973EA35"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7B027D" w14:paraId="3973EA46" w14:textId="77777777">
        <w:tc>
          <w:tcPr>
            <w:tcW w:w="2249" w:type="pct"/>
            <w:shd w:val="clear" w:color="auto" w:fill="FFFFFF"/>
            <w:tcMar>
              <w:top w:w="15" w:type="dxa"/>
              <w:right w:w="15" w:type="dxa"/>
            </w:tcMar>
          </w:tcPr>
          <w:p w14:paraId="3973EA37" w14:textId="77777777" w:rsidR="007B027D" w:rsidRDefault="008E0125">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Notes payable and other borrowings, non-current</w:t>
            </w:r>
          </w:p>
        </w:tc>
        <w:tc>
          <w:tcPr>
            <w:tcW w:w="67" w:type="pct"/>
            <w:shd w:val="clear" w:color="auto" w:fill="FFFFFF"/>
            <w:tcMar>
              <w:top w:w="15" w:type="dxa"/>
              <w:right w:w="15" w:type="dxa"/>
            </w:tcMar>
            <w:vAlign w:val="bottom"/>
          </w:tcPr>
          <w:p w14:paraId="3973EA38"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54" w:type="pct"/>
            <w:shd w:val="clear" w:color="auto" w:fill="FFFFFF"/>
            <w:tcMar>
              <w:top w:w="15" w:type="dxa"/>
              <w:right w:w="15" w:type="dxa"/>
            </w:tcMar>
            <w:vAlign w:val="bottom"/>
          </w:tcPr>
          <w:p w14:paraId="3973EA39"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3A"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EA3B"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double" w:sz="6" w:space="0" w:color="000000"/>
              <w:bottom w:val="double" w:sz="6" w:space="0" w:color="000000"/>
            </w:tcBorders>
            <w:shd w:val="clear" w:color="auto" w:fill="FFFFFF"/>
            <w:noWrap/>
            <w:tcMar>
              <w:top w:w="15" w:type="dxa"/>
              <w:right w:w="15" w:type="dxa"/>
            </w:tcMar>
            <w:vAlign w:val="bottom"/>
          </w:tcPr>
          <w:p w14:paraId="3973EA3C"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72,110</w:t>
            </w:r>
          </w:p>
        </w:tc>
        <w:tc>
          <w:tcPr>
            <w:tcW w:w="50" w:type="pct"/>
            <w:shd w:val="clear" w:color="auto" w:fill="FFFFFF"/>
            <w:noWrap/>
            <w:tcMar>
              <w:top w:w="15" w:type="dxa"/>
              <w:right w:w="15" w:type="dxa"/>
            </w:tcMar>
            <w:vAlign w:val="bottom"/>
          </w:tcPr>
          <w:p w14:paraId="3973EA3D"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3E"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A3F"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40"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3973EA41"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4" w:type="pct"/>
            <w:tcBorders>
              <w:top w:val="double" w:sz="6" w:space="0" w:color="000000"/>
              <w:bottom w:val="double" w:sz="6" w:space="0" w:color="000000"/>
            </w:tcBorders>
            <w:shd w:val="clear" w:color="auto" w:fill="FFFFFF"/>
            <w:noWrap/>
            <w:tcMar>
              <w:top w:w="15" w:type="dxa"/>
              <w:right w:w="15" w:type="dxa"/>
            </w:tcMar>
            <w:vAlign w:val="bottom"/>
          </w:tcPr>
          <w:p w14:paraId="3973EA42" w14:textId="77777777" w:rsidR="007B027D" w:rsidRDefault="008E012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75,995</w:t>
            </w:r>
          </w:p>
        </w:tc>
        <w:tc>
          <w:tcPr>
            <w:tcW w:w="50" w:type="pct"/>
            <w:shd w:val="clear" w:color="auto" w:fill="FFFFFF"/>
            <w:noWrap/>
            <w:tcMar>
              <w:top w:w="15" w:type="dxa"/>
              <w:right w:w="15" w:type="dxa"/>
            </w:tcMar>
            <w:vAlign w:val="bottom"/>
          </w:tcPr>
          <w:p w14:paraId="3973EA43"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7" w:type="pct"/>
            <w:shd w:val="clear" w:color="auto" w:fill="FFFFFF"/>
            <w:tcMar>
              <w:top w:w="15" w:type="dxa"/>
              <w:right w:w="15" w:type="dxa"/>
            </w:tcMar>
            <w:vAlign w:val="bottom"/>
          </w:tcPr>
          <w:p w14:paraId="3973EA44" w14:textId="77777777" w:rsidR="007B027D" w:rsidRDefault="008E012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4" w:type="pct"/>
            <w:shd w:val="clear" w:color="auto" w:fill="FFFFFF"/>
            <w:tcMar>
              <w:top w:w="15" w:type="dxa"/>
              <w:right w:w="15" w:type="dxa"/>
            </w:tcMar>
            <w:vAlign w:val="bottom"/>
          </w:tcPr>
          <w:p w14:paraId="3973EA45" w14:textId="77777777" w:rsidR="007B027D" w:rsidRDefault="008E0125">
            <w:pPr>
              <w:pStyle w:val="a3"/>
              <w:spacing w:beforeAutospacing="0" w:afterAutospacing="0"/>
              <w:jc w:val="right"/>
              <w:rPr>
                <w:rFonts w:ascii="Calibri" w:hAnsi="Calibri" w:cs="Calibri"/>
                <w:color w:val="000000"/>
                <w:sz w:val="2"/>
                <w:szCs w:val="2"/>
              </w:rPr>
            </w:pPr>
            <w:r>
              <w:rPr>
                <w:rFonts w:ascii="Calibri" w:hAnsi="Calibri" w:cs="Calibri"/>
                <w:color w:val="000000"/>
                <w:sz w:val="2"/>
                <w:szCs w:val="2"/>
              </w:rPr>
              <w:t> </w:t>
            </w:r>
          </w:p>
        </w:tc>
      </w:tr>
    </w:tbl>
    <w:p w14:paraId="3973EA47"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A4A" w14:textId="77777777">
        <w:tc>
          <w:tcPr>
            <w:tcW w:w="192" w:type="pct"/>
            <w:shd w:val="clear" w:color="auto" w:fill="auto"/>
            <w:noWrap/>
          </w:tcPr>
          <w:p w14:paraId="3973EA48" w14:textId="77777777" w:rsidR="007B027D" w:rsidRDefault="008E0125">
            <w:pPr>
              <w:pStyle w:val="a3"/>
              <w:spacing w:before="40" w:beforeAutospacing="0" w:afterAutospacing="0"/>
              <w:jc w:val="both"/>
              <w:rPr>
                <w:rFonts w:ascii="Calibri" w:hAnsi="Calibri" w:cs="Calibri"/>
                <w:sz w:val="14"/>
                <w:szCs w:val="14"/>
              </w:rPr>
            </w:pPr>
            <w:r>
              <w:rPr>
                <w:rFonts w:ascii="Calibri" w:hAnsi="Calibri" w:cs="Calibri"/>
                <w:sz w:val="11"/>
                <w:szCs w:val="11"/>
              </w:rPr>
              <w:t>(1)</w:t>
            </w:r>
          </w:p>
        </w:tc>
        <w:tc>
          <w:tcPr>
            <w:tcW w:w="0" w:type="auto"/>
            <w:shd w:val="clear" w:color="auto" w:fill="auto"/>
          </w:tcPr>
          <w:p w14:paraId="3973EA49"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We entered into certain interest rate </w:t>
            </w:r>
            <w:r>
              <w:rPr>
                <w:rFonts w:ascii="Calibri" w:hAnsi="Calibri" w:cs="Calibri"/>
                <w:sz w:val="15"/>
                <w:szCs w:val="15"/>
              </w:rPr>
              <w:t>swap agreements that had the economic effects of modifying the fixed-interest obligations associated with the 2.80% senior notes that were outstanding as of May 31, 2021 and that were due and were settled in July 2021 (July 2021 Notes) so that the interest</w:t>
            </w:r>
            <w:r>
              <w:rPr>
                <w:rFonts w:ascii="Calibri" w:hAnsi="Calibri" w:cs="Calibri"/>
                <w:sz w:val="15"/>
                <w:szCs w:val="15"/>
              </w:rPr>
              <w:t xml:space="preserve"> payable on these notes effectively became variable based on LIBOR. The effective interest rates after consideration of these fixed to variable interest rate swap agreements was 0.87% for the July 2021 Notes as of May 31, 2021. Refer to Note 1 for a descri</w:t>
            </w:r>
            <w:r>
              <w:rPr>
                <w:rFonts w:ascii="Calibri" w:hAnsi="Calibri" w:cs="Calibri"/>
                <w:sz w:val="15"/>
                <w:szCs w:val="15"/>
              </w:rPr>
              <w:t>ption of our accounting for fair value hedges.</w:t>
            </w:r>
          </w:p>
        </w:tc>
      </w:tr>
    </w:tbl>
    <w:p w14:paraId="3973EA4B" w14:textId="77777777" w:rsidR="007B027D" w:rsidRDefault="008E0125">
      <w:pPr>
        <w:pStyle w:val="a3"/>
        <w:spacing w:before="40" w:beforeAutospacing="0" w:afterAutospacing="0"/>
        <w:ind w:hanging="471"/>
        <w:jc w:val="both"/>
        <w:rPr>
          <w:rFonts w:ascii="Times New Roman" w:hAnsi="Times New Roman"/>
          <w:sz w:val="15"/>
          <w:szCs w:val="15"/>
        </w:rPr>
      </w:pPr>
      <w:r>
        <w:rPr>
          <w:rFonts w:ascii="Times New Roman" w:hAnsi="Times New Roman"/>
          <w:sz w:val="15"/>
          <w:szCs w:val="15"/>
        </w:rPr>
        <w:t> </w:t>
      </w:r>
    </w:p>
    <w:p w14:paraId="3973EA4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87</w:t>
      </w:r>
    </w:p>
    <w:p w14:paraId="3973EA4D" w14:textId="77777777" w:rsidR="007B027D" w:rsidRDefault="008E0125">
      <w:r>
        <w:rPr>
          <w:rFonts w:ascii="Calibri" w:hAnsi="Calibri" w:cs="Calibri"/>
          <w:sz w:val="20"/>
          <w:szCs w:val="20"/>
        </w:rPr>
        <w:pict w14:anchorId="39740092">
          <v:rect id="_x0000_i1113" style="width:415.3pt;height:1.5pt" o:hralign="center" o:hrstd="t" o:hr="t" fillcolor="#a0a0a0" stroked="f"/>
        </w:pict>
      </w:r>
    </w:p>
    <w:p w14:paraId="3973EA4E" w14:textId="77777777" w:rsidR="007B027D" w:rsidRDefault="008E0125">
      <w:pPr>
        <w:pStyle w:val="a3"/>
        <w:spacing w:beforeAutospacing="0" w:after="120" w:afterAutospacing="0"/>
        <w:rPr>
          <w:rFonts w:ascii="Calibri" w:hAnsi="Calibri" w:cs="Calibri"/>
          <w:sz w:val="18"/>
          <w:szCs w:val="18"/>
        </w:rPr>
      </w:pPr>
      <w:hyperlink r:id="rId210" w:anchor="TABLE_OF_CONTENTS" w:history="1">
        <w:r>
          <w:rPr>
            <w:rStyle w:val="a5"/>
            <w:rFonts w:ascii="Calibri" w:hAnsi="Calibri" w:cs="Calibri"/>
            <w:sz w:val="18"/>
            <w:szCs w:val="18"/>
          </w:rPr>
          <w:t>Table of Contents</w:t>
        </w:r>
      </w:hyperlink>
    </w:p>
    <w:p w14:paraId="3973EA4F" w14:textId="77777777" w:rsidR="007B027D" w:rsidRDefault="008E0125">
      <w:pPr>
        <w:pStyle w:val="a3"/>
        <w:spacing w:beforeAutospacing="0" w:afterAutospacing="0"/>
        <w:rPr>
          <w:rFonts w:ascii="Calibri" w:hAnsi="Calibri" w:cs="Calibri"/>
          <w:sz w:val="18"/>
          <w:szCs w:val="18"/>
        </w:rPr>
      </w:pPr>
      <w:hyperlink r:id="rId211" w:anchor="ITEM_15_EXHIBITS_FINANCIAL_STATEMENT_SCH" w:history="1">
        <w:r>
          <w:rPr>
            <w:rStyle w:val="a5"/>
            <w:rFonts w:ascii="Calibri" w:hAnsi="Calibri" w:cs="Calibri"/>
            <w:sz w:val="18"/>
            <w:szCs w:val="18"/>
          </w:rPr>
          <w:t>Index to Financial Statements</w:t>
        </w:r>
      </w:hyperlink>
    </w:p>
    <w:p w14:paraId="3973EA50"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A5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A52"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A5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A5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A57" w14:textId="77777777">
        <w:tc>
          <w:tcPr>
            <w:tcW w:w="192" w:type="pct"/>
            <w:shd w:val="clear" w:color="auto" w:fill="auto"/>
            <w:noWrap/>
          </w:tcPr>
          <w:p w14:paraId="3973EA55" w14:textId="77777777" w:rsidR="007B027D" w:rsidRDefault="008E0125">
            <w:pPr>
              <w:pStyle w:val="a3"/>
              <w:spacing w:before="120" w:beforeAutospacing="0" w:afterAutospacing="0"/>
              <w:jc w:val="both"/>
              <w:rPr>
                <w:rFonts w:ascii="Calibri" w:hAnsi="Calibri" w:cs="Calibri"/>
                <w:sz w:val="14"/>
                <w:szCs w:val="14"/>
              </w:rPr>
            </w:pPr>
            <w:r>
              <w:rPr>
                <w:rFonts w:ascii="Calibri" w:hAnsi="Calibri" w:cs="Calibri"/>
                <w:sz w:val="11"/>
                <w:szCs w:val="11"/>
              </w:rPr>
              <w:t>(2)</w:t>
            </w:r>
          </w:p>
        </w:tc>
        <w:tc>
          <w:tcPr>
            <w:tcW w:w="0" w:type="auto"/>
            <w:shd w:val="clear" w:color="auto" w:fill="auto"/>
          </w:tcPr>
          <w:p w14:paraId="3973EA56"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In July 2013, we issued €750 million of 3.125% senior notes due July </w:t>
            </w:r>
            <w:r>
              <w:rPr>
                <w:rFonts w:ascii="Calibri" w:hAnsi="Calibri" w:cs="Calibri"/>
                <w:sz w:val="15"/>
                <w:szCs w:val="15"/>
              </w:rPr>
              <w:t>2025 (July 2025 Notes). Principal and unamortized discount/issuance costs for the July 2025 Notes in the table above were calculated using foreign currency exchange rates, as applicable, as of May 31, 2022 and May 31, 2021, respectively. The July 2025 Note</w:t>
            </w:r>
            <w:r>
              <w:rPr>
                <w:rFonts w:ascii="Calibri" w:hAnsi="Calibri" w:cs="Calibri"/>
                <w:sz w:val="15"/>
                <w:szCs w:val="15"/>
              </w:rPr>
              <w:t>s are registered and trade on the New York Stock Exchange.</w:t>
            </w:r>
          </w:p>
        </w:tc>
      </w:tr>
    </w:tbl>
    <w:p w14:paraId="3973EA5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A5B" w14:textId="77777777">
        <w:tc>
          <w:tcPr>
            <w:tcW w:w="192" w:type="pct"/>
            <w:shd w:val="clear" w:color="auto" w:fill="auto"/>
            <w:noWrap/>
          </w:tcPr>
          <w:p w14:paraId="3973EA59" w14:textId="77777777" w:rsidR="007B027D" w:rsidRDefault="008E0125">
            <w:pPr>
              <w:pStyle w:val="a3"/>
              <w:spacing w:before="120" w:beforeAutospacing="0" w:afterAutospacing="0"/>
              <w:jc w:val="both"/>
              <w:rPr>
                <w:rFonts w:ascii="Calibri" w:hAnsi="Calibri" w:cs="Calibri"/>
                <w:sz w:val="14"/>
                <w:szCs w:val="14"/>
              </w:rPr>
            </w:pPr>
            <w:r>
              <w:rPr>
                <w:rFonts w:ascii="Calibri" w:hAnsi="Calibri" w:cs="Calibri"/>
                <w:sz w:val="11"/>
                <w:szCs w:val="11"/>
              </w:rPr>
              <w:t>(3)</w:t>
            </w:r>
          </w:p>
        </w:tc>
        <w:tc>
          <w:tcPr>
            <w:tcW w:w="0" w:type="auto"/>
            <w:shd w:val="clear" w:color="auto" w:fill="auto"/>
          </w:tcPr>
          <w:p w14:paraId="3973EA5A"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In fiscal 2018 we entered into certain cross-currency interest rate swap agreements that have the economic effect of converting our fixed-rate, Euro-denominated debt, including annual interes</w:t>
            </w:r>
            <w:r>
              <w:rPr>
                <w:rFonts w:ascii="Calibri" w:hAnsi="Calibri" w:cs="Calibri"/>
                <w:sz w:val="15"/>
                <w:szCs w:val="15"/>
              </w:rPr>
              <w:t>t payments and the payment of principal at maturity, to a variable-rate, U.S. Dollar-denominated debt of $871 million based on LIBOR. The effective interest rates as of May 31, 2022 and 2021 after consideration of the cross-currency interest rate swap agre</w:t>
            </w:r>
            <w:r>
              <w:rPr>
                <w:rFonts w:ascii="Calibri" w:hAnsi="Calibri" w:cs="Calibri"/>
                <w:sz w:val="15"/>
                <w:szCs w:val="15"/>
              </w:rPr>
              <w:t>ements were 4.10% and 3.15%, respectively, for the July 2025 Notes. Refer to Note 1 for a description of our accounting for fair value hedges.</w:t>
            </w:r>
          </w:p>
        </w:tc>
      </w:tr>
    </w:tbl>
    <w:p w14:paraId="3973EA5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Future principal payments (adjusted for the effects of the cross-currency interest rate swap agreements associat</w:t>
      </w:r>
      <w:r>
        <w:rPr>
          <w:rFonts w:ascii="Calibri" w:hAnsi="Calibri" w:cs="Calibri"/>
          <w:sz w:val="20"/>
          <w:szCs w:val="20"/>
        </w:rPr>
        <w:t>ed with the July 2025 Notes) for all of our borrowings at May 31, 2022 were as follows (in millions):</w:t>
      </w:r>
      <w:r>
        <w:rPr>
          <w:rFonts w:ascii="Times New Roman" w:hAnsi="Times New Roman"/>
          <w:sz w:val="20"/>
          <w:szCs w:val="20"/>
        </w:rPr>
        <w:t xml:space="preserve"> </w:t>
      </w:r>
    </w:p>
    <w:p w14:paraId="3973EA5D"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077"/>
        <w:gridCol w:w="158"/>
        <w:gridCol w:w="117"/>
        <w:gridCol w:w="894"/>
        <w:gridCol w:w="75"/>
      </w:tblGrid>
      <w:tr w:rsidR="007B027D" w14:paraId="3973EA63" w14:textId="77777777">
        <w:tc>
          <w:tcPr>
            <w:tcW w:w="4257" w:type="pct"/>
            <w:shd w:val="clear" w:color="auto" w:fill="CFF0FC"/>
            <w:tcMar>
              <w:top w:w="15" w:type="dxa"/>
              <w:right w:w="15" w:type="dxa"/>
            </w:tcMar>
            <w:vAlign w:val="bottom"/>
          </w:tcPr>
          <w:p w14:paraId="3973EA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0" w:type="pct"/>
            <w:shd w:val="clear" w:color="auto" w:fill="CFF0FC"/>
            <w:tcMar>
              <w:top w:w="15" w:type="dxa"/>
              <w:right w:w="15" w:type="dxa"/>
            </w:tcMar>
            <w:vAlign w:val="bottom"/>
          </w:tcPr>
          <w:p w14:paraId="3973EA5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A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2" w:type="pct"/>
            <w:shd w:val="clear" w:color="auto" w:fill="CFF0FC"/>
            <w:noWrap/>
            <w:tcMar>
              <w:top w:w="15" w:type="dxa"/>
              <w:right w:w="15" w:type="dxa"/>
            </w:tcMar>
            <w:vAlign w:val="bottom"/>
          </w:tcPr>
          <w:p w14:paraId="3973EA6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3,750</w:t>
            </w:r>
          </w:p>
        </w:tc>
        <w:tc>
          <w:tcPr>
            <w:tcW w:w="50" w:type="pct"/>
            <w:shd w:val="clear" w:color="auto" w:fill="CFF0FC"/>
            <w:noWrap/>
            <w:tcMar>
              <w:top w:w="15" w:type="dxa"/>
              <w:right w:w="15" w:type="dxa"/>
            </w:tcMar>
            <w:vAlign w:val="bottom"/>
          </w:tcPr>
          <w:p w14:paraId="3973EA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69" w14:textId="77777777">
        <w:tc>
          <w:tcPr>
            <w:tcW w:w="4257" w:type="pct"/>
            <w:shd w:val="clear" w:color="auto" w:fill="FFFFFF"/>
            <w:tcMar>
              <w:top w:w="15" w:type="dxa"/>
              <w:right w:w="15" w:type="dxa"/>
            </w:tcMar>
            <w:vAlign w:val="bottom"/>
          </w:tcPr>
          <w:p w14:paraId="3973EA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0" w:type="pct"/>
            <w:shd w:val="clear" w:color="auto" w:fill="FFFFFF"/>
            <w:tcMar>
              <w:top w:w="15" w:type="dxa"/>
              <w:right w:w="15" w:type="dxa"/>
            </w:tcMar>
            <w:vAlign w:val="bottom"/>
          </w:tcPr>
          <w:p w14:paraId="3973EA6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A6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right w:w="15" w:type="dxa"/>
            </w:tcMar>
            <w:vAlign w:val="bottom"/>
          </w:tcPr>
          <w:p w14:paraId="3973EA6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3,500</w:t>
            </w:r>
          </w:p>
        </w:tc>
        <w:tc>
          <w:tcPr>
            <w:tcW w:w="50" w:type="pct"/>
            <w:shd w:val="clear" w:color="auto" w:fill="FFFFFF"/>
            <w:noWrap/>
            <w:tcMar>
              <w:top w:w="15" w:type="dxa"/>
              <w:right w:w="15" w:type="dxa"/>
            </w:tcMar>
            <w:vAlign w:val="bottom"/>
          </w:tcPr>
          <w:p w14:paraId="3973EA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6F" w14:textId="77777777">
        <w:tc>
          <w:tcPr>
            <w:tcW w:w="4257" w:type="pct"/>
            <w:shd w:val="clear" w:color="auto" w:fill="CFF0FC"/>
            <w:tcMar>
              <w:top w:w="15" w:type="dxa"/>
              <w:right w:w="15" w:type="dxa"/>
            </w:tcMar>
            <w:vAlign w:val="bottom"/>
          </w:tcPr>
          <w:p w14:paraId="3973EA6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0" w:type="pct"/>
            <w:shd w:val="clear" w:color="auto" w:fill="CFF0FC"/>
            <w:tcMar>
              <w:top w:w="15" w:type="dxa"/>
              <w:right w:w="15" w:type="dxa"/>
            </w:tcMar>
            <w:vAlign w:val="bottom"/>
          </w:tcPr>
          <w:p w14:paraId="3973EA6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A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right w:w="15" w:type="dxa"/>
            </w:tcMar>
            <w:vAlign w:val="bottom"/>
          </w:tcPr>
          <w:p w14:paraId="3973EA6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10,000</w:t>
            </w:r>
          </w:p>
        </w:tc>
        <w:tc>
          <w:tcPr>
            <w:tcW w:w="50" w:type="pct"/>
            <w:shd w:val="clear" w:color="auto" w:fill="CFF0FC"/>
            <w:noWrap/>
            <w:tcMar>
              <w:top w:w="15" w:type="dxa"/>
              <w:right w:w="15" w:type="dxa"/>
            </w:tcMar>
            <w:vAlign w:val="bottom"/>
          </w:tcPr>
          <w:p w14:paraId="3973EA6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75" w14:textId="77777777">
        <w:tc>
          <w:tcPr>
            <w:tcW w:w="4257" w:type="pct"/>
            <w:shd w:val="clear" w:color="auto" w:fill="FFFFFF"/>
            <w:tcMar>
              <w:top w:w="15" w:type="dxa"/>
              <w:right w:w="15" w:type="dxa"/>
            </w:tcMar>
            <w:vAlign w:val="bottom"/>
          </w:tcPr>
          <w:p w14:paraId="3973EA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0" w:type="pct"/>
            <w:shd w:val="clear" w:color="auto" w:fill="FFFFFF"/>
            <w:tcMar>
              <w:top w:w="15" w:type="dxa"/>
              <w:right w:w="15" w:type="dxa"/>
            </w:tcMar>
            <w:vAlign w:val="bottom"/>
          </w:tcPr>
          <w:p w14:paraId="3973EA7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A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right w:w="15" w:type="dxa"/>
            </w:tcMar>
            <w:vAlign w:val="bottom"/>
          </w:tcPr>
          <w:p w14:paraId="3973EA7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3,734</w:t>
            </w:r>
          </w:p>
        </w:tc>
        <w:tc>
          <w:tcPr>
            <w:tcW w:w="50" w:type="pct"/>
            <w:shd w:val="clear" w:color="auto" w:fill="FFFFFF"/>
            <w:noWrap/>
            <w:tcMar>
              <w:top w:w="15" w:type="dxa"/>
              <w:right w:w="15" w:type="dxa"/>
            </w:tcMar>
            <w:vAlign w:val="bottom"/>
          </w:tcPr>
          <w:p w14:paraId="3973EA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7B" w14:textId="77777777">
        <w:tc>
          <w:tcPr>
            <w:tcW w:w="4257" w:type="pct"/>
            <w:shd w:val="clear" w:color="auto" w:fill="CFF0FC"/>
            <w:tcMar>
              <w:top w:w="15" w:type="dxa"/>
              <w:right w:w="15" w:type="dxa"/>
            </w:tcMar>
            <w:vAlign w:val="bottom"/>
          </w:tcPr>
          <w:p w14:paraId="3973EA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100" w:type="pct"/>
            <w:shd w:val="clear" w:color="auto" w:fill="CFF0FC"/>
            <w:tcMar>
              <w:top w:w="15" w:type="dxa"/>
              <w:right w:w="15" w:type="dxa"/>
            </w:tcMar>
            <w:vAlign w:val="bottom"/>
          </w:tcPr>
          <w:p w14:paraId="3973EA7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A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right w:w="15" w:type="dxa"/>
            </w:tcMar>
            <w:vAlign w:val="bottom"/>
          </w:tcPr>
          <w:p w14:paraId="3973EA7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5,250</w:t>
            </w:r>
          </w:p>
        </w:tc>
        <w:tc>
          <w:tcPr>
            <w:tcW w:w="50" w:type="pct"/>
            <w:shd w:val="clear" w:color="auto" w:fill="CFF0FC"/>
            <w:noWrap/>
            <w:tcMar>
              <w:top w:w="15" w:type="dxa"/>
              <w:right w:w="15" w:type="dxa"/>
            </w:tcMar>
            <w:vAlign w:val="bottom"/>
          </w:tcPr>
          <w:p w14:paraId="3973EA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81" w14:textId="77777777">
        <w:tc>
          <w:tcPr>
            <w:tcW w:w="4257" w:type="pct"/>
            <w:shd w:val="clear" w:color="auto" w:fill="FFFFFF"/>
            <w:tcMar>
              <w:top w:w="15" w:type="dxa"/>
              <w:right w:w="15" w:type="dxa"/>
            </w:tcMar>
            <w:vAlign w:val="bottom"/>
          </w:tcPr>
          <w:p w14:paraId="3973EA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0" w:type="pct"/>
            <w:shd w:val="clear" w:color="auto" w:fill="FFFFFF"/>
            <w:tcMar>
              <w:top w:w="15" w:type="dxa"/>
              <w:right w:w="15" w:type="dxa"/>
            </w:tcMar>
            <w:vAlign w:val="bottom"/>
          </w:tcPr>
          <w:p w14:paraId="3973EA7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EA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tcBorders>
              <w:bottom w:val="single" w:sz="6" w:space="0" w:color="000000"/>
            </w:tcBorders>
            <w:shd w:val="clear" w:color="auto" w:fill="FFFFFF"/>
            <w:noWrap/>
            <w:tcMar>
              <w:top w:w="15" w:type="dxa"/>
              <w:right w:w="15" w:type="dxa"/>
            </w:tcMar>
            <w:vAlign w:val="bottom"/>
          </w:tcPr>
          <w:p w14:paraId="3973EA7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50,000</w:t>
            </w:r>
          </w:p>
        </w:tc>
        <w:tc>
          <w:tcPr>
            <w:tcW w:w="50" w:type="pct"/>
            <w:shd w:val="clear" w:color="auto" w:fill="FFFFFF"/>
            <w:noWrap/>
            <w:tcMar>
              <w:top w:w="15" w:type="dxa"/>
              <w:right w:w="15" w:type="dxa"/>
            </w:tcMar>
            <w:vAlign w:val="bottom"/>
          </w:tcPr>
          <w:p w14:paraId="3973EA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A87" w14:textId="77777777">
        <w:tc>
          <w:tcPr>
            <w:tcW w:w="4257" w:type="pct"/>
            <w:shd w:val="clear" w:color="auto" w:fill="CFF0FC"/>
            <w:tcMar>
              <w:top w:w="15" w:type="dxa"/>
              <w:right w:w="15" w:type="dxa"/>
            </w:tcMar>
            <w:vAlign w:val="bottom"/>
          </w:tcPr>
          <w:p w14:paraId="3973EA82"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w:t>
            </w:r>
          </w:p>
        </w:tc>
        <w:tc>
          <w:tcPr>
            <w:tcW w:w="100" w:type="pct"/>
            <w:shd w:val="clear" w:color="auto" w:fill="CFF0FC"/>
            <w:tcMar>
              <w:top w:w="15" w:type="dxa"/>
              <w:right w:w="15" w:type="dxa"/>
            </w:tcMar>
            <w:vAlign w:val="bottom"/>
          </w:tcPr>
          <w:p w14:paraId="3973EA8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A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2" w:type="pct"/>
            <w:tcBorders>
              <w:top w:val="single" w:sz="6" w:space="0" w:color="000000"/>
              <w:bottom w:val="double" w:sz="6" w:space="0" w:color="000000"/>
            </w:tcBorders>
            <w:shd w:val="clear" w:color="auto" w:fill="CFF0FC"/>
            <w:noWrap/>
            <w:tcMar>
              <w:top w:w="15" w:type="dxa"/>
              <w:right w:w="15" w:type="dxa"/>
            </w:tcMar>
            <w:vAlign w:val="bottom"/>
          </w:tcPr>
          <w:p w14:paraId="3973EA8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76,234</w:t>
            </w:r>
          </w:p>
        </w:tc>
        <w:tc>
          <w:tcPr>
            <w:tcW w:w="50" w:type="pct"/>
            <w:shd w:val="clear" w:color="auto" w:fill="CFF0FC"/>
            <w:noWrap/>
            <w:tcMar>
              <w:top w:w="15" w:type="dxa"/>
              <w:right w:w="15" w:type="dxa"/>
            </w:tcMar>
            <w:vAlign w:val="bottom"/>
          </w:tcPr>
          <w:p w14:paraId="3973EA8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A8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Senior Notes</w:t>
      </w:r>
    </w:p>
    <w:p w14:paraId="3973EA8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Interest is payable semi-annually for the senior notes listed in the above table except for the Euro Notes for which interest is payable annually. We may redeem some or all of the senior notes of each series </w:t>
      </w:r>
      <w:r>
        <w:rPr>
          <w:rFonts w:ascii="Calibri" w:hAnsi="Calibri" w:cs="Calibri"/>
          <w:sz w:val="20"/>
          <w:szCs w:val="20"/>
        </w:rPr>
        <w:t>prior to their maturity, subject to certain restrictions, and the payment of an applicable make-whole premium in certain instances.</w:t>
      </w:r>
    </w:p>
    <w:p w14:paraId="3973EA8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senior notes rank pari passu with any other notes we may issue in the future pursuant to our commercial paper program (s</w:t>
      </w:r>
      <w:r>
        <w:rPr>
          <w:rFonts w:ascii="Calibri" w:hAnsi="Calibri" w:cs="Calibri"/>
          <w:sz w:val="20"/>
          <w:szCs w:val="20"/>
        </w:rPr>
        <w:t>ee additional discussion regarding our commercial paper program below) and all existing and future unsecured senior indebtedness of Oracle Corporation including the Revolving Credit Agreement and Bridge Credit Agreement, each as described further below. Al</w:t>
      </w:r>
      <w:r>
        <w:rPr>
          <w:rFonts w:ascii="Calibri" w:hAnsi="Calibri" w:cs="Calibri"/>
          <w:sz w:val="20"/>
          <w:szCs w:val="20"/>
        </w:rPr>
        <w:t xml:space="preserve">l existing and future liabilities of the subsidiaries of Oracle Corporation are or will be effectively senior to the senior notes, any future borrowings pursuant to the Revolving Credit Agreement and borrowings made on June 8, 2022 under the Bridge Credit </w:t>
      </w:r>
      <w:r>
        <w:rPr>
          <w:rFonts w:ascii="Calibri" w:hAnsi="Calibri" w:cs="Calibri"/>
          <w:sz w:val="20"/>
          <w:szCs w:val="20"/>
        </w:rPr>
        <w:t>Agreement, and any future issuances of commercial paper notes. We were in compliance with all debt-related covenants at May 31, 2022.</w:t>
      </w:r>
    </w:p>
    <w:p w14:paraId="3973EA8B"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Credit Agreements</w:t>
      </w:r>
    </w:p>
    <w:p w14:paraId="3973EA8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March 2022, we entered into the following two credit agreements:</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A90" w14:textId="77777777">
        <w:tc>
          <w:tcPr>
            <w:tcW w:w="262" w:type="pct"/>
            <w:shd w:val="clear" w:color="auto" w:fill="auto"/>
            <w:noWrap/>
          </w:tcPr>
          <w:p w14:paraId="3973EA8D"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A8E" w14:textId="77777777" w:rsidR="007B027D" w:rsidRDefault="008E0125">
            <w:pPr>
              <w:pStyle w:val="a3"/>
              <w:spacing w:before="120" w:beforeAutospacing="0" w:afterAutospacing="0"/>
              <w:jc w:val="both"/>
              <w:rPr>
                <w:rFonts w:ascii="Times New Roman" w:hAnsi="Times New Roman"/>
                <w:sz w:val="16"/>
                <w:szCs w:val="16"/>
              </w:rPr>
            </w:pPr>
            <w:r>
              <w:rPr>
                <w:rFonts w:ascii="Times New Roman" w:hAnsi="Times New Roman"/>
                <w:sz w:val="16"/>
                <w:szCs w:val="16"/>
              </w:rPr>
              <w:t>•</w:t>
            </w:r>
          </w:p>
        </w:tc>
        <w:tc>
          <w:tcPr>
            <w:tcW w:w="0" w:type="auto"/>
            <w:shd w:val="clear" w:color="auto" w:fill="auto"/>
          </w:tcPr>
          <w:p w14:paraId="3973EA8F"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 $6.0 billion, five-year revolv</w:t>
            </w:r>
            <w:r>
              <w:rPr>
                <w:rFonts w:ascii="Calibri" w:hAnsi="Calibri" w:cs="Calibri"/>
                <w:color w:val="000000"/>
                <w:sz w:val="20"/>
                <w:szCs w:val="20"/>
              </w:rPr>
              <w:t xml:space="preserve">ing credit agreement (the Revolving Credit Agreement), which provides for an unsecured $6.0 billion, five-year revolving credit facility (the Revolving Facility) to be used for our working capital purposes and for other general corporate purposes. Subject </w:t>
            </w:r>
            <w:r>
              <w:rPr>
                <w:rFonts w:ascii="Calibri" w:hAnsi="Calibri" w:cs="Calibri"/>
                <w:color w:val="000000"/>
                <w:sz w:val="20"/>
                <w:szCs w:val="20"/>
              </w:rPr>
              <w:t>to certain conditions stated in the Revolving Credit Agreement, we may borrow, prepay and reborrow amounts under the Revolving Facility during the term of the Revolving Credit Agreement. All amounts borrowed under the Revolving Credit Agreement will become</w:t>
            </w:r>
            <w:r>
              <w:rPr>
                <w:rFonts w:ascii="Calibri" w:hAnsi="Calibri" w:cs="Calibri"/>
                <w:color w:val="000000"/>
                <w:sz w:val="20"/>
                <w:szCs w:val="20"/>
              </w:rPr>
              <w:t xml:space="preserve"> due on March 8, 2027, unless the commitments are terminated earlier either at our request or, if an event of default occurs, by the lenders (or automatically in the case of certain bankruptcy-related events). Interest is based on either (a) a Term Secured</w:t>
            </w:r>
            <w:r>
              <w:rPr>
                <w:rFonts w:ascii="Calibri" w:hAnsi="Calibri" w:cs="Calibri"/>
                <w:color w:val="000000"/>
                <w:sz w:val="20"/>
                <w:szCs w:val="20"/>
              </w:rPr>
              <w:t xml:space="preserve"> Overnight Financing Rate (SOFR)-based formula plus a margin of 87.5 basis points to 150.0 basis points, depending on the credit rating assigned to our long-term senior unsecured debt, or (b) a Base Rate formula plus a margin of 0.0 basis point to 50.0 bas</w:t>
            </w:r>
            <w:r>
              <w:rPr>
                <w:rFonts w:ascii="Calibri" w:hAnsi="Calibri" w:cs="Calibri"/>
                <w:color w:val="000000"/>
                <w:sz w:val="20"/>
                <w:szCs w:val="20"/>
              </w:rPr>
              <w:t>is points, depending on the same such credit rating, each as set forth in the Revolving Credit Agreement; and</w:t>
            </w:r>
          </w:p>
        </w:tc>
      </w:tr>
    </w:tbl>
    <w:p w14:paraId="3973EA9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88</w:t>
      </w:r>
    </w:p>
    <w:p w14:paraId="3973EA92" w14:textId="77777777" w:rsidR="007B027D" w:rsidRDefault="008E0125">
      <w:r>
        <w:rPr>
          <w:rFonts w:ascii="Calibri" w:hAnsi="Calibri" w:cs="Calibri"/>
          <w:sz w:val="20"/>
          <w:szCs w:val="20"/>
        </w:rPr>
        <w:pict w14:anchorId="39740093">
          <v:rect id="_x0000_i1114" style="width:415.3pt;height:1.5pt" o:hralign="center" o:hrstd="t" o:hr="t" fillcolor="#a0a0a0" stroked="f"/>
        </w:pict>
      </w:r>
    </w:p>
    <w:p w14:paraId="3973EA93" w14:textId="77777777" w:rsidR="007B027D" w:rsidRDefault="008E0125">
      <w:pPr>
        <w:pStyle w:val="a3"/>
        <w:spacing w:beforeAutospacing="0" w:after="120" w:afterAutospacing="0"/>
        <w:rPr>
          <w:rFonts w:ascii="Calibri" w:hAnsi="Calibri" w:cs="Calibri"/>
          <w:sz w:val="18"/>
          <w:szCs w:val="18"/>
        </w:rPr>
      </w:pPr>
      <w:hyperlink r:id="rId212" w:anchor="TABLE_OF_CONTENTS" w:history="1">
        <w:r>
          <w:rPr>
            <w:rStyle w:val="a5"/>
            <w:rFonts w:ascii="Calibri" w:hAnsi="Calibri" w:cs="Calibri"/>
            <w:sz w:val="18"/>
            <w:szCs w:val="18"/>
          </w:rPr>
          <w:t>Table of Contents</w:t>
        </w:r>
      </w:hyperlink>
    </w:p>
    <w:p w14:paraId="3973EA94" w14:textId="77777777" w:rsidR="007B027D" w:rsidRDefault="008E0125">
      <w:pPr>
        <w:pStyle w:val="a3"/>
        <w:spacing w:beforeAutospacing="0" w:afterAutospacing="0"/>
        <w:rPr>
          <w:rFonts w:ascii="Calibri" w:hAnsi="Calibri" w:cs="Calibri"/>
          <w:sz w:val="18"/>
          <w:szCs w:val="18"/>
        </w:rPr>
      </w:pPr>
      <w:hyperlink r:id="rId213" w:anchor="ITEM_15_EXHIBITS_FINANCIAL_STATEMENT_SCH" w:history="1">
        <w:r>
          <w:rPr>
            <w:rStyle w:val="a5"/>
            <w:rFonts w:ascii="Calibri" w:hAnsi="Calibri" w:cs="Calibri"/>
            <w:sz w:val="18"/>
            <w:szCs w:val="18"/>
          </w:rPr>
          <w:t>Index to Financial Statements</w:t>
        </w:r>
      </w:hyperlink>
    </w:p>
    <w:p w14:paraId="3973EA9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A9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EA97"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A9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EA9C" w14:textId="77777777">
        <w:tc>
          <w:tcPr>
            <w:tcW w:w="262" w:type="pct"/>
            <w:shd w:val="clear" w:color="auto" w:fill="auto"/>
            <w:noWrap/>
          </w:tcPr>
          <w:p w14:paraId="3973EA99"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EA9A" w14:textId="77777777" w:rsidR="007B027D" w:rsidRDefault="008E0125">
            <w:pPr>
              <w:pStyle w:val="a3"/>
              <w:spacing w:before="120" w:beforeAutospacing="0" w:afterAutospacing="0"/>
              <w:jc w:val="both"/>
              <w:rPr>
                <w:rFonts w:ascii="Times New Roman" w:hAnsi="Times New Roman"/>
                <w:sz w:val="16"/>
                <w:szCs w:val="16"/>
              </w:rPr>
            </w:pPr>
            <w:r>
              <w:rPr>
                <w:rFonts w:ascii="Times New Roman" w:hAnsi="Times New Roman"/>
                <w:sz w:val="16"/>
                <w:szCs w:val="16"/>
              </w:rPr>
              <w:t>•</w:t>
            </w:r>
          </w:p>
        </w:tc>
        <w:tc>
          <w:tcPr>
            <w:tcW w:w="0" w:type="auto"/>
            <w:shd w:val="clear" w:color="auto" w:fill="auto"/>
          </w:tcPr>
          <w:p w14:paraId="3973EA9B"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a $15.7 billion delayed draw term loan credit agreement (the Bridge Credit Agreement), which provides for an unsecured $15.7 billion, 364-day term loan commitment (the Bridge Facility), subject to the satisfaction of </w:t>
            </w:r>
            <w:r>
              <w:rPr>
                <w:rFonts w:ascii="Calibri" w:hAnsi="Calibri" w:cs="Calibri"/>
                <w:color w:val="000000"/>
                <w:sz w:val="20"/>
                <w:szCs w:val="20"/>
              </w:rPr>
              <w:t xml:space="preserve">certain customary conditions. The Bridge Credit Agreement provides that, subject to certain exceptions, net cash proceeds received by us from certain debt and equity issuances shall result in mandatory prepayments or commitment reductions under the Bridge </w:t>
            </w:r>
            <w:r>
              <w:rPr>
                <w:rFonts w:ascii="Calibri" w:hAnsi="Calibri" w:cs="Calibri"/>
                <w:color w:val="000000"/>
                <w:sz w:val="20"/>
                <w:szCs w:val="20"/>
              </w:rPr>
              <w:t xml:space="preserve">Credit Agreement. The proceeds of borrowings under the Bridge Facility were used to finance the acquisition of Cerner, our refinancing of indebtedness in connection with such acquisition and to pay related fees and expenses. All amounts borrowed under the </w:t>
            </w:r>
            <w:r>
              <w:rPr>
                <w:rFonts w:ascii="Calibri" w:hAnsi="Calibri" w:cs="Calibri"/>
                <w:color w:val="000000"/>
                <w:sz w:val="20"/>
                <w:szCs w:val="20"/>
              </w:rPr>
              <w:t>Bridge Credit Agreement will become due on March 7, 2023, unless settled earlier pursuant to the terms of the Bridge Credit Agreement. Interest is based on either (a) a Term SOFR-based formula plus a margin of 100.0 basis points to 137.5 basis points, depe</w:t>
            </w:r>
            <w:r>
              <w:rPr>
                <w:rFonts w:ascii="Calibri" w:hAnsi="Calibri" w:cs="Calibri"/>
                <w:color w:val="000000"/>
                <w:sz w:val="20"/>
                <w:szCs w:val="20"/>
              </w:rPr>
              <w:t>nding on the credit rating assigned to our long-term senior unsecured debt, or (b) a Base Rate formula plus a margin of 0.0 basis point to 37.5 basis points, depending on the same such credit rating, each as set forth in the Bridge Credit Agreement.</w:t>
            </w:r>
          </w:p>
        </w:tc>
      </w:tr>
    </w:tbl>
    <w:p w14:paraId="3973EA9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No am</w:t>
      </w:r>
      <w:r>
        <w:rPr>
          <w:rFonts w:ascii="Calibri" w:hAnsi="Calibri" w:cs="Calibri"/>
          <w:sz w:val="20"/>
          <w:szCs w:val="20"/>
        </w:rPr>
        <w:t>ounts were outstanding pursuant to either of the credit agreements as of May 31, 2022. On June 8, 2022, we drew down the full amount of the Bridge Credit Agreement to finance the acquisition of Cerner.</w:t>
      </w:r>
    </w:p>
    <w:p w14:paraId="3973EA9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Each of the abovementioned credit agreements </w:t>
      </w:r>
      <w:r>
        <w:rPr>
          <w:rFonts w:ascii="Calibri" w:hAnsi="Calibri" w:cs="Calibri"/>
          <w:sz w:val="20"/>
          <w:szCs w:val="20"/>
        </w:rPr>
        <w:t xml:space="preserve">contains certain customary representations and warranties, covenants and events of default, including the requirement that the ratio of “Consolidated EBITDA” to “Consolidated Net Interest Expense” (each term as defined in the respective credit agreements) </w:t>
      </w:r>
      <w:r>
        <w:rPr>
          <w:rFonts w:ascii="Calibri" w:hAnsi="Calibri" w:cs="Calibri"/>
          <w:sz w:val="20"/>
          <w:szCs w:val="20"/>
        </w:rPr>
        <w:t xml:space="preserve">of Oracle and its subsidiaries shall not be less than 3.0 to 1.0 at the end of any fiscal quarter during the period that the credit agreement is effective. If an event of default occurs under one of the credit agreements and is not cured within applicable </w:t>
      </w:r>
      <w:r>
        <w:rPr>
          <w:rFonts w:ascii="Calibri" w:hAnsi="Calibri" w:cs="Calibri"/>
          <w:sz w:val="20"/>
          <w:szCs w:val="20"/>
        </w:rPr>
        <w:t xml:space="preserve">grace periods or waived, any unpaid amounts under the applicable credit agreement may be declared immediately due and payable and the commitments under that agreement may be terminated. We were in compliance with the two credit agreements’ covenants as of </w:t>
      </w:r>
      <w:r>
        <w:rPr>
          <w:rFonts w:ascii="Calibri" w:hAnsi="Calibri" w:cs="Calibri"/>
          <w:sz w:val="20"/>
          <w:szCs w:val="20"/>
        </w:rPr>
        <w:t>May 31, 2022.</w:t>
      </w:r>
    </w:p>
    <w:p w14:paraId="3973EA9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Commercial Paper Program and Commercial Paper Notes</w:t>
      </w:r>
    </w:p>
    <w:p w14:paraId="3973EAA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existing $3.0 billion commercial paper program allows us to issue and sell unsecured short-term promissory notes pursuant to a private placement exemption from the registration requireme</w:t>
      </w:r>
      <w:r>
        <w:rPr>
          <w:rFonts w:ascii="Calibri" w:hAnsi="Calibri" w:cs="Calibri"/>
          <w:sz w:val="20"/>
          <w:szCs w:val="20"/>
        </w:rPr>
        <w:t>nts under federal and state securities laws pursuant to dealer agreements with various banks and an Issuing and Paying Agency Agreement with Deutsche Bank Trust Company Americas. As of May 31, 2022 and 2021, we did not have any outstanding commercial paper</w:t>
      </w:r>
      <w:r>
        <w:rPr>
          <w:rFonts w:ascii="Calibri" w:hAnsi="Calibri" w:cs="Calibri"/>
          <w:sz w:val="20"/>
          <w:szCs w:val="20"/>
        </w:rPr>
        <w:t xml:space="preserve"> notes.</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AA3" w14:textId="77777777">
        <w:tc>
          <w:tcPr>
            <w:tcW w:w="262" w:type="pct"/>
            <w:shd w:val="clear" w:color="auto" w:fill="auto"/>
            <w:noWrap/>
          </w:tcPr>
          <w:p w14:paraId="3973EAA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3973EAA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3973EAA4"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3973EAA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 our management approved, committed to and initiated plans to restructure and further improve efficiencies in our operations due to our acquisitions and certain o</w:t>
      </w:r>
      <w:r>
        <w:rPr>
          <w:rFonts w:ascii="Calibri" w:hAnsi="Calibri" w:cs="Calibri"/>
          <w:sz w:val="20"/>
          <w:szCs w:val="20"/>
        </w:rPr>
        <w:t>ther operational activities (2022 Restructuring Plan). In the fourth quarter of fiscal 2022, our management supplemented the 2022 Restructuring Plan to reflect additional actions that we expect to take. The total estimated restructuring costs associated wi</w:t>
      </w:r>
      <w:r>
        <w:rPr>
          <w:rFonts w:ascii="Calibri" w:hAnsi="Calibri" w:cs="Calibri"/>
          <w:sz w:val="20"/>
          <w:szCs w:val="20"/>
        </w:rPr>
        <w:t>th the 2022 Restructuring Plan are up to $392 million and will be recorded to the restructuring expense line item within our consolidated statements of operations as they are incurred. We recorded $223 million of restructuring expenses in connection with t</w:t>
      </w:r>
      <w:r>
        <w:rPr>
          <w:rFonts w:ascii="Calibri" w:hAnsi="Calibri" w:cs="Calibri"/>
          <w:sz w:val="20"/>
          <w:szCs w:val="20"/>
        </w:rPr>
        <w:t>he 2022 Restructuring Plan in fiscal 2022 and we expect to incur the majority of the estimated remaining $169 million through the end of fiscal 2023. Any changes to the estimates or timing of executing the 2022 Restructuring Plan will be reflected in our f</w:t>
      </w:r>
      <w:r>
        <w:rPr>
          <w:rFonts w:ascii="Calibri" w:hAnsi="Calibri" w:cs="Calibri"/>
          <w:sz w:val="20"/>
          <w:szCs w:val="20"/>
        </w:rPr>
        <w:t>uture results of operations.</w:t>
      </w:r>
    </w:p>
    <w:p w14:paraId="3973EAA6"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3973EAA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 operations due to our acquisitions and certain other ope</w:t>
      </w:r>
      <w:r>
        <w:rPr>
          <w:rFonts w:ascii="Calibri" w:hAnsi="Calibri" w:cs="Calibri"/>
          <w:sz w:val="20"/>
          <w:szCs w:val="20"/>
        </w:rPr>
        <w:t>rational activities (2019 Restructuring Plan). In fiscal 2021, our management supplemented the 2019 Restructuring Plan to reflect additional actions that we expected to take.</w:t>
      </w:r>
      <w:r>
        <w:rPr>
          <w:rFonts w:ascii="Calibri" w:hAnsi="Calibri" w:cs="Calibri"/>
          <w:color w:val="000000"/>
          <w:sz w:val="20"/>
          <w:szCs w:val="20"/>
        </w:rPr>
        <w:t xml:space="preserve"> Restructuring costs associated with the 2019 Restructuring Plan were </w:t>
      </w:r>
    </w:p>
    <w:p w14:paraId="3973EAA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89</w:t>
      </w:r>
    </w:p>
    <w:p w14:paraId="3973EAA9" w14:textId="77777777" w:rsidR="007B027D" w:rsidRDefault="008E0125">
      <w:r>
        <w:rPr>
          <w:rFonts w:ascii="Calibri" w:hAnsi="Calibri" w:cs="Calibri"/>
          <w:sz w:val="20"/>
          <w:szCs w:val="20"/>
        </w:rPr>
        <w:pict w14:anchorId="39740094">
          <v:rect id="_x0000_i1115" style="width:415.3pt;height:1.5pt" o:hralign="center" o:hrstd="t" o:hr="t" fillcolor="#a0a0a0" stroked="f"/>
        </w:pict>
      </w:r>
    </w:p>
    <w:p w14:paraId="3973EAAA" w14:textId="77777777" w:rsidR="007B027D" w:rsidRDefault="008E0125">
      <w:pPr>
        <w:pStyle w:val="a3"/>
        <w:spacing w:beforeAutospacing="0" w:after="120" w:afterAutospacing="0"/>
        <w:rPr>
          <w:rFonts w:ascii="Calibri" w:hAnsi="Calibri" w:cs="Calibri"/>
          <w:sz w:val="18"/>
          <w:szCs w:val="18"/>
        </w:rPr>
      </w:pPr>
      <w:hyperlink r:id="rId214" w:anchor="TABLE_OF_CONTENTS" w:history="1">
        <w:r>
          <w:rPr>
            <w:rStyle w:val="a5"/>
            <w:rFonts w:ascii="Calibri" w:hAnsi="Calibri" w:cs="Calibri"/>
            <w:sz w:val="18"/>
            <w:szCs w:val="18"/>
          </w:rPr>
          <w:t>Table of Contents</w:t>
        </w:r>
      </w:hyperlink>
    </w:p>
    <w:p w14:paraId="3973EAAB" w14:textId="77777777" w:rsidR="007B027D" w:rsidRDefault="008E0125">
      <w:pPr>
        <w:pStyle w:val="a3"/>
        <w:spacing w:beforeAutospacing="0" w:afterAutospacing="0"/>
        <w:rPr>
          <w:rFonts w:ascii="Calibri" w:hAnsi="Calibri" w:cs="Calibri"/>
          <w:sz w:val="18"/>
          <w:szCs w:val="18"/>
        </w:rPr>
      </w:pPr>
      <w:hyperlink r:id="rId215" w:anchor="ITEM_15_EXHIBITS_FINANCIAL_STATEMENT_SCH" w:history="1">
        <w:r>
          <w:rPr>
            <w:rStyle w:val="a5"/>
            <w:rFonts w:ascii="Calibri" w:hAnsi="Calibri" w:cs="Calibri"/>
            <w:sz w:val="18"/>
            <w:szCs w:val="18"/>
          </w:rPr>
          <w:t>Index to Financial Statements</w:t>
        </w:r>
      </w:hyperlink>
    </w:p>
    <w:p w14:paraId="3973EAA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AA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AAE"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AAF"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AB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color w:val="000000"/>
          <w:sz w:val="20"/>
          <w:szCs w:val="20"/>
        </w:rPr>
        <w:t xml:space="preserve">recorded to the restructuring expense line item within our consolidated statements of operations as they were incurred. </w:t>
      </w:r>
      <w:r>
        <w:rPr>
          <w:rFonts w:ascii="Calibri" w:hAnsi="Calibri" w:cs="Calibri"/>
          <w:sz w:val="20"/>
          <w:szCs w:val="20"/>
        </w:rPr>
        <w:t>We recorded $430 million and $261 million of restructuring expenses in connection with the 2019 Restructuring Plan in fiscal 2021 and 20</w:t>
      </w:r>
      <w:r>
        <w:rPr>
          <w:rFonts w:ascii="Calibri" w:hAnsi="Calibri" w:cs="Calibri"/>
          <w:sz w:val="20"/>
          <w:szCs w:val="20"/>
        </w:rPr>
        <w:t>20, respectively. The total costs recorded in our consolidated statements of operations in connection with the 2019 Restructuring Plan were $1.2 billion. Actions pursuant to the 2019 Restructuring Plan were substantially complete as of May 31, 2021.</w:t>
      </w:r>
    </w:p>
    <w:p w14:paraId="3973EAB1"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w:t>
      </w:r>
      <w:r>
        <w:rPr>
          <w:rFonts w:ascii="Calibri" w:hAnsi="Calibri" w:cs="Calibri"/>
          <w:b/>
          <w:bCs/>
          <w:sz w:val="20"/>
          <w:szCs w:val="20"/>
        </w:rPr>
        <w:t xml:space="preserve">y of All Plans </w:t>
      </w:r>
    </w:p>
    <w:p w14:paraId="3973EAB2"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Fiscal 2022 Activity</w:t>
      </w:r>
    </w:p>
    <w:p w14:paraId="3973EAB3"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18"/>
        <w:gridCol w:w="75"/>
        <w:gridCol w:w="103"/>
        <w:gridCol w:w="452"/>
        <w:gridCol w:w="65"/>
        <w:gridCol w:w="54"/>
        <w:gridCol w:w="103"/>
        <w:gridCol w:w="452"/>
        <w:gridCol w:w="65"/>
        <w:gridCol w:w="54"/>
        <w:gridCol w:w="103"/>
        <w:gridCol w:w="452"/>
        <w:gridCol w:w="67"/>
        <w:gridCol w:w="54"/>
        <w:gridCol w:w="103"/>
        <w:gridCol w:w="528"/>
        <w:gridCol w:w="67"/>
        <w:gridCol w:w="54"/>
        <w:gridCol w:w="103"/>
        <w:gridCol w:w="482"/>
        <w:gridCol w:w="67"/>
        <w:gridCol w:w="54"/>
        <w:gridCol w:w="103"/>
        <w:gridCol w:w="436"/>
        <w:gridCol w:w="65"/>
        <w:gridCol w:w="54"/>
        <w:gridCol w:w="103"/>
        <w:gridCol w:w="446"/>
        <w:gridCol w:w="65"/>
        <w:gridCol w:w="54"/>
        <w:gridCol w:w="103"/>
        <w:gridCol w:w="559"/>
        <w:gridCol w:w="58"/>
      </w:tblGrid>
      <w:tr w:rsidR="007B027D" w14:paraId="3973EACE" w14:textId="77777777">
        <w:tc>
          <w:tcPr>
            <w:tcW w:w="1644" w:type="pct"/>
            <w:shd w:val="clear" w:color="auto" w:fill="FFFFFF"/>
            <w:tcMar>
              <w:top w:w="15" w:type="dxa"/>
              <w:right w:w="15" w:type="dxa"/>
            </w:tcMar>
            <w:vAlign w:val="bottom"/>
          </w:tcPr>
          <w:p w14:paraId="3973EAB4"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6" w:type="pct"/>
            <w:shd w:val="clear" w:color="auto" w:fill="FFFFFF"/>
            <w:tcMar>
              <w:top w:w="15" w:type="dxa"/>
              <w:right w:w="15" w:type="dxa"/>
            </w:tcMar>
            <w:vAlign w:val="bottom"/>
          </w:tcPr>
          <w:p w14:paraId="3973EAB5"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37" w:type="pct"/>
            <w:gridSpan w:val="2"/>
            <w:vMerge w:val="restart"/>
            <w:shd w:val="clear" w:color="auto" w:fill="FFFFFF"/>
            <w:tcMar>
              <w:top w:w="15" w:type="dxa"/>
              <w:right w:w="15" w:type="dxa"/>
            </w:tcMar>
            <w:vAlign w:val="bottom"/>
          </w:tcPr>
          <w:p w14:paraId="3973EAB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AB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AB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9" w:type="pct"/>
            <w:shd w:val="clear" w:color="auto" w:fill="FFFFFF"/>
            <w:noWrap/>
            <w:tcMar>
              <w:top w:w="15" w:type="dxa"/>
              <w:right w:w="15" w:type="dxa"/>
            </w:tcMar>
            <w:vAlign w:val="bottom"/>
          </w:tcPr>
          <w:p w14:paraId="3973EAB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shd w:val="clear" w:color="auto" w:fill="FFFFFF"/>
            <w:tcMar>
              <w:top w:w="15" w:type="dxa"/>
              <w:right w:w="15" w:type="dxa"/>
            </w:tcMar>
            <w:vAlign w:val="bottom"/>
          </w:tcPr>
          <w:p w14:paraId="3973EAB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66" w:type="pct"/>
            <w:gridSpan w:val="14"/>
            <w:tcBorders>
              <w:bottom w:val="single" w:sz="6" w:space="0" w:color="000000"/>
            </w:tcBorders>
            <w:shd w:val="clear" w:color="auto" w:fill="FFFFFF"/>
            <w:tcMar>
              <w:top w:w="15" w:type="dxa"/>
              <w:right w:w="15" w:type="dxa"/>
            </w:tcMar>
            <w:vAlign w:val="bottom"/>
          </w:tcPr>
          <w:p w14:paraId="3973EAB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2022</w:t>
            </w:r>
          </w:p>
        </w:tc>
        <w:tc>
          <w:tcPr>
            <w:tcW w:w="49" w:type="pct"/>
            <w:shd w:val="clear" w:color="auto" w:fill="FFFFFF"/>
            <w:noWrap/>
            <w:tcMar>
              <w:top w:w="15" w:type="dxa"/>
              <w:right w:w="15" w:type="dxa"/>
            </w:tcMar>
            <w:vAlign w:val="bottom"/>
          </w:tcPr>
          <w:p w14:paraId="3973EAB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shd w:val="clear" w:color="auto" w:fill="FFFFFF"/>
            <w:tcMar>
              <w:top w:w="15" w:type="dxa"/>
              <w:right w:w="15" w:type="dxa"/>
            </w:tcMar>
            <w:vAlign w:val="bottom"/>
          </w:tcPr>
          <w:p w14:paraId="3973EAB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val="restart"/>
            <w:shd w:val="clear" w:color="auto" w:fill="FFFFFF"/>
            <w:tcMar>
              <w:top w:w="15" w:type="dxa"/>
              <w:right w:w="15" w:type="dxa"/>
            </w:tcMar>
            <w:vAlign w:val="bottom"/>
          </w:tcPr>
          <w:p w14:paraId="3973EAB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AB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AC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9" w:type="pct"/>
            <w:shd w:val="clear" w:color="auto" w:fill="FFFFFF"/>
            <w:noWrap/>
            <w:tcMar>
              <w:top w:w="15" w:type="dxa"/>
              <w:right w:w="15" w:type="dxa"/>
            </w:tcMar>
            <w:vAlign w:val="bottom"/>
          </w:tcPr>
          <w:p w14:paraId="3973EAC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shd w:val="clear" w:color="auto" w:fill="FFFFFF"/>
            <w:tcMar>
              <w:top w:w="15" w:type="dxa"/>
              <w:right w:w="15" w:type="dxa"/>
            </w:tcMar>
            <w:vAlign w:val="bottom"/>
          </w:tcPr>
          <w:p w14:paraId="3973EAC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val="restart"/>
            <w:shd w:val="clear" w:color="auto" w:fill="FFFFFF"/>
            <w:tcMar>
              <w:top w:w="15" w:type="dxa"/>
              <w:right w:w="15" w:type="dxa"/>
            </w:tcMar>
            <w:vAlign w:val="bottom"/>
          </w:tcPr>
          <w:p w14:paraId="3973EAC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3973EAC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3973EAC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AC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9" w:type="pct"/>
            <w:shd w:val="clear" w:color="auto" w:fill="FFFFFF"/>
            <w:noWrap/>
            <w:tcMar>
              <w:top w:w="15" w:type="dxa"/>
              <w:right w:w="15" w:type="dxa"/>
            </w:tcMar>
            <w:vAlign w:val="bottom"/>
          </w:tcPr>
          <w:p w14:paraId="3973EAC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shd w:val="clear" w:color="auto" w:fill="FFFFFF"/>
            <w:tcMar>
              <w:top w:w="15" w:type="dxa"/>
              <w:right w:w="15" w:type="dxa"/>
            </w:tcMar>
            <w:vAlign w:val="bottom"/>
          </w:tcPr>
          <w:p w14:paraId="3973EAC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vMerge w:val="restart"/>
            <w:shd w:val="clear" w:color="auto" w:fill="FFFFFF"/>
            <w:tcMar>
              <w:top w:w="15" w:type="dxa"/>
              <w:right w:w="15" w:type="dxa"/>
            </w:tcMar>
            <w:vAlign w:val="bottom"/>
          </w:tcPr>
          <w:p w14:paraId="3973EAC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3973EA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3973EAC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3973EAC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45" w:type="pct"/>
            <w:shd w:val="clear" w:color="auto" w:fill="FFFFFF"/>
            <w:noWrap/>
            <w:tcMar>
              <w:top w:w="15" w:type="dxa"/>
              <w:right w:w="15" w:type="dxa"/>
            </w:tcMar>
            <w:vAlign w:val="bottom"/>
          </w:tcPr>
          <w:p w14:paraId="3973EAC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AEB" w14:textId="77777777">
        <w:tc>
          <w:tcPr>
            <w:tcW w:w="1644" w:type="pct"/>
            <w:tcBorders>
              <w:bottom w:val="single" w:sz="6" w:space="0" w:color="000000"/>
            </w:tcBorders>
            <w:shd w:val="clear" w:color="auto" w:fill="FFFFFF"/>
            <w:tcMar>
              <w:top w:w="15" w:type="dxa"/>
              <w:right w:w="15" w:type="dxa"/>
            </w:tcMar>
            <w:vAlign w:val="bottom"/>
          </w:tcPr>
          <w:p w14:paraId="3973EAC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6" w:type="pct"/>
            <w:shd w:val="clear" w:color="auto" w:fill="FFFFFF"/>
            <w:tcMar>
              <w:top w:w="15" w:type="dxa"/>
              <w:right w:w="15" w:type="dxa"/>
            </w:tcMar>
            <w:vAlign w:val="bottom"/>
          </w:tcPr>
          <w:p w14:paraId="3973EAD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37" w:type="pct"/>
            <w:gridSpan w:val="2"/>
            <w:vMerge/>
            <w:shd w:val="clear" w:color="auto" w:fill="FFFFFF"/>
            <w:tcMar>
              <w:top w:w="15" w:type="dxa"/>
              <w:right w:w="15" w:type="dxa"/>
            </w:tcMar>
            <w:vAlign w:val="bottom"/>
          </w:tcPr>
          <w:p w14:paraId="3973EAD1" w14:textId="77777777" w:rsidR="007B027D" w:rsidRDefault="007B027D">
            <w:pPr>
              <w:rPr>
                <w:rFonts w:ascii="宋体"/>
              </w:rPr>
            </w:pPr>
          </w:p>
        </w:tc>
        <w:tc>
          <w:tcPr>
            <w:tcW w:w="49" w:type="pct"/>
            <w:shd w:val="clear" w:color="auto" w:fill="FFFFFF"/>
            <w:noWrap/>
            <w:tcMar>
              <w:top w:w="15" w:type="dxa"/>
              <w:right w:w="15" w:type="dxa"/>
            </w:tcMar>
            <w:vAlign w:val="bottom"/>
          </w:tcPr>
          <w:p w14:paraId="3973EAD2"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0" w:type="pct"/>
            <w:shd w:val="clear" w:color="auto" w:fill="FFFFFF"/>
            <w:tcMar>
              <w:top w:w="15" w:type="dxa"/>
              <w:right w:w="15" w:type="dxa"/>
            </w:tcMar>
            <w:vAlign w:val="bottom"/>
          </w:tcPr>
          <w:p w14:paraId="3973EAD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3973EAD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3973EAD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9" w:type="pct"/>
            <w:shd w:val="clear" w:color="auto" w:fill="FFFFFF"/>
            <w:noWrap/>
            <w:tcMar>
              <w:top w:w="15" w:type="dxa"/>
              <w:right w:w="15" w:type="dxa"/>
            </w:tcMar>
            <w:vAlign w:val="bottom"/>
          </w:tcPr>
          <w:p w14:paraId="3973EAD6"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0" w:type="pct"/>
            <w:tcBorders>
              <w:top w:val="single" w:sz="6" w:space="0" w:color="000000"/>
            </w:tcBorders>
            <w:shd w:val="clear" w:color="auto" w:fill="FFFFFF"/>
            <w:tcMar>
              <w:top w:w="15" w:type="dxa"/>
              <w:right w:w="15" w:type="dxa"/>
            </w:tcMar>
            <w:vAlign w:val="bottom"/>
          </w:tcPr>
          <w:p w14:paraId="3973EAD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3973EAD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3973EAD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9" w:type="pct"/>
            <w:shd w:val="clear" w:color="auto" w:fill="FFFFFF"/>
            <w:noWrap/>
            <w:tcMar>
              <w:top w:w="15" w:type="dxa"/>
              <w:right w:w="15" w:type="dxa"/>
            </w:tcMar>
            <w:vAlign w:val="bottom"/>
          </w:tcPr>
          <w:p w14:paraId="3973EADA"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0" w:type="pct"/>
            <w:tcBorders>
              <w:top w:val="single" w:sz="6" w:space="0" w:color="000000"/>
            </w:tcBorders>
            <w:shd w:val="clear" w:color="auto" w:fill="FFFFFF"/>
            <w:tcMar>
              <w:top w:w="15" w:type="dxa"/>
              <w:right w:w="15" w:type="dxa"/>
            </w:tcMar>
            <w:vAlign w:val="bottom"/>
          </w:tcPr>
          <w:p w14:paraId="3973EAD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3973EAD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3973EAD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9" w:type="pct"/>
            <w:shd w:val="clear" w:color="auto" w:fill="FFFFFF"/>
            <w:noWrap/>
            <w:tcMar>
              <w:top w:w="15" w:type="dxa"/>
              <w:right w:w="15" w:type="dxa"/>
            </w:tcMar>
            <w:vAlign w:val="bottom"/>
          </w:tcPr>
          <w:p w14:paraId="3973EAD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tcBorders>
              <w:top w:val="single" w:sz="6" w:space="0" w:color="000000"/>
            </w:tcBorders>
            <w:shd w:val="clear" w:color="auto" w:fill="FFFFFF"/>
            <w:tcMar>
              <w:top w:w="15" w:type="dxa"/>
              <w:right w:w="15" w:type="dxa"/>
            </w:tcMar>
            <w:vAlign w:val="bottom"/>
          </w:tcPr>
          <w:p w14:paraId="3973EAD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tcBorders>
              <w:top w:val="single" w:sz="6" w:space="0" w:color="000000"/>
              <w:bottom w:val="single" w:sz="6" w:space="0" w:color="000000"/>
            </w:tcBorders>
            <w:shd w:val="clear" w:color="auto" w:fill="FFFFFF"/>
            <w:tcMar>
              <w:top w:w="15" w:type="dxa"/>
              <w:right w:w="15" w:type="dxa"/>
            </w:tcMar>
            <w:vAlign w:val="bottom"/>
          </w:tcPr>
          <w:p w14:paraId="3973EAE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9" w:type="pct"/>
            <w:shd w:val="clear" w:color="auto" w:fill="FFFFFF"/>
            <w:noWrap/>
            <w:tcMar>
              <w:top w:w="15" w:type="dxa"/>
              <w:right w:w="15" w:type="dxa"/>
            </w:tcMar>
            <w:vAlign w:val="bottom"/>
          </w:tcPr>
          <w:p w14:paraId="3973EAE1"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0" w:type="pct"/>
            <w:shd w:val="clear" w:color="auto" w:fill="FFFFFF"/>
            <w:tcMar>
              <w:top w:w="15" w:type="dxa"/>
              <w:right w:w="15" w:type="dxa"/>
            </w:tcMar>
            <w:vAlign w:val="bottom"/>
          </w:tcPr>
          <w:p w14:paraId="3973EAE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shd w:val="clear" w:color="auto" w:fill="FFFFFF"/>
            <w:tcMar>
              <w:top w:w="15" w:type="dxa"/>
              <w:right w:w="15" w:type="dxa"/>
            </w:tcMar>
            <w:vAlign w:val="bottom"/>
          </w:tcPr>
          <w:p w14:paraId="3973EAE3" w14:textId="77777777" w:rsidR="007B027D" w:rsidRDefault="007B027D">
            <w:pPr>
              <w:rPr>
                <w:rFonts w:ascii="宋体"/>
              </w:rPr>
            </w:pPr>
          </w:p>
        </w:tc>
        <w:tc>
          <w:tcPr>
            <w:tcW w:w="49" w:type="pct"/>
            <w:shd w:val="clear" w:color="auto" w:fill="FFFFFF"/>
            <w:noWrap/>
            <w:tcMar>
              <w:top w:w="15" w:type="dxa"/>
              <w:right w:w="15" w:type="dxa"/>
            </w:tcMar>
            <w:vAlign w:val="bottom"/>
          </w:tcPr>
          <w:p w14:paraId="3973EAE4"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0" w:type="pct"/>
            <w:shd w:val="clear" w:color="auto" w:fill="FFFFFF"/>
            <w:tcMar>
              <w:top w:w="15" w:type="dxa"/>
              <w:right w:w="15" w:type="dxa"/>
            </w:tcMar>
            <w:vAlign w:val="bottom"/>
          </w:tcPr>
          <w:p w14:paraId="3973EAE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shd w:val="clear" w:color="auto" w:fill="FFFFFF"/>
            <w:tcMar>
              <w:top w:w="15" w:type="dxa"/>
              <w:right w:w="15" w:type="dxa"/>
            </w:tcMar>
            <w:vAlign w:val="bottom"/>
          </w:tcPr>
          <w:p w14:paraId="3973EAE6" w14:textId="77777777" w:rsidR="007B027D" w:rsidRDefault="007B027D">
            <w:pPr>
              <w:rPr>
                <w:rFonts w:ascii="宋体"/>
              </w:rPr>
            </w:pPr>
          </w:p>
        </w:tc>
        <w:tc>
          <w:tcPr>
            <w:tcW w:w="49" w:type="pct"/>
            <w:shd w:val="clear" w:color="auto" w:fill="FFFFFF"/>
            <w:noWrap/>
            <w:tcMar>
              <w:top w:w="15" w:type="dxa"/>
              <w:right w:w="15" w:type="dxa"/>
            </w:tcMar>
            <w:vAlign w:val="bottom"/>
          </w:tcPr>
          <w:p w14:paraId="3973EAE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 w:type="pct"/>
            <w:shd w:val="clear" w:color="auto" w:fill="FFFFFF"/>
            <w:tcMar>
              <w:top w:w="15" w:type="dxa"/>
              <w:right w:w="15" w:type="dxa"/>
            </w:tcMar>
            <w:vAlign w:val="bottom"/>
          </w:tcPr>
          <w:p w14:paraId="3973EAE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vMerge/>
            <w:shd w:val="clear" w:color="auto" w:fill="FFFFFF"/>
            <w:tcMar>
              <w:top w:w="15" w:type="dxa"/>
              <w:right w:w="15" w:type="dxa"/>
            </w:tcMar>
            <w:vAlign w:val="bottom"/>
          </w:tcPr>
          <w:p w14:paraId="3973EAE9" w14:textId="77777777" w:rsidR="007B027D" w:rsidRDefault="007B027D">
            <w:pPr>
              <w:rPr>
                <w:rFonts w:ascii="宋体"/>
              </w:rPr>
            </w:pPr>
          </w:p>
        </w:tc>
        <w:tc>
          <w:tcPr>
            <w:tcW w:w="45" w:type="pct"/>
            <w:shd w:val="clear" w:color="auto" w:fill="FFFFFF"/>
            <w:noWrap/>
            <w:tcMar>
              <w:top w:w="15" w:type="dxa"/>
              <w:right w:w="15" w:type="dxa"/>
            </w:tcMar>
            <w:vAlign w:val="bottom"/>
          </w:tcPr>
          <w:p w14:paraId="3973EAE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8E0125" w14:paraId="3973EB0D" w14:textId="77777777">
        <w:tc>
          <w:tcPr>
            <w:tcW w:w="1644" w:type="pct"/>
            <w:tcBorders>
              <w:top w:val="single" w:sz="6" w:space="0" w:color="000000"/>
            </w:tcBorders>
            <w:shd w:val="clear" w:color="auto" w:fill="CFF0FC"/>
            <w:tcMar>
              <w:top w:w="15" w:type="dxa"/>
              <w:right w:w="15" w:type="dxa"/>
            </w:tcMar>
          </w:tcPr>
          <w:p w14:paraId="3973EAEC"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2022 Oracle Restructuring Plan</w:t>
            </w:r>
            <w:r>
              <w:rPr>
                <w:rFonts w:ascii="Calibri" w:hAnsi="Calibri" w:cs="Calibri"/>
                <w:color w:val="000000"/>
                <w:sz w:val="14"/>
                <w:szCs w:val="14"/>
              </w:rPr>
              <w:t>(1)</w:t>
            </w:r>
          </w:p>
        </w:tc>
        <w:tc>
          <w:tcPr>
            <w:tcW w:w="56" w:type="pct"/>
            <w:shd w:val="clear" w:color="auto" w:fill="CFF0FC"/>
            <w:tcMar>
              <w:top w:w="15" w:type="dxa"/>
              <w:right w:w="15" w:type="dxa"/>
            </w:tcMar>
            <w:vAlign w:val="bottom"/>
          </w:tcPr>
          <w:p w14:paraId="3973EAED"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AE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single" w:sz="6" w:space="0" w:color="000000"/>
            </w:tcBorders>
            <w:shd w:val="clear" w:color="auto" w:fill="CFF0FC"/>
            <w:noWrap/>
            <w:tcMar>
              <w:top w:w="15" w:type="dxa"/>
              <w:right w:w="15" w:type="dxa"/>
            </w:tcMar>
            <w:vAlign w:val="bottom"/>
          </w:tcPr>
          <w:p w14:paraId="3973EAE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AF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AF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AF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single" w:sz="6" w:space="0" w:color="000000"/>
            </w:tcBorders>
            <w:shd w:val="clear" w:color="auto" w:fill="CFF0FC"/>
            <w:noWrap/>
            <w:tcMar>
              <w:top w:w="15" w:type="dxa"/>
              <w:right w:w="15" w:type="dxa"/>
            </w:tcMar>
            <w:vAlign w:val="bottom"/>
          </w:tcPr>
          <w:p w14:paraId="3973EAF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AF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AF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AF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single" w:sz="6" w:space="0" w:color="000000"/>
            </w:tcBorders>
            <w:shd w:val="clear" w:color="auto" w:fill="CFF0FC"/>
            <w:noWrap/>
            <w:tcMar>
              <w:top w:w="15" w:type="dxa"/>
              <w:right w:w="15" w:type="dxa"/>
            </w:tcMar>
            <w:vAlign w:val="bottom"/>
          </w:tcPr>
          <w:p w14:paraId="3973EAF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AF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AF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AF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tcBorders>
              <w:top w:val="single" w:sz="6" w:space="0" w:color="000000"/>
            </w:tcBorders>
            <w:shd w:val="clear" w:color="auto" w:fill="CFF0FC"/>
            <w:noWrap/>
            <w:tcMar>
              <w:top w:w="15" w:type="dxa"/>
              <w:right w:w="15" w:type="dxa"/>
            </w:tcMar>
            <w:vAlign w:val="bottom"/>
          </w:tcPr>
          <w:p w14:paraId="3973EAF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AF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AF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AF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9" w:type="pct"/>
            <w:tcBorders>
              <w:top w:val="single" w:sz="6" w:space="0" w:color="000000"/>
            </w:tcBorders>
            <w:shd w:val="clear" w:color="auto" w:fill="CFF0FC"/>
            <w:noWrap/>
            <w:tcMar>
              <w:top w:w="15" w:type="dxa"/>
              <w:right w:w="15" w:type="dxa"/>
            </w:tcMar>
            <w:vAlign w:val="bottom"/>
          </w:tcPr>
          <w:p w14:paraId="3973EAF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B0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0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B0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single" w:sz="6" w:space="0" w:color="000000"/>
            </w:tcBorders>
            <w:shd w:val="clear" w:color="auto" w:fill="CFF0FC"/>
            <w:noWrap/>
            <w:tcMar>
              <w:top w:w="15" w:type="dxa"/>
              <w:right w:w="15" w:type="dxa"/>
            </w:tcMar>
            <w:vAlign w:val="bottom"/>
          </w:tcPr>
          <w:p w14:paraId="3973EB0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B0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0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B0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single" w:sz="6" w:space="0" w:color="000000"/>
            </w:tcBorders>
            <w:shd w:val="clear" w:color="auto" w:fill="CFF0FC"/>
            <w:noWrap/>
            <w:tcMar>
              <w:top w:w="15" w:type="dxa"/>
              <w:right w:w="15" w:type="dxa"/>
            </w:tcMar>
            <w:vAlign w:val="bottom"/>
          </w:tcPr>
          <w:p w14:paraId="3973EB0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B0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0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B0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tcBorders>
              <w:top w:val="single" w:sz="6" w:space="0" w:color="000000"/>
            </w:tcBorders>
            <w:shd w:val="clear" w:color="auto" w:fill="CFF0FC"/>
            <w:noWrap/>
            <w:tcMar>
              <w:top w:w="15" w:type="dxa"/>
              <w:right w:w="15" w:type="dxa"/>
            </w:tcMar>
            <w:vAlign w:val="bottom"/>
          </w:tcPr>
          <w:p w14:paraId="3973EB0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3973EB0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2F" w14:textId="77777777">
        <w:tc>
          <w:tcPr>
            <w:tcW w:w="1644" w:type="pct"/>
            <w:shd w:val="clear" w:color="auto" w:fill="FFFFFF"/>
            <w:tcMar>
              <w:top w:w="15" w:type="dxa"/>
              <w:right w:w="15" w:type="dxa"/>
            </w:tcMar>
          </w:tcPr>
          <w:p w14:paraId="3973EB0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6" w:type="pct"/>
            <w:shd w:val="clear" w:color="auto" w:fill="FFFFFF"/>
            <w:tcMar>
              <w:top w:w="15" w:type="dxa"/>
              <w:right w:w="15" w:type="dxa"/>
            </w:tcMar>
            <w:vAlign w:val="bottom"/>
          </w:tcPr>
          <w:p w14:paraId="3973EB0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1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shd w:val="clear" w:color="auto" w:fill="FFFFFF"/>
            <w:noWrap/>
            <w:tcMar>
              <w:top w:w="15" w:type="dxa"/>
              <w:right w:w="15" w:type="dxa"/>
            </w:tcMar>
            <w:vAlign w:val="bottom"/>
          </w:tcPr>
          <w:p w14:paraId="3973EB1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B1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1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1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shd w:val="clear" w:color="auto" w:fill="FFFFFF"/>
            <w:noWrap/>
            <w:tcMar>
              <w:top w:w="15" w:type="dxa"/>
              <w:right w:w="15" w:type="dxa"/>
            </w:tcMar>
            <w:vAlign w:val="bottom"/>
          </w:tcPr>
          <w:p w14:paraId="3973EB1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90</w:t>
            </w:r>
          </w:p>
        </w:tc>
        <w:tc>
          <w:tcPr>
            <w:tcW w:w="49" w:type="pct"/>
            <w:shd w:val="clear" w:color="auto" w:fill="FFFFFF"/>
            <w:noWrap/>
            <w:tcMar>
              <w:top w:w="15" w:type="dxa"/>
              <w:right w:w="15" w:type="dxa"/>
            </w:tcMar>
            <w:vAlign w:val="bottom"/>
          </w:tcPr>
          <w:p w14:paraId="3973EB1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1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1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shd w:val="clear" w:color="auto" w:fill="FFFFFF"/>
            <w:noWrap/>
            <w:tcMar>
              <w:top w:w="15" w:type="dxa"/>
              <w:right w:w="15" w:type="dxa"/>
            </w:tcMar>
            <w:vAlign w:val="bottom"/>
          </w:tcPr>
          <w:p w14:paraId="3973EB1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9" w:type="pct"/>
            <w:shd w:val="clear" w:color="auto" w:fill="FFFFFF"/>
            <w:noWrap/>
            <w:tcMar>
              <w:top w:w="15" w:type="dxa"/>
              <w:right w:w="15" w:type="dxa"/>
            </w:tcMar>
            <w:vAlign w:val="bottom"/>
          </w:tcPr>
          <w:p w14:paraId="3973EB1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1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1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shd w:val="clear" w:color="auto" w:fill="FFFFFF"/>
            <w:noWrap/>
            <w:tcMar>
              <w:top w:w="15" w:type="dxa"/>
              <w:right w:w="15" w:type="dxa"/>
            </w:tcMar>
            <w:vAlign w:val="bottom"/>
          </w:tcPr>
          <w:p w14:paraId="3973EB1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w:t>
            </w:r>
          </w:p>
        </w:tc>
        <w:tc>
          <w:tcPr>
            <w:tcW w:w="49" w:type="pct"/>
            <w:shd w:val="clear" w:color="auto" w:fill="FFFFFF"/>
            <w:noWrap/>
            <w:tcMar>
              <w:top w:w="15" w:type="dxa"/>
              <w:right w:w="15" w:type="dxa"/>
            </w:tcMar>
            <w:vAlign w:val="bottom"/>
          </w:tcPr>
          <w:p w14:paraId="3973EB1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1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2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9" w:type="pct"/>
            <w:shd w:val="clear" w:color="auto" w:fill="FFFFFF"/>
            <w:noWrap/>
            <w:tcMar>
              <w:top w:w="15" w:type="dxa"/>
              <w:right w:w="15" w:type="dxa"/>
            </w:tcMar>
            <w:vAlign w:val="bottom"/>
          </w:tcPr>
          <w:p w14:paraId="3973EB2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9" w:type="pct"/>
            <w:shd w:val="clear" w:color="auto" w:fill="FFFFFF"/>
            <w:noWrap/>
            <w:tcMar>
              <w:top w:w="15" w:type="dxa"/>
              <w:right w:w="15" w:type="dxa"/>
            </w:tcMar>
            <w:vAlign w:val="bottom"/>
          </w:tcPr>
          <w:p w14:paraId="3973EB2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2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2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shd w:val="clear" w:color="auto" w:fill="FFFFFF"/>
            <w:noWrap/>
            <w:tcMar>
              <w:top w:w="15" w:type="dxa"/>
              <w:right w:w="15" w:type="dxa"/>
            </w:tcMar>
            <w:vAlign w:val="bottom"/>
          </w:tcPr>
          <w:p w14:paraId="3973EB2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49" w:type="pct"/>
            <w:shd w:val="clear" w:color="auto" w:fill="FFFFFF"/>
            <w:noWrap/>
            <w:tcMar>
              <w:top w:w="15" w:type="dxa"/>
              <w:right w:w="15" w:type="dxa"/>
            </w:tcMar>
            <w:vAlign w:val="bottom"/>
          </w:tcPr>
          <w:p w14:paraId="3973EB2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2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2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shd w:val="clear" w:color="auto" w:fill="FFFFFF"/>
            <w:noWrap/>
            <w:tcMar>
              <w:top w:w="15" w:type="dxa"/>
              <w:right w:w="15" w:type="dxa"/>
            </w:tcMar>
            <w:vAlign w:val="bottom"/>
          </w:tcPr>
          <w:p w14:paraId="3973EB2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w:t>
            </w:r>
          </w:p>
        </w:tc>
        <w:tc>
          <w:tcPr>
            <w:tcW w:w="49" w:type="pct"/>
            <w:shd w:val="clear" w:color="auto" w:fill="FFFFFF"/>
            <w:noWrap/>
            <w:tcMar>
              <w:top w:w="15" w:type="dxa"/>
              <w:right w:w="15" w:type="dxa"/>
            </w:tcMar>
            <w:vAlign w:val="bottom"/>
          </w:tcPr>
          <w:p w14:paraId="3973EB2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2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2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46" w:type="pct"/>
            <w:shd w:val="clear" w:color="auto" w:fill="FFFFFF"/>
            <w:noWrap/>
            <w:tcMar>
              <w:top w:w="15" w:type="dxa"/>
              <w:right w:w="15" w:type="dxa"/>
            </w:tcMar>
            <w:vAlign w:val="bottom"/>
          </w:tcPr>
          <w:p w14:paraId="3973EB2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184</w:t>
            </w:r>
          </w:p>
        </w:tc>
        <w:tc>
          <w:tcPr>
            <w:tcW w:w="45" w:type="pct"/>
            <w:shd w:val="clear" w:color="auto" w:fill="FFFFFF"/>
            <w:noWrap/>
            <w:tcMar>
              <w:top w:w="15" w:type="dxa"/>
              <w:right w:w="15" w:type="dxa"/>
            </w:tcMar>
            <w:vAlign w:val="bottom"/>
          </w:tcPr>
          <w:p w14:paraId="3973EB2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51" w14:textId="77777777">
        <w:tc>
          <w:tcPr>
            <w:tcW w:w="1644" w:type="pct"/>
            <w:shd w:val="clear" w:color="auto" w:fill="CFF0FC"/>
            <w:tcMar>
              <w:top w:w="15" w:type="dxa"/>
              <w:right w:w="15" w:type="dxa"/>
            </w:tcMar>
          </w:tcPr>
          <w:p w14:paraId="3973EB3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6" w:type="pct"/>
            <w:shd w:val="clear" w:color="auto" w:fill="CFF0FC"/>
            <w:tcMar>
              <w:top w:w="15" w:type="dxa"/>
              <w:right w:w="15" w:type="dxa"/>
            </w:tcMar>
            <w:vAlign w:val="bottom"/>
          </w:tcPr>
          <w:p w14:paraId="3973EB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3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CFF0FC"/>
            <w:noWrap/>
            <w:tcMar>
              <w:top w:w="15" w:type="dxa"/>
              <w:right w:w="15" w:type="dxa"/>
            </w:tcMar>
            <w:vAlign w:val="bottom"/>
          </w:tcPr>
          <w:p w14:paraId="3973EB3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B3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3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3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CFF0FC"/>
            <w:noWrap/>
            <w:tcMar>
              <w:top w:w="15" w:type="dxa"/>
              <w:right w:w="15" w:type="dxa"/>
            </w:tcMar>
            <w:vAlign w:val="bottom"/>
          </w:tcPr>
          <w:p w14:paraId="3973EB3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9" w:type="pct"/>
            <w:shd w:val="clear" w:color="auto" w:fill="CFF0FC"/>
            <w:noWrap/>
            <w:tcMar>
              <w:top w:w="15" w:type="dxa"/>
              <w:right w:w="15" w:type="dxa"/>
            </w:tcMar>
            <w:vAlign w:val="bottom"/>
          </w:tcPr>
          <w:p w14:paraId="3973EB3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3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3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CFF0FC"/>
            <w:noWrap/>
            <w:tcMar>
              <w:top w:w="15" w:type="dxa"/>
              <w:right w:w="15" w:type="dxa"/>
            </w:tcMar>
            <w:vAlign w:val="bottom"/>
          </w:tcPr>
          <w:p w14:paraId="3973EB3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B3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3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3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shd w:val="clear" w:color="auto" w:fill="CFF0FC"/>
            <w:noWrap/>
            <w:tcMar>
              <w:top w:w="15" w:type="dxa"/>
              <w:right w:w="15" w:type="dxa"/>
            </w:tcMar>
            <w:vAlign w:val="bottom"/>
          </w:tcPr>
          <w:p w14:paraId="3973EB3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9" w:type="pct"/>
            <w:shd w:val="clear" w:color="auto" w:fill="CFF0FC"/>
            <w:noWrap/>
            <w:tcMar>
              <w:top w:w="15" w:type="dxa"/>
              <w:right w:w="15" w:type="dxa"/>
            </w:tcMar>
            <w:vAlign w:val="bottom"/>
          </w:tcPr>
          <w:p w14:paraId="3973EB4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4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4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9" w:type="pct"/>
            <w:shd w:val="clear" w:color="auto" w:fill="CFF0FC"/>
            <w:noWrap/>
            <w:tcMar>
              <w:top w:w="15" w:type="dxa"/>
              <w:right w:w="15" w:type="dxa"/>
            </w:tcMar>
            <w:vAlign w:val="bottom"/>
          </w:tcPr>
          <w:p w14:paraId="3973EB4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B4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4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4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CFF0FC"/>
            <w:noWrap/>
            <w:tcMar>
              <w:top w:w="15" w:type="dxa"/>
              <w:right w:w="15" w:type="dxa"/>
            </w:tcMar>
            <w:vAlign w:val="bottom"/>
          </w:tcPr>
          <w:p w14:paraId="3973EB4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49" w:type="pct"/>
            <w:shd w:val="clear" w:color="auto" w:fill="CFF0FC"/>
            <w:noWrap/>
            <w:tcMar>
              <w:top w:w="15" w:type="dxa"/>
              <w:right w:w="15" w:type="dxa"/>
            </w:tcMar>
            <w:vAlign w:val="bottom"/>
          </w:tcPr>
          <w:p w14:paraId="3973EB4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4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4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CFF0FC"/>
            <w:noWrap/>
            <w:tcMar>
              <w:top w:w="15" w:type="dxa"/>
              <w:right w:w="15" w:type="dxa"/>
            </w:tcMar>
            <w:vAlign w:val="bottom"/>
          </w:tcPr>
          <w:p w14:paraId="3973EB4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9" w:type="pct"/>
            <w:shd w:val="clear" w:color="auto" w:fill="CFF0FC"/>
            <w:noWrap/>
            <w:tcMar>
              <w:top w:w="15" w:type="dxa"/>
              <w:right w:w="15" w:type="dxa"/>
            </w:tcMar>
            <w:vAlign w:val="bottom"/>
          </w:tcPr>
          <w:p w14:paraId="3973EB4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4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B4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shd w:val="clear" w:color="auto" w:fill="CFF0FC"/>
            <w:noWrap/>
            <w:tcMar>
              <w:top w:w="15" w:type="dxa"/>
              <w:right w:w="15" w:type="dxa"/>
            </w:tcMar>
            <w:vAlign w:val="bottom"/>
          </w:tcPr>
          <w:p w14:paraId="3973EB4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45" w:type="pct"/>
            <w:shd w:val="clear" w:color="auto" w:fill="CFF0FC"/>
            <w:noWrap/>
            <w:tcMar>
              <w:top w:w="15" w:type="dxa"/>
              <w:right w:w="15" w:type="dxa"/>
            </w:tcMar>
            <w:vAlign w:val="bottom"/>
          </w:tcPr>
          <w:p w14:paraId="3973EB5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73" w14:textId="77777777">
        <w:tc>
          <w:tcPr>
            <w:tcW w:w="1644" w:type="pct"/>
            <w:shd w:val="clear" w:color="auto" w:fill="FFFFFF"/>
            <w:tcMar>
              <w:top w:w="15" w:type="dxa"/>
              <w:right w:w="15" w:type="dxa"/>
            </w:tcMar>
          </w:tcPr>
          <w:p w14:paraId="3973EB5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6" w:type="pct"/>
            <w:shd w:val="clear" w:color="auto" w:fill="FFFFFF"/>
            <w:tcMar>
              <w:top w:w="15" w:type="dxa"/>
              <w:right w:w="15" w:type="dxa"/>
            </w:tcMar>
            <w:vAlign w:val="bottom"/>
          </w:tcPr>
          <w:p w14:paraId="3973EB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5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5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B5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5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5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5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49" w:type="pct"/>
            <w:shd w:val="clear" w:color="auto" w:fill="FFFFFF"/>
            <w:noWrap/>
            <w:tcMar>
              <w:top w:w="15" w:type="dxa"/>
              <w:right w:w="15" w:type="dxa"/>
            </w:tcMar>
            <w:vAlign w:val="bottom"/>
          </w:tcPr>
          <w:p w14:paraId="3973EB5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5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5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5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B5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5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6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shd w:val="clear" w:color="auto" w:fill="FFFFFF"/>
            <w:noWrap/>
            <w:tcMar>
              <w:top w:w="15" w:type="dxa"/>
              <w:right w:w="15" w:type="dxa"/>
            </w:tcMar>
            <w:vAlign w:val="bottom"/>
          </w:tcPr>
          <w:p w14:paraId="3973EB6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49" w:type="pct"/>
            <w:shd w:val="clear" w:color="auto" w:fill="FFFFFF"/>
            <w:noWrap/>
            <w:tcMar>
              <w:top w:w="15" w:type="dxa"/>
              <w:right w:w="15" w:type="dxa"/>
            </w:tcMar>
            <w:vAlign w:val="bottom"/>
          </w:tcPr>
          <w:p w14:paraId="3973EB6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6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6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9" w:type="pct"/>
            <w:shd w:val="clear" w:color="auto" w:fill="FFFFFF"/>
            <w:noWrap/>
            <w:tcMar>
              <w:top w:w="15" w:type="dxa"/>
              <w:right w:w="15" w:type="dxa"/>
            </w:tcMar>
            <w:vAlign w:val="bottom"/>
          </w:tcPr>
          <w:p w14:paraId="3973EB6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B6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6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6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6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49" w:type="pct"/>
            <w:shd w:val="clear" w:color="auto" w:fill="FFFFFF"/>
            <w:noWrap/>
            <w:tcMar>
              <w:top w:w="15" w:type="dxa"/>
              <w:right w:w="15" w:type="dxa"/>
            </w:tcMar>
            <w:vAlign w:val="bottom"/>
          </w:tcPr>
          <w:p w14:paraId="3973EB6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6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6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6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49" w:type="pct"/>
            <w:shd w:val="clear" w:color="auto" w:fill="FFFFFF"/>
            <w:noWrap/>
            <w:tcMar>
              <w:top w:w="15" w:type="dxa"/>
              <w:right w:w="15" w:type="dxa"/>
            </w:tcMar>
            <w:vAlign w:val="bottom"/>
          </w:tcPr>
          <w:p w14:paraId="3973EB6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6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7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shd w:val="clear" w:color="auto" w:fill="FFFFFF"/>
            <w:noWrap/>
            <w:tcMar>
              <w:top w:w="15" w:type="dxa"/>
              <w:right w:w="15" w:type="dxa"/>
            </w:tcMar>
            <w:vAlign w:val="bottom"/>
          </w:tcPr>
          <w:p w14:paraId="3973EB7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45" w:type="pct"/>
            <w:shd w:val="clear" w:color="auto" w:fill="FFFFFF"/>
            <w:noWrap/>
            <w:tcMar>
              <w:top w:w="15" w:type="dxa"/>
              <w:right w:w="15" w:type="dxa"/>
            </w:tcMar>
            <w:vAlign w:val="bottom"/>
          </w:tcPr>
          <w:p w14:paraId="3973EB7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95" w14:textId="77777777">
        <w:tc>
          <w:tcPr>
            <w:tcW w:w="1644" w:type="pct"/>
            <w:shd w:val="clear" w:color="auto" w:fill="CFF0FC"/>
            <w:tcMar>
              <w:top w:w="15" w:type="dxa"/>
              <w:right w:w="15" w:type="dxa"/>
            </w:tcMar>
          </w:tcPr>
          <w:p w14:paraId="3973EB7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56" w:type="pct"/>
            <w:shd w:val="clear" w:color="auto" w:fill="CFF0FC"/>
            <w:tcMar>
              <w:top w:w="15" w:type="dxa"/>
              <w:right w:w="15" w:type="dxa"/>
            </w:tcMar>
            <w:vAlign w:val="bottom"/>
          </w:tcPr>
          <w:p w14:paraId="3973EB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7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bottom w:val="single" w:sz="6" w:space="0" w:color="000000"/>
            </w:tcBorders>
            <w:shd w:val="clear" w:color="auto" w:fill="CFF0FC"/>
            <w:noWrap/>
            <w:tcMar>
              <w:top w:w="15" w:type="dxa"/>
              <w:right w:w="15" w:type="dxa"/>
            </w:tcMar>
            <w:vAlign w:val="bottom"/>
          </w:tcPr>
          <w:p w14:paraId="3973EB7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B7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7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7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bottom w:val="single" w:sz="6" w:space="0" w:color="000000"/>
            </w:tcBorders>
            <w:shd w:val="clear" w:color="auto" w:fill="CFF0FC"/>
            <w:noWrap/>
            <w:tcMar>
              <w:top w:w="15" w:type="dxa"/>
              <w:right w:w="15" w:type="dxa"/>
            </w:tcMar>
            <w:vAlign w:val="bottom"/>
          </w:tcPr>
          <w:p w14:paraId="3973EB7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w:t>
            </w:r>
          </w:p>
        </w:tc>
        <w:tc>
          <w:tcPr>
            <w:tcW w:w="49" w:type="pct"/>
            <w:shd w:val="clear" w:color="auto" w:fill="CFF0FC"/>
            <w:noWrap/>
            <w:tcMar>
              <w:top w:w="15" w:type="dxa"/>
              <w:right w:w="15" w:type="dxa"/>
            </w:tcMar>
            <w:vAlign w:val="bottom"/>
          </w:tcPr>
          <w:p w14:paraId="3973EB7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7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7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bottom w:val="single" w:sz="6" w:space="0" w:color="000000"/>
            </w:tcBorders>
            <w:shd w:val="clear" w:color="auto" w:fill="CFF0FC"/>
            <w:noWrap/>
            <w:tcMar>
              <w:top w:w="15" w:type="dxa"/>
              <w:right w:w="15" w:type="dxa"/>
            </w:tcMar>
            <w:vAlign w:val="bottom"/>
          </w:tcPr>
          <w:p w14:paraId="3973EB7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9" w:type="pct"/>
            <w:shd w:val="clear" w:color="auto" w:fill="CFF0FC"/>
            <w:noWrap/>
            <w:tcMar>
              <w:top w:w="15" w:type="dxa"/>
              <w:right w:w="15" w:type="dxa"/>
            </w:tcMar>
            <w:vAlign w:val="bottom"/>
          </w:tcPr>
          <w:p w14:paraId="3973EB8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8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8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tcBorders>
              <w:bottom w:val="single" w:sz="6" w:space="0" w:color="000000"/>
            </w:tcBorders>
            <w:shd w:val="clear" w:color="auto" w:fill="CFF0FC"/>
            <w:noWrap/>
            <w:tcMar>
              <w:top w:w="15" w:type="dxa"/>
              <w:right w:w="15" w:type="dxa"/>
            </w:tcMar>
            <w:vAlign w:val="bottom"/>
          </w:tcPr>
          <w:p w14:paraId="3973EB8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49" w:type="pct"/>
            <w:shd w:val="clear" w:color="auto" w:fill="CFF0FC"/>
            <w:noWrap/>
            <w:tcMar>
              <w:top w:w="15" w:type="dxa"/>
              <w:right w:w="15" w:type="dxa"/>
            </w:tcMar>
            <w:vAlign w:val="bottom"/>
          </w:tcPr>
          <w:p w14:paraId="3973EB8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8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8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9" w:type="pct"/>
            <w:tcBorders>
              <w:bottom w:val="single" w:sz="6" w:space="0" w:color="000000"/>
            </w:tcBorders>
            <w:shd w:val="clear" w:color="auto" w:fill="CFF0FC"/>
            <w:noWrap/>
            <w:tcMar>
              <w:top w:w="15" w:type="dxa"/>
              <w:right w:w="15" w:type="dxa"/>
            </w:tcMar>
            <w:vAlign w:val="bottom"/>
          </w:tcPr>
          <w:p w14:paraId="3973EB8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w:t>
            </w:r>
          </w:p>
        </w:tc>
        <w:tc>
          <w:tcPr>
            <w:tcW w:w="49" w:type="pct"/>
            <w:shd w:val="clear" w:color="auto" w:fill="CFF0FC"/>
            <w:noWrap/>
            <w:tcMar>
              <w:top w:w="15" w:type="dxa"/>
              <w:right w:w="15" w:type="dxa"/>
            </w:tcMar>
            <w:vAlign w:val="bottom"/>
          </w:tcPr>
          <w:p w14:paraId="3973EB8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8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8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bottom w:val="single" w:sz="6" w:space="0" w:color="000000"/>
            </w:tcBorders>
            <w:shd w:val="clear" w:color="auto" w:fill="CFF0FC"/>
            <w:noWrap/>
            <w:tcMar>
              <w:top w:w="15" w:type="dxa"/>
              <w:right w:w="15" w:type="dxa"/>
            </w:tcMar>
            <w:vAlign w:val="bottom"/>
          </w:tcPr>
          <w:p w14:paraId="3973EB8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49" w:type="pct"/>
            <w:shd w:val="clear" w:color="auto" w:fill="CFF0FC"/>
            <w:noWrap/>
            <w:tcMar>
              <w:top w:w="15" w:type="dxa"/>
              <w:right w:w="15" w:type="dxa"/>
            </w:tcMar>
            <w:vAlign w:val="bottom"/>
          </w:tcPr>
          <w:p w14:paraId="3973EB8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8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8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bottom w:val="single" w:sz="6" w:space="0" w:color="000000"/>
            </w:tcBorders>
            <w:shd w:val="clear" w:color="auto" w:fill="CFF0FC"/>
            <w:noWrap/>
            <w:tcMar>
              <w:top w:w="15" w:type="dxa"/>
              <w:right w:w="15" w:type="dxa"/>
            </w:tcMar>
            <w:vAlign w:val="bottom"/>
          </w:tcPr>
          <w:p w14:paraId="3973EB8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49" w:type="pct"/>
            <w:shd w:val="clear" w:color="auto" w:fill="CFF0FC"/>
            <w:noWrap/>
            <w:tcMar>
              <w:top w:w="15" w:type="dxa"/>
              <w:right w:w="15" w:type="dxa"/>
            </w:tcMar>
            <w:vAlign w:val="bottom"/>
          </w:tcPr>
          <w:p w14:paraId="3973EB9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9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B9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tcBorders>
              <w:bottom w:val="single" w:sz="6" w:space="0" w:color="000000"/>
            </w:tcBorders>
            <w:shd w:val="clear" w:color="auto" w:fill="CFF0FC"/>
            <w:noWrap/>
            <w:tcMar>
              <w:top w:w="15" w:type="dxa"/>
              <w:right w:w="15" w:type="dxa"/>
            </w:tcMar>
            <w:vAlign w:val="bottom"/>
          </w:tcPr>
          <w:p w14:paraId="3973EB9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154</w:t>
            </w:r>
          </w:p>
        </w:tc>
        <w:tc>
          <w:tcPr>
            <w:tcW w:w="45" w:type="pct"/>
            <w:shd w:val="clear" w:color="auto" w:fill="CFF0FC"/>
            <w:noWrap/>
            <w:tcMar>
              <w:top w:w="15" w:type="dxa"/>
              <w:right w:w="15" w:type="dxa"/>
            </w:tcMar>
            <w:vAlign w:val="bottom"/>
          </w:tcPr>
          <w:p w14:paraId="3973EB9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B7" w14:textId="77777777">
        <w:tc>
          <w:tcPr>
            <w:tcW w:w="1644" w:type="pct"/>
            <w:shd w:val="clear" w:color="auto" w:fill="FFFFFF"/>
            <w:tcMar>
              <w:top w:w="15" w:type="dxa"/>
              <w:right w:w="15" w:type="dxa"/>
            </w:tcMar>
          </w:tcPr>
          <w:p w14:paraId="3973EB96" w14:textId="77777777" w:rsidR="007B027D" w:rsidRDefault="008E0125">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Fiscal 2022 Oracle Restructuring Plan</w:t>
            </w:r>
          </w:p>
        </w:tc>
        <w:tc>
          <w:tcPr>
            <w:tcW w:w="56" w:type="pct"/>
            <w:shd w:val="clear" w:color="auto" w:fill="FFFFFF"/>
            <w:tcMar>
              <w:top w:w="15" w:type="dxa"/>
              <w:right w:w="15" w:type="dxa"/>
            </w:tcMar>
            <w:vAlign w:val="bottom"/>
          </w:tcPr>
          <w:p w14:paraId="3973EB9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9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3973EB9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B9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9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3973EB9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222</w:t>
            </w:r>
          </w:p>
        </w:tc>
        <w:tc>
          <w:tcPr>
            <w:tcW w:w="49" w:type="pct"/>
            <w:shd w:val="clear" w:color="auto" w:fill="FFFFFF"/>
            <w:noWrap/>
            <w:tcMar>
              <w:top w:w="15" w:type="dxa"/>
              <w:right w:w="15" w:type="dxa"/>
            </w:tcMar>
            <w:vAlign w:val="bottom"/>
          </w:tcPr>
          <w:p w14:paraId="3973EB9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A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3973EBA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9" w:type="pct"/>
            <w:shd w:val="clear" w:color="auto" w:fill="FFFFFF"/>
            <w:noWrap/>
            <w:tcMar>
              <w:top w:w="15" w:type="dxa"/>
              <w:right w:w="15" w:type="dxa"/>
            </w:tcMar>
            <w:vAlign w:val="bottom"/>
          </w:tcPr>
          <w:p w14:paraId="3973EBA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A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A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3973EBA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w:t>
            </w:r>
          </w:p>
        </w:tc>
        <w:tc>
          <w:tcPr>
            <w:tcW w:w="49" w:type="pct"/>
            <w:shd w:val="clear" w:color="auto" w:fill="FFFFFF"/>
            <w:noWrap/>
            <w:tcMar>
              <w:top w:w="15" w:type="dxa"/>
              <w:right w:w="15" w:type="dxa"/>
            </w:tcMar>
            <w:vAlign w:val="bottom"/>
          </w:tcPr>
          <w:p w14:paraId="3973EBA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A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A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9" w:type="pct"/>
            <w:tcBorders>
              <w:top w:val="single" w:sz="6" w:space="0" w:color="000000"/>
              <w:bottom w:val="double" w:sz="6" w:space="0" w:color="000000"/>
            </w:tcBorders>
            <w:shd w:val="clear" w:color="auto" w:fill="FFFFFF"/>
            <w:noWrap/>
            <w:tcMar>
              <w:top w:w="15" w:type="dxa"/>
              <w:right w:w="15" w:type="dxa"/>
            </w:tcMar>
            <w:vAlign w:val="bottom"/>
          </w:tcPr>
          <w:p w14:paraId="3973EBA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49" w:type="pct"/>
            <w:shd w:val="clear" w:color="auto" w:fill="FFFFFF"/>
            <w:noWrap/>
            <w:tcMar>
              <w:top w:w="15" w:type="dxa"/>
              <w:right w:w="15" w:type="dxa"/>
            </w:tcMar>
            <w:vAlign w:val="bottom"/>
          </w:tcPr>
          <w:p w14:paraId="3973EBA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A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A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3973EBA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w:t>
            </w:r>
          </w:p>
        </w:tc>
        <w:tc>
          <w:tcPr>
            <w:tcW w:w="49" w:type="pct"/>
            <w:shd w:val="clear" w:color="auto" w:fill="FFFFFF"/>
            <w:noWrap/>
            <w:tcMar>
              <w:top w:w="15" w:type="dxa"/>
              <w:right w:w="15" w:type="dxa"/>
            </w:tcMar>
            <w:vAlign w:val="bottom"/>
          </w:tcPr>
          <w:p w14:paraId="3973EBA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A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B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3973EBB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223</w:t>
            </w:r>
          </w:p>
        </w:tc>
        <w:tc>
          <w:tcPr>
            <w:tcW w:w="49" w:type="pct"/>
            <w:shd w:val="clear" w:color="auto" w:fill="FFFFFF"/>
            <w:noWrap/>
            <w:tcMar>
              <w:top w:w="15" w:type="dxa"/>
              <w:right w:w="15" w:type="dxa"/>
            </w:tcMar>
            <w:vAlign w:val="bottom"/>
          </w:tcPr>
          <w:p w14:paraId="3973EBB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B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BB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46" w:type="pct"/>
            <w:tcBorders>
              <w:top w:val="single" w:sz="6" w:space="0" w:color="000000"/>
              <w:bottom w:val="double" w:sz="6" w:space="0" w:color="000000"/>
            </w:tcBorders>
            <w:shd w:val="clear" w:color="auto" w:fill="FFFFFF"/>
            <w:noWrap/>
            <w:tcMar>
              <w:top w:w="15" w:type="dxa"/>
              <w:right w:w="15" w:type="dxa"/>
            </w:tcMar>
            <w:vAlign w:val="bottom"/>
          </w:tcPr>
          <w:p w14:paraId="3973EBB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392</w:t>
            </w:r>
          </w:p>
        </w:tc>
        <w:tc>
          <w:tcPr>
            <w:tcW w:w="45" w:type="pct"/>
            <w:shd w:val="clear" w:color="auto" w:fill="FFFFFF"/>
            <w:noWrap/>
            <w:tcMar>
              <w:top w:w="15" w:type="dxa"/>
              <w:right w:w="15" w:type="dxa"/>
            </w:tcMar>
            <w:vAlign w:val="bottom"/>
          </w:tcPr>
          <w:p w14:paraId="3973EBB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D9" w14:textId="77777777">
        <w:tc>
          <w:tcPr>
            <w:tcW w:w="1644" w:type="pct"/>
            <w:shd w:val="clear" w:color="auto" w:fill="CFF0FC"/>
            <w:tcMar>
              <w:top w:w="15" w:type="dxa"/>
              <w:right w:w="15" w:type="dxa"/>
            </w:tcMar>
          </w:tcPr>
          <w:p w14:paraId="3973EBB8"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(6)</w:t>
            </w:r>
          </w:p>
        </w:tc>
        <w:tc>
          <w:tcPr>
            <w:tcW w:w="56" w:type="pct"/>
            <w:shd w:val="clear" w:color="auto" w:fill="CFF0FC"/>
            <w:tcMar>
              <w:top w:w="15" w:type="dxa"/>
              <w:right w:w="15" w:type="dxa"/>
            </w:tcMar>
            <w:vAlign w:val="bottom"/>
          </w:tcPr>
          <w:p w14:paraId="3973EBB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B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3973EBB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w:t>
            </w:r>
          </w:p>
        </w:tc>
        <w:tc>
          <w:tcPr>
            <w:tcW w:w="49" w:type="pct"/>
            <w:shd w:val="clear" w:color="auto" w:fill="CFF0FC"/>
            <w:noWrap/>
            <w:tcMar>
              <w:top w:w="15" w:type="dxa"/>
              <w:right w:w="15" w:type="dxa"/>
            </w:tcMar>
            <w:vAlign w:val="bottom"/>
          </w:tcPr>
          <w:p w14:paraId="3973EBB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B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B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3973EBB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BC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C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C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3973EBC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49" w:type="pct"/>
            <w:shd w:val="clear" w:color="auto" w:fill="CFF0FC"/>
            <w:noWrap/>
            <w:tcMar>
              <w:top w:w="15" w:type="dxa"/>
              <w:right w:w="15" w:type="dxa"/>
            </w:tcMar>
            <w:vAlign w:val="bottom"/>
          </w:tcPr>
          <w:p w14:paraId="3973EBC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C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C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3973EBC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(109</w:t>
            </w:r>
          </w:p>
        </w:tc>
        <w:tc>
          <w:tcPr>
            <w:tcW w:w="49" w:type="pct"/>
            <w:shd w:val="clear" w:color="auto" w:fill="CFF0FC"/>
            <w:noWrap/>
            <w:tcMar>
              <w:top w:w="15" w:type="dxa"/>
              <w:right w:w="15" w:type="dxa"/>
            </w:tcMar>
            <w:vAlign w:val="bottom"/>
          </w:tcPr>
          <w:p w14:paraId="3973EBC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C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C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9" w:type="pct"/>
            <w:tcBorders>
              <w:top w:val="double" w:sz="6" w:space="0" w:color="000000"/>
              <w:bottom w:val="double" w:sz="6" w:space="0" w:color="000000"/>
            </w:tcBorders>
            <w:shd w:val="clear" w:color="auto" w:fill="CFF0FC"/>
            <w:noWrap/>
            <w:tcMar>
              <w:top w:w="15" w:type="dxa"/>
              <w:right w:w="15" w:type="dxa"/>
            </w:tcMar>
            <w:vAlign w:val="bottom"/>
          </w:tcPr>
          <w:p w14:paraId="3973EBC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49" w:type="pct"/>
            <w:shd w:val="clear" w:color="auto" w:fill="CFF0FC"/>
            <w:noWrap/>
            <w:tcMar>
              <w:top w:w="15" w:type="dxa"/>
              <w:right w:w="15" w:type="dxa"/>
            </w:tcMar>
            <w:vAlign w:val="bottom"/>
          </w:tcPr>
          <w:p w14:paraId="3973EBC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CFF0FC"/>
            <w:tcMar>
              <w:top w:w="15" w:type="dxa"/>
              <w:right w:w="15" w:type="dxa"/>
            </w:tcMar>
            <w:vAlign w:val="bottom"/>
          </w:tcPr>
          <w:p w14:paraId="3973EBC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BC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3973EBC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49" w:type="pct"/>
            <w:shd w:val="clear" w:color="auto" w:fill="CFF0FC"/>
            <w:noWrap/>
            <w:tcMar>
              <w:top w:w="15" w:type="dxa"/>
              <w:right w:w="15" w:type="dxa"/>
            </w:tcMar>
            <w:vAlign w:val="bottom"/>
          </w:tcPr>
          <w:p w14:paraId="3973EBD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D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tcBorders>
            <w:shd w:val="clear" w:color="auto" w:fill="CFF0FC"/>
            <w:noWrap/>
            <w:tcMar>
              <w:top w:w="15" w:type="dxa"/>
              <w:right w:w="15" w:type="dxa"/>
            </w:tcMar>
            <w:vAlign w:val="bottom"/>
          </w:tcPr>
          <w:p w14:paraId="3973EBD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tcBorders>
              <w:top w:val="double" w:sz="6" w:space="0" w:color="000000"/>
            </w:tcBorders>
            <w:shd w:val="clear" w:color="auto" w:fill="CFF0FC"/>
            <w:noWrap/>
            <w:tcMar>
              <w:top w:w="15" w:type="dxa"/>
              <w:right w:w="15" w:type="dxa"/>
            </w:tcMar>
            <w:vAlign w:val="bottom"/>
          </w:tcPr>
          <w:p w14:paraId="3973EBD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BD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CFF0FC"/>
            <w:tcMar>
              <w:top w:w="15" w:type="dxa"/>
              <w:right w:w="15" w:type="dxa"/>
            </w:tcMar>
            <w:vAlign w:val="bottom"/>
          </w:tcPr>
          <w:p w14:paraId="3973EBD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tcBorders>
            <w:shd w:val="clear" w:color="auto" w:fill="CFF0FC"/>
            <w:noWrap/>
            <w:tcMar>
              <w:top w:w="15" w:type="dxa"/>
              <w:right w:w="15" w:type="dxa"/>
            </w:tcMar>
            <w:vAlign w:val="bottom"/>
          </w:tcPr>
          <w:p w14:paraId="3973EBD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tcBorders>
              <w:top w:val="double" w:sz="6" w:space="0" w:color="000000"/>
            </w:tcBorders>
            <w:shd w:val="clear" w:color="auto" w:fill="CFF0FC"/>
            <w:noWrap/>
            <w:tcMar>
              <w:top w:w="15" w:type="dxa"/>
              <w:right w:w="15" w:type="dxa"/>
            </w:tcMar>
            <w:vAlign w:val="bottom"/>
          </w:tcPr>
          <w:p w14:paraId="3973EBD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3973EBD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8E0125" w14:paraId="3973EBFB" w14:textId="77777777">
        <w:tc>
          <w:tcPr>
            <w:tcW w:w="1644" w:type="pct"/>
            <w:shd w:val="clear" w:color="auto" w:fill="FFFFFF"/>
            <w:tcMar>
              <w:top w:w="15" w:type="dxa"/>
              <w:right w:w="15" w:type="dxa"/>
            </w:tcMar>
          </w:tcPr>
          <w:p w14:paraId="3973EBDA" w14:textId="77777777" w:rsidR="007B027D" w:rsidRDefault="008E012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w:t>
            </w:r>
            <w:r>
              <w:rPr>
                <w:rFonts w:ascii="Calibri" w:hAnsi="Calibri" w:cs="Calibri"/>
                <w:color w:val="000000"/>
                <w:sz w:val="17"/>
                <w:szCs w:val="17"/>
              </w:rPr>
              <w:t>estructuring plans</w:t>
            </w:r>
          </w:p>
        </w:tc>
        <w:tc>
          <w:tcPr>
            <w:tcW w:w="56" w:type="pct"/>
            <w:shd w:val="clear" w:color="auto" w:fill="FFFFFF"/>
            <w:tcMar>
              <w:top w:w="15" w:type="dxa"/>
              <w:right w:w="15" w:type="dxa"/>
            </w:tcMar>
            <w:vAlign w:val="bottom"/>
          </w:tcPr>
          <w:p w14:paraId="3973EBDB"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D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3973EBD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w:t>
            </w:r>
          </w:p>
        </w:tc>
        <w:tc>
          <w:tcPr>
            <w:tcW w:w="49" w:type="pct"/>
            <w:shd w:val="clear" w:color="auto" w:fill="FFFFFF"/>
            <w:noWrap/>
            <w:tcMar>
              <w:top w:w="15" w:type="dxa"/>
              <w:right w:w="15" w:type="dxa"/>
            </w:tcMar>
            <w:vAlign w:val="bottom"/>
          </w:tcPr>
          <w:p w14:paraId="3973EBD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D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E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3973EBE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222</w:t>
            </w:r>
          </w:p>
        </w:tc>
        <w:tc>
          <w:tcPr>
            <w:tcW w:w="49" w:type="pct"/>
            <w:shd w:val="clear" w:color="auto" w:fill="FFFFFF"/>
            <w:noWrap/>
            <w:tcMar>
              <w:top w:w="15" w:type="dxa"/>
              <w:right w:w="15" w:type="dxa"/>
            </w:tcMar>
            <w:vAlign w:val="bottom"/>
          </w:tcPr>
          <w:p w14:paraId="3973EBE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E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E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3973EBE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49" w:type="pct"/>
            <w:shd w:val="clear" w:color="auto" w:fill="FFFFFF"/>
            <w:noWrap/>
            <w:tcMar>
              <w:top w:w="15" w:type="dxa"/>
              <w:right w:w="15" w:type="dxa"/>
            </w:tcMar>
            <w:vAlign w:val="bottom"/>
          </w:tcPr>
          <w:p w14:paraId="3973EBE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E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E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3973EBE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(201</w:t>
            </w:r>
          </w:p>
        </w:tc>
        <w:tc>
          <w:tcPr>
            <w:tcW w:w="49" w:type="pct"/>
            <w:shd w:val="clear" w:color="auto" w:fill="FFFFFF"/>
            <w:noWrap/>
            <w:tcMar>
              <w:top w:w="15" w:type="dxa"/>
              <w:right w:w="15" w:type="dxa"/>
            </w:tcMar>
            <w:vAlign w:val="bottom"/>
          </w:tcPr>
          <w:p w14:paraId="3973EBE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E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E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9" w:type="pct"/>
            <w:tcBorders>
              <w:top w:val="double" w:sz="6" w:space="0" w:color="000000"/>
              <w:bottom w:val="double" w:sz="6" w:space="0" w:color="000000"/>
            </w:tcBorders>
            <w:shd w:val="clear" w:color="auto" w:fill="FFFFFF"/>
            <w:noWrap/>
            <w:tcMar>
              <w:top w:w="15" w:type="dxa"/>
              <w:right w:w="15" w:type="dxa"/>
            </w:tcMar>
            <w:vAlign w:val="bottom"/>
          </w:tcPr>
          <w:p w14:paraId="3973EBE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49" w:type="pct"/>
            <w:shd w:val="clear" w:color="auto" w:fill="FFFFFF"/>
            <w:noWrap/>
            <w:tcMar>
              <w:top w:w="15" w:type="dxa"/>
              <w:right w:w="15" w:type="dxa"/>
            </w:tcMar>
            <w:vAlign w:val="bottom"/>
          </w:tcPr>
          <w:p w14:paraId="3973EBE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0" w:type="pct"/>
            <w:shd w:val="clear" w:color="auto" w:fill="FFFFFF"/>
            <w:tcMar>
              <w:top w:w="15" w:type="dxa"/>
              <w:right w:w="15" w:type="dxa"/>
            </w:tcMar>
            <w:vAlign w:val="bottom"/>
          </w:tcPr>
          <w:p w14:paraId="3973EBE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BF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3973EBF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131</w:t>
            </w:r>
          </w:p>
        </w:tc>
        <w:tc>
          <w:tcPr>
            <w:tcW w:w="49" w:type="pct"/>
            <w:shd w:val="clear" w:color="auto" w:fill="FFFFFF"/>
            <w:noWrap/>
            <w:tcMar>
              <w:top w:w="15" w:type="dxa"/>
              <w:right w:w="15" w:type="dxa"/>
            </w:tcMar>
            <w:vAlign w:val="bottom"/>
          </w:tcPr>
          <w:p w14:paraId="3973EBF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F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F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2" w:type="pct"/>
            <w:shd w:val="clear" w:color="auto" w:fill="FFFFFF"/>
            <w:noWrap/>
            <w:tcMar>
              <w:top w:w="15" w:type="dxa"/>
              <w:right w:w="15" w:type="dxa"/>
            </w:tcMar>
            <w:vAlign w:val="bottom"/>
          </w:tcPr>
          <w:p w14:paraId="3973EBF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FFFFFF"/>
            <w:noWrap/>
            <w:tcMar>
              <w:top w:w="15" w:type="dxa"/>
              <w:right w:w="15" w:type="dxa"/>
            </w:tcMar>
            <w:vAlign w:val="bottom"/>
          </w:tcPr>
          <w:p w14:paraId="3973EBF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0" w:type="pct"/>
            <w:shd w:val="clear" w:color="auto" w:fill="FFFFFF"/>
            <w:tcMar>
              <w:top w:w="15" w:type="dxa"/>
              <w:right w:w="15" w:type="dxa"/>
            </w:tcMar>
            <w:vAlign w:val="bottom"/>
          </w:tcPr>
          <w:p w14:paraId="3973EBF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BF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6" w:type="pct"/>
            <w:shd w:val="clear" w:color="auto" w:fill="FFFFFF"/>
            <w:noWrap/>
            <w:tcMar>
              <w:top w:w="15" w:type="dxa"/>
              <w:right w:w="15" w:type="dxa"/>
            </w:tcMar>
            <w:vAlign w:val="bottom"/>
          </w:tcPr>
          <w:p w14:paraId="3973EBF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noWrap/>
            <w:tcMar>
              <w:top w:w="15" w:type="dxa"/>
              <w:right w:w="15" w:type="dxa"/>
            </w:tcMar>
            <w:vAlign w:val="bottom"/>
          </w:tcPr>
          <w:p w14:paraId="3973EBFA"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BFC" w14:textId="77777777" w:rsidR="007B027D" w:rsidRDefault="008E0125">
      <w:pPr>
        <w:pStyle w:val="a3"/>
        <w:spacing w:beforeAutospacing="0" w:afterAutospacing="0"/>
        <w:rPr>
          <w:sz w:val="12"/>
          <w:szCs w:val="12"/>
        </w:rPr>
      </w:pPr>
      <w:r>
        <w:rPr>
          <w:sz w:val="12"/>
          <w:szCs w:val="12"/>
        </w:rPr>
        <w:t> </w:t>
      </w:r>
    </w:p>
    <w:p w14:paraId="3973EBFD"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Fiscal 2021 </w:t>
      </w:r>
      <w:r>
        <w:rPr>
          <w:rFonts w:ascii="Calibri" w:hAnsi="Calibri" w:cs="Calibri"/>
          <w:b/>
          <w:bCs/>
          <w:sz w:val="20"/>
          <w:szCs w:val="20"/>
          <w:u w:val="single"/>
        </w:rPr>
        <w:t>Activity</w:t>
      </w:r>
    </w:p>
    <w:p w14:paraId="3973EBFE"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04"/>
        <w:gridCol w:w="107"/>
        <w:gridCol w:w="103"/>
        <w:gridCol w:w="596"/>
        <w:gridCol w:w="74"/>
        <w:gridCol w:w="54"/>
        <w:gridCol w:w="103"/>
        <w:gridCol w:w="596"/>
        <w:gridCol w:w="74"/>
        <w:gridCol w:w="54"/>
        <w:gridCol w:w="103"/>
        <w:gridCol w:w="596"/>
        <w:gridCol w:w="74"/>
        <w:gridCol w:w="54"/>
        <w:gridCol w:w="103"/>
        <w:gridCol w:w="596"/>
        <w:gridCol w:w="74"/>
        <w:gridCol w:w="54"/>
        <w:gridCol w:w="103"/>
        <w:gridCol w:w="599"/>
        <w:gridCol w:w="74"/>
        <w:gridCol w:w="54"/>
        <w:gridCol w:w="103"/>
        <w:gridCol w:w="598"/>
        <w:gridCol w:w="71"/>
      </w:tblGrid>
      <w:tr w:rsidR="007B027D" w14:paraId="3973EC0D" w14:textId="77777777">
        <w:tc>
          <w:tcPr>
            <w:tcW w:w="1989" w:type="pct"/>
            <w:shd w:val="clear" w:color="auto" w:fill="FFFFFF"/>
            <w:tcMar>
              <w:top w:w="15" w:type="dxa"/>
              <w:right w:w="15" w:type="dxa"/>
            </w:tcMar>
            <w:vAlign w:val="bottom"/>
          </w:tcPr>
          <w:p w14:paraId="3973EBFF"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9" w:type="pct"/>
            <w:shd w:val="clear" w:color="auto" w:fill="FFFFFF"/>
            <w:tcMar>
              <w:top w:w="15" w:type="dxa"/>
              <w:right w:w="15" w:type="dxa"/>
            </w:tcMar>
            <w:vAlign w:val="bottom"/>
          </w:tcPr>
          <w:p w14:paraId="3973EC00"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7" w:type="pct"/>
            <w:gridSpan w:val="2"/>
            <w:vMerge w:val="restart"/>
            <w:shd w:val="clear" w:color="auto" w:fill="FFFFFF"/>
            <w:tcMar>
              <w:top w:w="15" w:type="dxa"/>
              <w:right w:w="15" w:type="dxa"/>
            </w:tcMar>
            <w:vAlign w:val="bottom"/>
          </w:tcPr>
          <w:p w14:paraId="3973EC0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C0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C0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49" w:type="pct"/>
            <w:shd w:val="clear" w:color="auto" w:fill="FFFFFF"/>
            <w:noWrap/>
            <w:tcMar>
              <w:top w:w="15" w:type="dxa"/>
              <w:right w:w="15" w:type="dxa"/>
            </w:tcMar>
            <w:vAlign w:val="bottom"/>
          </w:tcPr>
          <w:p w14:paraId="3973EC0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shd w:val="clear" w:color="auto" w:fill="FFFFFF"/>
            <w:tcMar>
              <w:top w:w="15" w:type="dxa"/>
              <w:right w:w="15" w:type="dxa"/>
            </w:tcMar>
            <w:vAlign w:val="bottom"/>
          </w:tcPr>
          <w:p w14:paraId="3973EC0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03" w:type="pct"/>
            <w:gridSpan w:val="14"/>
            <w:tcBorders>
              <w:bottom w:val="single" w:sz="6" w:space="0" w:color="000000"/>
            </w:tcBorders>
            <w:shd w:val="clear" w:color="auto" w:fill="FFFFFF"/>
            <w:tcMar>
              <w:top w:w="15" w:type="dxa"/>
              <w:right w:w="15" w:type="dxa"/>
            </w:tcMar>
            <w:vAlign w:val="bottom"/>
          </w:tcPr>
          <w:p w14:paraId="3973EC0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2021</w:t>
            </w:r>
          </w:p>
        </w:tc>
        <w:tc>
          <w:tcPr>
            <w:tcW w:w="49" w:type="pct"/>
            <w:shd w:val="clear" w:color="auto" w:fill="FFFFFF"/>
            <w:noWrap/>
            <w:tcMar>
              <w:top w:w="15" w:type="dxa"/>
              <w:right w:w="15" w:type="dxa"/>
            </w:tcMar>
            <w:vAlign w:val="bottom"/>
          </w:tcPr>
          <w:p w14:paraId="3973EC0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3973EC0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vMerge w:val="restart"/>
            <w:shd w:val="clear" w:color="auto" w:fill="FFFFFF"/>
            <w:tcMar>
              <w:top w:w="15" w:type="dxa"/>
              <w:right w:w="15" w:type="dxa"/>
            </w:tcMar>
            <w:vAlign w:val="bottom"/>
          </w:tcPr>
          <w:p w14:paraId="3973EC0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C0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C0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7" w:type="pct"/>
            <w:shd w:val="clear" w:color="auto" w:fill="FFFFFF"/>
            <w:noWrap/>
            <w:tcMar>
              <w:top w:w="15" w:type="dxa"/>
              <w:right w:w="15" w:type="dxa"/>
            </w:tcMar>
            <w:vAlign w:val="bottom"/>
          </w:tcPr>
          <w:p w14:paraId="3973EC0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C24" w14:textId="77777777">
        <w:tc>
          <w:tcPr>
            <w:tcW w:w="1989" w:type="pct"/>
            <w:tcBorders>
              <w:bottom w:val="single" w:sz="6" w:space="0" w:color="000000"/>
            </w:tcBorders>
            <w:shd w:val="clear" w:color="auto" w:fill="FFFFFF"/>
            <w:tcMar>
              <w:top w:w="15" w:type="dxa"/>
              <w:right w:w="15" w:type="dxa"/>
            </w:tcMar>
            <w:vAlign w:val="bottom"/>
          </w:tcPr>
          <w:p w14:paraId="3973EC0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9" w:type="pct"/>
            <w:shd w:val="clear" w:color="auto" w:fill="FFFFFF"/>
            <w:tcMar>
              <w:top w:w="15" w:type="dxa"/>
              <w:right w:w="15" w:type="dxa"/>
            </w:tcMar>
            <w:vAlign w:val="bottom"/>
          </w:tcPr>
          <w:p w14:paraId="3973EC0F" w14:textId="77777777" w:rsidR="007B027D" w:rsidRDefault="008E0125">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7" w:type="pct"/>
            <w:gridSpan w:val="2"/>
            <w:vMerge/>
            <w:shd w:val="clear" w:color="auto" w:fill="FFFFFF"/>
            <w:tcMar>
              <w:top w:w="15" w:type="dxa"/>
              <w:right w:w="15" w:type="dxa"/>
            </w:tcMar>
            <w:vAlign w:val="bottom"/>
          </w:tcPr>
          <w:p w14:paraId="3973EC10" w14:textId="77777777" w:rsidR="007B027D" w:rsidRDefault="007B027D">
            <w:pPr>
              <w:rPr>
                <w:rFonts w:ascii="宋体"/>
              </w:rPr>
            </w:pPr>
          </w:p>
        </w:tc>
        <w:tc>
          <w:tcPr>
            <w:tcW w:w="49" w:type="pct"/>
            <w:shd w:val="clear" w:color="auto" w:fill="FFFFFF"/>
            <w:noWrap/>
            <w:tcMar>
              <w:top w:w="15" w:type="dxa"/>
              <w:right w:w="15" w:type="dxa"/>
            </w:tcMar>
            <w:vAlign w:val="bottom"/>
          </w:tcPr>
          <w:p w14:paraId="3973EC1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shd w:val="clear" w:color="auto" w:fill="FFFFFF"/>
            <w:tcMar>
              <w:top w:w="15" w:type="dxa"/>
              <w:right w:w="15" w:type="dxa"/>
            </w:tcMar>
            <w:vAlign w:val="bottom"/>
          </w:tcPr>
          <w:p w14:paraId="3973EC1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C1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3973EC1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9" w:type="pct"/>
            <w:shd w:val="clear" w:color="auto" w:fill="FFFFFF"/>
            <w:noWrap/>
            <w:tcMar>
              <w:top w:w="15" w:type="dxa"/>
              <w:right w:w="15" w:type="dxa"/>
            </w:tcMar>
            <w:vAlign w:val="bottom"/>
          </w:tcPr>
          <w:p w14:paraId="3973EC15"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3973EC1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C1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3973EC1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9" w:type="pct"/>
            <w:shd w:val="clear" w:color="auto" w:fill="FFFFFF"/>
            <w:noWrap/>
            <w:tcMar>
              <w:top w:w="15" w:type="dxa"/>
              <w:right w:w="15" w:type="dxa"/>
            </w:tcMar>
            <w:vAlign w:val="bottom"/>
          </w:tcPr>
          <w:p w14:paraId="3973EC19"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3973EC1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C1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3973EC1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9" w:type="pct"/>
            <w:shd w:val="clear" w:color="auto" w:fill="FFFFFF"/>
            <w:noWrap/>
            <w:tcMar>
              <w:top w:w="15" w:type="dxa"/>
              <w:right w:w="15" w:type="dxa"/>
            </w:tcMar>
            <w:vAlign w:val="bottom"/>
          </w:tcPr>
          <w:p w14:paraId="3973EC1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right w:w="15" w:type="dxa"/>
            </w:tcMar>
            <w:vAlign w:val="bottom"/>
          </w:tcPr>
          <w:p w14:paraId="3973EC1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tcBorders>
              <w:top w:val="single" w:sz="6" w:space="0" w:color="000000"/>
              <w:bottom w:val="single" w:sz="6" w:space="0" w:color="000000"/>
            </w:tcBorders>
            <w:shd w:val="clear" w:color="auto" w:fill="FFFFFF"/>
            <w:tcMar>
              <w:top w:w="15" w:type="dxa"/>
              <w:right w:w="15" w:type="dxa"/>
            </w:tcMar>
            <w:vAlign w:val="bottom"/>
          </w:tcPr>
          <w:p w14:paraId="3973EC1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9" w:type="pct"/>
            <w:shd w:val="clear" w:color="auto" w:fill="FFFFFF"/>
            <w:noWrap/>
            <w:tcMar>
              <w:top w:w="15" w:type="dxa"/>
              <w:right w:w="15" w:type="dxa"/>
            </w:tcMar>
            <w:vAlign w:val="bottom"/>
          </w:tcPr>
          <w:p w14:paraId="3973EC20"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8" w:type="pct"/>
            <w:shd w:val="clear" w:color="auto" w:fill="FFFFFF"/>
            <w:tcMar>
              <w:top w:w="15" w:type="dxa"/>
              <w:right w:w="15" w:type="dxa"/>
            </w:tcMar>
            <w:vAlign w:val="bottom"/>
          </w:tcPr>
          <w:p w14:paraId="3973EC2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vMerge/>
            <w:shd w:val="clear" w:color="auto" w:fill="FFFFFF"/>
            <w:tcMar>
              <w:top w:w="15" w:type="dxa"/>
              <w:right w:w="15" w:type="dxa"/>
            </w:tcMar>
            <w:vAlign w:val="bottom"/>
          </w:tcPr>
          <w:p w14:paraId="3973EC22" w14:textId="77777777" w:rsidR="007B027D" w:rsidRDefault="007B027D">
            <w:pPr>
              <w:rPr>
                <w:rFonts w:ascii="宋体"/>
              </w:rPr>
            </w:pPr>
          </w:p>
        </w:tc>
        <w:tc>
          <w:tcPr>
            <w:tcW w:w="47" w:type="pct"/>
            <w:shd w:val="clear" w:color="auto" w:fill="FFFFFF"/>
            <w:noWrap/>
            <w:tcMar>
              <w:top w:w="15" w:type="dxa"/>
              <w:right w:w="15" w:type="dxa"/>
            </w:tcMar>
            <w:vAlign w:val="bottom"/>
          </w:tcPr>
          <w:p w14:paraId="3973EC23"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7B027D" w14:paraId="3973EC3E" w14:textId="77777777">
        <w:tc>
          <w:tcPr>
            <w:tcW w:w="1989" w:type="pct"/>
            <w:tcBorders>
              <w:top w:val="single" w:sz="6" w:space="0" w:color="000000"/>
            </w:tcBorders>
            <w:shd w:val="clear" w:color="auto" w:fill="CFF0FC"/>
            <w:tcMar>
              <w:top w:w="15" w:type="dxa"/>
              <w:right w:w="15" w:type="dxa"/>
            </w:tcMar>
          </w:tcPr>
          <w:p w14:paraId="3973EC25"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2019 Oracle Restructuring Plan</w:t>
            </w:r>
            <w:r>
              <w:rPr>
                <w:rFonts w:ascii="Calibri" w:hAnsi="Calibri" w:cs="Calibri"/>
                <w:color w:val="000000"/>
                <w:sz w:val="14"/>
                <w:szCs w:val="14"/>
              </w:rPr>
              <w:t>(1)</w:t>
            </w:r>
          </w:p>
        </w:tc>
        <w:tc>
          <w:tcPr>
            <w:tcW w:w="69" w:type="pct"/>
            <w:shd w:val="clear" w:color="auto" w:fill="CFF0FC"/>
            <w:tcMar>
              <w:top w:w="15" w:type="dxa"/>
              <w:right w:w="15" w:type="dxa"/>
            </w:tcMar>
            <w:vAlign w:val="bottom"/>
          </w:tcPr>
          <w:p w14:paraId="3973EC26"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C2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C2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2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2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C2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C2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2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C3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C3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3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C3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C3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C3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3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top w:val="single" w:sz="6" w:space="0" w:color="000000"/>
            </w:tcBorders>
            <w:shd w:val="clear" w:color="auto" w:fill="CFF0FC"/>
            <w:noWrap/>
            <w:tcMar>
              <w:top w:w="15" w:type="dxa"/>
              <w:right w:w="15" w:type="dxa"/>
            </w:tcMar>
            <w:vAlign w:val="bottom"/>
          </w:tcPr>
          <w:p w14:paraId="3973EC3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C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C3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C3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top w:val="single" w:sz="6" w:space="0" w:color="000000"/>
            </w:tcBorders>
            <w:shd w:val="clear" w:color="auto" w:fill="CFF0FC"/>
            <w:noWrap/>
            <w:tcMar>
              <w:top w:w="15" w:type="dxa"/>
              <w:right w:w="15" w:type="dxa"/>
            </w:tcMar>
            <w:vAlign w:val="bottom"/>
          </w:tcPr>
          <w:p w14:paraId="3973EC3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3973EC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58" w14:textId="77777777">
        <w:tc>
          <w:tcPr>
            <w:tcW w:w="1989" w:type="pct"/>
            <w:shd w:val="clear" w:color="auto" w:fill="FFFFFF"/>
            <w:tcMar>
              <w:top w:w="15" w:type="dxa"/>
              <w:right w:w="15" w:type="dxa"/>
            </w:tcMar>
          </w:tcPr>
          <w:p w14:paraId="3973EC3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69" w:type="pct"/>
            <w:shd w:val="clear" w:color="auto" w:fill="FFFFFF"/>
            <w:tcMar>
              <w:top w:w="15" w:type="dxa"/>
              <w:right w:w="15" w:type="dxa"/>
            </w:tcMar>
            <w:vAlign w:val="bottom"/>
          </w:tcPr>
          <w:p w14:paraId="3973EC4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4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C4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w:t>
            </w:r>
          </w:p>
        </w:tc>
        <w:tc>
          <w:tcPr>
            <w:tcW w:w="49" w:type="pct"/>
            <w:shd w:val="clear" w:color="auto" w:fill="FFFFFF"/>
            <w:noWrap/>
            <w:tcMar>
              <w:top w:w="15" w:type="dxa"/>
              <w:right w:w="15" w:type="dxa"/>
            </w:tcMar>
            <w:vAlign w:val="bottom"/>
          </w:tcPr>
          <w:p w14:paraId="3973EC4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4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4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C4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w:t>
            </w:r>
          </w:p>
        </w:tc>
        <w:tc>
          <w:tcPr>
            <w:tcW w:w="49" w:type="pct"/>
            <w:shd w:val="clear" w:color="auto" w:fill="FFFFFF"/>
            <w:noWrap/>
            <w:tcMar>
              <w:top w:w="15" w:type="dxa"/>
              <w:right w:w="15" w:type="dxa"/>
            </w:tcMar>
            <w:vAlign w:val="bottom"/>
          </w:tcPr>
          <w:p w14:paraId="3973EC4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4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4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C4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49" w:type="pct"/>
            <w:shd w:val="clear" w:color="auto" w:fill="FFFFFF"/>
            <w:noWrap/>
            <w:tcMar>
              <w:top w:w="15" w:type="dxa"/>
              <w:right w:w="15" w:type="dxa"/>
            </w:tcMar>
            <w:vAlign w:val="bottom"/>
          </w:tcPr>
          <w:p w14:paraId="3973EC4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C4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4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C4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w:t>
            </w:r>
          </w:p>
        </w:tc>
        <w:tc>
          <w:tcPr>
            <w:tcW w:w="49" w:type="pct"/>
            <w:shd w:val="clear" w:color="auto" w:fill="FFFFFF"/>
            <w:noWrap/>
            <w:tcMar>
              <w:top w:w="15" w:type="dxa"/>
              <w:right w:w="15" w:type="dxa"/>
            </w:tcMar>
            <w:vAlign w:val="bottom"/>
          </w:tcPr>
          <w:p w14:paraId="3973EC4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C5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5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shd w:val="clear" w:color="auto" w:fill="FFFFFF"/>
            <w:noWrap/>
            <w:tcMar>
              <w:top w:w="15" w:type="dxa"/>
              <w:right w:w="15" w:type="dxa"/>
            </w:tcMar>
            <w:vAlign w:val="bottom"/>
          </w:tcPr>
          <w:p w14:paraId="3973EC5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49" w:type="pct"/>
            <w:shd w:val="clear" w:color="auto" w:fill="FFFFFF"/>
            <w:noWrap/>
            <w:tcMar>
              <w:top w:w="15" w:type="dxa"/>
              <w:right w:w="15" w:type="dxa"/>
            </w:tcMar>
            <w:vAlign w:val="bottom"/>
          </w:tcPr>
          <w:p w14:paraId="3973EC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FFFFFF"/>
            <w:tcMar>
              <w:top w:w="15" w:type="dxa"/>
              <w:right w:w="15" w:type="dxa"/>
            </w:tcMar>
            <w:vAlign w:val="bottom"/>
          </w:tcPr>
          <w:p w14:paraId="3973EC5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5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shd w:val="clear" w:color="auto" w:fill="FFFFFF"/>
            <w:noWrap/>
            <w:tcMar>
              <w:top w:w="15" w:type="dxa"/>
              <w:right w:w="15" w:type="dxa"/>
            </w:tcMar>
            <w:vAlign w:val="bottom"/>
          </w:tcPr>
          <w:p w14:paraId="3973EC5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119</w:t>
            </w:r>
          </w:p>
        </w:tc>
        <w:tc>
          <w:tcPr>
            <w:tcW w:w="47" w:type="pct"/>
            <w:shd w:val="clear" w:color="auto" w:fill="FFFFFF"/>
            <w:noWrap/>
            <w:tcMar>
              <w:top w:w="15" w:type="dxa"/>
              <w:right w:w="15" w:type="dxa"/>
            </w:tcMar>
            <w:vAlign w:val="bottom"/>
          </w:tcPr>
          <w:p w14:paraId="3973EC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72" w14:textId="77777777">
        <w:tc>
          <w:tcPr>
            <w:tcW w:w="1989" w:type="pct"/>
            <w:shd w:val="clear" w:color="auto" w:fill="CFF0FC"/>
            <w:tcMar>
              <w:top w:w="15" w:type="dxa"/>
              <w:right w:w="15" w:type="dxa"/>
            </w:tcMar>
          </w:tcPr>
          <w:p w14:paraId="3973EC5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69" w:type="pct"/>
            <w:shd w:val="clear" w:color="auto" w:fill="CFF0FC"/>
            <w:tcMar>
              <w:top w:w="15" w:type="dxa"/>
              <w:right w:w="15" w:type="dxa"/>
            </w:tcMar>
            <w:vAlign w:val="bottom"/>
          </w:tcPr>
          <w:p w14:paraId="3973EC5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5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C5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49" w:type="pct"/>
            <w:shd w:val="clear" w:color="auto" w:fill="CFF0FC"/>
            <w:noWrap/>
            <w:tcMar>
              <w:top w:w="15" w:type="dxa"/>
              <w:right w:w="15" w:type="dxa"/>
            </w:tcMar>
            <w:vAlign w:val="bottom"/>
          </w:tcPr>
          <w:p w14:paraId="3973EC5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5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5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C6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w:t>
            </w:r>
          </w:p>
        </w:tc>
        <w:tc>
          <w:tcPr>
            <w:tcW w:w="49" w:type="pct"/>
            <w:shd w:val="clear" w:color="auto" w:fill="CFF0FC"/>
            <w:noWrap/>
            <w:tcMar>
              <w:top w:w="15" w:type="dxa"/>
              <w:right w:w="15" w:type="dxa"/>
            </w:tcMar>
            <w:vAlign w:val="bottom"/>
          </w:tcPr>
          <w:p w14:paraId="3973EC6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6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6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C6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9" w:type="pct"/>
            <w:shd w:val="clear" w:color="auto" w:fill="CFF0FC"/>
            <w:noWrap/>
            <w:tcMar>
              <w:top w:w="15" w:type="dxa"/>
              <w:right w:w="15" w:type="dxa"/>
            </w:tcMar>
            <w:vAlign w:val="bottom"/>
          </w:tcPr>
          <w:p w14:paraId="3973EC6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CFF0FC"/>
            <w:tcMar>
              <w:top w:w="15" w:type="dxa"/>
              <w:right w:w="15" w:type="dxa"/>
            </w:tcMar>
            <w:vAlign w:val="bottom"/>
          </w:tcPr>
          <w:p w14:paraId="3973EC6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6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C6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49" w:type="pct"/>
            <w:shd w:val="clear" w:color="auto" w:fill="CFF0FC"/>
            <w:noWrap/>
            <w:tcMar>
              <w:top w:w="15" w:type="dxa"/>
              <w:right w:w="15" w:type="dxa"/>
            </w:tcMar>
            <w:vAlign w:val="bottom"/>
          </w:tcPr>
          <w:p w14:paraId="3973EC6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C6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6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CFF0FC"/>
            <w:noWrap/>
            <w:tcMar>
              <w:top w:w="15" w:type="dxa"/>
              <w:right w:w="15" w:type="dxa"/>
            </w:tcMar>
            <w:vAlign w:val="bottom"/>
          </w:tcPr>
          <w:p w14:paraId="3973EC6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9" w:type="pct"/>
            <w:shd w:val="clear" w:color="auto" w:fill="CFF0FC"/>
            <w:noWrap/>
            <w:tcMar>
              <w:top w:w="15" w:type="dxa"/>
              <w:right w:w="15" w:type="dxa"/>
            </w:tcMar>
            <w:vAlign w:val="bottom"/>
          </w:tcPr>
          <w:p w14:paraId="3973EC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C6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C6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CFF0FC"/>
            <w:noWrap/>
            <w:tcMar>
              <w:top w:w="15" w:type="dxa"/>
              <w:right w:w="15" w:type="dxa"/>
            </w:tcMar>
            <w:vAlign w:val="bottom"/>
          </w:tcPr>
          <w:p w14:paraId="3973EC7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47" w:type="pct"/>
            <w:shd w:val="clear" w:color="auto" w:fill="CFF0FC"/>
            <w:noWrap/>
            <w:tcMar>
              <w:top w:w="15" w:type="dxa"/>
              <w:right w:w="15" w:type="dxa"/>
            </w:tcMar>
            <w:vAlign w:val="bottom"/>
          </w:tcPr>
          <w:p w14:paraId="3973EC7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8C" w14:textId="77777777">
        <w:tc>
          <w:tcPr>
            <w:tcW w:w="1989" w:type="pct"/>
            <w:shd w:val="clear" w:color="auto" w:fill="FFFFFF"/>
            <w:tcMar>
              <w:top w:w="15" w:type="dxa"/>
              <w:right w:w="15" w:type="dxa"/>
            </w:tcMar>
          </w:tcPr>
          <w:p w14:paraId="3973EC7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69" w:type="pct"/>
            <w:shd w:val="clear" w:color="auto" w:fill="FFFFFF"/>
            <w:tcMar>
              <w:top w:w="15" w:type="dxa"/>
              <w:right w:w="15" w:type="dxa"/>
            </w:tcMar>
            <w:vAlign w:val="bottom"/>
          </w:tcPr>
          <w:p w14:paraId="3973EC7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7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C7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49" w:type="pct"/>
            <w:shd w:val="clear" w:color="auto" w:fill="FFFFFF"/>
            <w:noWrap/>
            <w:tcMar>
              <w:top w:w="15" w:type="dxa"/>
              <w:right w:w="15" w:type="dxa"/>
            </w:tcMar>
            <w:vAlign w:val="bottom"/>
          </w:tcPr>
          <w:p w14:paraId="3973EC7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7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7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C7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49" w:type="pct"/>
            <w:shd w:val="clear" w:color="auto" w:fill="FFFFFF"/>
            <w:noWrap/>
            <w:tcMar>
              <w:top w:w="15" w:type="dxa"/>
              <w:right w:w="15" w:type="dxa"/>
            </w:tcMar>
            <w:vAlign w:val="bottom"/>
          </w:tcPr>
          <w:p w14:paraId="3973EC7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7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7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C7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9" w:type="pct"/>
            <w:shd w:val="clear" w:color="auto" w:fill="FFFFFF"/>
            <w:noWrap/>
            <w:tcMar>
              <w:top w:w="15" w:type="dxa"/>
              <w:right w:w="15" w:type="dxa"/>
            </w:tcMar>
            <w:vAlign w:val="bottom"/>
          </w:tcPr>
          <w:p w14:paraId="3973EC7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C8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8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C8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49" w:type="pct"/>
            <w:shd w:val="clear" w:color="auto" w:fill="FFFFFF"/>
            <w:noWrap/>
            <w:tcMar>
              <w:top w:w="15" w:type="dxa"/>
              <w:right w:w="15" w:type="dxa"/>
            </w:tcMar>
            <w:vAlign w:val="bottom"/>
          </w:tcPr>
          <w:p w14:paraId="3973EC8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C8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8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FFFFFF"/>
            <w:noWrap/>
            <w:tcMar>
              <w:top w:w="15" w:type="dxa"/>
              <w:right w:w="15" w:type="dxa"/>
            </w:tcMar>
            <w:vAlign w:val="bottom"/>
          </w:tcPr>
          <w:p w14:paraId="3973EC8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9" w:type="pct"/>
            <w:shd w:val="clear" w:color="auto" w:fill="FFFFFF"/>
            <w:noWrap/>
            <w:tcMar>
              <w:top w:w="15" w:type="dxa"/>
              <w:right w:w="15" w:type="dxa"/>
            </w:tcMar>
            <w:vAlign w:val="bottom"/>
          </w:tcPr>
          <w:p w14:paraId="3973EC8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FFFFFF"/>
            <w:tcMar>
              <w:top w:w="15" w:type="dxa"/>
              <w:right w:w="15" w:type="dxa"/>
            </w:tcMar>
            <w:vAlign w:val="bottom"/>
          </w:tcPr>
          <w:p w14:paraId="3973EC8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C8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FFFFFF"/>
            <w:noWrap/>
            <w:tcMar>
              <w:top w:w="15" w:type="dxa"/>
              <w:right w:w="15" w:type="dxa"/>
            </w:tcMar>
            <w:vAlign w:val="bottom"/>
          </w:tcPr>
          <w:p w14:paraId="3973EC8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47" w:type="pct"/>
            <w:shd w:val="clear" w:color="auto" w:fill="FFFFFF"/>
            <w:noWrap/>
            <w:tcMar>
              <w:top w:w="15" w:type="dxa"/>
              <w:right w:w="15" w:type="dxa"/>
            </w:tcMar>
            <w:vAlign w:val="bottom"/>
          </w:tcPr>
          <w:p w14:paraId="3973EC8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A6" w14:textId="77777777">
        <w:tc>
          <w:tcPr>
            <w:tcW w:w="1989" w:type="pct"/>
            <w:shd w:val="clear" w:color="auto" w:fill="CFF0FC"/>
            <w:tcMar>
              <w:top w:w="15" w:type="dxa"/>
              <w:right w:w="15" w:type="dxa"/>
            </w:tcMar>
          </w:tcPr>
          <w:p w14:paraId="3973EC8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69" w:type="pct"/>
            <w:shd w:val="clear" w:color="auto" w:fill="CFF0FC"/>
            <w:tcMar>
              <w:top w:w="15" w:type="dxa"/>
              <w:right w:w="15" w:type="dxa"/>
            </w:tcMar>
            <w:vAlign w:val="bottom"/>
          </w:tcPr>
          <w:p w14:paraId="3973EC8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8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C9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49" w:type="pct"/>
            <w:shd w:val="clear" w:color="auto" w:fill="CFF0FC"/>
            <w:noWrap/>
            <w:tcMar>
              <w:top w:w="15" w:type="dxa"/>
              <w:right w:w="15" w:type="dxa"/>
            </w:tcMar>
            <w:vAlign w:val="bottom"/>
          </w:tcPr>
          <w:p w14:paraId="3973EC9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9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9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C9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137</w:t>
            </w:r>
          </w:p>
        </w:tc>
        <w:tc>
          <w:tcPr>
            <w:tcW w:w="49" w:type="pct"/>
            <w:shd w:val="clear" w:color="auto" w:fill="CFF0FC"/>
            <w:noWrap/>
            <w:tcMar>
              <w:top w:w="15" w:type="dxa"/>
              <w:right w:w="15" w:type="dxa"/>
            </w:tcMar>
            <w:vAlign w:val="bottom"/>
          </w:tcPr>
          <w:p w14:paraId="3973EC9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9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9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C9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9" w:type="pct"/>
            <w:shd w:val="clear" w:color="auto" w:fill="CFF0FC"/>
            <w:noWrap/>
            <w:tcMar>
              <w:top w:w="15" w:type="dxa"/>
              <w:right w:w="15" w:type="dxa"/>
            </w:tcMar>
            <w:vAlign w:val="bottom"/>
          </w:tcPr>
          <w:p w14:paraId="3973EC9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9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9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C9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49" w:type="pct"/>
            <w:shd w:val="clear" w:color="auto" w:fill="CFF0FC"/>
            <w:noWrap/>
            <w:tcMar>
              <w:top w:w="15" w:type="dxa"/>
              <w:right w:w="15" w:type="dxa"/>
            </w:tcMar>
            <w:vAlign w:val="bottom"/>
          </w:tcPr>
          <w:p w14:paraId="3973EC9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C9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9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bottom w:val="single" w:sz="6" w:space="0" w:color="000000"/>
            </w:tcBorders>
            <w:shd w:val="clear" w:color="auto" w:fill="CFF0FC"/>
            <w:noWrap/>
            <w:tcMar>
              <w:top w:w="15" w:type="dxa"/>
              <w:right w:w="15" w:type="dxa"/>
            </w:tcMar>
            <w:vAlign w:val="bottom"/>
          </w:tcPr>
          <w:p w14:paraId="3973ECA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49" w:type="pct"/>
            <w:shd w:val="clear" w:color="auto" w:fill="CFF0FC"/>
            <w:noWrap/>
            <w:tcMar>
              <w:top w:w="15" w:type="dxa"/>
              <w:right w:w="15" w:type="dxa"/>
            </w:tcMar>
            <w:vAlign w:val="bottom"/>
          </w:tcPr>
          <w:p w14:paraId="3973EC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CA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CA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bottom w:val="single" w:sz="6" w:space="0" w:color="000000"/>
            </w:tcBorders>
            <w:shd w:val="clear" w:color="auto" w:fill="CFF0FC"/>
            <w:noWrap/>
            <w:tcMar>
              <w:top w:w="15" w:type="dxa"/>
              <w:right w:w="15" w:type="dxa"/>
            </w:tcMar>
            <w:vAlign w:val="bottom"/>
          </w:tcPr>
          <w:p w14:paraId="3973ECA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47" w:type="pct"/>
            <w:shd w:val="clear" w:color="auto" w:fill="CFF0FC"/>
            <w:noWrap/>
            <w:tcMar>
              <w:top w:w="15" w:type="dxa"/>
              <w:right w:w="15" w:type="dxa"/>
            </w:tcMar>
            <w:vAlign w:val="bottom"/>
          </w:tcPr>
          <w:p w14:paraId="3973ECA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C0" w14:textId="77777777">
        <w:tc>
          <w:tcPr>
            <w:tcW w:w="1989" w:type="pct"/>
            <w:shd w:val="clear" w:color="auto" w:fill="FFFFFF"/>
            <w:tcMar>
              <w:top w:w="15" w:type="dxa"/>
              <w:right w:w="15" w:type="dxa"/>
            </w:tcMar>
          </w:tcPr>
          <w:p w14:paraId="3973ECA7"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Fiscal 2019 Oracle Restructuring Plan</w:t>
            </w:r>
          </w:p>
        </w:tc>
        <w:tc>
          <w:tcPr>
            <w:tcW w:w="69" w:type="pct"/>
            <w:shd w:val="clear" w:color="auto" w:fill="FFFFFF"/>
            <w:tcMar>
              <w:top w:w="15" w:type="dxa"/>
              <w:right w:w="15" w:type="dxa"/>
            </w:tcMar>
            <w:vAlign w:val="bottom"/>
          </w:tcPr>
          <w:p w14:paraId="3973ECA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A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CA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138</w:t>
            </w:r>
          </w:p>
        </w:tc>
        <w:tc>
          <w:tcPr>
            <w:tcW w:w="49" w:type="pct"/>
            <w:shd w:val="clear" w:color="auto" w:fill="FFFFFF"/>
            <w:noWrap/>
            <w:tcMar>
              <w:top w:w="15" w:type="dxa"/>
              <w:right w:w="15" w:type="dxa"/>
            </w:tcMar>
            <w:vAlign w:val="bottom"/>
          </w:tcPr>
          <w:p w14:paraId="3973ECA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A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A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CA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455</w:t>
            </w:r>
          </w:p>
        </w:tc>
        <w:tc>
          <w:tcPr>
            <w:tcW w:w="49" w:type="pct"/>
            <w:shd w:val="clear" w:color="auto" w:fill="FFFFFF"/>
            <w:noWrap/>
            <w:tcMar>
              <w:top w:w="15" w:type="dxa"/>
              <w:right w:w="15" w:type="dxa"/>
            </w:tcMar>
            <w:vAlign w:val="bottom"/>
          </w:tcPr>
          <w:p w14:paraId="3973ECA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B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B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CB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49" w:type="pct"/>
            <w:shd w:val="clear" w:color="auto" w:fill="FFFFFF"/>
            <w:noWrap/>
            <w:tcMar>
              <w:top w:w="15" w:type="dxa"/>
              <w:right w:w="15" w:type="dxa"/>
            </w:tcMar>
            <w:vAlign w:val="bottom"/>
          </w:tcPr>
          <w:p w14:paraId="3973ECB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CB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B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CB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(371</w:t>
            </w:r>
          </w:p>
        </w:tc>
        <w:tc>
          <w:tcPr>
            <w:tcW w:w="49" w:type="pct"/>
            <w:shd w:val="clear" w:color="auto" w:fill="FFFFFF"/>
            <w:noWrap/>
            <w:tcMar>
              <w:top w:w="15" w:type="dxa"/>
              <w:right w:w="15" w:type="dxa"/>
            </w:tcMar>
            <w:vAlign w:val="bottom"/>
          </w:tcPr>
          <w:p w14:paraId="3973ECB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CB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B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single" w:sz="6" w:space="0" w:color="000000"/>
              <w:bottom w:val="double" w:sz="6" w:space="0" w:color="000000"/>
            </w:tcBorders>
            <w:shd w:val="clear" w:color="auto" w:fill="FFFFFF"/>
            <w:noWrap/>
            <w:tcMar>
              <w:top w:w="15" w:type="dxa"/>
              <w:right w:w="15" w:type="dxa"/>
            </w:tcMar>
            <w:vAlign w:val="bottom"/>
          </w:tcPr>
          <w:p w14:paraId="3973ECB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49" w:type="pct"/>
            <w:shd w:val="clear" w:color="auto" w:fill="FFFFFF"/>
            <w:noWrap/>
            <w:tcMar>
              <w:top w:w="15" w:type="dxa"/>
              <w:right w:w="15" w:type="dxa"/>
            </w:tcMar>
            <w:vAlign w:val="bottom"/>
          </w:tcPr>
          <w:p w14:paraId="3973ECB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FFFFFF"/>
            <w:tcMar>
              <w:top w:w="15" w:type="dxa"/>
              <w:right w:w="15" w:type="dxa"/>
            </w:tcMar>
            <w:vAlign w:val="bottom"/>
          </w:tcPr>
          <w:p w14:paraId="3973ECB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CB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single" w:sz="6" w:space="0" w:color="000000"/>
              <w:bottom w:val="double" w:sz="6" w:space="0" w:color="000000"/>
            </w:tcBorders>
            <w:shd w:val="clear" w:color="auto" w:fill="FFFFFF"/>
            <w:noWrap/>
            <w:tcMar>
              <w:top w:w="15" w:type="dxa"/>
              <w:right w:w="15" w:type="dxa"/>
            </w:tcMar>
            <w:vAlign w:val="bottom"/>
          </w:tcPr>
          <w:p w14:paraId="3973ECB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216</w:t>
            </w:r>
          </w:p>
        </w:tc>
        <w:tc>
          <w:tcPr>
            <w:tcW w:w="47" w:type="pct"/>
            <w:shd w:val="clear" w:color="auto" w:fill="FFFFFF"/>
            <w:noWrap/>
            <w:tcMar>
              <w:top w:w="15" w:type="dxa"/>
              <w:right w:w="15" w:type="dxa"/>
            </w:tcMar>
            <w:vAlign w:val="bottom"/>
          </w:tcPr>
          <w:p w14:paraId="3973ECB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DA" w14:textId="77777777">
        <w:tc>
          <w:tcPr>
            <w:tcW w:w="1989" w:type="pct"/>
            <w:shd w:val="clear" w:color="auto" w:fill="CFF0FC"/>
            <w:tcMar>
              <w:top w:w="15" w:type="dxa"/>
              <w:right w:w="15" w:type="dxa"/>
            </w:tcMar>
          </w:tcPr>
          <w:p w14:paraId="3973ECC1"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(6)</w:t>
            </w:r>
          </w:p>
        </w:tc>
        <w:tc>
          <w:tcPr>
            <w:tcW w:w="69" w:type="pct"/>
            <w:shd w:val="clear" w:color="auto" w:fill="CFF0FC"/>
            <w:tcMar>
              <w:top w:w="15" w:type="dxa"/>
              <w:right w:w="15" w:type="dxa"/>
            </w:tcMar>
            <w:vAlign w:val="bottom"/>
          </w:tcPr>
          <w:p w14:paraId="3973ECC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C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CC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49" w:type="pct"/>
            <w:shd w:val="clear" w:color="auto" w:fill="CFF0FC"/>
            <w:noWrap/>
            <w:tcMar>
              <w:top w:w="15" w:type="dxa"/>
              <w:right w:w="15" w:type="dxa"/>
            </w:tcMar>
            <w:vAlign w:val="bottom"/>
          </w:tcPr>
          <w:p w14:paraId="3973ECC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C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C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CC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9" w:type="pct"/>
            <w:shd w:val="clear" w:color="auto" w:fill="CFF0FC"/>
            <w:noWrap/>
            <w:tcMar>
              <w:top w:w="15" w:type="dxa"/>
              <w:right w:w="15" w:type="dxa"/>
            </w:tcMar>
            <w:vAlign w:val="bottom"/>
          </w:tcPr>
          <w:p w14:paraId="3973ECC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CC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C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CCC"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9" w:type="pct"/>
            <w:shd w:val="clear" w:color="auto" w:fill="CFF0FC"/>
            <w:noWrap/>
            <w:tcMar>
              <w:top w:w="15" w:type="dxa"/>
              <w:right w:w="15" w:type="dxa"/>
            </w:tcMar>
            <w:vAlign w:val="bottom"/>
          </w:tcPr>
          <w:p w14:paraId="3973ECC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CFF0FC"/>
            <w:tcMar>
              <w:top w:w="15" w:type="dxa"/>
              <w:right w:w="15" w:type="dxa"/>
            </w:tcMar>
            <w:vAlign w:val="bottom"/>
          </w:tcPr>
          <w:p w14:paraId="3973ECC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C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CD0"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49" w:type="pct"/>
            <w:shd w:val="clear" w:color="auto" w:fill="CFF0FC"/>
            <w:noWrap/>
            <w:tcMar>
              <w:top w:w="15" w:type="dxa"/>
              <w:right w:w="15" w:type="dxa"/>
            </w:tcMar>
            <w:vAlign w:val="bottom"/>
          </w:tcPr>
          <w:p w14:paraId="3973ECD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CD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D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CFF0FC"/>
            <w:noWrap/>
            <w:tcMar>
              <w:top w:w="15" w:type="dxa"/>
              <w:right w:w="15" w:type="dxa"/>
            </w:tcMar>
            <w:vAlign w:val="bottom"/>
          </w:tcPr>
          <w:p w14:paraId="3973ECD4"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CD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CD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CD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CFF0FC"/>
            <w:noWrap/>
            <w:tcMar>
              <w:top w:w="15" w:type="dxa"/>
              <w:right w:w="15" w:type="dxa"/>
            </w:tcMar>
            <w:vAlign w:val="bottom"/>
          </w:tcPr>
          <w:p w14:paraId="3973ECD8"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47" w:type="pct"/>
            <w:shd w:val="clear" w:color="auto" w:fill="CFF0FC"/>
            <w:noWrap/>
            <w:tcMar>
              <w:top w:w="15" w:type="dxa"/>
              <w:right w:w="15" w:type="dxa"/>
            </w:tcMar>
            <w:vAlign w:val="bottom"/>
          </w:tcPr>
          <w:p w14:paraId="3973ECD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CF4" w14:textId="77777777">
        <w:tc>
          <w:tcPr>
            <w:tcW w:w="1989" w:type="pct"/>
            <w:shd w:val="clear" w:color="auto" w:fill="FFFFFF"/>
            <w:tcMar>
              <w:top w:w="15" w:type="dxa"/>
              <w:right w:w="15" w:type="dxa"/>
            </w:tcMar>
          </w:tcPr>
          <w:p w14:paraId="3973ECDB" w14:textId="77777777" w:rsidR="007B027D" w:rsidRDefault="008E012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restructuring plans</w:t>
            </w:r>
          </w:p>
        </w:tc>
        <w:tc>
          <w:tcPr>
            <w:tcW w:w="69" w:type="pct"/>
            <w:shd w:val="clear" w:color="auto" w:fill="FFFFFF"/>
            <w:tcMar>
              <w:top w:w="15" w:type="dxa"/>
              <w:right w:w="15" w:type="dxa"/>
            </w:tcMar>
            <w:vAlign w:val="bottom"/>
          </w:tcPr>
          <w:p w14:paraId="3973ECDC"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D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CD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151</w:t>
            </w:r>
          </w:p>
        </w:tc>
        <w:tc>
          <w:tcPr>
            <w:tcW w:w="49" w:type="pct"/>
            <w:shd w:val="clear" w:color="auto" w:fill="FFFFFF"/>
            <w:noWrap/>
            <w:tcMar>
              <w:top w:w="15" w:type="dxa"/>
              <w:right w:w="15" w:type="dxa"/>
            </w:tcMar>
            <w:vAlign w:val="bottom"/>
          </w:tcPr>
          <w:p w14:paraId="3973ECD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E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E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CE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457</w:t>
            </w:r>
          </w:p>
        </w:tc>
        <w:tc>
          <w:tcPr>
            <w:tcW w:w="49" w:type="pct"/>
            <w:shd w:val="clear" w:color="auto" w:fill="FFFFFF"/>
            <w:noWrap/>
            <w:tcMar>
              <w:top w:w="15" w:type="dxa"/>
              <w:right w:w="15" w:type="dxa"/>
            </w:tcMar>
            <w:vAlign w:val="bottom"/>
          </w:tcPr>
          <w:p w14:paraId="3973ECE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CE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E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CE6"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w:t>
            </w:r>
          </w:p>
        </w:tc>
        <w:tc>
          <w:tcPr>
            <w:tcW w:w="49" w:type="pct"/>
            <w:shd w:val="clear" w:color="auto" w:fill="FFFFFF"/>
            <w:noWrap/>
            <w:tcMar>
              <w:top w:w="15" w:type="dxa"/>
              <w:right w:w="15" w:type="dxa"/>
            </w:tcMar>
            <w:vAlign w:val="bottom"/>
          </w:tcPr>
          <w:p w14:paraId="3973ECE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CE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E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CEA"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(376</w:t>
            </w:r>
          </w:p>
        </w:tc>
        <w:tc>
          <w:tcPr>
            <w:tcW w:w="49" w:type="pct"/>
            <w:shd w:val="clear" w:color="auto" w:fill="FFFFFF"/>
            <w:noWrap/>
            <w:tcMar>
              <w:top w:w="15" w:type="dxa"/>
              <w:right w:w="15" w:type="dxa"/>
            </w:tcMar>
            <w:vAlign w:val="bottom"/>
          </w:tcPr>
          <w:p w14:paraId="3973ECE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CE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E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FFFFFF"/>
            <w:noWrap/>
            <w:tcMar>
              <w:top w:w="15" w:type="dxa"/>
              <w:right w:w="15" w:type="dxa"/>
            </w:tcMar>
            <w:vAlign w:val="bottom"/>
          </w:tcPr>
          <w:p w14:paraId="3973ECEE"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49" w:type="pct"/>
            <w:shd w:val="clear" w:color="auto" w:fill="FFFFFF"/>
            <w:noWrap/>
            <w:tcMar>
              <w:top w:w="15" w:type="dxa"/>
              <w:right w:w="15" w:type="dxa"/>
            </w:tcMar>
            <w:vAlign w:val="bottom"/>
          </w:tcPr>
          <w:p w14:paraId="3973ECE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FFFFFF"/>
            <w:tcMar>
              <w:top w:w="15" w:type="dxa"/>
              <w:right w:w="15" w:type="dxa"/>
            </w:tcMar>
            <w:vAlign w:val="bottom"/>
          </w:tcPr>
          <w:p w14:paraId="3973ECF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CF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FFFFFF"/>
            <w:noWrap/>
            <w:tcMar>
              <w:top w:w="15" w:type="dxa"/>
              <w:right w:w="15" w:type="dxa"/>
            </w:tcMar>
            <w:vAlign w:val="bottom"/>
          </w:tcPr>
          <w:p w14:paraId="3973ECF2"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w:t>
            </w:r>
          </w:p>
        </w:tc>
        <w:tc>
          <w:tcPr>
            <w:tcW w:w="47" w:type="pct"/>
            <w:shd w:val="clear" w:color="auto" w:fill="FFFFFF"/>
            <w:noWrap/>
            <w:tcMar>
              <w:top w:w="15" w:type="dxa"/>
              <w:right w:w="15" w:type="dxa"/>
            </w:tcMar>
            <w:vAlign w:val="bottom"/>
          </w:tcPr>
          <w:p w14:paraId="3973ECF3"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CF5" w14:textId="77777777" w:rsidR="007B027D" w:rsidRDefault="008E0125">
      <w:pPr>
        <w:pStyle w:val="a3"/>
        <w:spacing w:beforeAutospacing="0" w:afterAutospacing="0"/>
        <w:rPr>
          <w:sz w:val="12"/>
          <w:szCs w:val="12"/>
        </w:rPr>
      </w:pPr>
      <w:r>
        <w:rPr>
          <w:sz w:val="12"/>
          <w:szCs w:val="12"/>
        </w:rPr>
        <w:t> </w:t>
      </w:r>
    </w:p>
    <w:p w14:paraId="3973ECF6"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Fiscal 2020 Activity</w:t>
      </w:r>
    </w:p>
    <w:p w14:paraId="3973ECF7" w14:textId="77777777" w:rsidR="007B027D" w:rsidRDefault="008E012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04"/>
        <w:gridCol w:w="107"/>
        <w:gridCol w:w="103"/>
        <w:gridCol w:w="596"/>
        <w:gridCol w:w="74"/>
        <w:gridCol w:w="54"/>
        <w:gridCol w:w="103"/>
        <w:gridCol w:w="596"/>
        <w:gridCol w:w="74"/>
        <w:gridCol w:w="54"/>
        <w:gridCol w:w="103"/>
        <w:gridCol w:w="596"/>
        <w:gridCol w:w="74"/>
        <w:gridCol w:w="54"/>
        <w:gridCol w:w="103"/>
        <w:gridCol w:w="596"/>
        <w:gridCol w:w="74"/>
        <w:gridCol w:w="54"/>
        <w:gridCol w:w="103"/>
        <w:gridCol w:w="599"/>
        <w:gridCol w:w="74"/>
        <w:gridCol w:w="54"/>
        <w:gridCol w:w="103"/>
        <w:gridCol w:w="598"/>
        <w:gridCol w:w="71"/>
      </w:tblGrid>
      <w:tr w:rsidR="007B027D" w14:paraId="3973ED06" w14:textId="77777777">
        <w:tc>
          <w:tcPr>
            <w:tcW w:w="1989" w:type="pct"/>
            <w:shd w:val="clear" w:color="auto" w:fill="FFFFFF"/>
            <w:tcMar>
              <w:top w:w="15" w:type="dxa"/>
              <w:right w:w="15" w:type="dxa"/>
            </w:tcMar>
            <w:vAlign w:val="bottom"/>
          </w:tcPr>
          <w:p w14:paraId="3973ECF8" w14:textId="77777777" w:rsidR="007B027D" w:rsidRDefault="008E012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9" w:type="pct"/>
            <w:shd w:val="clear" w:color="auto" w:fill="FFFFFF"/>
            <w:tcMar>
              <w:top w:w="15" w:type="dxa"/>
              <w:right w:w="15" w:type="dxa"/>
            </w:tcMar>
            <w:vAlign w:val="bottom"/>
          </w:tcPr>
          <w:p w14:paraId="3973ECF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vMerge w:val="restart"/>
            <w:shd w:val="clear" w:color="auto" w:fill="FFFFFF"/>
            <w:tcMar>
              <w:top w:w="15" w:type="dxa"/>
              <w:right w:w="15" w:type="dxa"/>
            </w:tcMar>
            <w:vAlign w:val="bottom"/>
          </w:tcPr>
          <w:p w14:paraId="3973ECF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CF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CF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49" w:type="pct"/>
            <w:shd w:val="clear" w:color="auto" w:fill="FFFFFF"/>
            <w:noWrap/>
            <w:tcMar>
              <w:top w:w="15" w:type="dxa"/>
              <w:right w:w="15" w:type="dxa"/>
            </w:tcMar>
            <w:vAlign w:val="bottom"/>
          </w:tcPr>
          <w:p w14:paraId="3973ECF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shd w:val="clear" w:color="auto" w:fill="FFFFFF"/>
            <w:tcMar>
              <w:top w:w="15" w:type="dxa"/>
              <w:right w:w="15" w:type="dxa"/>
            </w:tcMar>
            <w:vAlign w:val="bottom"/>
          </w:tcPr>
          <w:p w14:paraId="3973ECF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03" w:type="pct"/>
            <w:gridSpan w:val="14"/>
            <w:tcBorders>
              <w:bottom w:val="single" w:sz="6" w:space="0" w:color="000000"/>
            </w:tcBorders>
            <w:shd w:val="clear" w:color="auto" w:fill="FFFFFF"/>
            <w:tcMar>
              <w:top w:w="15" w:type="dxa"/>
              <w:right w:w="15" w:type="dxa"/>
            </w:tcMar>
            <w:vAlign w:val="bottom"/>
          </w:tcPr>
          <w:p w14:paraId="3973ECF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2020</w:t>
            </w:r>
          </w:p>
        </w:tc>
        <w:tc>
          <w:tcPr>
            <w:tcW w:w="49" w:type="pct"/>
            <w:shd w:val="clear" w:color="auto" w:fill="FFFFFF"/>
            <w:noWrap/>
            <w:tcMar>
              <w:top w:w="15" w:type="dxa"/>
              <w:right w:w="15" w:type="dxa"/>
            </w:tcMar>
            <w:vAlign w:val="bottom"/>
          </w:tcPr>
          <w:p w14:paraId="3973ED0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right w:w="15" w:type="dxa"/>
            </w:tcMar>
            <w:vAlign w:val="bottom"/>
          </w:tcPr>
          <w:p w14:paraId="3973ED0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vMerge w:val="restart"/>
            <w:shd w:val="clear" w:color="auto" w:fill="FFFFFF"/>
            <w:tcMar>
              <w:top w:w="15" w:type="dxa"/>
              <w:right w:w="15" w:type="dxa"/>
            </w:tcMar>
            <w:vAlign w:val="bottom"/>
          </w:tcPr>
          <w:p w14:paraId="3973ED0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3973ED0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973ED0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47" w:type="pct"/>
            <w:shd w:val="clear" w:color="auto" w:fill="FFFFFF"/>
            <w:noWrap/>
            <w:tcMar>
              <w:top w:w="15" w:type="dxa"/>
              <w:right w:w="15" w:type="dxa"/>
            </w:tcMar>
            <w:vAlign w:val="bottom"/>
          </w:tcPr>
          <w:p w14:paraId="3973ED0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D1D" w14:textId="77777777">
        <w:tc>
          <w:tcPr>
            <w:tcW w:w="1989" w:type="pct"/>
            <w:tcBorders>
              <w:bottom w:val="single" w:sz="6" w:space="0" w:color="000000"/>
            </w:tcBorders>
            <w:shd w:val="clear" w:color="auto" w:fill="FFFFFF"/>
            <w:tcMar>
              <w:top w:w="15" w:type="dxa"/>
              <w:right w:w="15" w:type="dxa"/>
            </w:tcMar>
            <w:vAlign w:val="bottom"/>
          </w:tcPr>
          <w:p w14:paraId="3973ED0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69" w:type="pct"/>
            <w:shd w:val="clear" w:color="auto" w:fill="FFFFFF"/>
            <w:tcMar>
              <w:top w:w="15" w:type="dxa"/>
              <w:right w:w="15" w:type="dxa"/>
            </w:tcMar>
            <w:vAlign w:val="bottom"/>
          </w:tcPr>
          <w:p w14:paraId="3973ED0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vMerge/>
            <w:shd w:val="clear" w:color="auto" w:fill="FFFFFF"/>
            <w:tcMar>
              <w:top w:w="15" w:type="dxa"/>
              <w:right w:w="15" w:type="dxa"/>
            </w:tcMar>
            <w:vAlign w:val="bottom"/>
          </w:tcPr>
          <w:p w14:paraId="3973ED09" w14:textId="77777777" w:rsidR="007B027D" w:rsidRDefault="007B027D">
            <w:pPr>
              <w:rPr>
                <w:rFonts w:ascii="宋体"/>
              </w:rPr>
            </w:pPr>
          </w:p>
        </w:tc>
        <w:tc>
          <w:tcPr>
            <w:tcW w:w="49" w:type="pct"/>
            <w:shd w:val="clear" w:color="auto" w:fill="FFFFFF"/>
            <w:noWrap/>
            <w:tcMar>
              <w:top w:w="15" w:type="dxa"/>
              <w:right w:w="15" w:type="dxa"/>
            </w:tcMar>
            <w:vAlign w:val="bottom"/>
          </w:tcPr>
          <w:p w14:paraId="3973ED0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 w:type="pct"/>
            <w:shd w:val="clear" w:color="auto" w:fill="FFFFFF"/>
            <w:tcMar>
              <w:top w:w="15" w:type="dxa"/>
              <w:right w:w="15" w:type="dxa"/>
            </w:tcMar>
            <w:vAlign w:val="bottom"/>
          </w:tcPr>
          <w:p w14:paraId="3973ED0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D0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3973ED0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9" w:type="pct"/>
            <w:shd w:val="clear" w:color="auto" w:fill="FFFFFF"/>
            <w:noWrap/>
            <w:tcMar>
              <w:top w:w="15" w:type="dxa"/>
              <w:right w:w="15" w:type="dxa"/>
            </w:tcMar>
            <w:vAlign w:val="bottom"/>
          </w:tcPr>
          <w:p w14:paraId="3973ED0E"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3973ED0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D1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3973ED1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9" w:type="pct"/>
            <w:shd w:val="clear" w:color="auto" w:fill="FFFFFF"/>
            <w:noWrap/>
            <w:tcMar>
              <w:top w:w="15" w:type="dxa"/>
              <w:right w:w="15" w:type="dxa"/>
            </w:tcMar>
            <w:vAlign w:val="bottom"/>
          </w:tcPr>
          <w:p w14:paraId="3973ED12"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7" w:type="pct"/>
            <w:tcBorders>
              <w:top w:val="single" w:sz="6" w:space="0" w:color="000000"/>
            </w:tcBorders>
            <w:shd w:val="clear" w:color="auto" w:fill="FFFFFF"/>
            <w:tcMar>
              <w:top w:w="15" w:type="dxa"/>
              <w:right w:w="15" w:type="dxa"/>
            </w:tcMar>
            <w:vAlign w:val="bottom"/>
          </w:tcPr>
          <w:p w14:paraId="3973ED1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3973ED1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3973ED1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9" w:type="pct"/>
            <w:shd w:val="clear" w:color="auto" w:fill="FFFFFF"/>
            <w:noWrap/>
            <w:tcMar>
              <w:top w:w="15" w:type="dxa"/>
              <w:right w:w="15" w:type="dxa"/>
            </w:tcMar>
            <w:vAlign w:val="bottom"/>
          </w:tcPr>
          <w:p w14:paraId="3973ED1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right w:w="15" w:type="dxa"/>
            </w:tcMar>
            <w:vAlign w:val="bottom"/>
          </w:tcPr>
          <w:p w14:paraId="3973ED1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tcBorders>
              <w:top w:val="single" w:sz="6" w:space="0" w:color="000000"/>
              <w:bottom w:val="single" w:sz="6" w:space="0" w:color="000000"/>
            </w:tcBorders>
            <w:shd w:val="clear" w:color="auto" w:fill="FFFFFF"/>
            <w:tcMar>
              <w:top w:w="15" w:type="dxa"/>
              <w:right w:w="15" w:type="dxa"/>
            </w:tcMar>
            <w:vAlign w:val="bottom"/>
          </w:tcPr>
          <w:p w14:paraId="3973ED1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9" w:type="pct"/>
            <w:shd w:val="clear" w:color="auto" w:fill="FFFFFF"/>
            <w:noWrap/>
            <w:tcMar>
              <w:top w:w="15" w:type="dxa"/>
              <w:right w:w="15" w:type="dxa"/>
            </w:tcMar>
            <w:vAlign w:val="bottom"/>
          </w:tcPr>
          <w:p w14:paraId="3973ED19"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8" w:type="pct"/>
            <w:shd w:val="clear" w:color="auto" w:fill="FFFFFF"/>
            <w:tcMar>
              <w:top w:w="15" w:type="dxa"/>
              <w:right w:w="15" w:type="dxa"/>
            </w:tcMar>
            <w:vAlign w:val="bottom"/>
          </w:tcPr>
          <w:p w14:paraId="3973ED1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9" w:type="pct"/>
            <w:gridSpan w:val="2"/>
            <w:vMerge/>
            <w:shd w:val="clear" w:color="auto" w:fill="FFFFFF"/>
            <w:tcMar>
              <w:top w:w="15" w:type="dxa"/>
              <w:right w:w="15" w:type="dxa"/>
            </w:tcMar>
            <w:vAlign w:val="bottom"/>
          </w:tcPr>
          <w:p w14:paraId="3973ED1B" w14:textId="77777777" w:rsidR="007B027D" w:rsidRDefault="007B027D">
            <w:pPr>
              <w:rPr>
                <w:rFonts w:ascii="宋体"/>
              </w:rPr>
            </w:pPr>
          </w:p>
        </w:tc>
        <w:tc>
          <w:tcPr>
            <w:tcW w:w="47" w:type="pct"/>
            <w:shd w:val="clear" w:color="auto" w:fill="FFFFFF"/>
            <w:noWrap/>
            <w:tcMar>
              <w:top w:w="15" w:type="dxa"/>
              <w:right w:w="15" w:type="dxa"/>
            </w:tcMar>
            <w:vAlign w:val="bottom"/>
          </w:tcPr>
          <w:p w14:paraId="3973ED1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D37" w14:textId="77777777">
        <w:tc>
          <w:tcPr>
            <w:tcW w:w="1989" w:type="pct"/>
            <w:tcBorders>
              <w:top w:val="single" w:sz="6" w:space="0" w:color="000000"/>
            </w:tcBorders>
            <w:shd w:val="clear" w:color="auto" w:fill="CFF0FC"/>
            <w:tcMar>
              <w:top w:w="15" w:type="dxa"/>
              <w:right w:w="15" w:type="dxa"/>
            </w:tcMar>
          </w:tcPr>
          <w:p w14:paraId="3973ED1E"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2019 Oracle Restructuring Plan</w:t>
            </w:r>
            <w:r>
              <w:rPr>
                <w:rFonts w:ascii="Calibri" w:hAnsi="Calibri" w:cs="Calibri"/>
                <w:color w:val="000000"/>
                <w:sz w:val="14"/>
                <w:szCs w:val="14"/>
              </w:rPr>
              <w:t>(1)</w:t>
            </w:r>
          </w:p>
        </w:tc>
        <w:tc>
          <w:tcPr>
            <w:tcW w:w="69" w:type="pct"/>
            <w:shd w:val="clear" w:color="auto" w:fill="CFF0FC"/>
            <w:tcMar>
              <w:top w:w="15" w:type="dxa"/>
              <w:right w:w="15" w:type="dxa"/>
            </w:tcMar>
            <w:vAlign w:val="bottom"/>
          </w:tcPr>
          <w:p w14:paraId="3973ED1F"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2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D2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D2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2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2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D2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D2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2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2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D2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D2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2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2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3973ED2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D2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D2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3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top w:val="single" w:sz="6" w:space="0" w:color="000000"/>
            </w:tcBorders>
            <w:shd w:val="clear" w:color="auto" w:fill="CFF0FC"/>
            <w:noWrap/>
            <w:tcMar>
              <w:top w:w="15" w:type="dxa"/>
              <w:right w:w="15" w:type="dxa"/>
            </w:tcMar>
            <w:vAlign w:val="bottom"/>
          </w:tcPr>
          <w:p w14:paraId="3973ED3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9" w:type="pct"/>
            <w:shd w:val="clear" w:color="auto" w:fill="CFF0FC"/>
            <w:noWrap/>
            <w:tcMar>
              <w:top w:w="15" w:type="dxa"/>
              <w:right w:w="15" w:type="dxa"/>
            </w:tcMar>
            <w:vAlign w:val="bottom"/>
          </w:tcPr>
          <w:p w14:paraId="3973ED3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D3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3973ED3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top w:val="single" w:sz="6" w:space="0" w:color="000000"/>
            </w:tcBorders>
            <w:shd w:val="clear" w:color="auto" w:fill="CFF0FC"/>
            <w:noWrap/>
            <w:tcMar>
              <w:top w:w="15" w:type="dxa"/>
              <w:right w:w="15" w:type="dxa"/>
            </w:tcMar>
            <w:vAlign w:val="bottom"/>
          </w:tcPr>
          <w:p w14:paraId="3973ED3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3973ED3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51" w14:textId="77777777">
        <w:tc>
          <w:tcPr>
            <w:tcW w:w="1989" w:type="pct"/>
            <w:shd w:val="clear" w:color="auto" w:fill="FFFFFF"/>
            <w:tcMar>
              <w:top w:w="15" w:type="dxa"/>
              <w:right w:w="15" w:type="dxa"/>
            </w:tcMar>
          </w:tcPr>
          <w:p w14:paraId="3973ED3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69" w:type="pct"/>
            <w:shd w:val="clear" w:color="auto" w:fill="FFFFFF"/>
            <w:tcMar>
              <w:top w:w="15" w:type="dxa"/>
              <w:right w:w="15" w:type="dxa"/>
            </w:tcMar>
            <w:vAlign w:val="bottom"/>
          </w:tcPr>
          <w:p w14:paraId="3973ED3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3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D3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w:t>
            </w:r>
          </w:p>
        </w:tc>
        <w:tc>
          <w:tcPr>
            <w:tcW w:w="49" w:type="pct"/>
            <w:shd w:val="clear" w:color="auto" w:fill="FFFFFF"/>
            <w:noWrap/>
            <w:tcMar>
              <w:top w:w="15" w:type="dxa"/>
              <w:right w:w="15" w:type="dxa"/>
            </w:tcMar>
            <w:vAlign w:val="bottom"/>
          </w:tcPr>
          <w:p w14:paraId="3973ED3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3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3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D3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140</w:t>
            </w:r>
          </w:p>
        </w:tc>
        <w:tc>
          <w:tcPr>
            <w:tcW w:w="49" w:type="pct"/>
            <w:shd w:val="clear" w:color="auto" w:fill="FFFFFF"/>
            <w:noWrap/>
            <w:tcMar>
              <w:top w:w="15" w:type="dxa"/>
              <w:right w:w="15" w:type="dxa"/>
            </w:tcMar>
            <w:vAlign w:val="bottom"/>
          </w:tcPr>
          <w:p w14:paraId="3973ED4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4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4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D4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49" w:type="pct"/>
            <w:shd w:val="clear" w:color="auto" w:fill="FFFFFF"/>
            <w:noWrap/>
            <w:tcMar>
              <w:top w:w="15" w:type="dxa"/>
              <w:right w:w="15" w:type="dxa"/>
            </w:tcMar>
            <w:vAlign w:val="bottom"/>
          </w:tcPr>
          <w:p w14:paraId="3973ED4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D4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4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3973ED4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w:t>
            </w:r>
          </w:p>
        </w:tc>
        <w:tc>
          <w:tcPr>
            <w:tcW w:w="49" w:type="pct"/>
            <w:shd w:val="clear" w:color="auto" w:fill="FFFFFF"/>
            <w:noWrap/>
            <w:tcMar>
              <w:top w:w="15" w:type="dxa"/>
              <w:right w:w="15" w:type="dxa"/>
            </w:tcMar>
            <w:vAlign w:val="bottom"/>
          </w:tcPr>
          <w:p w14:paraId="3973ED4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4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4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shd w:val="clear" w:color="auto" w:fill="FFFFFF"/>
            <w:noWrap/>
            <w:tcMar>
              <w:top w:w="15" w:type="dxa"/>
              <w:right w:w="15" w:type="dxa"/>
            </w:tcMar>
            <w:vAlign w:val="bottom"/>
          </w:tcPr>
          <w:p w14:paraId="3973ED4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9" w:type="pct"/>
            <w:shd w:val="clear" w:color="auto" w:fill="FFFFFF"/>
            <w:noWrap/>
            <w:tcMar>
              <w:top w:w="15" w:type="dxa"/>
              <w:right w:w="15" w:type="dxa"/>
            </w:tcMar>
            <w:vAlign w:val="bottom"/>
          </w:tcPr>
          <w:p w14:paraId="3973ED4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4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4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shd w:val="clear" w:color="auto" w:fill="FFFFFF"/>
            <w:noWrap/>
            <w:tcMar>
              <w:top w:w="15" w:type="dxa"/>
              <w:right w:w="15" w:type="dxa"/>
            </w:tcMar>
            <w:vAlign w:val="bottom"/>
          </w:tcPr>
          <w:p w14:paraId="3973ED4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w:t>
            </w:r>
          </w:p>
        </w:tc>
        <w:tc>
          <w:tcPr>
            <w:tcW w:w="47" w:type="pct"/>
            <w:shd w:val="clear" w:color="auto" w:fill="FFFFFF"/>
            <w:noWrap/>
            <w:tcMar>
              <w:top w:w="15" w:type="dxa"/>
              <w:right w:w="15" w:type="dxa"/>
            </w:tcMar>
            <w:vAlign w:val="bottom"/>
          </w:tcPr>
          <w:p w14:paraId="3973ED5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6B" w14:textId="77777777">
        <w:tc>
          <w:tcPr>
            <w:tcW w:w="1989" w:type="pct"/>
            <w:shd w:val="clear" w:color="auto" w:fill="CFF0FC"/>
            <w:tcMar>
              <w:top w:w="15" w:type="dxa"/>
              <w:right w:w="15" w:type="dxa"/>
            </w:tcMar>
          </w:tcPr>
          <w:p w14:paraId="3973ED5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69" w:type="pct"/>
            <w:shd w:val="clear" w:color="auto" w:fill="CFF0FC"/>
            <w:tcMar>
              <w:top w:w="15" w:type="dxa"/>
              <w:right w:w="15" w:type="dxa"/>
            </w:tcMar>
            <w:vAlign w:val="bottom"/>
          </w:tcPr>
          <w:p w14:paraId="3973ED5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5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D5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49" w:type="pct"/>
            <w:shd w:val="clear" w:color="auto" w:fill="CFF0FC"/>
            <w:noWrap/>
            <w:tcMar>
              <w:top w:w="15" w:type="dxa"/>
              <w:right w:w="15" w:type="dxa"/>
            </w:tcMar>
            <w:vAlign w:val="bottom"/>
          </w:tcPr>
          <w:p w14:paraId="3973ED5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5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5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D5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49" w:type="pct"/>
            <w:shd w:val="clear" w:color="auto" w:fill="CFF0FC"/>
            <w:noWrap/>
            <w:tcMar>
              <w:top w:w="15" w:type="dxa"/>
              <w:right w:w="15" w:type="dxa"/>
            </w:tcMar>
            <w:vAlign w:val="bottom"/>
          </w:tcPr>
          <w:p w14:paraId="3973ED5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5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5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D5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9" w:type="pct"/>
            <w:shd w:val="clear" w:color="auto" w:fill="CFF0FC"/>
            <w:noWrap/>
            <w:tcMar>
              <w:top w:w="15" w:type="dxa"/>
              <w:right w:w="15" w:type="dxa"/>
            </w:tcMar>
            <w:vAlign w:val="bottom"/>
          </w:tcPr>
          <w:p w14:paraId="3973ED5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CFF0FC"/>
            <w:tcMar>
              <w:top w:w="15" w:type="dxa"/>
              <w:right w:w="15" w:type="dxa"/>
            </w:tcMar>
            <w:vAlign w:val="bottom"/>
          </w:tcPr>
          <w:p w14:paraId="3973ED5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6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3973ED6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49" w:type="pct"/>
            <w:shd w:val="clear" w:color="auto" w:fill="CFF0FC"/>
            <w:noWrap/>
            <w:tcMar>
              <w:top w:w="15" w:type="dxa"/>
              <w:right w:w="15" w:type="dxa"/>
            </w:tcMar>
            <w:vAlign w:val="bottom"/>
          </w:tcPr>
          <w:p w14:paraId="3973ED6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D6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6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CFF0FC"/>
            <w:noWrap/>
            <w:tcMar>
              <w:top w:w="15" w:type="dxa"/>
              <w:right w:w="15" w:type="dxa"/>
            </w:tcMar>
            <w:vAlign w:val="bottom"/>
          </w:tcPr>
          <w:p w14:paraId="3973ED6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D6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CFF0FC"/>
            <w:tcMar>
              <w:top w:w="15" w:type="dxa"/>
              <w:right w:w="15" w:type="dxa"/>
            </w:tcMar>
            <w:vAlign w:val="bottom"/>
          </w:tcPr>
          <w:p w14:paraId="3973ED6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3973ED6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CFF0FC"/>
            <w:noWrap/>
            <w:tcMar>
              <w:top w:w="15" w:type="dxa"/>
              <w:right w:w="15" w:type="dxa"/>
            </w:tcMar>
            <w:vAlign w:val="bottom"/>
          </w:tcPr>
          <w:p w14:paraId="3973ED6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47" w:type="pct"/>
            <w:shd w:val="clear" w:color="auto" w:fill="CFF0FC"/>
            <w:noWrap/>
            <w:tcMar>
              <w:top w:w="15" w:type="dxa"/>
              <w:right w:w="15" w:type="dxa"/>
            </w:tcMar>
            <w:vAlign w:val="bottom"/>
          </w:tcPr>
          <w:p w14:paraId="3973ED6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85" w14:textId="77777777">
        <w:tc>
          <w:tcPr>
            <w:tcW w:w="1989" w:type="pct"/>
            <w:shd w:val="clear" w:color="auto" w:fill="FFFFFF"/>
            <w:tcMar>
              <w:top w:w="15" w:type="dxa"/>
              <w:right w:w="15" w:type="dxa"/>
            </w:tcMar>
          </w:tcPr>
          <w:p w14:paraId="3973ED6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69" w:type="pct"/>
            <w:shd w:val="clear" w:color="auto" w:fill="FFFFFF"/>
            <w:tcMar>
              <w:top w:w="15" w:type="dxa"/>
              <w:right w:w="15" w:type="dxa"/>
            </w:tcMar>
            <w:vAlign w:val="bottom"/>
          </w:tcPr>
          <w:p w14:paraId="3973ED6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6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D6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49" w:type="pct"/>
            <w:shd w:val="clear" w:color="auto" w:fill="FFFFFF"/>
            <w:noWrap/>
            <w:tcMar>
              <w:top w:w="15" w:type="dxa"/>
              <w:right w:w="15" w:type="dxa"/>
            </w:tcMar>
            <w:vAlign w:val="bottom"/>
          </w:tcPr>
          <w:p w14:paraId="3973ED7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7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7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D7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w:t>
            </w:r>
          </w:p>
        </w:tc>
        <w:tc>
          <w:tcPr>
            <w:tcW w:w="49" w:type="pct"/>
            <w:shd w:val="clear" w:color="auto" w:fill="FFFFFF"/>
            <w:noWrap/>
            <w:tcMar>
              <w:top w:w="15" w:type="dxa"/>
              <w:right w:w="15" w:type="dxa"/>
            </w:tcMar>
            <w:vAlign w:val="bottom"/>
          </w:tcPr>
          <w:p w14:paraId="3973ED7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7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7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D7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9" w:type="pct"/>
            <w:shd w:val="clear" w:color="auto" w:fill="FFFFFF"/>
            <w:noWrap/>
            <w:tcMar>
              <w:top w:w="15" w:type="dxa"/>
              <w:right w:w="15" w:type="dxa"/>
            </w:tcMar>
            <w:vAlign w:val="bottom"/>
          </w:tcPr>
          <w:p w14:paraId="3973ED7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D7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7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3973ED7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49" w:type="pct"/>
            <w:shd w:val="clear" w:color="auto" w:fill="FFFFFF"/>
            <w:noWrap/>
            <w:tcMar>
              <w:top w:w="15" w:type="dxa"/>
              <w:right w:w="15" w:type="dxa"/>
            </w:tcMar>
            <w:vAlign w:val="bottom"/>
          </w:tcPr>
          <w:p w14:paraId="3973ED7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7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7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FFFFFF"/>
            <w:noWrap/>
            <w:tcMar>
              <w:top w:w="15" w:type="dxa"/>
              <w:right w:w="15" w:type="dxa"/>
            </w:tcMar>
            <w:vAlign w:val="bottom"/>
          </w:tcPr>
          <w:p w14:paraId="3973ED7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FFFFFF"/>
            <w:noWrap/>
            <w:tcMar>
              <w:top w:w="15" w:type="dxa"/>
              <w:right w:w="15" w:type="dxa"/>
            </w:tcMar>
            <w:vAlign w:val="bottom"/>
          </w:tcPr>
          <w:p w14:paraId="3973ED8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 w:type="pct"/>
            <w:shd w:val="clear" w:color="auto" w:fill="FFFFFF"/>
            <w:tcMar>
              <w:top w:w="15" w:type="dxa"/>
              <w:right w:w="15" w:type="dxa"/>
            </w:tcMar>
            <w:vAlign w:val="bottom"/>
          </w:tcPr>
          <w:p w14:paraId="3973ED8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3973ED8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shd w:val="clear" w:color="auto" w:fill="FFFFFF"/>
            <w:noWrap/>
            <w:tcMar>
              <w:top w:w="15" w:type="dxa"/>
              <w:right w:w="15" w:type="dxa"/>
            </w:tcMar>
            <w:vAlign w:val="bottom"/>
          </w:tcPr>
          <w:p w14:paraId="3973ED8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47" w:type="pct"/>
            <w:shd w:val="clear" w:color="auto" w:fill="FFFFFF"/>
            <w:noWrap/>
            <w:tcMar>
              <w:top w:w="15" w:type="dxa"/>
              <w:right w:w="15" w:type="dxa"/>
            </w:tcMar>
            <w:vAlign w:val="bottom"/>
          </w:tcPr>
          <w:p w14:paraId="3973ED8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9F" w14:textId="77777777">
        <w:tc>
          <w:tcPr>
            <w:tcW w:w="1989" w:type="pct"/>
            <w:shd w:val="clear" w:color="auto" w:fill="CFF0FC"/>
            <w:tcMar>
              <w:top w:w="15" w:type="dxa"/>
              <w:right w:w="15" w:type="dxa"/>
            </w:tcMar>
          </w:tcPr>
          <w:p w14:paraId="3973ED8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69" w:type="pct"/>
            <w:shd w:val="clear" w:color="auto" w:fill="CFF0FC"/>
            <w:tcMar>
              <w:top w:w="15" w:type="dxa"/>
              <w:right w:w="15" w:type="dxa"/>
            </w:tcMar>
            <w:vAlign w:val="bottom"/>
          </w:tcPr>
          <w:p w14:paraId="3973ED8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8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D8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49" w:type="pct"/>
            <w:shd w:val="clear" w:color="auto" w:fill="CFF0FC"/>
            <w:noWrap/>
            <w:tcMar>
              <w:top w:w="15" w:type="dxa"/>
              <w:right w:w="15" w:type="dxa"/>
            </w:tcMar>
            <w:vAlign w:val="bottom"/>
          </w:tcPr>
          <w:p w14:paraId="3973ED8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8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8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D8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w:t>
            </w:r>
          </w:p>
        </w:tc>
        <w:tc>
          <w:tcPr>
            <w:tcW w:w="49" w:type="pct"/>
            <w:shd w:val="clear" w:color="auto" w:fill="CFF0FC"/>
            <w:noWrap/>
            <w:tcMar>
              <w:top w:w="15" w:type="dxa"/>
              <w:right w:w="15" w:type="dxa"/>
            </w:tcMar>
            <w:vAlign w:val="bottom"/>
          </w:tcPr>
          <w:p w14:paraId="3973ED8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8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9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D9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49" w:type="pct"/>
            <w:shd w:val="clear" w:color="auto" w:fill="CFF0FC"/>
            <w:noWrap/>
            <w:tcMar>
              <w:top w:w="15" w:type="dxa"/>
              <w:right w:w="15" w:type="dxa"/>
            </w:tcMar>
            <w:vAlign w:val="bottom"/>
          </w:tcPr>
          <w:p w14:paraId="3973ED9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9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9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3973ED9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w:t>
            </w:r>
          </w:p>
        </w:tc>
        <w:tc>
          <w:tcPr>
            <w:tcW w:w="49" w:type="pct"/>
            <w:shd w:val="clear" w:color="auto" w:fill="CFF0FC"/>
            <w:noWrap/>
            <w:tcMar>
              <w:top w:w="15" w:type="dxa"/>
              <w:right w:w="15" w:type="dxa"/>
            </w:tcMar>
            <w:vAlign w:val="bottom"/>
          </w:tcPr>
          <w:p w14:paraId="3973ED9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D9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9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bottom w:val="single" w:sz="6" w:space="0" w:color="000000"/>
            </w:tcBorders>
            <w:shd w:val="clear" w:color="auto" w:fill="CFF0FC"/>
            <w:noWrap/>
            <w:tcMar>
              <w:top w:w="15" w:type="dxa"/>
              <w:right w:w="15" w:type="dxa"/>
            </w:tcMar>
            <w:vAlign w:val="bottom"/>
          </w:tcPr>
          <w:p w14:paraId="3973ED9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49" w:type="pct"/>
            <w:shd w:val="clear" w:color="auto" w:fill="CFF0FC"/>
            <w:noWrap/>
            <w:tcMar>
              <w:top w:w="15" w:type="dxa"/>
              <w:right w:w="15" w:type="dxa"/>
            </w:tcMar>
            <w:vAlign w:val="bottom"/>
          </w:tcPr>
          <w:p w14:paraId="3973ED9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D9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3973ED9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4" w:type="pct"/>
            <w:tcBorders>
              <w:bottom w:val="single" w:sz="6" w:space="0" w:color="000000"/>
            </w:tcBorders>
            <w:shd w:val="clear" w:color="auto" w:fill="CFF0FC"/>
            <w:noWrap/>
            <w:tcMar>
              <w:top w:w="15" w:type="dxa"/>
              <w:right w:w="15" w:type="dxa"/>
            </w:tcMar>
            <w:vAlign w:val="bottom"/>
          </w:tcPr>
          <w:p w14:paraId="3973ED9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47" w:type="pct"/>
            <w:shd w:val="clear" w:color="auto" w:fill="CFF0FC"/>
            <w:noWrap/>
            <w:tcMar>
              <w:top w:w="15" w:type="dxa"/>
              <w:right w:w="15" w:type="dxa"/>
            </w:tcMar>
            <w:vAlign w:val="bottom"/>
          </w:tcPr>
          <w:p w14:paraId="3973ED9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B9" w14:textId="77777777">
        <w:tc>
          <w:tcPr>
            <w:tcW w:w="1989" w:type="pct"/>
            <w:shd w:val="clear" w:color="auto" w:fill="FFFFFF"/>
            <w:tcMar>
              <w:top w:w="15" w:type="dxa"/>
              <w:right w:w="15" w:type="dxa"/>
            </w:tcMar>
          </w:tcPr>
          <w:p w14:paraId="3973EDA0"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Fiscal 2019 Oracle Restructuring Plan</w:t>
            </w:r>
          </w:p>
        </w:tc>
        <w:tc>
          <w:tcPr>
            <w:tcW w:w="69" w:type="pct"/>
            <w:shd w:val="clear" w:color="auto" w:fill="FFFFFF"/>
            <w:tcMar>
              <w:top w:w="15" w:type="dxa"/>
              <w:right w:w="15" w:type="dxa"/>
            </w:tcMar>
            <w:vAlign w:val="bottom"/>
          </w:tcPr>
          <w:p w14:paraId="3973EDA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A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DA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w:t>
            </w:r>
          </w:p>
        </w:tc>
        <w:tc>
          <w:tcPr>
            <w:tcW w:w="49" w:type="pct"/>
            <w:shd w:val="clear" w:color="auto" w:fill="FFFFFF"/>
            <w:noWrap/>
            <w:tcMar>
              <w:top w:w="15" w:type="dxa"/>
              <w:right w:w="15" w:type="dxa"/>
            </w:tcMar>
            <w:vAlign w:val="bottom"/>
          </w:tcPr>
          <w:p w14:paraId="3973EDA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A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A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DA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w:t>
            </w:r>
          </w:p>
        </w:tc>
        <w:tc>
          <w:tcPr>
            <w:tcW w:w="49" w:type="pct"/>
            <w:shd w:val="clear" w:color="auto" w:fill="FFFFFF"/>
            <w:noWrap/>
            <w:tcMar>
              <w:top w:w="15" w:type="dxa"/>
              <w:right w:w="15" w:type="dxa"/>
            </w:tcMar>
            <w:vAlign w:val="bottom"/>
          </w:tcPr>
          <w:p w14:paraId="3973EDA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A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A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DA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49" w:type="pct"/>
            <w:shd w:val="clear" w:color="auto" w:fill="FFFFFF"/>
            <w:noWrap/>
            <w:tcMar>
              <w:top w:w="15" w:type="dxa"/>
              <w:right w:w="15" w:type="dxa"/>
            </w:tcMar>
            <w:vAlign w:val="bottom"/>
          </w:tcPr>
          <w:p w14:paraId="3973EDA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DA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A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3973EDA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(291</w:t>
            </w:r>
          </w:p>
        </w:tc>
        <w:tc>
          <w:tcPr>
            <w:tcW w:w="49" w:type="pct"/>
            <w:shd w:val="clear" w:color="auto" w:fill="FFFFFF"/>
            <w:noWrap/>
            <w:tcMar>
              <w:top w:w="15" w:type="dxa"/>
              <w:right w:w="15" w:type="dxa"/>
            </w:tcMar>
            <w:vAlign w:val="bottom"/>
          </w:tcPr>
          <w:p w14:paraId="3973EDB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B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B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single" w:sz="6" w:space="0" w:color="000000"/>
              <w:bottom w:val="double" w:sz="6" w:space="0" w:color="000000"/>
            </w:tcBorders>
            <w:shd w:val="clear" w:color="auto" w:fill="FFFFFF"/>
            <w:noWrap/>
            <w:tcMar>
              <w:top w:w="15" w:type="dxa"/>
              <w:right w:w="15" w:type="dxa"/>
            </w:tcMar>
            <w:vAlign w:val="bottom"/>
          </w:tcPr>
          <w:p w14:paraId="3973EDB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49" w:type="pct"/>
            <w:shd w:val="clear" w:color="auto" w:fill="FFFFFF"/>
            <w:noWrap/>
            <w:tcMar>
              <w:top w:w="15" w:type="dxa"/>
              <w:right w:w="15" w:type="dxa"/>
            </w:tcMar>
            <w:vAlign w:val="bottom"/>
          </w:tcPr>
          <w:p w14:paraId="3973EDB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B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3973EDB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single" w:sz="6" w:space="0" w:color="000000"/>
              <w:bottom w:val="double" w:sz="6" w:space="0" w:color="000000"/>
            </w:tcBorders>
            <w:shd w:val="clear" w:color="auto" w:fill="FFFFFF"/>
            <w:noWrap/>
            <w:tcMar>
              <w:top w:w="15" w:type="dxa"/>
              <w:right w:w="15" w:type="dxa"/>
            </w:tcMar>
            <w:vAlign w:val="bottom"/>
          </w:tcPr>
          <w:p w14:paraId="3973EDB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138</w:t>
            </w:r>
          </w:p>
        </w:tc>
        <w:tc>
          <w:tcPr>
            <w:tcW w:w="47" w:type="pct"/>
            <w:shd w:val="clear" w:color="auto" w:fill="FFFFFF"/>
            <w:noWrap/>
            <w:tcMar>
              <w:top w:w="15" w:type="dxa"/>
              <w:right w:w="15" w:type="dxa"/>
            </w:tcMar>
            <w:vAlign w:val="bottom"/>
          </w:tcPr>
          <w:p w14:paraId="3973EDB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D3" w14:textId="77777777">
        <w:tc>
          <w:tcPr>
            <w:tcW w:w="1989" w:type="pct"/>
            <w:shd w:val="clear" w:color="auto" w:fill="CFF0FC"/>
            <w:tcMar>
              <w:top w:w="15" w:type="dxa"/>
              <w:right w:w="15" w:type="dxa"/>
            </w:tcMar>
          </w:tcPr>
          <w:p w14:paraId="3973EDBA" w14:textId="77777777" w:rsidR="007B027D" w:rsidRDefault="008E012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(6)</w:t>
            </w:r>
          </w:p>
        </w:tc>
        <w:tc>
          <w:tcPr>
            <w:tcW w:w="69" w:type="pct"/>
            <w:shd w:val="clear" w:color="auto" w:fill="CFF0FC"/>
            <w:tcMar>
              <w:top w:w="15" w:type="dxa"/>
              <w:right w:w="15" w:type="dxa"/>
            </w:tcMar>
            <w:vAlign w:val="bottom"/>
          </w:tcPr>
          <w:p w14:paraId="3973EDB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B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DB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w:t>
            </w:r>
          </w:p>
        </w:tc>
        <w:tc>
          <w:tcPr>
            <w:tcW w:w="49" w:type="pct"/>
            <w:shd w:val="clear" w:color="auto" w:fill="CFF0FC"/>
            <w:noWrap/>
            <w:tcMar>
              <w:top w:w="15" w:type="dxa"/>
              <w:right w:w="15" w:type="dxa"/>
            </w:tcMar>
            <w:vAlign w:val="bottom"/>
          </w:tcPr>
          <w:p w14:paraId="3973EDB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B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C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DC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9" w:type="pct"/>
            <w:shd w:val="clear" w:color="auto" w:fill="CFF0FC"/>
            <w:noWrap/>
            <w:tcMar>
              <w:top w:w="15" w:type="dxa"/>
              <w:right w:w="15" w:type="dxa"/>
            </w:tcMar>
            <w:vAlign w:val="bottom"/>
          </w:tcPr>
          <w:p w14:paraId="3973EDC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CFF0FC"/>
            <w:tcMar>
              <w:top w:w="15" w:type="dxa"/>
              <w:right w:w="15" w:type="dxa"/>
            </w:tcMar>
            <w:vAlign w:val="bottom"/>
          </w:tcPr>
          <w:p w14:paraId="3973EDC3"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C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DC5"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9" w:type="pct"/>
            <w:shd w:val="clear" w:color="auto" w:fill="CFF0FC"/>
            <w:noWrap/>
            <w:tcMar>
              <w:top w:w="15" w:type="dxa"/>
              <w:right w:w="15" w:type="dxa"/>
            </w:tcMar>
            <w:vAlign w:val="bottom"/>
          </w:tcPr>
          <w:p w14:paraId="3973EDC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CFF0FC"/>
            <w:tcMar>
              <w:top w:w="15" w:type="dxa"/>
              <w:right w:w="15" w:type="dxa"/>
            </w:tcMar>
            <w:vAlign w:val="bottom"/>
          </w:tcPr>
          <w:p w14:paraId="3973EDC7"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C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3973EDC9"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49" w:type="pct"/>
            <w:shd w:val="clear" w:color="auto" w:fill="CFF0FC"/>
            <w:noWrap/>
            <w:tcMar>
              <w:top w:w="15" w:type="dxa"/>
              <w:right w:w="15" w:type="dxa"/>
            </w:tcMar>
            <w:vAlign w:val="bottom"/>
          </w:tcPr>
          <w:p w14:paraId="3973EDC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DCB"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C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CFF0FC"/>
            <w:noWrap/>
            <w:tcMar>
              <w:top w:w="15" w:type="dxa"/>
              <w:right w:w="15" w:type="dxa"/>
            </w:tcMar>
            <w:vAlign w:val="bottom"/>
          </w:tcPr>
          <w:p w14:paraId="3973EDCD"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49" w:type="pct"/>
            <w:shd w:val="clear" w:color="auto" w:fill="CFF0FC"/>
            <w:noWrap/>
            <w:tcMar>
              <w:top w:w="15" w:type="dxa"/>
              <w:right w:w="15" w:type="dxa"/>
            </w:tcMar>
            <w:vAlign w:val="bottom"/>
          </w:tcPr>
          <w:p w14:paraId="3973EDC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CFF0FC"/>
            <w:tcMar>
              <w:top w:w="15" w:type="dxa"/>
              <w:right w:w="15" w:type="dxa"/>
            </w:tcMar>
            <w:vAlign w:val="bottom"/>
          </w:tcPr>
          <w:p w14:paraId="3973EDCF"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3973EDD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CFF0FC"/>
            <w:noWrap/>
            <w:tcMar>
              <w:top w:w="15" w:type="dxa"/>
              <w:right w:w="15" w:type="dxa"/>
            </w:tcMar>
            <w:vAlign w:val="bottom"/>
          </w:tcPr>
          <w:p w14:paraId="3973EDD1"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47" w:type="pct"/>
            <w:shd w:val="clear" w:color="auto" w:fill="CFF0FC"/>
            <w:noWrap/>
            <w:tcMar>
              <w:top w:w="15" w:type="dxa"/>
              <w:right w:w="15" w:type="dxa"/>
            </w:tcMar>
            <w:vAlign w:val="bottom"/>
          </w:tcPr>
          <w:p w14:paraId="3973EDD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7B027D" w14:paraId="3973EDED" w14:textId="77777777">
        <w:tc>
          <w:tcPr>
            <w:tcW w:w="1989" w:type="pct"/>
            <w:shd w:val="clear" w:color="auto" w:fill="FFFFFF"/>
            <w:tcMar>
              <w:top w:w="15" w:type="dxa"/>
              <w:right w:w="15" w:type="dxa"/>
            </w:tcMar>
          </w:tcPr>
          <w:p w14:paraId="3973EDD4" w14:textId="77777777" w:rsidR="007B027D" w:rsidRDefault="008E012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restructuring plans</w:t>
            </w:r>
          </w:p>
        </w:tc>
        <w:tc>
          <w:tcPr>
            <w:tcW w:w="69" w:type="pct"/>
            <w:shd w:val="clear" w:color="auto" w:fill="FFFFFF"/>
            <w:tcMar>
              <w:top w:w="15" w:type="dxa"/>
              <w:right w:w="15" w:type="dxa"/>
            </w:tcMar>
            <w:vAlign w:val="bottom"/>
          </w:tcPr>
          <w:p w14:paraId="3973EDD5" w14:textId="77777777" w:rsidR="007B027D" w:rsidRDefault="008E012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D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DD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262</w:t>
            </w:r>
          </w:p>
        </w:tc>
        <w:tc>
          <w:tcPr>
            <w:tcW w:w="49" w:type="pct"/>
            <w:shd w:val="clear" w:color="auto" w:fill="FFFFFF"/>
            <w:noWrap/>
            <w:tcMar>
              <w:top w:w="15" w:type="dxa"/>
              <w:right w:w="15" w:type="dxa"/>
            </w:tcMar>
            <w:vAlign w:val="bottom"/>
          </w:tcPr>
          <w:p w14:paraId="3973EDD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D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D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DD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w:t>
            </w:r>
          </w:p>
        </w:tc>
        <w:tc>
          <w:tcPr>
            <w:tcW w:w="49" w:type="pct"/>
            <w:shd w:val="clear" w:color="auto" w:fill="FFFFFF"/>
            <w:noWrap/>
            <w:tcMar>
              <w:top w:w="15" w:type="dxa"/>
              <w:right w:w="15" w:type="dxa"/>
            </w:tcMar>
            <w:vAlign w:val="bottom"/>
          </w:tcPr>
          <w:p w14:paraId="3973EDDC"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 w:type="pct"/>
            <w:shd w:val="clear" w:color="auto" w:fill="FFFFFF"/>
            <w:tcMar>
              <w:top w:w="15" w:type="dxa"/>
              <w:right w:w="15" w:type="dxa"/>
            </w:tcMar>
            <w:vAlign w:val="bottom"/>
          </w:tcPr>
          <w:p w14:paraId="3973EDDD"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DE"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DDF"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49" w:type="pct"/>
            <w:shd w:val="clear" w:color="auto" w:fill="FFFFFF"/>
            <w:noWrap/>
            <w:tcMar>
              <w:top w:w="15" w:type="dxa"/>
              <w:right w:w="15" w:type="dxa"/>
            </w:tcMar>
            <w:vAlign w:val="bottom"/>
          </w:tcPr>
          <w:p w14:paraId="3973EDE0"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 w:type="pct"/>
            <w:shd w:val="clear" w:color="auto" w:fill="FFFFFF"/>
            <w:tcMar>
              <w:top w:w="15" w:type="dxa"/>
              <w:right w:w="15" w:type="dxa"/>
            </w:tcMar>
            <w:vAlign w:val="bottom"/>
          </w:tcPr>
          <w:p w14:paraId="3973EDE1"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E2"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3973EDE3"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(299</w:t>
            </w:r>
          </w:p>
        </w:tc>
        <w:tc>
          <w:tcPr>
            <w:tcW w:w="49" w:type="pct"/>
            <w:shd w:val="clear" w:color="auto" w:fill="FFFFFF"/>
            <w:noWrap/>
            <w:tcMar>
              <w:top w:w="15" w:type="dxa"/>
              <w:right w:w="15" w:type="dxa"/>
            </w:tcMar>
            <w:vAlign w:val="bottom"/>
          </w:tcPr>
          <w:p w14:paraId="3973EDE4"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E5"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E6"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FFFFFF"/>
            <w:noWrap/>
            <w:tcMar>
              <w:top w:w="15" w:type="dxa"/>
              <w:right w:w="15" w:type="dxa"/>
            </w:tcMar>
            <w:vAlign w:val="bottom"/>
          </w:tcPr>
          <w:p w14:paraId="3973EDE7"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49" w:type="pct"/>
            <w:shd w:val="clear" w:color="auto" w:fill="FFFFFF"/>
            <w:noWrap/>
            <w:tcMar>
              <w:top w:w="15" w:type="dxa"/>
              <w:right w:w="15" w:type="dxa"/>
            </w:tcMar>
            <w:vAlign w:val="bottom"/>
          </w:tcPr>
          <w:p w14:paraId="3973EDE8"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 w:type="pct"/>
            <w:shd w:val="clear" w:color="auto" w:fill="FFFFFF"/>
            <w:tcMar>
              <w:top w:w="15" w:type="dxa"/>
              <w:right w:w="15" w:type="dxa"/>
            </w:tcMar>
            <w:vAlign w:val="bottom"/>
          </w:tcPr>
          <w:p w14:paraId="3973EDE9"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3973EDEA" w14:textId="77777777" w:rsidR="007B027D" w:rsidRDefault="008E012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4" w:type="pct"/>
            <w:tcBorders>
              <w:top w:val="double" w:sz="6" w:space="0" w:color="000000"/>
              <w:bottom w:val="double" w:sz="6" w:space="0" w:color="000000"/>
            </w:tcBorders>
            <w:shd w:val="clear" w:color="auto" w:fill="FFFFFF"/>
            <w:noWrap/>
            <w:tcMar>
              <w:top w:w="15" w:type="dxa"/>
              <w:right w:w="15" w:type="dxa"/>
            </w:tcMar>
            <w:vAlign w:val="bottom"/>
          </w:tcPr>
          <w:p w14:paraId="3973EDEB" w14:textId="77777777" w:rsidR="007B027D" w:rsidRDefault="008E012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151</w:t>
            </w:r>
          </w:p>
        </w:tc>
        <w:tc>
          <w:tcPr>
            <w:tcW w:w="47" w:type="pct"/>
            <w:shd w:val="clear" w:color="auto" w:fill="FFFFFF"/>
            <w:noWrap/>
            <w:tcMar>
              <w:top w:w="15" w:type="dxa"/>
              <w:right w:w="15" w:type="dxa"/>
            </w:tcMar>
            <w:vAlign w:val="bottom"/>
          </w:tcPr>
          <w:p w14:paraId="3973EDEC"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DEE" w14:textId="77777777" w:rsidR="007B027D" w:rsidRDefault="008E0125">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DF1" w14:textId="77777777">
        <w:tc>
          <w:tcPr>
            <w:tcW w:w="192" w:type="pct"/>
            <w:shd w:val="clear" w:color="auto" w:fill="auto"/>
            <w:noWrap/>
          </w:tcPr>
          <w:p w14:paraId="3973EDEF"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EDF0"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 xml:space="preserve">Restructuring costs recorded to each of the operating segments presented primarily related to employee </w:t>
            </w:r>
            <w:r>
              <w:rPr>
                <w:rFonts w:ascii="Calibri" w:hAnsi="Calibri" w:cs="Calibri"/>
                <w:sz w:val="15"/>
                <w:szCs w:val="15"/>
              </w:rPr>
              <w:t>severance costs. Other restructuring costs represented employee severance costs not related to our operating segments and certain other restructuring plan costs.</w:t>
            </w:r>
          </w:p>
        </w:tc>
      </w:tr>
    </w:tbl>
    <w:p w14:paraId="3973EDF2"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90</w:t>
      </w:r>
    </w:p>
    <w:p w14:paraId="3973EDF3" w14:textId="77777777" w:rsidR="007B027D" w:rsidRDefault="008E0125">
      <w:r>
        <w:rPr>
          <w:rFonts w:ascii="Calibri" w:hAnsi="Calibri" w:cs="Calibri"/>
          <w:sz w:val="20"/>
          <w:szCs w:val="20"/>
        </w:rPr>
        <w:pict w14:anchorId="39740095">
          <v:rect id="_x0000_i1116" style="width:415.3pt;height:1.5pt" o:hralign="center" o:hrstd="t" o:hr="t" fillcolor="#a0a0a0" stroked="f"/>
        </w:pict>
      </w:r>
    </w:p>
    <w:p w14:paraId="3973EDF4" w14:textId="77777777" w:rsidR="007B027D" w:rsidRDefault="008E0125">
      <w:pPr>
        <w:pStyle w:val="a3"/>
        <w:spacing w:beforeAutospacing="0" w:after="120" w:afterAutospacing="0"/>
        <w:rPr>
          <w:rFonts w:ascii="Calibri" w:hAnsi="Calibri" w:cs="Calibri"/>
          <w:sz w:val="18"/>
          <w:szCs w:val="18"/>
        </w:rPr>
      </w:pPr>
      <w:hyperlink r:id="rId216" w:anchor="TABLE_OF_CONTENTS" w:history="1">
        <w:r>
          <w:rPr>
            <w:rStyle w:val="a5"/>
            <w:rFonts w:ascii="Calibri" w:hAnsi="Calibri" w:cs="Calibri"/>
            <w:sz w:val="18"/>
            <w:szCs w:val="18"/>
          </w:rPr>
          <w:t>Table of Contents</w:t>
        </w:r>
      </w:hyperlink>
    </w:p>
    <w:p w14:paraId="3973EDF5" w14:textId="77777777" w:rsidR="007B027D" w:rsidRDefault="008E0125">
      <w:pPr>
        <w:pStyle w:val="a3"/>
        <w:spacing w:beforeAutospacing="0" w:afterAutospacing="0"/>
        <w:rPr>
          <w:rFonts w:ascii="Calibri" w:hAnsi="Calibri" w:cs="Calibri"/>
          <w:sz w:val="18"/>
          <w:szCs w:val="18"/>
        </w:rPr>
      </w:pPr>
      <w:hyperlink r:id="rId217" w:anchor="ITEM_15_EXHIBITS_FINANCIAL_STATEMENT_SCH" w:history="1">
        <w:r>
          <w:rPr>
            <w:rStyle w:val="a5"/>
            <w:rFonts w:ascii="Calibri" w:hAnsi="Calibri" w:cs="Calibri"/>
            <w:sz w:val="18"/>
            <w:szCs w:val="18"/>
          </w:rPr>
          <w:t>Index to Financial Statements</w:t>
        </w:r>
      </w:hyperlink>
    </w:p>
    <w:p w14:paraId="3973EDF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DF7"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DF8"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DF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EDFC" w14:textId="77777777">
        <w:tc>
          <w:tcPr>
            <w:tcW w:w="192" w:type="pct"/>
            <w:shd w:val="clear" w:color="auto" w:fill="auto"/>
            <w:noWrap/>
          </w:tcPr>
          <w:p w14:paraId="3973EDFA"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3973EDFB"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 xml:space="preserve">As of May 31, 2022 and 2021, substantially all restructuring </w:t>
            </w:r>
            <w:r>
              <w:rPr>
                <w:rFonts w:ascii="Calibri" w:hAnsi="Calibri" w:cs="Calibri"/>
                <w:sz w:val="15"/>
                <w:szCs w:val="15"/>
              </w:rPr>
              <w:t>liabilities have been recorded in other current liabilities within our consolidated balance sheets.</w:t>
            </w:r>
          </w:p>
        </w:tc>
      </w:tr>
    </w:tbl>
    <w:p w14:paraId="3973EDF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E00" w14:textId="77777777">
        <w:tc>
          <w:tcPr>
            <w:tcW w:w="192" w:type="pct"/>
            <w:shd w:val="clear" w:color="auto" w:fill="auto"/>
            <w:noWrap/>
          </w:tcPr>
          <w:p w14:paraId="3973EDFE"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3973EDFF"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period presented.</w:t>
            </w:r>
          </w:p>
        </w:tc>
      </w:tr>
    </w:tbl>
    <w:p w14:paraId="3973EE0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E04" w14:textId="77777777">
        <w:tc>
          <w:tcPr>
            <w:tcW w:w="192" w:type="pct"/>
            <w:shd w:val="clear" w:color="auto" w:fill="auto"/>
            <w:noWrap/>
          </w:tcPr>
          <w:p w14:paraId="3973EE02"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3973EE03"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 xml:space="preserve">All plan adjustments were changes in estimates whereby </w:t>
            </w:r>
            <w:r>
              <w:rPr>
                <w:rFonts w:ascii="Calibri" w:hAnsi="Calibri" w:cs="Calibri"/>
                <w:sz w:val="15"/>
                <w:szCs w:val="15"/>
              </w:rPr>
              <w:t>increases and decreases in costs were generally recorded to operating expenses in the period of adjustments.</w:t>
            </w:r>
          </w:p>
        </w:tc>
      </w:tr>
    </w:tbl>
    <w:p w14:paraId="3973EE0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E08" w14:textId="77777777">
        <w:tc>
          <w:tcPr>
            <w:tcW w:w="192" w:type="pct"/>
            <w:shd w:val="clear" w:color="auto" w:fill="auto"/>
            <w:noWrap/>
          </w:tcPr>
          <w:p w14:paraId="3973EE06"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3973EE07"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 xml:space="preserve">Represents foreign currency translation and certain other non-cash adjustments. </w:t>
            </w:r>
          </w:p>
        </w:tc>
      </w:tr>
    </w:tbl>
    <w:p w14:paraId="3973EE0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EE0C" w14:textId="77777777">
        <w:tc>
          <w:tcPr>
            <w:tcW w:w="192" w:type="pct"/>
            <w:shd w:val="clear" w:color="auto" w:fill="auto"/>
            <w:noWrap/>
          </w:tcPr>
          <w:p w14:paraId="3973EE0A"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3973EE0B" w14:textId="77777777" w:rsidR="007B027D" w:rsidRDefault="008E0125">
            <w:pPr>
              <w:pStyle w:val="a3"/>
              <w:spacing w:beforeAutospacing="0" w:afterAutospacing="0"/>
              <w:jc w:val="both"/>
              <w:rPr>
                <w:rFonts w:ascii="Calibri" w:hAnsi="Calibri" w:cs="Calibri"/>
                <w:sz w:val="15"/>
                <w:szCs w:val="15"/>
              </w:rPr>
            </w:pPr>
            <w:r>
              <w:rPr>
                <w:rFonts w:ascii="Calibri" w:hAnsi="Calibri" w:cs="Calibri"/>
                <w:sz w:val="15"/>
                <w:szCs w:val="15"/>
              </w:rPr>
              <w:t xml:space="preserve">Other restructuring plans presented in the </w:t>
            </w:r>
            <w:r>
              <w:rPr>
                <w:rFonts w:ascii="Calibri" w:hAnsi="Calibri" w:cs="Calibri"/>
                <w:sz w:val="15"/>
                <w:szCs w:val="15"/>
              </w:rPr>
              <w:t>tables above included condensed information for other Oracle based plans and other plans associated with certain of our acquisitions whereby we continued to make cash outlays to settle obligations under these plans during the periods presented but for whic</w:t>
            </w:r>
            <w:r>
              <w:rPr>
                <w:rFonts w:ascii="Calibri" w:hAnsi="Calibri" w:cs="Calibri"/>
                <w:sz w:val="15"/>
                <w:szCs w:val="15"/>
              </w:rPr>
              <w:t>h the periodic impact to our consolidated statements of operations was not significant.</w:t>
            </w:r>
          </w:p>
        </w:tc>
      </w:tr>
    </w:tbl>
    <w:p w14:paraId="3973EE0D"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7871"/>
      </w:tblGrid>
      <w:tr w:rsidR="007B027D" w14:paraId="3973EE10" w14:textId="77777777">
        <w:tc>
          <w:tcPr>
            <w:tcW w:w="262" w:type="pct"/>
            <w:shd w:val="clear" w:color="auto" w:fill="auto"/>
            <w:noWrap/>
          </w:tcPr>
          <w:p w14:paraId="3973EE0E"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3973EE0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3973EE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3973EE12" w14:textId="77777777" w:rsidR="007B027D" w:rsidRDefault="008E0125">
      <w:pPr>
        <w:pStyle w:val="a3"/>
        <w:spacing w:before="120"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572"/>
        <w:gridCol w:w="121"/>
        <w:gridCol w:w="117"/>
        <w:gridCol w:w="1061"/>
        <w:gridCol w:w="74"/>
        <w:gridCol w:w="122"/>
        <w:gridCol w:w="117"/>
        <w:gridCol w:w="1063"/>
        <w:gridCol w:w="74"/>
      </w:tblGrid>
      <w:tr w:rsidR="007B027D" w14:paraId="3973EE17" w14:textId="77777777">
        <w:tc>
          <w:tcPr>
            <w:tcW w:w="3353" w:type="pct"/>
            <w:shd w:val="clear" w:color="auto" w:fill="FFFFFF"/>
            <w:tcMar>
              <w:top w:w="15" w:type="dxa"/>
              <w:right w:w="15" w:type="dxa"/>
            </w:tcMar>
            <w:vAlign w:val="bottom"/>
          </w:tcPr>
          <w:p w14:paraId="3973EE13"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9" w:type="pct"/>
            <w:shd w:val="clear" w:color="auto" w:fill="FFFFFF"/>
            <w:tcMar>
              <w:top w:w="15" w:type="dxa"/>
              <w:right w:w="15" w:type="dxa"/>
            </w:tcMar>
            <w:vAlign w:val="bottom"/>
          </w:tcPr>
          <w:p w14:paraId="3973EE1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16" w:type="pct"/>
            <w:gridSpan w:val="6"/>
            <w:tcBorders>
              <w:bottom w:val="single" w:sz="6" w:space="0" w:color="000000"/>
            </w:tcBorders>
            <w:shd w:val="clear" w:color="auto" w:fill="FFFFFF"/>
            <w:tcMar>
              <w:top w:w="15" w:type="dxa"/>
              <w:right w:w="15" w:type="dxa"/>
            </w:tcMar>
            <w:vAlign w:val="bottom"/>
          </w:tcPr>
          <w:p w14:paraId="3973EE1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EE1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E1F" w14:textId="77777777">
        <w:tc>
          <w:tcPr>
            <w:tcW w:w="3353" w:type="pct"/>
            <w:tcBorders>
              <w:bottom w:val="single" w:sz="6" w:space="0" w:color="000000"/>
            </w:tcBorders>
            <w:shd w:val="clear" w:color="auto" w:fill="FFFFFF"/>
            <w:tcMar>
              <w:top w:w="15" w:type="dxa"/>
              <w:right w:w="15" w:type="dxa"/>
            </w:tcMar>
            <w:vAlign w:val="bottom"/>
          </w:tcPr>
          <w:p w14:paraId="3973EE1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3973EE1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right w:w="15" w:type="dxa"/>
            </w:tcMar>
            <w:vAlign w:val="bottom"/>
          </w:tcPr>
          <w:p w14:paraId="3973EE1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E1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3973EE1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right w:w="15" w:type="dxa"/>
            </w:tcMar>
            <w:vAlign w:val="bottom"/>
          </w:tcPr>
          <w:p w14:paraId="3973EE1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E1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E29" w14:textId="77777777">
        <w:tc>
          <w:tcPr>
            <w:tcW w:w="3353" w:type="pct"/>
            <w:tcBorders>
              <w:top w:val="single" w:sz="6" w:space="0" w:color="000000"/>
            </w:tcBorders>
            <w:shd w:val="clear" w:color="auto" w:fill="CFF0FC"/>
            <w:tcMar>
              <w:top w:w="15" w:type="dxa"/>
              <w:right w:w="15" w:type="dxa"/>
            </w:tcMar>
          </w:tcPr>
          <w:p w14:paraId="3973EE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9" w:type="pct"/>
            <w:shd w:val="clear" w:color="auto" w:fill="CFF0FC"/>
            <w:tcMar>
              <w:top w:w="15" w:type="dxa"/>
              <w:right w:w="15" w:type="dxa"/>
            </w:tcMar>
            <w:vAlign w:val="bottom"/>
          </w:tcPr>
          <w:p w14:paraId="3973EE2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EE2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right w:w="15" w:type="dxa"/>
            </w:tcMar>
            <w:vAlign w:val="bottom"/>
          </w:tcPr>
          <w:p w14:paraId="3973EE2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7,406</w:t>
            </w:r>
          </w:p>
        </w:tc>
        <w:tc>
          <w:tcPr>
            <w:tcW w:w="50" w:type="pct"/>
            <w:shd w:val="clear" w:color="auto" w:fill="CFF0FC"/>
            <w:noWrap/>
            <w:tcMar>
              <w:top w:w="15" w:type="dxa"/>
              <w:right w:w="15" w:type="dxa"/>
            </w:tcMar>
            <w:vAlign w:val="bottom"/>
          </w:tcPr>
          <w:p w14:paraId="3973EE2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3973EE2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E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right w:w="15" w:type="dxa"/>
            </w:tcMar>
            <w:vAlign w:val="bottom"/>
          </w:tcPr>
          <w:p w14:paraId="3973EE2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7,728</w:t>
            </w:r>
          </w:p>
        </w:tc>
        <w:tc>
          <w:tcPr>
            <w:tcW w:w="50" w:type="pct"/>
            <w:shd w:val="clear" w:color="auto" w:fill="CFF0FC"/>
            <w:noWrap/>
            <w:tcMar>
              <w:top w:w="15" w:type="dxa"/>
              <w:right w:w="15" w:type="dxa"/>
            </w:tcMar>
            <w:vAlign w:val="bottom"/>
          </w:tcPr>
          <w:p w14:paraId="3973EE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33" w14:textId="77777777">
        <w:tc>
          <w:tcPr>
            <w:tcW w:w="3353" w:type="pct"/>
            <w:shd w:val="clear" w:color="auto" w:fill="FFFFFF"/>
            <w:tcMar>
              <w:top w:w="15" w:type="dxa"/>
              <w:right w:w="15" w:type="dxa"/>
            </w:tcMar>
          </w:tcPr>
          <w:p w14:paraId="3973EE2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9" w:type="pct"/>
            <w:shd w:val="clear" w:color="auto" w:fill="FFFFFF"/>
            <w:tcMar>
              <w:top w:w="15" w:type="dxa"/>
              <w:right w:w="15" w:type="dxa"/>
            </w:tcMar>
            <w:vAlign w:val="bottom"/>
          </w:tcPr>
          <w:p w14:paraId="3973EE2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E2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right w:w="15" w:type="dxa"/>
            </w:tcMar>
            <w:vAlign w:val="bottom"/>
          </w:tcPr>
          <w:p w14:paraId="3973EE2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555</w:t>
            </w:r>
          </w:p>
        </w:tc>
        <w:tc>
          <w:tcPr>
            <w:tcW w:w="50" w:type="pct"/>
            <w:shd w:val="clear" w:color="auto" w:fill="FFFFFF"/>
            <w:noWrap/>
            <w:tcMar>
              <w:top w:w="15" w:type="dxa"/>
              <w:right w:w="15" w:type="dxa"/>
            </w:tcMar>
            <w:vAlign w:val="bottom"/>
          </w:tcPr>
          <w:p w14:paraId="3973EE2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3973EE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E3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right w:w="15" w:type="dxa"/>
            </w:tcMar>
            <w:vAlign w:val="bottom"/>
          </w:tcPr>
          <w:p w14:paraId="3973EE3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FFFFFF"/>
            <w:noWrap/>
            <w:tcMar>
              <w:top w:w="15" w:type="dxa"/>
              <w:right w:w="15" w:type="dxa"/>
            </w:tcMar>
            <w:vAlign w:val="bottom"/>
          </w:tcPr>
          <w:p w14:paraId="3973EE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3D" w14:textId="77777777">
        <w:tc>
          <w:tcPr>
            <w:tcW w:w="3353" w:type="pct"/>
            <w:shd w:val="clear" w:color="auto" w:fill="CFF0FC"/>
            <w:tcMar>
              <w:top w:w="15" w:type="dxa"/>
              <w:right w:w="15" w:type="dxa"/>
            </w:tcMar>
          </w:tcPr>
          <w:p w14:paraId="3973EE3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9" w:type="pct"/>
            <w:shd w:val="clear" w:color="auto" w:fill="CFF0FC"/>
            <w:tcMar>
              <w:top w:w="15" w:type="dxa"/>
              <w:right w:w="15" w:type="dxa"/>
            </w:tcMar>
            <w:vAlign w:val="bottom"/>
          </w:tcPr>
          <w:p w14:paraId="3973EE3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EE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right w:w="15" w:type="dxa"/>
            </w:tcMar>
            <w:vAlign w:val="bottom"/>
          </w:tcPr>
          <w:p w14:paraId="3973EE3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right w:w="15" w:type="dxa"/>
            </w:tcMar>
            <w:vAlign w:val="bottom"/>
          </w:tcPr>
          <w:p w14:paraId="3973EE3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3973EE3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E3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right w:w="15" w:type="dxa"/>
            </w:tcMar>
            <w:vAlign w:val="bottom"/>
          </w:tcPr>
          <w:p w14:paraId="3973EE3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w:t>
            </w:r>
          </w:p>
        </w:tc>
        <w:tc>
          <w:tcPr>
            <w:tcW w:w="50" w:type="pct"/>
            <w:shd w:val="clear" w:color="auto" w:fill="CFF0FC"/>
            <w:noWrap/>
            <w:tcMar>
              <w:top w:w="15" w:type="dxa"/>
              <w:right w:w="15" w:type="dxa"/>
            </w:tcMar>
            <w:vAlign w:val="bottom"/>
          </w:tcPr>
          <w:p w14:paraId="3973EE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47" w14:textId="77777777">
        <w:tc>
          <w:tcPr>
            <w:tcW w:w="3353" w:type="pct"/>
            <w:shd w:val="clear" w:color="auto" w:fill="FFFFFF"/>
            <w:tcMar>
              <w:top w:w="15" w:type="dxa"/>
              <w:right w:w="15" w:type="dxa"/>
            </w:tcMar>
          </w:tcPr>
          <w:p w14:paraId="3973EE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79" w:type="pct"/>
            <w:shd w:val="clear" w:color="auto" w:fill="FFFFFF"/>
            <w:tcMar>
              <w:top w:w="15" w:type="dxa"/>
              <w:right w:w="15" w:type="dxa"/>
            </w:tcMar>
            <w:vAlign w:val="bottom"/>
          </w:tcPr>
          <w:p w14:paraId="3973EE3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EE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right w:w="15" w:type="dxa"/>
            </w:tcMar>
            <w:vAlign w:val="bottom"/>
          </w:tcPr>
          <w:p w14:paraId="3973EE4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3973EE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3973EE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E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right w:w="15" w:type="dxa"/>
            </w:tcMar>
            <w:vAlign w:val="bottom"/>
          </w:tcPr>
          <w:p w14:paraId="3973EE4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3973EE4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51" w14:textId="77777777">
        <w:tc>
          <w:tcPr>
            <w:tcW w:w="3353" w:type="pct"/>
            <w:shd w:val="clear" w:color="auto" w:fill="CFF0FC"/>
            <w:tcMar>
              <w:top w:w="15" w:type="dxa"/>
              <w:right w:w="15" w:type="dxa"/>
            </w:tcMar>
          </w:tcPr>
          <w:p w14:paraId="3973EE48"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79" w:type="pct"/>
            <w:shd w:val="clear" w:color="auto" w:fill="CFF0FC"/>
            <w:tcMar>
              <w:top w:w="15" w:type="dxa"/>
              <w:right w:w="15" w:type="dxa"/>
            </w:tcMar>
            <w:vAlign w:val="bottom"/>
          </w:tcPr>
          <w:p w14:paraId="3973EE4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E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bottom w:val="single" w:sz="6" w:space="0" w:color="000000"/>
            </w:tcBorders>
            <w:shd w:val="clear" w:color="auto" w:fill="CFF0FC"/>
            <w:noWrap/>
            <w:tcMar>
              <w:top w:w="15" w:type="dxa"/>
              <w:right w:w="15" w:type="dxa"/>
            </w:tcMar>
            <w:vAlign w:val="bottom"/>
          </w:tcPr>
          <w:p w14:paraId="3973EE4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8,357</w:t>
            </w:r>
          </w:p>
        </w:tc>
        <w:tc>
          <w:tcPr>
            <w:tcW w:w="50" w:type="pct"/>
            <w:shd w:val="clear" w:color="auto" w:fill="CFF0FC"/>
            <w:noWrap/>
            <w:tcMar>
              <w:top w:w="15" w:type="dxa"/>
              <w:right w:w="15" w:type="dxa"/>
            </w:tcMar>
            <w:vAlign w:val="bottom"/>
          </w:tcPr>
          <w:p w14:paraId="3973EE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3973EE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E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bottom w:val="single" w:sz="6" w:space="0" w:color="000000"/>
            </w:tcBorders>
            <w:shd w:val="clear" w:color="auto" w:fill="CFF0FC"/>
            <w:noWrap/>
            <w:tcMar>
              <w:top w:w="15" w:type="dxa"/>
              <w:right w:w="15" w:type="dxa"/>
            </w:tcMar>
            <w:vAlign w:val="bottom"/>
          </w:tcPr>
          <w:p w14:paraId="3973EE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8,775</w:t>
            </w:r>
          </w:p>
        </w:tc>
        <w:tc>
          <w:tcPr>
            <w:tcW w:w="50" w:type="pct"/>
            <w:shd w:val="clear" w:color="auto" w:fill="CFF0FC"/>
            <w:noWrap/>
            <w:tcMar>
              <w:top w:w="15" w:type="dxa"/>
              <w:right w:w="15" w:type="dxa"/>
            </w:tcMar>
            <w:vAlign w:val="bottom"/>
          </w:tcPr>
          <w:p w14:paraId="3973EE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5B" w14:textId="77777777">
        <w:tc>
          <w:tcPr>
            <w:tcW w:w="3353" w:type="pct"/>
            <w:shd w:val="clear" w:color="auto" w:fill="FFFFFF"/>
            <w:tcMar>
              <w:top w:w="15" w:type="dxa"/>
              <w:right w:w="15" w:type="dxa"/>
            </w:tcMar>
          </w:tcPr>
          <w:p w14:paraId="3973EE52"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Deferred revenues, non-current (in other non-current </w:t>
            </w:r>
            <w:r>
              <w:rPr>
                <w:rFonts w:ascii="Calibri" w:hAnsi="Calibri" w:cs="Calibri"/>
                <w:color w:val="000000"/>
                <w:sz w:val="20"/>
                <w:szCs w:val="20"/>
              </w:rPr>
              <w:t>liabilities)</w:t>
            </w:r>
          </w:p>
        </w:tc>
        <w:tc>
          <w:tcPr>
            <w:tcW w:w="79" w:type="pct"/>
            <w:shd w:val="clear" w:color="auto" w:fill="FFFFFF"/>
            <w:tcMar>
              <w:top w:w="15" w:type="dxa"/>
              <w:right w:w="15" w:type="dxa"/>
            </w:tcMar>
            <w:vAlign w:val="bottom"/>
          </w:tcPr>
          <w:p w14:paraId="3973EE5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E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bottom w:val="single" w:sz="6" w:space="0" w:color="000000"/>
            </w:tcBorders>
            <w:shd w:val="clear" w:color="auto" w:fill="FFFFFF"/>
            <w:noWrap/>
            <w:tcMar>
              <w:top w:w="15" w:type="dxa"/>
              <w:right w:w="15" w:type="dxa"/>
            </w:tcMar>
            <w:vAlign w:val="bottom"/>
          </w:tcPr>
          <w:p w14:paraId="3973EE5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w:t>
            </w:r>
          </w:p>
        </w:tc>
        <w:tc>
          <w:tcPr>
            <w:tcW w:w="50" w:type="pct"/>
            <w:shd w:val="clear" w:color="auto" w:fill="FFFFFF"/>
            <w:noWrap/>
            <w:tcMar>
              <w:top w:w="15" w:type="dxa"/>
              <w:right w:w="15" w:type="dxa"/>
            </w:tcMar>
            <w:vAlign w:val="bottom"/>
          </w:tcPr>
          <w:p w14:paraId="3973EE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3973EE5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EE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bottom w:val="single" w:sz="6" w:space="0" w:color="000000"/>
            </w:tcBorders>
            <w:shd w:val="clear" w:color="auto" w:fill="FFFFFF"/>
            <w:noWrap/>
            <w:tcMar>
              <w:top w:w="15" w:type="dxa"/>
              <w:right w:w="15" w:type="dxa"/>
            </w:tcMar>
            <w:vAlign w:val="bottom"/>
          </w:tcPr>
          <w:p w14:paraId="3973EE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FFFFFF"/>
            <w:noWrap/>
            <w:tcMar>
              <w:top w:w="15" w:type="dxa"/>
              <w:right w:w="15" w:type="dxa"/>
            </w:tcMar>
            <w:vAlign w:val="bottom"/>
          </w:tcPr>
          <w:p w14:paraId="3973EE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65" w14:textId="77777777">
        <w:tc>
          <w:tcPr>
            <w:tcW w:w="3353" w:type="pct"/>
            <w:shd w:val="clear" w:color="auto" w:fill="CFF0FC"/>
            <w:tcMar>
              <w:top w:w="15" w:type="dxa"/>
              <w:right w:w="15" w:type="dxa"/>
            </w:tcMar>
          </w:tcPr>
          <w:p w14:paraId="3973EE5C" w14:textId="77777777" w:rsidR="007B027D" w:rsidRDefault="008E012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deferred revenues</w:t>
            </w:r>
          </w:p>
        </w:tc>
        <w:tc>
          <w:tcPr>
            <w:tcW w:w="79" w:type="pct"/>
            <w:shd w:val="clear" w:color="auto" w:fill="CFF0FC"/>
            <w:tcMar>
              <w:top w:w="15" w:type="dxa"/>
              <w:right w:w="15" w:type="dxa"/>
            </w:tcMar>
            <w:vAlign w:val="bottom"/>
          </w:tcPr>
          <w:p w14:paraId="3973EE5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E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right w:w="15" w:type="dxa"/>
            </w:tcMar>
            <w:vAlign w:val="bottom"/>
          </w:tcPr>
          <w:p w14:paraId="3973EE5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9,110</w:t>
            </w:r>
          </w:p>
        </w:tc>
        <w:tc>
          <w:tcPr>
            <w:tcW w:w="50" w:type="pct"/>
            <w:shd w:val="clear" w:color="auto" w:fill="CFF0FC"/>
            <w:noWrap/>
            <w:tcMar>
              <w:top w:w="15" w:type="dxa"/>
              <w:right w:w="15" w:type="dxa"/>
            </w:tcMar>
            <w:vAlign w:val="bottom"/>
          </w:tcPr>
          <w:p w14:paraId="3973EE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3973EE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E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right w:w="15" w:type="dxa"/>
            </w:tcMar>
            <w:vAlign w:val="bottom"/>
          </w:tcPr>
          <w:p w14:paraId="3973EE6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9,454</w:t>
            </w:r>
          </w:p>
        </w:tc>
        <w:tc>
          <w:tcPr>
            <w:tcW w:w="50" w:type="pct"/>
            <w:shd w:val="clear" w:color="auto" w:fill="CFF0FC"/>
            <w:noWrap/>
            <w:tcMar>
              <w:top w:w="15" w:type="dxa"/>
              <w:right w:w="15" w:type="dxa"/>
            </w:tcMar>
            <w:vAlign w:val="bottom"/>
          </w:tcPr>
          <w:p w14:paraId="3973EE64"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E66" w14:textId="77777777" w:rsidR="007B027D" w:rsidRDefault="008E0125">
      <w:pPr>
        <w:pStyle w:val="a3"/>
        <w:spacing w:beforeAutospacing="0" w:afterAutospacing="0"/>
        <w:rPr>
          <w:sz w:val="12"/>
          <w:szCs w:val="12"/>
        </w:rPr>
      </w:pPr>
      <w:r>
        <w:rPr>
          <w:sz w:val="12"/>
          <w:szCs w:val="12"/>
        </w:rPr>
        <w:t> </w:t>
      </w:r>
    </w:p>
    <w:p w14:paraId="3973EE67"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Deferred cloud services and license support revenues and deferred hardware revenues substantially represent customer payments made in advance for cloud or support </w:t>
      </w:r>
      <w:r>
        <w:rPr>
          <w:rFonts w:ascii="Calibri" w:hAnsi="Calibri" w:cs="Calibri"/>
          <w:sz w:val="20"/>
          <w:szCs w:val="20"/>
        </w:rPr>
        <w:t>contracts that are typically billed in advance with corresponding revenues generally being recognized ratably or based upon customer usage over the respective contractual periods. Deferred services revenues include prepayments for our services business and</w:t>
      </w:r>
      <w:r>
        <w:rPr>
          <w:rFonts w:ascii="Calibri" w:hAnsi="Calibri" w:cs="Calibri"/>
          <w:sz w:val="20"/>
          <w:szCs w:val="20"/>
        </w:rPr>
        <w:t xml:space="preserve"> revenues for these services are generally recognized as the services are performed. Deferred cloud license and on-premise license revenues typically resulted from customer payments that related to undelivered products and services or specified enhancement</w:t>
      </w:r>
      <w:r>
        <w:rPr>
          <w:rFonts w:ascii="Calibri" w:hAnsi="Calibri" w:cs="Calibri"/>
          <w:sz w:val="20"/>
          <w:szCs w:val="20"/>
        </w:rPr>
        <w:t>s.</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E6A" w14:textId="77777777">
        <w:tc>
          <w:tcPr>
            <w:tcW w:w="262" w:type="pct"/>
            <w:shd w:val="clear" w:color="auto" w:fill="auto"/>
            <w:noWrap/>
          </w:tcPr>
          <w:p w14:paraId="3973EE6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3973EE6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LEASES, OTHER COMMITMENTS AND CERTAIN CONTINGENCIES </w:t>
            </w:r>
          </w:p>
        </w:tc>
      </w:tr>
    </w:tbl>
    <w:p w14:paraId="3973EE6B" w14:textId="77777777" w:rsidR="007B027D" w:rsidRDefault="008E0125">
      <w:pPr>
        <w:pStyle w:val="a3"/>
        <w:spacing w:before="120" w:beforeAutospacing="0" w:afterAutospacing="0"/>
        <w:ind w:hanging="641"/>
        <w:jc w:val="both"/>
        <w:rPr>
          <w:rFonts w:ascii="Calibri" w:hAnsi="Calibri" w:cs="Calibri"/>
          <w:b/>
          <w:bCs/>
          <w:sz w:val="20"/>
          <w:szCs w:val="20"/>
        </w:rPr>
      </w:pPr>
      <w:r>
        <w:rPr>
          <w:rFonts w:ascii="Calibri" w:hAnsi="Calibri" w:cs="Calibri"/>
          <w:b/>
          <w:bCs/>
          <w:sz w:val="20"/>
          <w:szCs w:val="20"/>
        </w:rPr>
        <w:t>Leases</w:t>
      </w:r>
    </w:p>
    <w:p w14:paraId="3973EE6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operating leases that primarily relate to certain of our facilities, data centers and vehicles. As of May 31, 2022, our operating leases substantially have remaining terms of one year to eleven years, some of which include options to extend and/or </w:t>
      </w:r>
      <w:r>
        <w:rPr>
          <w:rFonts w:ascii="Calibri" w:hAnsi="Calibri" w:cs="Calibri"/>
          <w:sz w:val="20"/>
          <w:szCs w:val="20"/>
        </w:rPr>
        <w:t xml:space="preserve">terminate the leases. </w:t>
      </w:r>
    </w:p>
    <w:p w14:paraId="3973EE6D"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Operating lease expenses totaled $766 million, net of sublease income of $12 million in fiscal 2022 and $654 million, net of sublease income of $13 million in fiscal 2021. At May 31, 2022, ROU assets, current lease liabilities and no</w:t>
      </w:r>
      <w:r>
        <w:rPr>
          <w:rFonts w:ascii="Calibri" w:hAnsi="Calibri" w:cs="Calibri"/>
          <w:sz w:val="20"/>
          <w:szCs w:val="20"/>
        </w:rPr>
        <w:t>n-current lease liabilities for our operating leases were $3.5 billion, $727 million and $2.9 billion, respectively. We recorded ROU assets of $1.9 billion in exchange for operating lease obligations during the year ended May 31, 2022. Cash paid for amount</w:t>
      </w:r>
      <w:r>
        <w:rPr>
          <w:rFonts w:ascii="Calibri" w:hAnsi="Calibri" w:cs="Calibri"/>
          <w:sz w:val="20"/>
          <w:szCs w:val="20"/>
        </w:rPr>
        <w:t>s included in the measurement of operating lease liabilities was $808 million and $696 million for the year ended May 31, 2022 and 2021, respectively. As of May 31, 2022, the weighted average remaining lease term for operating leases was approximately seve</w:t>
      </w:r>
      <w:r>
        <w:rPr>
          <w:rFonts w:ascii="Calibri" w:hAnsi="Calibri" w:cs="Calibri"/>
          <w:sz w:val="20"/>
          <w:szCs w:val="20"/>
        </w:rPr>
        <w:t>n years and the weighted average discount rate used for calculating operating lease obligations was 2.9%. As of May 31, 2022, we have $4.1 billion of additional operating lease commitments, primarily for data centers, that are expected to commence in fisca</w:t>
      </w:r>
      <w:r>
        <w:rPr>
          <w:rFonts w:ascii="Calibri" w:hAnsi="Calibri" w:cs="Calibri"/>
          <w:sz w:val="20"/>
          <w:szCs w:val="20"/>
        </w:rPr>
        <w:t>l 2023 for terms of one to fifteen years that were not reflected on our consolidated balance sheet as of May 31, 2022 or in the maturities table below.</w:t>
      </w:r>
    </w:p>
    <w:p w14:paraId="3973EE6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91</w:t>
      </w:r>
    </w:p>
    <w:p w14:paraId="3973EE6F" w14:textId="77777777" w:rsidR="007B027D" w:rsidRDefault="008E0125">
      <w:r>
        <w:rPr>
          <w:rFonts w:ascii="Calibri" w:hAnsi="Calibri" w:cs="Calibri"/>
          <w:sz w:val="20"/>
          <w:szCs w:val="20"/>
        </w:rPr>
        <w:pict w14:anchorId="39740096">
          <v:rect id="_x0000_i1117" style="width:415.3pt;height:1.5pt" o:hralign="center" o:hrstd="t" o:hr="t" fillcolor="#a0a0a0" stroked="f"/>
        </w:pict>
      </w:r>
    </w:p>
    <w:p w14:paraId="3973EE70" w14:textId="77777777" w:rsidR="007B027D" w:rsidRDefault="008E0125">
      <w:pPr>
        <w:pStyle w:val="a3"/>
        <w:spacing w:beforeAutospacing="0" w:after="120" w:afterAutospacing="0"/>
        <w:rPr>
          <w:rFonts w:ascii="Calibri" w:hAnsi="Calibri" w:cs="Calibri"/>
          <w:sz w:val="18"/>
          <w:szCs w:val="18"/>
        </w:rPr>
      </w:pPr>
      <w:hyperlink r:id="rId218" w:anchor="TABLE_OF_CONTENTS" w:history="1">
        <w:r>
          <w:rPr>
            <w:rStyle w:val="a5"/>
            <w:rFonts w:ascii="Calibri" w:hAnsi="Calibri" w:cs="Calibri"/>
            <w:sz w:val="18"/>
            <w:szCs w:val="18"/>
          </w:rPr>
          <w:t>Table of Contents</w:t>
        </w:r>
      </w:hyperlink>
    </w:p>
    <w:p w14:paraId="3973EE71" w14:textId="77777777" w:rsidR="007B027D" w:rsidRDefault="008E0125">
      <w:pPr>
        <w:pStyle w:val="a3"/>
        <w:spacing w:beforeAutospacing="0" w:afterAutospacing="0"/>
        <w:rPr>
          <w:rFonts w:ascii="Calibri" w:hAnsi="Calibri" w:cs="Calibri"/>
          <w:sz w:val="18"/>
          <w:szCs w:val="18"/>
        </w:rPr>
      </w:pPr>
      <w:hyperlink r:id="rId219" w:anchor="ITEM_15_EXHIBITS_FINANCIAL_STATEMENT_SCH" w:history="1">
        <w:r>
          <w:rPr>
            <w:rStyle w:val="a5"/>
            <w:rFonts w:ascii="Calibri" w:hAnsi="Calibri" w:cs="Calibri"/>
            <w:sz w:val="18"/>
            <w:szCs w:val="18"/>
          </w:rPr>
          <w:t>Index to Financial Statements</w:t>
        </w:r>
      </w:hyperlink>
    </w:p>
    <w:p w14:paraId="3973EE7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w:t>
      </w:r>
      <w:r>
        <w:rPr>
          <w:rFonts w:ascii="Calibri" w:hAnsi="Calibri" w:cs="Calibri"/>
          <w:b/>
          <w:bCs/>
          <w:color w:val="000000"/>
          <w:sz w:val="20"/>
          <w:szCs w:val="20"/>
          <w:shd w:val="clear" w:color="auto" w:fill="FFFFFF"/>
        </w:rPr>
        <w:t>RATION</w:t>
      </w:r>
    </w:p>
    <w:p w14:paraId="3973EE73"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E74"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E75"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E76" w14:textId="77777777" w:rsidR="007B027D" w:rsidRDefault="008E0125">
      <w:pPr>
        <w:pStyle w:val="a3"/>
        <w:spacing w:before="120" w:beforeAutospacing="0" w:afterAutospacing="0"/>
        <w:ind w:hanging="641"/>
        <w:jc w:val="both"/>
        <w:rPr>
          <w:rFonts w:ascii="Calibri" w:hAnsi="Calibri" w:cs="Calibri"/>
          <w:color w:val="212529"/>
          <w:sz w:val="20"/>
          <w:szCs w:val="20"/>
        </w:rPr>
      </w:pPr>
      <w:r>
        <w:rPr>
          <w:rFonts w:ascii="Calibri" w:hAnsi="Calibri" w:cs="Calibri"/>
          <w:color w:val="212529"/>
          <w:sz w:val="20"/>
          <w:szCs w:val="20"/>
          <w:shd w:val="clear" w:color="auto" w:fill="FFFFFF"/>
        </w:rPr>
        <w:t xml:space="preserve">Maturities of operating lease liabilities were as follows as of </w:t>
      </w:r>
      <w:r>
        <w:rPr>
          <w:rFonts w:ascii="Calibri" w:hAnsi="Calibri" w:cs="Calibri"/>
          <w:color w:val="000000"/>
          <w:sz w:val="20"/>
          <w:szCs w:val="20"/>
        </w:rPr>
        <w:t>May 31, 2022</w:t>
      </w:r>
      <w:r>
        <w:rPr>
          <w:rFonts w:ascii="Calibri" w:hAnsi="Calibri" w:cs="Calibri"/>
          <w:color w:val="212529"/>
          <w:sz w:val="20"/>
          <w:szCs w:val="20"/>
          <w:shd w:val="clear" w:color="auto" w:fill="FFFFFF"/>
        </w:rPr>
        <w:t xml:space="preserve"> (in millions):</w:t>
      </w:r>
    </w:p>
    <w:p w14:paraId="3973EE77" w14:textId="77777777" w:rsidR="007B027D" w:rsidRDefault="008E0125">
      <w:pPr>
        <w:pStyle w:val="a3"/>
        <w:spacing w:before="120" w:beforeAutospacing="0" w:afterAutospacing="0"/>
        <w:ind w:hanging="641"/>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078"/>
        <w:gridCol w:w="156"/>
        <w:gridCol w:w="117"/>
        <w:gridCol w:w="894"/>
        <w:gridCol w:w="76"/>
      </w:tblGrid>
      <w:tr w:rsidR="007B027D" w14:paraId="3973EE7D" w14:textId="77777777">
        <w:tc>
          <w:tcPr>
            <w:tcW w:w="4255" w:type="pct"/>
            <w:shd w:val="clear" w:color="auto" w:fill="CFF0FC"/>
            <w:tcMar>
              <w:top w:w="15" w:type="dxa"/>
              <w:right w:w="15" w:type="dxa"/>
            </w:tcMar>
            <w:vAlign w:val="bottom"/>
          </w:tcPr>
          <w:p w14:paraId="3973EE7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97" w:type="pct"/>
            <w:shd w:val="clear" w:color="auto" w:fill="CFF0FC"/>
            <w:tcMar>
              <w:top w:w="15" w:type="dxa"/>
              <w:right w:w="15" w:type="dxa"/>
            </w:tcMar>
            <w:vAlign w:val="bottom"/>
          </w:tcPr>
          <w:p w14:paraId="3973EE7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CFF0FC"/>
            <w:noWrap/>
            <w:tcMar>
              <w:top w:w="15" w:type="dxa"/>
              <w:right w:w="15" w:type="dxa"/>
            </w:tcMar>
            <w:vAlign w:val="bottom"/>
          </w:tcPr>
          <w:p w14:paraId="3973EE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9" w:type="pct"/>
            <w:shd w:val="clear" w:color="auto" w:fill="CFF0FC"/>
            <w:noWrap/>
            <w:tcMar>
              <w:top w:w="15" w:type="dxa"/>
              <w:right w:w="15" w:type="dxa"/>
            </w:tcMar>
          </w:tcPr>
          <w:p w14:paraId="3973EE7B"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763 </w:t>
            </w:r>
          </w:p>
        </w:tc>
        <w:tc>
          <w:tcPr>
            <w:tcW w:w="46" w:type="pct"/>
            <w:shd w:val="clear" w:color="auto" w:fill="CFF0FC"/>
            <w:noWrap/>
            <w:tcMar>
              <w:top w:w="15" w:type="dxa"/>
              <w:right w:w="15" w:type="dxa"/>
            </w:tcMar>
            <w:vAlign w:val="bottom"/>
          </w:tcPr>
          <w:p w14:paraId="3973EE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83" w14:textId="77777777">
        <w:tc>
          <w:tcPr>
            <w:tcW w:w="4255" w:type="pct"/>
            <w:shd w:val="clear" w:color="auto" w:fill="FFFFFF"/>
            <w:tcMar>
              <w:top w:w="15" w:type="dxa"/>
              <w:right w:w="15" w:type="dxa"/>
            </w:tcMar>
            <w:vAlign w:val="bottom"/>
          </w:tcPr>
          <w:p w14:paraId="3973EE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97" w:type="pct"/>
            <w:shd w:val="clear" w:color="auto" w:fill="FFFFFF"/>
            <w:tcMar>
              <w:top w:w="15" w:type="dxa"/>
              <w:right w:w="15" w:type="dxa"/>
            </w:tcMar>
            <w:vAlign w:val="bottom"/>
          </w:tcPr>
          <w:p w14:paraId="3973EE7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FFFFFF"/>
            <w:noWrap/>
            <w:tcMar>
              <w:top w:w="15" w:type="dxa"/>
              <w:right w:w="15" w:type="dxa"/>
            </w:tcMar>
            <w:vAlign w:val="bottom"/>
          </w:tcPr>
          <w:p w14:paraId="3973EE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3973EE81"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642 </w:t>
            </w:r>
          </w:p>
        </w:tc>
        <w:tc>
          <w:tcPr>
            <w:tcW w:w="46" w:type="pct"/>
            <w:shd w:val="clear" w:color="auto" w:fill="FFFFFF"/>
            <w:noWrap/>
            <w:tcMar>
              <w:top w:w="15" w:type="dxa"/>
              <w:right w:w="15" w:type="dxa"/>
            </w:tcMar>
            <w:vAlign w:val="bottom"/>
          </w:tcPr>
          <w:p w14:paraId="3973EE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89" w14:textId="77777777">
        <w:tc>
          <w:tcPr>
            <w:tcW w:w="4255" w:type="pct"/>
            <w:shd w:val="clear" w:color="auto" w:fill="CFF0FC"/>
            <w:tcMar>
              <w:top w:w="15" w:type="dxa"/>
              <w:right w:w="15" w:type="dxa"/>
            </w:tcMar>
            <w:vAlign w:val="bottom"/>
          </w:tcPr>
          <w:p w14:paraId="3973EE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97" w:type="pct"/>
            <w:shd w:val="clear" w:color="auto" w:fill="CFF0FC"/>
            <w:tcMar>
              <w:top w:w="15" w:type="dxa"/>
              <w:right w:w="15" w:type="dxa"/>
            </w:tcMar>
            <w:vAlign w:val="bottom"/>
          </w:tcPr>
          <w:p w14:paraId="3973EE8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CFF0FC"/>
            <w:noWrap/>
            <w:tcMar>
              <w:top w:w="15" w:type="dxa"/>
              <w:right w:w="15" w:type="dxa"/>
            </w:tcMar>
            <w:vAlign w:val="bottom"/>
          </w:tcPr>
          <w:p w14:paraId="3973EE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3973EE87"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578 </w:t>
            </w:r>
          </w:p>
        </w:tc>
        <w:tc>
          <w:tcPr>
            <w:tcW w:w="46" w:type="pct"/>
            <w:shd w:val="clear" w:color="auto" w:fill="CFF0FC"/>
            <w:noWrap/>
            <w:tcMar>
              <w:top w:w="15" w:type="dxa"/>
              <w:right w:w="15" w:type="dxa"/>
            </w:tcMar>
            <w:vAlign w:val="bottom"/>
          </w:tcPr>
          <w:p w14:paraId="3973EE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8F" w14:textId="77777777">
        <w:tc>
          <w:tcPr>
            <w:tcW w:w="4255" w:type="pct"/>
            <w:shd w:val="clear" w:color="auto" w:fill="FFFFFF"/>
            <w:tcMar>
              <w:top w:w="15" w:type="dxa"/>
              <w:right w:w="15" w:type="dxa"/>
            </w:tcMar>
            <w:vAlign w:val="bottom"/>
          </w:tcPr>
          <w:p w14:paraId="3973EE8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Fiscal </w:t>
            </w:r>
            <w:r>
              <w:rPr>
                <w:rFonts w:ascii="Calibri" w:hAnsi="Calibri" w:cs="Calibri"/>
                <w:color w:val="000000"/>
                <w:sz w:val="20"/>
                <w:szCs w:val="20"/>
              </w:rPr>
              <w:t>2026</w:t>
            </w:r>
          </w:p>
        </w:tc>
        <w:tc>
          <w:tcPr>
            <w:tcW w:w="97" w:type="pct"/>
            <w:shd w:val="clear" w:color="auto" w:fill="FFFFFF"/>
            <w:tcMar>
              <w:top w:w="15" w:type="dxa"/>
              <w:right w:w="15" w:type="dxa"/>
            </w:tcMar>
            <w:vAlign w:val="bottom"/>
          </w:tcPr>
          <w:p w14:paraId="3973EE8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FFFFFF"/>
            <w:noWrap/>
            <w:tcMar>
              <w:top w:w="15" w:type="dxa"/>
              <w:right w:w="15" w:type="dxa"/>
            </w:tcMar>
            <w:vAlign w:val="bottom"/>
          </w:tcPr>
          <w:p w14:paraId="3973EE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FFFFFF"/>
            <w:noWrap/>
            <w:tcMar>
              <w:top w:w="15" w:type="dxa"/>
              <w:right w:w="15" w:type="dxa"/>
            </w:tcMar>
          </w:tcPr>
          <w:p w14:paraId="3973EE8D"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524 </w:t>
            </w:r>
          </w:p>
        </w:tc>
        <w:tc>
          <w:tcPr>
            <w:tcW w:w="46" w:type="pct"/>
            <w:shd w:val="clear" w:color="auto" w:fill="FFFFFF"/>
            <w:noWrap/>
            <w:tcMar>
              <w:top w:w="15" w:type="dxa"/>
              <w:right w:w="15" w:type="dxa"/>
            </w:tcMar>
            <w:vAlign w:val="bottom"/>
          </w:tcPr>
          <w:p w14:paraId="3973EE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95" w14:textId="77777777">
        <w:tc>
          <w:tcPr>
            <w:tcW w:w="4255" w:type="pct"/>
            <w:shd w:val="clear" w:color="auto" w:fill="CFF0FC"/>
            <w:tcMar>
              <w:top w:w="15" w:type="dxa"/>
              <w:right w:w="15" w:type="dxa"/>
            </w:tcMar>
            <w:vAlign w:val="bottom"/>
          </w:tcPr>
          <w:p w14:paraId="3973EE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97" w:type="pct"/>
            <w:shd w:val="clear" w:color="auto" w:fill="CFF0FC"/>
            <w:tcMar>
              <w:top w:w="15" w:type="dxa"/>
              <w:right w:w="15" w:type="dxa"/>
            </w:tcMar>
            <w:vAlign w:val="bottom"/>
          </w:tcPr>
          <w:p w14:paraId="3973EE9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CFF0FC"/>
            <w:noWrap/>
            <w:tcMar>
              <w:top w:w="15" w:type="dxa"/>
              <w:right w:w="15" w:type="dxa"/>
            </w:tcMar>
            <w:vAlign w:val="bottom"/>
          </w:tcPr>
          <w:p w14:paraId="3973EE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shd w:val="clear" w:color="auto" w:fill="CFF0FC"/>
            <w:noWrap/>
            <w:tcMar>
              <w:top w:w="15" w:type="dxa"/>
              <w:right w:w="15" w:type="dxa"/>
            </w:tcMar>
          </w:tcPr>
          <w:p w14:paraId="3973EE93"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415 </w:t>
            </w:r>
          </w:p>
        </w:tc>
        <w:tc>
          <w:tcPr>
            <w:tcW w:w="46" w:type="pct"/>
            <w:shd w:val="clear" w:color="auto" w:fill="CFF0FC"/>
            <w:noWrap/>
            <w:tcMar>
              <w:top w:w="15" w:type="dxa"/>
              <w:right w:w="15" w:type="dxa"/>
            </w:tcMar>
            <w:vAlign w:val="bottom"/>
          </w:tcPr>
          <w:p w14:paraId="3973EE9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9B" w14:textId="77777777">
        <w:tc>
          <w:tcPr>
            <w:tcW w:w="4255" w:type="pct"/>
            <w:shd w:val="clear" w:color="auto" w:fill="FFFFFF"/>
            <w:tcMar>
              <w:top w:w="15" w:type="dxa"/>
              <w:right w:w="15" w:type="dxa"/>
            </w:tcMar>
            <w:vAlign w:val="bottom"/>
          </w:tcPr>
          <w:p w14:paraId="3973EE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97" w:type="pct"/>
            <w:shd w:val="clear" w:color="auto" w:fill="FFFFFF"/>
            <w:tcMar>
              <w:top w:w="15" w:type="dxa"/>
              <w:right w:w="15" w:type="dxa"/>
            </w:tcMar>
            <w:vAlign w:val="bottom"/>
          </w:tcPr>
          <w:p w14:paraId="3973EE9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bottom w:val="single" w:sz="6" w:space="0" w:color="000000"/>
            </w:tcBorders>
            <w:shd w:val="clear" w:color="auto" w:fill="FFFFFF"/>
            <w:noWrap/>
            <w:tcMar>
              <w:top w:w="15" w:type="dxa"/>
              <w:right w:w="15" w:type="dxa"/>
            </w:tcMar>
            <w:vAlign w:val="bottom"/>
          </w:tcPr>
          <w:p w14:paraId="3973EE9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tcBorders>
              <w:bottom w:val="single" w:sz="6" w:space="0" w:color="000000"/>
            </w:tcBorders>
            <w:shd w:val="clear" w:color="auto" w:fill="FFFFFF"/>
            <w:noWrap/>
            <w:tcMar>
              <w:top w:w="15" w:type="dxa"/>
              <w:right w:w="15" w:type="dxa"/>
            </w:tcMar>
          </w:tcPr>
          <w:p w14:paraId="3973EE99" w14:textId="77777777" w:rsidR="007B027D" w:rsidRDefault="008E0125">
            <w:pPr>
              <w:pStyle w:val="a3"/>
              <w:spacing w:beforeAutospacing="0" w:afterAutospacing="0"/>
              <w:jc w:val="right"/>
              <w:rPr>
                <w:rFonts w:ascii="Calibri" w:hAnsi="Calibri" w:cs="Calibri"/>
                <w:sz w:val="20"/>
                <w:szCs w:val="20"/>
              </w:rPr>
            </w:pPr>
            <w:r>
              <w:rPr>
                <w:rFonts w:ascii="Calibri" w:hAnsi="Calibri" w:cs="Calibri"/>
                <w:sz w:val="20"/>
                <w:szCs w:val="20"/>
              </w:rPr>
              <w:t xml:space="preserve">1,159 </w:t>
            </w:r>
          </w:p>
        </w:tc>
        <w:tc>
          <w:tcPr>
            <w:tcW w:w="46" w:type="pct"/>
            <w:shd w:val="clear" w:color="auto" w:fill="FFFFFF"/>
            <w:noWrap/>
            <w:tcMar>
              <w:top w:w="15" w:type="dxa"/>
              <w:right w:w="15" w:type="dxa"/>
            </w:tcMar>
            <w:vAlign w:val="bottom"/>
          </w:tcPr>
          <w:p w14:paraId="3973EE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A1" w14:textId="77777777">
        <w:tc>
          <w:tcPr>
            <w:tcW w:w="4255" w:type="pct"/>
            <w:shd w:val="clear" w:color="auto" w:fill="CFF0FC"/>
            <w:tcMar>
              <w:top w:w="15" w:type="dxa"/>
              <w:right w:w="15" w:type="dxa"/>
            </w:tcMar>
            <w:vAlign w:val="bottom"/>
          </w:tcPr>
          <w:p w14:paraId="3973EE9C"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operating lease payments</w:t>
            </w:r>
          </w:p>
        </w:tc>
        <w:tc>
          <w:tcPr>
            <w:tcW w:w="97" w:type="pct"/>
            <w:shd w:val="clear" w:color="auto" w:fill="CFF0FC"/>
            <w:tcMar>
              <w:top w:w="15" w:type="dxa"/>
              <w:right w:w="15" w:type="dxa"/>
            </w:tcMar>
            <w:vAlign w:val="bottom"/>
          </w:tcPr>
          <w:p w14:paraId="3973EE9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single" w:sz="6" w:space="0" w:color="000000"/>
            </w:tcBorders>
            <w:shd w:val="clear" w:color="auto" w:fill="CFF0FC"/>
            <w:noWrap/>
            <w:tcMar>
              <w:top w:w="15" w:type="dxa"/>
              <w:right w:w="15" w:type="dxa"/>
            </w:tcMar>
            <w:vAlign w:val="bottom"/>
          </w:tcPr>
          <w:p w14:paraId="3973EE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tcBorders>
              <w:top w:val="single" w:sz="6" w:space="0" w:color="000000"/>
              <w:bottom w:val="single" w:sz="6" w:space="0" w:color="000000"/>
            </w:tcBorders>
            <w:shd w:val="clear" w:color="auto" w:fill="CFF0FC"/>
            <w:noWrap/>
            <w:tcMar>
              <w:top w:w="15" w:type="dxa"/>
              <w:right w:w="15" w:type="dxa"/>
            </w:tcMar>
            <w:vAlign w:val="bottom"/>
          </w:tcPr>
          <w:p w14:paraId="3973EE9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4,081</w:t>
            </w:r>
          </w:p>
        </w:tc>
        <w:tc>
          <w:tcPr>
            <w:tcW w:w="46" w:type="pct"/>
            <w:shd w:val="clear" w:color="auto" w:fill="CFF0FC"/>
            <w:noWrap/>
            <w:tcMar>
              <w:top w:w="15" w:type="dxa"/>
              <w:right w:w="15" w:type="dxa"/>
            </w:tcMar>
            <w:vAlign w:val="bottom"/>
          </w:tcPr>
          <w:p w14:paraId="3973EE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A7" w14:textId="77777777">
        <w:tc>
          <w:tcPr>
            <w:tcW w:w="4255" w:type="pct"/>
            <w:shd w:val="clear" w:color="auto" w:fill="FFFFFF"/>
            <w:tcMar>
              <w:top w:w="15" w:type="dxa"/>
              <w:right w:w="15" w:type="dxa"/>
            </w:tcMar>
            <w:vAlign w:val="bottom"/>
          </w:tcPr>
          <w:p w14:paraId="3973EEA2"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Less: imputed interest</w:t>
            </w:r>
          </w:p>
        </w:tc>
        <w:tc>
          <w:tcPr>
            <w:tcW w:w="97" w:type="pct"/>
            <w:shd w:val="clear" w:color="auto" w:fill="FFFFFF"/>
            <w:tcMar>
              <w:top w:w="15" w:type="dxa"/>
              <w:right w:w="15" w:type="dxa"/>
            </w:tcMar>
            <w:vAlign w:val="bottom"/>
          </w:tcPr>
          <w:p w14:paraId="3973EEA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single" w:sz="6" w:space="0" w:color="000000"/>
            </w:tcBorders>
            <w:shd w:val="clear" w:color="auto" w:fill="FFFFFF"/>
            <w:noWrap/>
            <w:tcMar>
              <w:top w:w="15" w:type="dxa"/>
              <w:right w:w="15" w:type="dxa"/>
            </w:tcMar>
            <w:vAlign w:val="bottom"/>
          </w:tcPr>
          <w:p w14:paraId="3973EE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9" w:type="pct"/>
            <w:tcBorders>
              <w:top w:val="single" w:sz="6" w:space="0" w:color="000000"/>
              <w:bottom w:val="single" w:sz="6" w:space="0" w:color="000000"/>
            </w:tcBorders>
            <w:shd w:val="clear" w:color="auto" w:fill="FFFFFF"/>
            <w:noWrap/>
            <w:tcMar>
              <w:top w:w="15" w:type="dxa"/>
              <w:right w:w="15" w:type="dxa"/>
            </w:tcMar>
            <w:vAlign w:val="bottom"/>
          </w:tcPr>
          <w:p w14:paraId="3973EEA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(423</w:t>
            </w:r>
          </w:p>
        </w:tc>
        <w:tc>
          <w:tcPr>
            <w:tcW w:w="46" w:type="pct"/>
            <w:shd w:val="clear" w:color="auto" w:fill="FFFFFF"/>
            <w:noWrap/>
            <w:tcMar>
              <w:top w:w="15" w:type="dxa"/>
              <w:right w:w="15" w:type="dxa"/>
            </w:tcMar>
            <w:vAlign w:val="bottom"/>
          </w:tcPr>
          <w:p w14:paraId="3973EE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 </w:t>
            </w:r>
          </w:p>
        </w:tc>
      </w:tr>
      <w:tr w:rsidR="007B027D" w14:paraId="3973EEAD" w14:textId="77777777">
        <w:tc>
          <w:tcPr>
            <w:tcW w:w="4255" w:type="pct"/>
            <w:shd w:val="clear" w:color="auto" w:fill="CFF0FC"/>
            <w:tcMar>
              <w:top w:w="15" w:type="dxa"/>
              <w:right w:w="15" w:type="dxa"/>
            </w:tcMar>
            <w:vAlign w:val="bottom"/>
          </w:tcPr>
          <w:p w14:paraId="3973EEA8" w14:textId="77777777" w:rsidR="007B027D" w:rsidRDefault="008E012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operating lease liability</w:t>
            </w:r>
          </w:p>
        </w:tc>
        <w:tc>
          <w:tcPr>
            <w:tcW w:w="97" w:type="pct"/>
            <w:shd w:val="clear" w:color="auto" w:fill="CFF0FC"/>
            <w:tcMar>
              <w:top w:w="15" w:type="dxa"/>
              <w:right w:w="15" w:type="dxa"/>
            </w:tcMar>
            <w:vAlign w:val="bottom"/>
          </w:tcPr>
          <w:p w14:paraId="3973EEA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2" w:type="pct"/>
            <w:tcBorders>
              <w:top w:val="single" w:sz="6" w:space="0" w:color="000000"/>
              <w:bottom w:val="double" w:sz="6" w:space="0" w:color="000000"/>
            </w:tcBorders>
            <w:shd w:val="clear" w:color="auto" w:fill="CFF0FC"/>
            <w:noWrap/>
            <w:tcMar>
              <w:top w:w="15" w:type="dxa"/>
              <w:right w:w="15" w:type="dxa"/>
            </w:tcMar>
            <w:vAlign w:val="bottom"/>
          </w:tcPr>
          <w:p w14:paraId="3973EE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9" w:type="pct"/>
            <w:tcBorders>
              <w:top w:val="single" w:sz="6" w:space="0" w:color="000000"/>
              <w:bottom w:val="double" w:sz="6" w:space="0" w:color="000000"/>
            </w:tcBorders>
            <w:shd w:val="clear" w:color="auto" w:fill="CFF0FC"/>
            <w:noWrap/>
            <w:tcMar>
              <w:top w:w="15" w:type="dxa"/>
              <w:right w:w="15" w:type="dxa"/>
            </w:tcMar>
            <w:vAlign w:val="bottom"/>
          </w:tcPr>
          <w:p w14:paraId="3973EEA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3,658</w:t>
            </w:r>
          </w:p>
        </w:tc>
        <w:tc>
          <w:tcPr>
            <w:tcW w:w="46" w:type="pct"/>
            <w:shd w:val="clear" w:color="auto" w:fill="CFF0FC"/>
            <w:noWrap/>
            <w:tcMar>
              <w:top w:w="15" w:type="dxa"/>
              <w:right w:w="15" w:type="dxa"/>
            </w:tcMar>
            <w:vAlign w:val="bottom"/>
          </w:tcPr>
          <w:p w14:paraId="3973EEAC"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EAE" w14:textId="77777777" w:rsidR="007B027D" w:rsidRDefault="008E0125">
      <w:pPr>
        <w:pStyle w:val="a3"/>
        <w:spacing w:before="120" w:beforeAutospacing="0" w:afterAutospacing="0"/>
        <w:jc w:val="both"/>
        <w:rPr>
          <w:rFonts w:ascii="Times New Roman" w:hAnsi="Times New Roman"/>
          <w:sz w:val="2"/>
          <w:szCs w:val="2"/>
        </w:rPr>
      </w:pPr>
      <w:r>
        <w:rPr>
          <w:rFonts w:ascii="Times New Roman" w:hAnsi="Times New Roman"/>
          <w:sz w:val="2"/>
          <w:szCs w:val="2"/>
        </w:rPr>
        <w:t> </w:t>
      </w:r>
    </w:p>
    <w:p w14:paraId="3973EEAF"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Unconditional Obligations</w:t>
      </w:r>
    </w:p>
    <w:p w14:paraId="3973EEB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the ordinary course of </w:t>
      </w:r>
      <w:r>
        <w:rPr>
          <w:rFonts w:ascii="Calibri" w:hAnsi="Calibri" w:cs="Calibri"/>
          <w:sz w:val="20"/>
          <w:szCs w:val="20"/>
        </w:rPr>
        <w:t>business, we enter into certain unconditional purchase obligations with our suppliers, which are agreements that are enforceable and legally binding and specify terms, including: fixed or minimum quantities to be purchased; fixed, minimum or variable price</w:t>
      </w:r>
      <w:r>
        <w:rPr>
          <w:rFonts w:ascii="Calibri" w:hAnsi="Calibri" w:cs="Calibri"/>
          <w:sz w:val="20"/>
          <w:szCs w:val="20"/>
        </w:rPr>
        <w:t xml:space="preserve"> provisions; and the approximate timing of the payment. We utilize several external manufacturers to manufacture sub-assemblies, perform final assemblies and perform testing of our hardware products. We also obtain individual components for our hardware pr</w:t>
      </w:r>
      <w:r>
        <w:rPr>
          <w:rFonts w:ascii="Calibri" w:hAnsi="Calibri" w:cs="Calibri"/>
          <w:sz w:val="20"/>
          <w:szCs w:val="20"/>
        </w:rPr>
        <w:t>oducts from a variety of individual suppliers based on projected demand information. Such purchase commitments are based on our forecasted component and manufacturing requirements and typically provide for fulfillment within agreed upon lead-times and/or c</w:t>
      </w:r>
      <w:r>
        <w:rPr>
          <w:rFonts w:ascii="Calibri" w:hAnsi="Calibri" w:cs="Calibri"/>
          <w:sz w:val="20"/>
          <w:szCs w:val="20"/>
        </w:rPr>
        <w:t>ommercially standard lead-times for the particular part or product and have been included in the amounts disclosed below. Certain routine arrangements for other materials and goods that are not related to our external manufacturers and certain other suppli</w:t>
      </w:r>
      <w:r>
        <w:rPr>
          <w:rFonts w:ascii="Calibri" w:hAnsi="Calibri" w:cs="Calibri"/>
          <w:sz w:val="20"/>
          <w:szCs w:val="20"/>
        </w:rPr>
        <w:t>ers and that are entered into in the ordinary course of business are not included in the amounts below, as they are generally entered into in order to secure pricing or other negotiated terms and are difficult to quantify in a meaningful way.</w:t>
      </w:r>
    </w:p>
    <w:p w14:paraId="3973EEB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As of May 31,</w:t>
      </w:r>
      <w:r>
        <w:rPr>
          <w:rFonts w:ascii="Calibri" w:hAnsi="Calibri" w:cs="Calibri"/>
          <w:sz w:val="20"/>
          <w:szCs w:val="20"/>
        </w:rPr>
        <w:t xml:space="preserve"> 2022, our unconditional purchase and certain other obligations were as follows (in millions):</w:t>
      </w:r>
    </w:p>
    <w:p w14:paraId="3973EEB2"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077"/>
        <w:gridCol w:w="158"/>
        <w:gridCol w:w="117"/>
        <w:gridCol w:w="894"/>
        <w:gridCol w:w="75"/>
      </w:tblGrid>
      <w:tr w:rsidR="007B027D" w14:paraId="3973EEB8" w14:textId="77777777">
        <w:tc>
          <w:tcPr>
            <w:tcW w:w="4257" w:type="pct"/>
            <w:shd w:val="clear" w:color="auto" w:fill="CFF0FC"/>
            <w:tcMar>
              <w:top w:w="15" w:type="dxa"/>
              <w:right w:w="15" w:type="dxa"/>
            </w:tcMar>
            <w:vAlign w:val="bottom"/>
          </w:tcPr>
          <w:p w14:paraId="3973EE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0" w:type="pct"/>
            <w:shd w:val="clear" w:color="auto" w:fill="CFF0FC"/>
            <w:tcMar>
              <w:top w:w="15" w:type="dxa"/>
              <w:right w:w="15" w:type="dxa"/>
            </w:tcMar>
            <w:vAlign w:val="bottom"/>
          </w:tcPr>
          <w:p w14:paraId="3973EE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E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2" w:type="pct"/>
            <w:shd w:val="clear" w:color="auto" w:fill="CFF0FC"/>
            <w:noWrap/>
            <w:tcMar>
              <w:top w:w="15" w:type="dxa"/>
              <w:right w:w="15" w:type="dxa"/>
            </w:tcMar>
            <w:vAlign w:val="bottom"/>
          </w:tcPr>
          <w:p w14:paraId="3973EEB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4,090</w:t>
            </w:r>
          </w:p>
        </w:tc>
        <w:tc>
          <w:tcPr>
            <w:tcW w:w="50" w:type="pct"/>
            <w:shd w:val="clear" w:color="auto" w:fill="CFF0FC"/>
            <w:noWrap/>
            <w:tcMar>
              <w:top w:w="15" w:type="dxa"/>
              <w:right w:w="15" w:type="dxa"/>
            </w:tcMar>
            <w:vAlign w:val="bottom"/>
          </w:tcPr>
          <w:p w14:paraId="3973EE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BE" w14:textId="77777777">
        <w:tc>
          <w:tcPr>
            <w:tcW w:w="4257" w:type="pct"/>
            <w:shd w:val="clear" w:color="auto" w:fill="FFFFFF"/>
            <w:tcMar>
              <w:top w:w="15" w:type="dxa"/>
              <w:right w:w="15" w:type="dxa"/>
            </w:tcMar>
            <w:vAlign w:val="bottom"/>
          </w:tcPr>
          <w:p w14:paraId="3973EE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0" w:type="pct"/>
            <w:shd w:val="clear" w:color="auto" w:fill="FFFFFF"/>
            <w:tcMar>
              <w:top w:w="15" w:type="dxa"/>
              <w:right w:w="15" w:type="dxa"/>
            </w:tcMar>
            <w:vAlign w:val="bottom"/>
          </w:tcPr>
          <w:p w14:paraId="3973EE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E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right w:w="15" w:type="dxa"/>
            </w:tcMar>
            <w:vAlign w:val="bottom"/>
          </w:tcPr>
          <w:p w14:paraId="3973EEB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3973EE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C4" w14:textId="77777777">
        <w:tc>
          <w:tcPr>
            <w:tcW w:w="4257" w:type="pct"/>
            <w:shd w:val="clear" w:color="auto" w:fill="CFF0FC"/>
            <w:tcMar>
              <w:top w:w="15" w:type="dxa"/>
              <w:right w:w="15" w:type="dxa"/>
            </w:tcMar>
            <w:vAlign w:val="bottom"/>
          </w:tcPr>
          <w:p w14:paraId="3973EE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0" w:type="pct"/>
            <w:shd w:val="clear" w:color="auto" w:fill="CFF0FC"/>
            <w:tcMar>
              <w:top w:w="15" w:type="dxa"/>
              <w:right w:w="15" w:type="dxa"/>
            </w:tcMar>
            <w:vAlign w:val="bottom"/>
          </w:tcPr>
          <w:p w14:paraId="3973EE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E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right w:w="15" w:type="dxa"/>
            </w:tcMar>
            <w:vAlign w:val="bottom"/>
          </w:tcPr>
          <w:p w14:paraId="3973EEC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CFF0FC"/>
            <w:noWrap/>
            <w:tcMar>
              <w:top w:w="15" w:type="dxa"/>
              <w:right w:w="15" w:type="dxa"/>
            </w:tcMar>
            <w:vAlign w:val="bottom"/>
          </w:tcPr>
          <w:p w14:paraId="3973EE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CA" w14:textId="77777777">
        <w:tc>
          <w:tcPr>
            <w:tcW w:w="4257" w:type="pct"/>
            <w:shd w:val="clear" w:color="auto" w:fill="FFFFFF"/>
            <w:tcMar>
              <w:top w:w="15" w:type="dxa"/>
              <w:right w:w="15" w:type="dxa"/>
            </w:tcMar>
            <w:vAlign w:val="bottom"/>
          </w:tcPr>
          <w:p w14:paraId="3973EE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0" w:type="pct"/>
            <w:shd w:val="clear" w:color="auto" w:fill="FFFFFF"/>
            <w:tcMar>
              <w:top w:w="15" w:type="dxa"/>
              <w:right w:w="15" w:type="dxa"/>
            </w:tcMar>
            <w:vAlign w:val="bottom"/>
          </w:tcPr>
          <w:p w14:paraId="3973EE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E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right w:w="15" w:type="dxa"/>
            </w:tcMar>
            <w:vAlign w:val="bottom"/>
          </w:tcPr>
          <w:p w14:paraId="3973EEC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FFFFFF"/>
            <w:noWrap/>
            <w:tcMar>
              <w:top w:w="15" w:type="dxa"/>
              <w:right w:w="15" w:type="dxa"/>
            </w:tcMar>
            <w:vAlign w:val="bottom"/>
          </w:tcPr>
          <w:p w14:paraId="3973EE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D0" w14:textId="77777777">
        <w:tc>
          <w:tcPr>
            <w:tcW w:w="4257" w:type="pct"/>
            <w:shd w:val="clear" w:color="auto" w:fill="CFF0FC"/>
            <w:tcMar>
              <w:top w:w="15" w:type="dxa"/>
              <w:right w:w="15" w:type="dxa"/>
            </w:tcMar>
            <w:vAlign w:val="bottom"/>
          </w:tcPr>
          <w:p w14:paraId="3973EE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100" w:type="pct"/>
            <w:shd w:val="clear" w:color="auto" w:fill="CFF0FC"/>
            <w:tcMar>
              <w:top w:w="15" w:type="dxa"/>
              <w:right w:w="15" w:type="dxa"/>
            </w:tcMar>
            <w:vAlign w:val="bottom"/>
          </w:tcPr>
          <w:p w14:paraId="3973EEC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E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right w:w="15" w:type="dxa"/>
            </w:tcMar>
            <w:vAlign w:val="bottom"/>
          </w:tcPr>
          <w:p w14:paraId="3973EEC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CFF0FC"/>
            <w:noWrap/>
            <w:tcMar>
              <w:top w:w="15" w:type="dxa"/>
              <w:right w:w="15" w:type="dxa"/>
            </w:tcMar>
            <w:vAlign w:val="bottom"/>
          </w:tcPr>
          <w:p w14:paraId="3973EE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D6" w14:textId="77777777">
        <w:tc>
          <w:tcPr>
            <w:tcW w:w="4257" w:type="pct"/>
            <w:shd w:val="clear" w:color="auto" w:fill="FFFFFF"/>
            <w:tcMar>
              <w:top w:w="15" w:type="dxa"/>
              <w:right w:w="15" w:type="dxa"/>
            </w:tcMar>
            <w:vAlign w:val="bottom"/>
          </w:tcPr>
          <w:p w14:paraId="3973EE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0" w:type="pct"/>
            <w:shd w:val="clear" w:color="auto" w:fill="FFFFFF"/>
            <w:tcMar>
              <w:top w:w="15" w:type="dxa"/>
              <w:right w:w="15" w:type="dxa"/>
            </w:tcMar>
            <w:vAlign w:val="bottom"/>
          </w:tcPr>
          <w:p w14:paraId="3973EED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ED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2" w:type="pct"/>
            <w:tcBorders>
              <w:bottom w:val="single" w:sz="6" w:space="0" w:color="000000"/>
            </w:tcBorders>
            <w:shd w:val="clear" w:color="auto" w:fill="FFFFFF"/>
            <w:noWrap/>
            <w:tcMar>
              <w:top w:w="15" w:type="dxa"/>
              <w:right w:w="15" w:type="dxa"/>
            </w:tcMar>
            <w:vAlign w:val="bottom"/>
          </w:tcPr>
          <w:p w14:paraId="3973EED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3973EE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EEDC" w14:textId="77777777">
        <w:tc>
          <w:tcPr>
            <w:tcW w:w="4257" w:type="pct"/>
            <w:shd w:val="clear" w:color="auto" w:fill="CFF0FC"/>
            <w:tcMar>
              <w:top w:w="15" w:type="dxa"/>
              <w:right w:w="15" w:type="dxa"/>
            </w:tcMar>
            <w:vAlign w:val="bottom"/>
          </w:tcPr>
          <w:p w14:paraId="3973EED7"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w:t>
            </w:r>
          </w:p>
        </w:tc>
        <w:tc>
          <w:tcPr>
            <w:tcW w:w="100" w:type="pct"/>
            <w:shd w:val="clear" w:color="auto" w:fill="CFF0FC"/>
            <w:tcMar>
              <w:top w:w="15" w:type="dxa"/>
              <w:right w:w="15" w:type="dxa"/>
            </w:tcMar>
            <w:vAlign w:val="bottom"/>
          </w:tcPr>
          <w:p w14:paraId="3973EED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E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2" w:type="pct"/>
            <w:tcBorders>
              <w:top w:val="single" w:sz="6" w:space="0" w:color="000000"/>
              <w:bottom w:val="double" w:sz="6" w:space="0" w:color="000000"/>
            </w:tcBorders>
            <w:shd w:val="clear" w:color="auto" w:fill="CFF0FC"/>
            <w:noWrap/>
            <w:tcMar>
              <w:top w:w="15" w:type="dxa"/>
              <w:right w:w="15" w:type="dxa"/>
            </w:tcMar>
            <w:vAlign w:val="bottom"/>
          </w:tcPr>
          <w:p w14:paraId="3973EED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4,789</w:t>
            </w:r>
          </w:p>
        </w:tc>
        <w:tc>
          <w:tcPr>
            <w:tcW w:w="50" w:type="pct"/>
            <w:shd w:val="clear" w:color="auto" w:fill="CFF0FC"/>
            <w:noWrap/>
            <w:tcMar>
              <w:top w:w="15" w:type="dxa"/>
              <w:right w:w="15" w:type="dxa"/>
            </w:tcMar>
            <w:vAlign w:val="bottom"/>
          </w:tcPr>
          <w:p w14:paraId="3973EEDB"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EDD" w14:textId="77777777" w:rsidR="007B027D" w:rsidRDefault="008E0125">
      <w:pPr>
        <w:pStyle w:val="a3"/>
        <w:spacing w:beforeAutospacing="0" w:afterAutospacing="0"/>
        <w:rPr>
          <w:sz w:val="12"/>
          <w:szCs w:val="12"/>
        </w:rPr>
      </w:pPr>
      <w:r>
        <w:rPr>
          <w:sz w:val="12"/>
          <w:szCs w:val="12"/>
        </w:rPr>
        <w:t> </w:t>
      </w:r>
    </w:p>
    <w:p w14:paraId="3973EEDE"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As described in Note 7 above, as of May 31, 2022 we have senior notes and other borrowings that mature at various future dates and derivative financial instruments outstanding that we leverage to manage certain risks and exposures.</w:t>
      </w:r>
    </w:p>
    <w:p w14:paraId="3973EEDF"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Guarantees </w:t>
      </w:r>
    </w:p>
    <w:p w14:paraId="3973EEE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w:t>
      </w:r>
      <w:r>
        <w:rPr>
          <w:rFonts w:ascii="Calibri" w:hAnsi="Calibri" w:cs="Calibri"/>
          <w:sz w:val="20"/>
          <w:szCs w:val="20"/>
        </w:rPr>
        <w:t>license and hardware sales agreements generally include certain provisions for indemnifying customers against liabilities if our products infringe a third party’s intellectual property rights. To date, we have not incurred any material costs as a result of</w:t>
      </w:r>
      <w:r>
        <w:rPr>
          <w:rFonts w:ascii="Calibri" w:hAnsi="Calibri" w:cs="Calibri"/>
          <w:sz w:val="20"/>
          <w:szCs w:val="20"/>
        </w:rPr>
        <w:t xml:space="preserve"> such indemnifications and have not accrued any material liabilities related to such obligations in our consolidated financial statements. Certain of our sales agreements also include provisions indemnifying customers against liabilities in the event we br</w:t>
      </w:r>
      <w:r>
        <w:rPr>
          <w:rFonts w:ascii="Calibri" w:hAnsi="Calibri" w:cs="Calibri"/>
          <w:sz w:val="20"/>
          <w:szCs w:val="20"/>
        </w:rPr>
        <w:t xml:space="preserve">each confidentiality or service level requirements. It is not possible to determine the maximum potential amount under these indemnification agreements due to our </w:t>
      </w:r>
    </w:p>
    <w:p w14:paraId="3973EEE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92</w:t>
      </w:r>
    </w:p>
    <w:p w14:paraId="3973EEE2" w14:textId="77777777" w:rsidR="007B027D" w:rsidRDefault="008E0125">
      <w:r>
        <w:rPr>
          <w:rFonts w:ascii="Calibri" w:hAnsi="Calibri" w:cs="Calibri"/>
          <w:sz w:val="20"/>
          <w:szCs w:val="20"/>
        </w:rPr>
        <w:pict w14:anchorId="39740097">
          <v:rect id="_x0000_i1118" style="width:415.3pt;height:1.5pt" o:hralign="center" o:hrstd="t" o:hr="t" fillcolor="#a0a0a0" stroked="f"/>
        </w:pict>
      </w:r>
    </w:p>
    <w:p w14:paraId="3973EEE3" w14:textId="77777777" w:rsidR="007B027D" w:rsidRDefault="008E0125">
      <w:pPr>
        <w:pStyle w:val="a3"/>
        <w:spacing w:beforeAutospacing="0" w:after="120" w:afterAutospacing="0"/>
        <w:rPr>
          <w:rFonts w:ascii="Calibri" w:hAnsi="Calibri" w:cs="Calibri"/>
          <w:sz w:val="18"/>
          <w:szCs w:val="18"/>
        </w:rPr>
      </w:pPr>
      <w:hyperlink r:id="rId220" w:anchor="TABLE_OF_CONTENTS" w:history="1">
        <w:r>
          <w:rPr>
            <w:rStyle w:val="a5"/>
            <w:rFonts w:ascii="Calibri" w:hAnsi="Calibri" w:cs="Calibri"/>
            <w:sz w:val="18"/>
            <w:szCs w:val="18"/>
          </w:rPr>
          <w:t>Table of Contents</w:t>
        </w:r>
      </w:hyperlink>
    </w:p>
    <w:p w14:paraId="3973EEE4" w14:textId="77777777" w:rsidR="007B027D" w:rsidRDefault="008E0125">
      <w:pPr>
        <w:pStyle w:val="a3"/>
        <w:spacing w:beforeAutospacing="0" w:afterAutospacing="0"/>
        <w:rPr>
          <w:rFonts w:ascii="Calibri" w:hAnsi="Calibri" w:cs="Calibri"/>
          <w:sz w:val="18"/>
          <w:szCs w:val="18"/>
        </w:rPr>
      </w:pPr>
      <w:hyperlink r:id="rId221" w:anchor="ITEM_15_EXHIBITS_FINANCIAL_STATEMENT_SCH" w:history="1">
        <w:r>
          <w:rPr>
            <w:rStyle w:val="a5"/>
            <w:rFonts w:ascii="Calibri" w:hAnsi="Calibri" w:cs="Calibri"/>
            <w:sz w:val="18"/>
            <w:szCs w:val="18"/>
          </w:rPr>
          <w:t>Index to Financial Statements</w:t>
        </w:r>
      </w:hyperlink>
    </w:p>
    <w:p w14:paraId="3973EEE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EE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EE7"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EE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EE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limited and infrequent history of prior indemnification claims and the unique facts and circumstances involved in each particular agreement.</w:t>
      </w:r>
    </w:p>
    <w:p w14:paraId="3973EEE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Oracle Cloud </w:t>
      </w:r>
      <w:r>
        <w:rPr>
          <w:rFonts w:ascii="Calibri" w:hAnsi="Calibri" w:cs="Calibri"/>
          <w:sz w:val="20"/>
          <w:szCs w:val="20"/>
        </w:rPr>
        <w:t>Services agreements generally include a warranty that the cloud services will be performed in all material respects as defined in the agreement during the service period.</w:t>
      </w:r>
      <w:r>
        <w:rPr>
          <w:rFonts w:ascii="Calibri" w:hAnsi="Calibri" w:cs="Calibri"/>
          <w:color w:val="FF0000"/>
        </w:rPr>
        <w:t xml:space="preserve"> </w:t>
      </w:r>
      <w:r>
        <w:rPr>
          <w:rFonts w:ascii="Calibri" w:hAnsi="Calibri" w:cs="Calibri"/>
          <w:sz w:val="20"/>
          <w:szCs w:val="20"/>
        </w:rPr>
        <w:t>Our license and hardware agreements also generally include a warranty that our produc</w:t>
      </w:r>
      <w:r>
        <w:rPr>
          <w:rFonts w:ascii="Calibri" w:hAnsi="Calibri" w:cs="Calibri"/>
          <w:sz w:val="20"/>
          <w:szCs w:val="20"/>
        </w:rPr>
        <w:t>ts will substantially operate as described in the applicable program documentation for a period of one year after delivery. We also warrant that services we perform will be provided in a manner consistent with industry standards for a period of 90 days fro</w:t>
      </w:r>
      <w:r>
        <w:rPr>
          <w:rFonts w:ascii="Calibri" w:hAnsi="Calibri" w:cs="Calibri"/>
          <w:sz w:val="20"/>
          <w:szCs w:val="20"/>
        </w:rPr>
        <w:t>m performance of the services.</w:t>
      </w:r>
    </w:p>
    <w:p w14:paraId="3973EEE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occasionally are required, for various reasons, to enter into financial guarantees with third parties in the ordinary course of our business including, among others, guarantees related to taxes, import licenses and letters</w:t>
      </w:r>
      <w:r>
        <w:rPr>
          <w:rFonts w:ascii="Calibri" w:hAnsi="Calibri" w:cs="Calibri"/>
          <w:sz w:val="20"/>
          <w:szCs w:val="20"/>
        </w:rPr>
        <w:t xml:space="preserve"> of credit on behalf of parties with whom we conduct business. Such agreements have not had a material effect on our results of operations, financial position or cash flows.</w:t>
      </w:r>
      <w:r>
        <w:rPr>
          <w:rFonts w:ascii="Times New Roman" w:hAnsi="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EEE" w14:textId="77777777">
        <w:tc>
          <w:tcPr>
            <w:tcW w:w="262" w:type="pct"/>
            <w:shd w:val="clear" w:color="auto" w:fill="auto"/>
            <w:noWrap/>
          </w:tcPr>
          <w:p w14:paraId="3973EEEC"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3973EEED"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STOCKHOLDERS’ (DEFICIT) EQUITY </w:t>
            </w:r>
          </w:p>
        </w:tc>
      </w:tr>
    </w:tbl>
    <w:p w14:paraId="3973EEEF"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3973EEF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December 9, 2021, we announced that our Board of Directors approved an expansion of our stock repurchase program by an additional $10.0 billion. </w:t>
      </w:r>
      <w:r>
        <w:rPr>
          <w:rFonts w:ascii="Calibri" w:hAnsi="Calibri" w:cs="Calibri"/>
          <w:color w:val="000000"/>
          <w:sz w:val="20"/>
          <w:szCs w:val="20"/>
        </w:rPr>
        <w:t>As of May 31,</w:t>
      </w:r>
      <w:r>
        <w:rPr>
          <w:rFonts w:ascii="Calibri" w:hAnsi="Calibri" w:cs="Calibri"/>
          <w:color w:val="000000"/>
          <w:sz w:val="20"/>
          <w:szCs w:val="20"/>
        </w:rPr>
        <w:t xml:space="preserve"> 2022, </w:t>
      </w:r>
      <w:r>
        <w:rPr>
          <w:rFonts w:ascii="Calibri" w:hAnsi="Calibri" w:cs="Calibri"/>
          <w:sz w:val="20"/>
          <w:szCs w:val="20"/>
        </w:rPr>
        <w:t xml:space="preserve">approximately $9.4 billion remained available for stock repurchases pursuant to our stock repurchase program. We repurchased 185.8 million shares for $16.2 billion </w:t>
      </w:r>
      <w:r>
        <w:rPr>
          <w:rFonts w:ascii="Calibri" w:hAnsi="Calibri" w:cs="Calibri"/>
          <w:color w:val="000000"/>
          <w:sz w:val="20"/>
          <w:szCs w:val="20"/>
        </w:rPr>
        <w:t>(including 0.3 million shares for $19 million that were repurchased but not settled)</w:t>
      </w:r>
      <w:r>
        <w:rPr>
          <w:rFonts w:ascii="Calibri" w:hAnsi="Calibri" w:cs="Calibri"/>
          <w:sz w:val="20"/>
          <w:szCs w:val="20"/>
        </w:rPr>
        <w:t>,</w:t>
      </w:r>
      <w:r>
        <w:rPr>
          <w:rFonts w:ascii="Calibri" w:hAnsi="Calibri" w:cs="Calibri"/>
          <w:sz w:val="20"/>
          <w:szCs w:val="20"/>
        </w:rPr>
        <w:t xml:space="preserve"> 329.2 million shares for $21.0 billion, and 361.0 million shares for $19.2 billion in fiscal 2022, 2021 and 2020, respectively, under the stock repurchase program. </w:t>
      </w:r>
    </w:p>
    <w:p w14:paraId="3973EEF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w:t>
      </w:r>
      <w:r>
        <w:rPr>
          <w:rFonts w:ascii="Calibri" w:hAnsi="Calibri" w:cs="Calibri"/>
          <w:sz w:val="20"/>
          <w:szCs w:val="20"/>
        </w:rPr>
        <w:t>purchase activity will depend on factors such as our working capital needs, our cash requirements for acquisitions and dividend payments, our debt repayment obligations or repurchases of our debt, our stock price, and economic and market conditions. Our st</w:t>
      </w:r>
      <w:r>
        <w:rPr>
          <w:rFonts w:ascii="Calibri" w:hAnsi="Calibri" w:cs="Calibri"/>
          <w:sz w:val="20"/>
          <w:szCs w:val="20"/>
        </w:rPr>
        <w:t>ock repurchases may be effected from time to time through open market purchases or pursuant to a Rule 10b5-1 plan. Our stock repurchase program may be accelerated, suspended, delayed or discontinued at any time.</w:t>
      </w:r>
    </w:p>
    <w:p w14:paraId="3973EEF2"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3973EEF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w:t>
      </w:r>
      <w:r>
        <w:rPr>
          <w:rFonts w:ascii="Calibri" w:hAnsi="Calibri" w:cs="Calibri"/>
          <w:sz w:val="20"/>
          <w:szCs w:val="20"/>
        </w:rPr>
        <w:t>, 2021 and 2020, our Board of Directors declared cash dividends of $1.28, $1.04 and $0.96 per share of our outstanding common stock, respectively, which we paid during the same period.</w:t>
      </w:r>
    </w:p>
    <w:p w14:paraId="3973EEF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June 2022, our Board of Directors declared a quarterly cash dividend</w:t>
      </w:r>
      <w:r>
        <w:rPr>
          <w:rFonts w:ascii="Calibri" w:hAnsi="Calibri" w:cs="Calibri"/>
          <w:sz w:val="20"/>
          <w:szCs w:val="20"/>
        </w:rPr>
        <w:t xml:space="preserve"> of $0.32 per share of our outstanding common stock. The dividend is payable on July 26, 2022 to stockholders of record as of the close of business on July 12, 2022. Future declarations of dividends and the establishment of future record and payment dates </w:t>
      </w:r>
      <w:r>
        <w:rPr>
          <w:rFonts w:ascii="Calibri" w:hAnsi="Calibri" w:cs="Calibri"/>
          <w:sz w:val="20"/>
          <w:szCs w:val="20"/>
        </w:rPr>
        <w:t>are subject to the final determination of our Board of Directors.</w:t>
      </w:r>
    </w:p>
    <w:p w14:paraId="3973EEF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Accumulated Other Comprehensive Loss</w:t>
      </w:r>
    </w:p>
    <w:p w14:paraId="3973EEF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summarizes, as of each balance sheet date, the components of our AOCL, net of income taxes:</w:t>
      </w:r>
    </w:p>
    <w:p w14:paraId="3973EEF7" w14:textId="77777777" w:rsidR="007B027D" w:rsidRDefault="008E012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bl>
      <w:tblPr>
        <w:tblW w:w="5000" w:type="pct"/>
        <w:tblCellMar>
          <w:left w:w="0" w:type="dxa"/>
          <w:right w:w="0" w:type="dxa"/>
        </w:tblCellMar>
        <w:tblLook w:val="04A0" w:firstRow="1" w:lastRow="0" w:firstColumn="1" w:lastColumn="0" w:noHBand="0" w:noVBand="1"/>
      </w:tblPr>
      <w:tblGrid>
        <w:gridCol w:w="5596"/>
        <w:gridCol w:w="110"/>
        <w:gridCol w:w="117"/>
        <w:gridCol w:w="1058"/>
        <w:gridCol w:w="76"/>
        <w:gridCol w:w="110"/>
        <w:gridCol w:w="117"/>
        <w:gridCol w:w="1061"/>
        <w:gridCol w:w="76"/>
      </w:tblGrid>
      <w:tr w:rsidR="007B027D" w14:paraId="3973EEFC" w14:textId="77777777">
        <w:tc>
          <w:tcPr>
            <w:tcW w:w="3368" w:type="pct"/>
            <w:shd w:val="clear" w:color="auto" w:fill="FFFFFF"/>
            <w:tcMar>
              <w:top w:w="15" w:type="dxa"/>
              <w:right w:w="15" w:type="dxa"/>
            </w:tcMar>
            <w:vAlign w:val="bottom"/>
          </w:tcPr>
          <w:p w14:paraId="3973EEF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w:t>
            </w:r>
          </w:p>
        </w:tc>
        <w:tc>
          <w:tcPr>
            <w:tcW w:w="73" w:type="pct"/>
            <w:shd w:val="clear" w:color="auto" w:fill="FFFFFF"/>
            <w:tcMar>
              <w:top w:w="15" w:type="dxa"/>
              <w:right w:w="15" w:type="dxa"/>
            </w:tcMar>
            <w:vAlign w:val="bottom"/>
          </w:tcPr>
          <w:p w14:paraId="3973EEF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8" w:type="pct"/>
            <w:gridSpan w:val="6"/>
            <w:tcBorders>
              <w:bottom w:val="single" w:sz="6" w:space="0" w:color="000000"/>
            </w:tcBorders>
            <w:shd w:val="clear" w:color="auto" w:fill="FFFFFF"/>
            <w:tcMar>
              <w:top w:w="15" w:type="dxa"/>
              <w:right w:w="15" w:type="dxa"/>
            </w:tcMar>
            <w:vAlign w:val="bottom"/>
          </w:tcPr>
          <w:p w14:paraId="3973EEF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EEF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04" w14:textId="77777777">
        <w:tc>
          <w:tcPr>
            <w:tcW w:w="3368" w:type="pct"/>
            <w:tcBorders>
              <w:bottom w:val="single" w:sz="6" w:space="0" w:color="000000"/>
            </w:tcBorders>
            <w:shd w:val="clear" w:color="auto" w:fill="FFFFFF"/>
            <w:tcMar>
              <w:top w:w="15" w:type="dxa"/>
              <w:right w:w="15" w:type="dxa"/>
            </w:tcMar>
            <w:vAlign w:val="bottom"/>
          </w:tcPr>
          <w:p w14:paraId="3973EEF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3973EEF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3973EEF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EF0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3973EF0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3973EF0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EF0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0E" w14:textId="77777777">
        <w:tc>
          <w:tcPr>
            <w:tcW w:w="3368" w:type="pct"/>
            <w:tcBorders>
              <w:top w:val="single" w:sz="6" w:space="0" w:color="000000"/>
            </w:tcBorders>
            <w:shd w:val="clear" w:color="auto" w:fill="CFF0FC"/>
            <w:tcMar>
              <w:top w:w="15" w:type="dxa"/>
              <w:right w:w="15" w:type="dxa"/>
            </w:tcMar>
          </w:tcPr>
          <w:p w14:paraId="3973EF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translation losses</w:t>
            </w:r>
          </w:p>
        </w:tc>
        <w:tc>
          <w:tcPr>
            <w:tcW w:w="73" w:type="pct"/>
            <w:shd w:val="clear" w:color="auto" w:fill="CFF0FC"/>
            <w:tcMar>
              <w:top w:w="15" w:type="dxa"/>
              <w:right w:w="15" w:type="dxa"/>
            </w:tcMar>
            <w:vAlign w:val="bottom"/>
          </w:tcPr>
          <w:p w14:paraId="3973EF06"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EF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3973EF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(1,482</w:t>
            </w:r>
          </w:p>
        </w:tc>
        <w:tc>
          <w:tcPr>
            <w:tcW w:w="50" w:type="pct"/>
            <w:shd w:val="clear" w:color="auto" w:fill="CFF0FC"/>
            <w:noWrap/>
            <w:tcMar>
              <w:top w:w="15" w:type="dxa"/>
              <w:right w:w="15" w:type="dxa"/>
            </w:tcMar>
            <w:vAlign w:val="bottom"/>
          </w:tcPr>
          <w:p w14:paraId="3973EF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EF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F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3973EF0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(775</w:t>
            </w:r>
          </w:p>
        </w:tc>
        <w:tc>
          <w:tcPr>
            <w:tcW w:w="50" w:type="pct"/>
            <w:shd w:val="clear" w:color="auto" w:fill="CFF0FC"/>
            <w:noWrap/>
            <w:tcMar>
              <w:top w:w="15" w:type="dxa"/>
              <w:right w:w="15" w:type="dxa"/>
            </w:tcMar>
            <w:vAlign w:val="bottom"/>
          </w:tcPr>
          <w:p w14:paraId="3973EF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F18" w14:textId="77777777">
        <w:tc>
          <w:tcPr>
            <w:tcW w:w="3368" w:type="pct"/>
            <w:shd w:val="clear" w:color="auto" w:fill="FFFFFF"/>
            <w:tcMar>
              <w:top w:w="15" w:type="dxa"/>
              <w:right w:w="15" w:type="dxa"/>
            </w:tcMar>
          </w:tcPr>
          <w:p w14:paraId="3973EF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Unrealized losses on defined benefit plans, net</w:t>
            </w:r>
          </w:p>
        </w:tc>
        <w:tc>
          <w:tcPr>
            <w:tcW w:w="73" w:type="pct"/>
            <w:shd w:val="clear" w:color="auto" w:fill="FFFFFF"/>
            <w:tcMar>
              <w:top w:w="15" w:type="dxa"/>
              <w:right w:w="15" w:type="dxa"/>
            </w:tcMar>
            <w:vAlign w:val="bottom"/>
          </w:tcPr>
          <w:p w14:paraId="3973EF1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EF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EF1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(210</w:t>
            </w:r>
          </w:p>
        </w:tc>
        <w:tc>
          <w:tcPr>
            <w:tcW w:w="50" w:type="pct"/>
            <w:shd w:val="clear" w:color="auto" w:fill="FFFFFF"/>
            <w:noWrap/>
            <w:tcMar>
              <w:top w:w="15" w:type="dxa"/>
              <w:right w:w="15" w:type="dxa"/>
            </w:tcMar>
            <w:vAlign w:val="bottom"/>
          </w:tcPr>
          <w:p w14:paraId="3973EF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3973EF1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F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EF1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(400</w:t>
            </w:r>
          </w:p>
        </w:tc>
        <w:tc>
          <w:tcPr>
            <w:tcW w:w="50" w:type="pct"/>
            <w:shd w:val="clear" w:color="auto" w:fill="FFFFFF"/>
            <w:noWrap/>
            <w:tcMar>
              <w:top w:w="15" w:type="dxa"/>
              <w:right w:w="15" w:type="dxa"/>
            </w:tcMar>
            <w:vAlign w:val="bottom"/>
          </w:tcPr>
          <w:p w14:paraId="3973EF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EF22" w14:textId="77777777">
        <w:tc>
          <w:tcPr>
            <w:tcW w:w="3368" w:type="pct"/>
            <w:shd w:val="clear" w:color="auto" w:fill="CFF0FC"/>
            <w:tcMar>
              <w:top w:w="15" w:type="dxa"/>
              <w:right w:w="15" w:type="dxa"/>
            </w:tcMar>
          </w:tcPr>
          <w:p w14:paraId="3973EF19"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accumulated other comprehensive loss</w:t>
            </w:r>
          </w:p>
        </w:tc>
        <w:tc>
          <w:tcPr>
            <w:tcW w:w="73" w:type="pct"/>
            <w:shd w:val="clear" w:color="auto" w:fill="CFF0FC"/>
            <w:tcMar>
              <w:top w:w="15" w:type="dxa"/>
              <w:right w:w="15" w:type="dxa"/>
            </w:tcMar>
            <w:vAlign w:val="bottom"/>
          </w:tcPr>
          <w:p w14:paraId="3973EF1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F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3973EF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(1,692</w:t>
            </w:r>
          </w:p>
        </w:tc>
        <w:tc>
          <w:tcPr>
            <w:tcW w:w="50" w:type="pct"/>
            <w:shd w:val="clear" w:color="auto" w:fill="CFF0FC"/>
            <w:noWrap/>
            <w:tcMar>
              <w:top w:w="15" w:type="dxa"/>
              <w:right w:w="15" w:type="dxa"/>
            </w:tcMar>
            <w:vAlign w:val="bottom"/>
          </w:tcPr>
          <w:p w14:paraId="3973EF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EF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F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3973EF2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(1,175</w:t>
            </w:r>
          </w:p>
        </w:tc>
        <w:tc>
          <w:tcPr>
            <w:tcW w:w="50" w:type="pct"/>
            <w:shd w:val="clear" w:color="auto" w:fill="CFF0FC"/>
            <w:noWrap/>
            <w:tcMar>
              <w:top w:w="15" w:type="dxa"/>
              <w:right w:w="15" w:type="dxa"/>
            </w:tcMar>
            <w:vAlign w:val="bottom"/>
          </w:tcPr>
          <w:p w14:paraId="3973EF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3973EF23" w14:textId="77777777" w:rsidR="007B027D" w:rsidRDefault="008E0125">
      <w:pPr>
        <w:pStyle w:val="a3"/>
        <w:spacing w:beforeAutospacing="0" w:afterAutospacing="0"/>
        <w:rPr>
          <w:b/>
          <w:bCs/>
          <w:sz w:val="12"/>
          <w:szCs w:val="12"/>
        </w:rPr>
      </w:pPr>
      <w:r>
        <w:rPr>
          <w:b/>
          <w:bCs/>
          <w:sz w:val="12"/>
          <w:szCs w:val="12"/>
        </w:rPr>
        <w:t> </w:t>
      </w:r>
    </w:p>
    <w:p w14:paraId="3973EF2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93</w:t>
      </w:r>
    </w:p>
    <w:p w14:paraId="3973EF25" w14:textId="77777777" w:rsidR="007B027D" w:rsidRDefault="008E0125">
      <w:r>
        <w:rPr>
          <w:rFonts w:ascii="Calibri" w:hAnsi="Calibri" w:cs="Calibri"/>
          <w:sz w:val="20"/>
          <w:szCs w:val="20"/>
        </w:rPr>
        <w:pict w14:anchorId="39740098">
          <v:rect id="_x0000_i1119" style="width:415.3pt;height:1.5pt" o:hralign="center" o:hrstd="t" o:hr="t" fillcolor="#a0a0a0" stroked="f"/>
        </w:pict>
      </w:r>
    </w:p>
    <w:p w14:paraId="3973EF26" w14:textId="77777777" w:rsidR="007B027D" w:rsidRDefault="008E0125">
      <w:pPr>
        <w:pStyle w:val="a3"/>
        <w:spacing w:beforeAutospacing="0" w:after="120" w:afterAutospacing="0"/>
        <w:rPr>
          <w:rFonts w:ascii="Calibri" w:hAnsi="Calibri" w:cs="Calibri"/>
          <w:sz w:val="18"/>
          <w:szCs w:val="18"/>
        </w:rPr>
      </w:pPr>
      <w:hyperlink r:id="rId222" w:anchor="TABLE_OF_CONTENTS" w:history="1">
        <w:r>
          <w:rPr>
            <w:rStyle w:val="a5"/>
            <w:rFonts w:ascii="Calibri" w:hAnsi="Calibri" w:cs="Calibri"/>
            <w:sz w:val="18"/>
            <w:szCs w:val="18"/>
          </w:rPr>
          <w:t>Table of Contents</w:t>
        </w:r>
      </w:hyperlink>
    </w:p>
    <w:p w14:paraId="3973EF27" w14:textId="77777777" w:rsidR="007B027D" w:rsidRDefault="008E0125">
      <w:pPr>
        <w:pStyle w:val="a3"/>
        <w:spacing w:beforeAutospacing="0" w:afterAutospacing="0"/>
        <w:rPr>
          <w:rFonts w:ascii="Calibri" w:hAnsi="Calibri" w:cs="Calibri"/>
          <w:sz w:val="18"/>
          <w:szCs w:val="18"/>
        </w:rPr>
      </w:pPr>
      <w:hyperlink r:id="rId223" w:anchor="ITEM_15_EXHIBITS_FINANCIAL_STATEMENT_SCH" w:history="1">
        <w:r>
          <w:rPr>
            <w:rStyle w:val="a5"/>
            <w:rFonts w:ascii="Calibri" w:hAnsi="Calibri" w:cs="Calibri"/>
            <w:sz w:val="18"/>
            <w:szCs w:val="18"/>
          </w:rPr>
          <w:t>Index to Financial Statements</w:t>
        </w:r>
      </w:hyperlink>
    </w:p>
    <w:p w14:paraId="3973EF28"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F29"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CONSOLIDATED FINANCIAL </w:t>
      </w:r>
      <w:r>
        <w:rPr>
          <w:rFonts w:ascii="Calibri" w:hAnsi="Calibri" w:cs="Calibri"/>
          <w:b/>
          <w:bCs/>
          <w:color w:val="000000"/>
          <w:sz w:val="20"/>
          <w:szCs w:val="20"/>
          <w:shd w:val="clear" w:color="auto" w:fill="FFFFFF"/>
        </w:rPr>
        <w:t>STATEMENTS—(Continued)</w:t>
      </w:r>
    </w:p>
    <w:p w14:paraId="3973EF2A"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F2B"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F2C"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EF2F" w14:textId="77777777">
        <w:tc>
          <w:tcPr>
            <w:tcW w:w="262" w:type="pct"/>
            <w:shd w:val="clear" w:color="auto" w:fill="auto"/>
            <w:noWrap/>
          </w:tcPr>
          <w:p w14:paraId="3973EF2D"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3973EF2E"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EMPLOYEE BENEFIT PLANS </w:t>
            </w:r>
          </w:p>
        </w:tc>
      </w:tr>
    </w:tbl>
    <w:p w14:paraId="3973EF30"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Stock-Based Compensation Plans </w:t>
      </w:r>
    </w:p>
    <w:p w14:paraId="3973EF31"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Stock Plans</w:t>
      </w:r>
    </w:p>
    <w:p w14:paraId="3973EF3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fiscal 2021, we adopted the 2020 Equity Incentive Plan to replace the Amended and Restated 2000 Long-Term Equity Incentive Plan (the </w:t>
      </w:r>
      <w:r>
        <w:rPr>
          <w:rFonts w:ascii="Calibri" w:hAnsi="Calibri" w:cs="Calibri"/>
          <w:sz w:val="20"/>
          <w:szCs w:val="20"/>
        </w:rPr>
        <w:t>2000 Plan) which provides for the issuance of long-term performance awards, including restricted stock-based awards, non-qualified stock options and incentive stock options, as well as stock purchase rights and stock appreciation rights, to our eligible em</w:t>
      </w:r>
      <w:r>
        <w:rPr>
          <w:rFonts w:ascii="Calibri" w:hAnsi="Calibri" w:cs="Calibri"/>
          <w:sz w:val="20"/>
          <w:szCs w:val="20"/>
        </w:rPr>
        <w:t xml:space="preserve">ployees, officers and directors who are also employees or consultants, independent consultants and advisers. In fiscal 2022, our stockholders, upon the recommendation of our Board of Directors (the Board), approved the adoption of the Amended and Restated </w:t>
      </w:r>
      <w:r>
        <w:rPr>
          <w:rFonts w:ascii="Calibri" w:hAnsi="Calibri" w:cs="Calibri"/>
          <w:sz w:val="20"/>
          <w:szCs w:val="20"/>
        </w:rPr>
        <w:t>2020 Equity Incentive Plan (the 2020 Plan and, together with the 2000 Plan, the Plans), which increased the number of authorized shares of stock that may be issued under the 2020 Plan by 300 million shares.</w:t>
      </w:r>
    </w:p>
    <w:p w14:paraId="3973EF3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total number of shares authorized under the 2</w:t>
      </w:r>
      <w:r>
        <w:rPr>
          <w:rFonts w:ascii="Calibri" w:hAnsi="Calibri" w:cs="Calibri"/>
          <w:sz w:val="20"/>
          <w:szCs w:val="20"/>
        </w:rPr>
        <w:t>020 Plan is (i) 390 million shares, plus (ii) the number of shares that were unissued and available for grant under the 2000 Plan as of the date that the 2020 Plan was originally adopted, plus (iii) the number of shares granted and outstanding as of the da</w:t>
      </w:r>
      <w:r>
        <w:rPr>
          <w:rFonts w:ascii="Calibri" w:hAnsi="Calibri" w:cs="Calibri"/>
          <w:sz w:val="20"/>
          <w:szCs w:val="20"/>
        </w:rPr>
        <w:t>te that the 2020 Plan was originally adopted which would have been available again for issuance under the terms of the 2000 Plan had the 2020 Plan not been adopted. Under the 2020 Plan, for each share granted as a full value award in the form of a restrict</w:t>
      </w:r>
      <w:r>
        <w:rPr>
          <w:rFonts w:ascii="Calibri" w:hAnsi="Calibri" w:cs="Calibri"/>
          <w:sz w:val="20"/>
          <w:szCs w:val="20"/>
        </w:rPr>
        <w:t>ed stock unit (RSU) or a performance-based restricted stock award (PSU), an equivalent of 2.5 shares is deducted from our pool of shares available for grant.</w:t>
      </w:r>
    </w:p>
    <w:p w14:paraId="3973EF3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May 31, 2022, 125 million unvested RSUs, 36 million performance-based stock options (PSOs), </w:t>
      </w:r>
      <w:r>
        <w:rPr>
          <w:rFonts w:ascii="Calibri" w:hAnsi="Calibri" w:cs="Calibri"/>
          <w:sz w:val="20"/>
          <w:szCs w:val="20"/>
        </w:rPr>
        <w:t>of which 6 million shares were vested, and service-based stock options (SOs) to purchase 60 million shares of common stock, of which 59 million shares were vested, were outstanding under the Plans. Approximately 371 million shares of common stock were avai</w:t>
      </w:r>
      <w:r>
        <w:rPr>
          <w:rFonts w:ascii="Calibri" w:hAnsi="Calibri" w:cs="Calibri"/>
          <w:sz w:val="20"/>
          <w:szCs w:val="20"/>
        </w:rPr>
        <w:t>lable for future awards under the 2020 Plan as of May 31, 2022. To date, we have not issued any stock options under the 2020 Plan or any stock purchase rights or stock appreciation rights under either of the Plans.</w:t>
      </w:r>
    </w:p>
    <w:p w14:paraId="3973EF3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vesting schedule for all awards grant</w:t>
      </w:r>
      <w:r>
        <w:rPr>
          <w:rFonts w:ascii="Calibri" w:hAnsi="Calibri" w:cs="Calibri"/>
          <w:sz w:val="20"/>
          <w:szCs w:val="20"/>
        </w:rPr>
        <w:t>ed under the Plans is established by the Compensation Committee of the Board. RSUs generally require service-based vesting of 25% annually over four years. SOs were previously granted under the 2000 Plan at not less than fair market value, become exercisab</w:t>
      </w:r>
      <w:r>
        <w:rPr>
          <w:rFonts w:ascii="Calibri" w:hAnsi="Calibri" w:cs="Calibri"/>
          <w:sz w:val="20"/>
          <w:szCs w:val="20"/>
        </w:rPr>
        <w:t xml:space="preserve">le generally 25% annually over four years of service, and generally expire 10 years from the date of grant. </w:t>
      </w:r>
    </w:p>
    <w:p w14:paraId="3973EF3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PSOs granted under the 2000 Plan to our Chief Executive Officer and Chief Technology Officer in fiscal 2018 consisted of seven numerically equivale</w:t>
      </w:r>
      <w:r>
        <w:rPr>
          <w:rFonts w:ascii="Calibri" w:hAnsi="Calibri" w:cs="Calibri"/>
          <w:sz w:val="20"/>
          <w:szCs w:val="20"/>
        </w:rPr>
        <w:t>nt vesting tranches that potentially could vest. One tranche, which was based solely on the attainment of a market-based metric, was achieved and vested in fiscal 2022. Each of the remaining six tranches requires the attainment of both a performance metric</w:t>
      </w:r>
      <w:r>
        <w:rPr>
          <w:rFonts w:ascii="Calibri" w:hAnsi="Calibri" w:cs="Calibri"/>
          <w:sz w:val="20"/>
          <w:szCs w:val="20"/>
        </w:rPr>
        <w:t xml:space="preserve"> and a market capitalization metric by May 31, 2022, which was subsequently extended by three additional fiscal years to May 31, 2025 via an amendment approved by the Compensation Committee of the Board during fiscal 2022. If any of the remaining operation</w:t>
      </w:r>
      <w:r>
        <w:rPr>
          <w:rFonts w:ascii="Calibri" w:hAnsi="Calibri" w:cs="Calibri"/>
          <w:sz w:val="20"/>
          <w:szCs w:val="20"/>
        </w:rPr>
        <w:t>al and market capitalization performance goals are achieved before May 31, 2025 additional tranches may vest, assuming continued employment and service through the date the Compensation Committee of the Board certifies that performance has been achieved. U</w:t>
      </w:r>
      <w:r>
        <w:rPr>
          <w:rFonts w:ascii="Calibri" w:hAnsi="Calibri" w:cs="Calibri"/>
          <w:sz w:val="20"/>
          <w:szCs w:val="20"/>
        </w:rPr>
        <w:t>pon amendment of the PSOs in fiscal 2022, we estimated the revised fair values of the six unvested tranches of the PSOs using a Monte Carlo simulation approach. We are recognizing incremental stock-based compensation expense related to these amended awards</w:t>
      </w:r>
      <w:r>
        <w:rPr>
          <w:rFonts w:ascii="Calibri" w:hAnsi="Calibri" w:cs="Calibri"/>
          <w:sz w:val="20"/>
          <w:szCs w:val="20"/>
        </w:rPr>
        <w:t xml:space="preserve"> for any of the remaining unvested tranches that are probable of achievement over the longer of the (a) estimated implicit service period for performance-metric achievement, or (b) derived service period for market-based metric achievement. Stock-based com</w:t>
      </w:r>
      <w:r>
        <w:rPr>
          <w:rFonts w:ascii="Calibri" w:hAnsi="Calibri" w:cs="Calibri"/>
          <w:sz w:val="20"/>
          <w:szCs w:val="20"/>
        </w:rPr>
        <w:t>pensation associated with a vesting tranche where vesting is no longer determined to be probable is reversed on a cumulative basis and is no longer prospectively recognized in the period when such a determination is made. We have preliminarily estimated se</w:t>
      </w:r>
      <w:r>
        <w:rPr>
          <w:rFonts w:ascii="Calibri" w:hAnsi="Calibri" w:cs="Calibri"/>
          <w:sz w:val="20"/>
          <w:szCs w:val="20"/>
        </w:rPr>
        <w:t>rvice periods for those tranches that have been deemed probable of achievement as of the amendment date to be approximately three to four years.</w:t>
      </w:r>
    </w:p>
    <w:p w14:paraId="3973EF37"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94</w:t>
      </w:r>
    </w:p>
    <w:p w14:paraId="3973EF38" w14:textId="77777777" w:rsidR="007B027D" w:rsidRDefault="008E0125">
      <w:r>
        <w:rPr>
          <w:rFonts w:ascii="Calibri" w:hAnsi="Calibri" w:cs="Calibri"/>
          <w:sz w:val="20"/>
          <w:szCs w:val="20"/>
        </w:rPr>
        <w:pict w14:anchorId="39740099">
          <v:rect id="_x0000_i1120" style="width:415.3pt;height:1.5pt" o:hralign="center" o:hrstd="t" o:hr="t" fillcolor="#a0a0a0" stroked="f"/>
        </w:pict>
      </w:r>
    </w:p>
    <w:p w14:paraId="3973EF39" w14:textId="77777777" w:rsidR="007B027D" w:rsidRDefault="008E0125">
      <w:pPr>
        <w:pStyle w:val="a3"/>
        <w:spacing w:beforeAutospacing="0" w:after="120" w:afterAutospacing="0"/>
        <w:rPr>
          <w:rFonts w:ascii="Calibri" w:hAnsi="Calibri" w:cs="Calibri"/>
          <w:sz w:val="18"/>
          <w:szCs w:val="18"/>
        </w:rPr>
      </w:pPr>
      <w:hyperlink r:id="rId224" w:anchor="TABLE_OF_CONTENTS" w:history="1">
        <w:r>
          <w:rPr>
            <w:rStyle w:val="a5"/>
            <w:rFonts w:ascii="Calibri" w:hAnsi="Calibri" w:cs="Calibri"/>
            <w:sz w:val="18"/>
            <w:szCs w:val="18"/>
          </w:rPr>
          <w:t>Table of Contents</w:t>
        </w:r>
      </w:hyperlink>
    </w:p>
    <w:p w14:paraId="3973EF3A" w14:textId="77777777" w:rsidR="007B027D" w:rsidRDefault="008E0125">
      <w:pPr>
        <w:pStyle w:val="a3"/>
        <w:spacing w:beforeAutospacing="0" w:afterAutospacing="0"/>
        <w:rPr>
          <w:rFonts w:ascii="Calibri" w:hAnsi="Calibri" w:cs="Calibri"/>
          <w:sz w:val="18"/>
          <w:szCs w:val="18"/>
        </w:rPr>
      </w:pPr>
      <w:hyperlink r:id="rId225" w:anchor="ITEM_15_EXHIBITS_FINANCIAL_STATEMENT_SCH" w:history="1">
        <w:r>
          <w:rPr>
            <w:rStyle w:val="a5"/>
            <w:rFonts w:ascii="Calibri" w:hAnsi="Calibri" w:cs="Calibri"/>
            <w:sz w:val="18"/>
            <w:szCs w:val="18"/>
          </w:rPr>
          <w:t>Index to Financial Statements</w:t>
        </w:r>
      </w:hyperlink>
    </w:p>
    <w:p w14:paraId="3973EF3B"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F3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F3D"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F3E"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F3F"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connection with certain of our acquisitions, we assumed certain </w:t>
      </w:r>
      <w:r>
        <w:rPr>
          <w:rFonts w:ascii="Calibri" w:hAnsi="Calibri" w:cs="Calibri"/>
          <w:sz w:val="20"/>
          <w:szCs w:val="20"/>
        </w:rPr>
        <w:t>outstanding restricted stock-based awards and stock options under each acquired company’s respective stock plans, or we substituted substantially similar awards under the Plans. These restricted stock-based awards and stock options assumed or substituted g</w:t>
      </w:r>
      <w:r>
        <w:rPr>
          <w:rFonts w:ascii="Calibri" w:hAnsi="Calibri" w:cs="Calibri"/>
          <w:sz w:val="20"/>
          <w:szCs w:val="20"/>
        </w:rPr>
        <w:t>enerally retained all of the rights, terms and conditions of the respective plans under which they were originally granted. As of May 31, 2022, stock options to purchase approximately 485,000 shares of common stock were outstanding under acquired company s</w:t>
      </w:r>
      <w:r>
        <w:rPr>
          <w:rFonts w:ascii="Calibri" w:hAnsi="Calibri" w:cs="Calibri"/>
          <w:sz w:val="20"/>
          <w:szCs w:val="20"/>
        </w:rPr>
        <w:t>tock plans that Oracle assumed.</w:t>
      </w:r>
    </w:p>
    <w:p w14:paraId="3973EF40"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fiscal 1993, the Board adopted the 1993 Directors’ Stock Plan (the Directors’ Plan), which provides for the issuance of RSUs and other stock-based awards, including non-qualified stock options, to non-employee directors. </w:t>
      </w:r>
      <w:r>
        <w:rPr>
          <w:rFonts w:ascii="Calibri" w:hAnsi="Calibri" w:cs="Calibri"/>
          <w:sz w:val="20"/>
          <w:szCs w:val="20"/>
        </w:rPr>
        <w:t>The Directors’ Plan has from time to time been amended and restated. Under the terms of the Directors’ Plan, 10 million shares of common stock are reserved for issuance</w:t>
      </w:r>
      <w:r>
        <w:rPr>
          <w:rFonts w:ascii="Calibri" w:hAnsi="Calibri" w:cs="Calibri"/>
          <w:color w:val="1F497D"/>
          <w:sz w:val="20"/>
          <w:szCs w:val="20"/>
        </w:rPr>
        <w:t xml:space="preserve"> </w:t>
      </w:r>
      <w:r>
        <w:rPr>
          <w:rFonts w:ascii="Calibri" w:hAnsi="Calibri" w:cs="Calibri"/>
          <w:sz w:val="20"/>
          <w:szCs w:val="20"/>
        </w:rPr>
        <w:t>(including a fiscal 2013 amendment to increase the number of shares of our common stock</w:t>
      </w:r>
      <w:r>
        <w:rPr>
          <w:rFonts w:ascii="Calibri" w:hAnsi="Calibri" w:cs="Calibri"/>
          <w:sz w:val="20"/>
          <w:szCs w:val="20"/>
        </w:rPr>
        <w:t xml:space="preserve"> reserved for issuance by 2 million shares). In prior years, we granted stock options at not less than fair market value, that vest over four years, and expire no more than 10 years from the date of grant. Currently, we only grant RSUs that vest fully on t</w:t>
      </w:r>
      <w:r>
        <w:rPr>
          <w:rFonts w:ascii="Calibri" w:hAnsi="Calibri" w:cs="Calibri"/>
          <w:sz w:val="20"/>
          <w:szCs w:val="20"/>
        </w:rPr>
        <w:t>he one-year anniversary of the date of grant. The Directors’ Plan was most recently amended on April 29, 2016 and permits the Compensation Committee of the Board to determine the amount and form of automatic grants of stock awards, if any, to each non-empl</w:t>
      </w:r>
      <w:r>
        <w:rPr>
          <w:rFonts w:ascii="Calibri" w:hAnsi="Calibri" w:cs="Calibri"/>
          <w:sz w:val="20"/>
          <w:szCs w:val="20"/>
        </w:rPr>
        <w:t>oyee director upon first becoming a director and thereafter on an annual basis, as well as automatic grants for chairing certain Board committees, subject to certain stockholder approved limitations set forth in the Directors’ Plan. In April 2020, the Comp</w:t>
      </w:r>
      <w:r>
        <w:rPr>
          <w:rFonts w:ascii="Calibri" w:hAnsi="Calibri" w:cs="Calibri"/>
          <w:sz w:val="20"/>
          <w:szCs w:val="20"/>
        </w:rPr>
        <w:t>ensation Committee reduced the maximum value of the annual automatic RSU grants to each non-employee director from $400,000 to $350,000 and eliminated all equity grants for chairing board committees. As of May 31, 2022, approximately 59,000 unvested RSUs a</w:t>
      </w:r>
      <w:r>
        <w:rPr>
          <w:rFonts w:ascii="Calibri" w:hAnsi="Calibri" w:cs="Calibri"/>
          <w:sz w:val="20"/>
          <w:szCs w:val="20"/>
        </w:rPr>
        <w:t>nd stock options to purchase approximately 474,000 shares of common stock (all of which were vested) were outstanding under the Directors’ Plan. As of May 31, 2022, approximately 1 million shares were available for future stock awards under this plan.</w:t>
      </w:r>
    </w:p>
    <w:p w14:paraId="3973EF4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w:t>
      </w:r>
      <w:r>
        <w:rPr>
          <w:rFonts w:ascii="Calibri" w:hAnsi="Calibri" w:cs="Calibri"/>
          <w:sz w:val="20"/>
          <w:szCs w:val="20"/>
        </w:rPr>
        <w:t>following table summarizes restricted stock-based award activity granted pursuant to Oracle-based stock plans for our last three fiscal years ended May 31, 2022:</w:t>
      </w:r>
    </w:p>
    <w:p w14:paraId="3973EF42"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998"/>
        <w:gridCol w:w="125"/>
        <w:gridCol w:w="80"/>
        <w:gridCol w:w="1360"/>
        <w:gridCol w:w="80"/>
        <w:gridCol w:w="125"/>
        <w:gridCol w:w="108"/>
        <w:gridCol w:w="1365"/>
        <w:gridCol w:w="80"/>
      </w:tblGrid>
      <w:tr w:rsidR="007B027D" w14:paraId="3973EF47" w14:textId="77777777">
        <w:tc>
          <w:tcPr>
            <w:tcW w:w="3004" w:type="pct"/>
            <w:shd w:val="clear" w:color="auto" w:fill="FFFFFF"/>
            <w:tcMar>
              <w:top w:w="15" w:type="dxa"/>
              <w:right w:w="15" w:type="dxa"/>
            </w:tcMar>
            <w:vAlign w:val="bottom"/>
          </w:tcPr>
          <w:p w14:paraId="3973EF4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3973EF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868" w:type="pct"/>
            <w:gridSpan w:val="6"/>
            <w:tcBorders>
              <w:bottom w:val="single" w:sz="6" w:space="0" w:color="000000"/>
            </w:tcBorders>
            <w:shd w:val="clear" w:color="auto" w:fill="FFFFFF"/>
            <w:tcMar>
              <w:top w:w="15" w:type="dxa"/>
              <w:right w:w="15" w:type="dxa"/>
            </w:tcMar>
            <w:vAlign w:val="bottom"/>
          </w:tcPr>
          <w:p w14:paraId="3973EF4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Restricted Stock-Based Awards Outstanding</w:t>
            </w:r>
          </w:p>
        </w:tc>
        <w:tc>
          <w:tcPr>
            <w:tcW w:w="50" w:type="pct"/>
            <w:shd w:val="clear" w:color="auto" w:fill="FFFFFF"/>
            <w:noWrap/>
            <w:tcMar>
              <w:top w:w="15" w:type="dxa"/>
              <w:right w:w="15" w:type="dxa"/>
            </w:tcMar>
            <w:vAlign w:val="bottom"/>
          </w:tcPr>
          <w:p w14:paraId="3973EF4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51" w14:textId="77777777">
        <w:tc>
          <w:tcPr>
            <w:tcW w:w="3004" w:type="pct"/>
            <w:tcBorders>
              <w:bottom w:val="single" w:sz="6" w:space="0" w:color="000000"/>
            </w:tcBorders>
            <w:shd w:val="clear" w:color="auto" w:fill="FFFFFF"/>
            <w:tcMar>
              <w:top w:w="15" w:type="dxa"/>
              <w:right w:w="15" w:type="dxa"/>
            </w:tcMar>
            <w:vAlign w:val="bottom"/>
          </w:tcPr>
          <w:p w14:paraId="3973EF4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fair value)</w:t>
            </w:r>
          </w:p>
        </w:tc>
        <w:tc>
          <w:tcPr>
            <w:tcW w:w="77" w:type="pct"/>
            <w:shd w:val="clear" w:color="auto" w:fill="FFFFFF"/>
            <w:tcMar>
              <w:top w:w="15" w:type="dxa"/>
              <w:right w:w="15" w:type="dxa"/>
            </w:tcMar>
            <w:vAlign w:val="bottom"/>
          </w:tcPr>
          <w:p w14:paraId="3973EF4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9" w:type="pct"/>
            <w:gridSpan w:val="2"/>
            <w:tcBorders>
              <w:top w:val="single" w:sz="6" w:space="0" w:color="000000"/>
              <w:bottom w:val="single" w:sz="6" w:space="0" w:color="000000"/>
            </w:tcBorders>
            <w:shd w:val="clear" w:color="auto" w:fill="FFFFFF"/>
            <w:tcMar>
              <w:top w:w="15" w:type="dxa"/>
              <w:right w:w="15" w:type="dxa"/>
            </w:tcMar>
            <w:vAlign w:val="bottom"/>
          </w:tcPr>
          <w:p w14:paraId="3973EF4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3973EF4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50" w:type="pct"/>
            <w:shd w:val="clear" w:color="auto" w:fill="FFFFFF"/>
            <w:noWrap/>
            <w:tcMar>
              <w:top w:w="15" w:type="dxa"/>
              <w:right w:w="15" w:type="dxa"/>
            </w:tcMar>
            <w:vAlign w:val="bottom"/>
          </w:tcPr>
          <w:p w14:paraId="3973EF4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EF4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9" w:type="pct"/>
            <w:gridSpan w:val="2"/>
            <w:tcBorders>
              <w:top w:val="single" w:sz="6" w:space="0" w:color="000000"/>
              <w:bottom w:val="single" w:sz="6" w:space="0" w:color="000000"/>
            </w:tcBorders>
            <w:shd w:val="clear" w:color="auto" w:fill="FFFFFF"/>
            <w:tcMar>
              <w:top w:w="15" w:type="dxa"/>
              <w:right w:w="15" w:type="dxa"/>
            </w:tcMar>
            <w:vAlign w:val="bottom"/>
          </w:tcPr>
          <w:p w14:paraId="3973EF4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3973EF4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Grant Date Fair Value</w:t>
            </w:r>
          </w:p>
        </w:tc>
        <w:tc>
          <w:tcPr>
            <w:tcW w:w="50" w:type="pct"/>
            <w:shd w:val="clear" w:color="auto" w:fill="FFFFFF"/>
            <w:noWrap/>
            <w:tcMar>
              <w:top w:w="15" w:type="dxa"/>
              <w:right w:w="15" w:type="dxa"/>
            </w:tcMar>
            <w:vAlign w:val="bottom"/>
          </w:tcPr>
          <w:p w14:paraId="3973EF5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5B" w14:textId="77777777">
        <w:tc>
          <w:tcPr>
            <w:tcW w:w="3004" w:type="pct"/>
            <w:tcBorders>
              <w:top w:val="single" w:sz="6" w:space="0" w:color="000000"/>
            </w:tcBorders>
            <w:shd w:val="clear" w:color="auto" w:fill="CFF0FC"/>
            <w:tcMar>
              <w:top w:w="15" w:type="dxa"/>
              <w:right w:w="15" w:type="dxa"/>
            </w:tcMar>
          </w:tcPr>
          <w:p w14:paraId="3973EF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2019</w:t>
            </w:r>
          </w:p>
        </w:tc>
        <w:tc>
          <w:tcPr>
            <w:tcW w:w="77" w:type="pct"/>
            <w:shd w:val="clear" w:color="auto" w:fill="CFF0FC"/>
            <w:tcMar>
              <w:top w:w="15" w:type="dxa"/>
              <w:right w:w="15" w:type="dxa"/>
            </w:tcMar>
            <w:vAlign w:val="bottom"/>
          </w:tcPr>
          <w:p w14:paraId="3973EF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F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tcBorders>
            <w:shd w:val="clear" w:color="auto" w:fill="CFF0FC"/>
            <w:noWrap/>
            <w:tcMar>
              <w:top w:w="15" w:type="dxa"/>
              <w:right w:w="15" w:type="dxa"/>
            </w:tcMar>
            <w:vAlign w:val="bottom"/>
          </w:tcPr>
          <w:p w14:paraId="3973EF5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CFF0FC"/>
            <w:noWrap/>
            <w:tcMar>
              <w:top w:w="15" w:type="dxa"/>
              <w:right w:w="15" w:type="dxa"/>
            </w:tcMar>
            <w:vAlign w:val="bottom"/>
          </w:tcPr>
          <w:p w14:paraId="3973EF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EF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EF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tcBorders>
              <w:top w:val="single" w:sz="6" w:space="0" w:color="000000"/>
            </w:tcBorders>
            <w:shd w:val="clear" w:color="auto" w:fill="CFF0FC"/>
            <w:noWrap/>
            <w:tcMar>
              <w:top w:w="15" w:type="dxa"/>
              <w:right w:w="15" w:type="dxa"/>
            </w:tcMar>
            <w:vAlign w:val="bottom"/>
          </w:tcPr>
          <w:p w14:paraId="3973EF5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43.01</w:t>
            </w:r>
          </w:p>
        </w:tc>
        <w:tc>
          <w:tcPr>
            <w:tcW w:w="50" w:type="pct"/>
            <w:shd w:val="clear" w:color="auto" w:fill="CFF0FC"/>
            <w:noWrap/>
            <w:tcMar>
              <w:top w:w="15" w:type="dxa"/>
              <w:right w:w="15" w:type="dxa"/>
            </w:tcMar>
            <w:vAlign w:val="bottom"/>
          </w:tcPr>
          <w:p w14:paraId="3973EF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65" w14:textId="77777777">
        <w:tc>
          <w:tcPr>
            <w:tcW w:w="3004" w:type="pct"/>
            <w:shd w:val="clear" w:color="auto" w:fill="FFFFFF"/>
            <w:tcMar>
              <w:top w:w="15" w:type="dxa"/>
              <w:right w:w="15" w:type="dxa"/>
            </w:tcMar>
          </w:tcPr>
          <w:p w14:paraId="3973EF5C"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77" w:type="pct"/>
            <w:shd w:val="clear" w:color="auto" w:fill="FFFFFF"/>
            <w:tcMar>
              <w:top w:w="15" w:type="dxa"/>
              <w:right w:w="15" w:type="dxa"/>
            </w:tcMar>
            <w:vAlign w:val="bottom"/>
          </w:tcPr>
          <w:p w14:paraId="3973EF5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F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FFFFFF"/>
            <w:noWrap/>
            <w:tcMar>
              <w:top w:w="15" w:type="dxa"/>
              <w:right w:w="15" w:type="dxa"/>
            </w:tcMar>
            <w:vAlign w:val="bottom"/>
          </w:tcPr>
          <w:p w14:paraId="3973EF5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FFFFFF"/>
            <w:noWrap/>
            <w:tcMar>
              <w:top w:w="15" w:type="dxa"/>
              <w:right w:w="15" w:type="dxa"/>
            </w:tcMar>
            <w:vAlign w:val="bottom"/>
          </w:tcPr>
          <w:p w14:paraId="3973EF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EF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6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53.38</w:t>
            </w:r>
          </w:p>
        </w:tc>
        <w:tc>
          <w:tcPr>
            <w:tcW w:w="50" w:type="pct"/>
            <w:shd w:val="clear" w:color="auto" w:fill="FFFFFF"/>
            <w:noWrap/>
            <w:tcMar>
              <w:top w:w="15" w:type="dxa"/>
              <w:right w:w="15" w:type="dxa"/>
            </w:tcMar>
            <w:vAlign w:val="bottom"/>
          </w:tcPr>
          <w:p w14:paraId="3973EF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6F" w14:textId="77777777">
        <w:tc>
          <w:tcPr>
            <w:tcW w:w="3004" w:type="pct"/>
            <w:shd w:val="clear" w:color="auto" w:fill="CFF0FC"/>
            <w:tcMar>
              <w:top w:w="15" w:type="dxa"/>
              <w:right w:w="15" w:type="dxa"/>
            </w:tcMar>
          </w:tcPr>
          <w:p w14:paraId="3973EF66"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77" w:type="pct"/>
            <w:shd w:val="clear" w:color="auto" w:fill="CFF0FC"/>
            <w:tcMar>
              <w:top w:w="15" w:type="dxa"/>
              <w:right w:w="15" w:type="dxa"/>
            </w:tcMar>
            <w:vAlign w:val="bottom"/>
          </w:tcPr>
          <w:p w14:paraId="3973EF6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F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EF6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CFF0FC"/>
            <w:noWrap/>
            <w:tcMar>
              <w:top w:w="15" w:type="dxa"/>
              <w:right w:w="15" w:type="dxa"/>
            </w:tcMar>
            <w:vAlign w:val="bottom"/>
          </w:tcPr>
          <w:p w14:paraId="3973EF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EF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6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42.67</w:t>
            </w:r>
          </w:p>
        </w:tc>
        <w:tc>
          <w:tcPr>
            <w:tcW w:w="50" w:type="pct"/>
            <w:shd w:val="clear" w:color="auto" w:fill="CFF0FC"/>
            <w:noWrap/>
            <w:tcMar>
              <w:top w:w="15" w:type="dxa"/>
              <w:right w:w="15" w:type="dxa"/>
            </w:tcMar>
            <w:vAlign w:val="bottom"/>
          </w:tcPr>
          <w:p w14:paraId="3973EF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79" w14:textId="77777777">
        <w:tc>
          <w:tcPr>
            <w:tcW w:w="3004" w:type="pct"/>
            <w:shd w:val="clear" w:color="auto" w:fill="FFFFFF"/>
            <w:tcMar>
              <w:top w:w="15" w:type="dxa"/>
              <w:right w:w="15" w:type="dxa"/>
            </w:tcMar>
          </w:tcPr>
          <w:p w14:paraId="3973EF70"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EF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F7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EF7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FFFFFF"/>
            <w:noWrap/>
            <w:tcMar>
              <w:top w:w="15" w:type="dxa"/>
              <w:right w:w="15" w:type="dxa"/>
            </w:tcMar>
            <w:vAlign w:val="bottom"/>
          </w:tcPr>
          <w:p w14:paraId="3973EF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3973EF7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7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46.81</w:t>
            </w:r>
          </w:p>
        </w:tc>
        <w:tc>
          <w:tcPr>
            <w:tcW w:w="50" w:type="pct"/>
            <w:shd w:val="clear" w:color="auto" w:fill="FFFFFF"/>
            <w:noWrap/>
            <w:tcMar>
              <w:top w:w="15" w:type="dxa"/>
              <w:right w:w="15" w:type="dxa"/>
            </w:tcMar>
            <w:vAlign w:val="bottom"/>
          </w:tcPr>
          <w:p w14:paraId="3973EF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83" w14:textId="77777777">
        <w:tc>
          <w:tcPr>
            <w:tcW w:w="3004" w:type="pct"/>
            <w:shd w:val="clear" w:color="auto" w:fill="CFF0FC"/>
            <w:tcMar>
              <w:top w:w="15" w:type="dxa"/>
              <w:right w:w="15" w:type="dxa"/>
            </w:tcMar>
          </w:tcPr>
          <w:p w14:paraId="3973EF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2020</w:t>
            </w:r>
          </w:p>
        </w:tc>
        <w:tc>
          <w:tcPr>
            <w:tcW w:w="77" w:type="pct"/>
            <w:shd w:val="clear" w:color="auto" w:fill="CFF0FC"/>
            <w:tcMar>
              <w:top w:w="15" w:type="dxa"/>
              <w:right w:w="15" w:type="dxa"/>
            </w:tcMar>
            <w:vAlign w:val="bottom"/>
          </w:tcPr>
          <w:p w14:paraId="3973EF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F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single" w:sz="6" w:space="0" w:color="000000"/>
            </w:tcBorders>
            <w:shd w:val="clear" w:color="auto" w:fill="CFF0FC"/>
            <w:noWrap/>
            <w:tcMar>
              <w:top w:w="15" w:type="dxa"/>
              <w:right w:w="15" w:type="dxa"/>
            </w:tcMar>
            <w:vAlign w:val="bottom"/>
          </w:tcPr>
          <w:p w14:paraId="3973EF7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w:t>
            </w:r>
          </w:p>
        </w:tc>
        <w:tc>
          <w:tcPr>
            <w:tcW w:w="50" w:type="pct"/>
            <w:shd w:val="clear" w:color="auto" w:fill="CFF0FC"/>
            <w:noWrap/>
            <w:tcMar>
              <w:top w:w="15" w:type="dxa"/>
              <w:right w:w="15" w:type="dxa"/>
            </w:tcMar>
            <w:vAlign w:val="bottom"/>
          </w:tcPr>
          <w:p w14:paraId="3973EF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EF7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8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48.36</w:t>
            </w:r>
          </w:p>
        </w:tc>
        <w:tc>
          <w:tcPr>
            <w:tcW w:w="50" w:type="pct"/>
            <w:shd w:val="clear" w:color="auto" w:fill="CFF0FC"/>
            <w:noWrap/>
            <w:tcMar>
              <w:top w:w="15" w:type="dxa"/>
              <w:right w:w="15" w:type="dxa"/>
            </w:tcMar>
            <w:vAlign w:val="bottom"/>
          </w:tcPr>
          <w:p w14:paraId="3973EF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8D" w14:textId="77777777">
        <w:tc>
          <w:tcPr>
            <w:tcW w:w="3004" w:type="pct"/>
            <w:shd w:val="clear" w:color="auto" w:fill="FFFFFF"/>
            <w:tcMar>
              <w:top w:w="15" w:type="dxa"/>
              <w:right w:w="15" w:type="dxa"/>
            </w:tcMar>
          </w:tcPr>
          <w:p w14:paraId="3973EF84"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77" w:type="pct"/>
            <w:shd w:val="clear" w:color="auto" w:fill="FFFFFF"/>
            <w:tcMar>
              <w:top w:w="15" w:type="dxa"/>
              <w:right w:w="15" w:type="dxa"/>
            </w:tcMar>
            <w:vAlign w:val="bottom"/>
          </w:tcPr>
          <w:p w14:paraId="3973EF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EF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tcBorders>
            <w:shd w:val="clear" w:color="auto" w:fill="FFFFFF"/>
            <w:noWrap/>
            <w:tcMar>
              <w:top w:w="15" w:type="dxa"/>
              <w:right w:w="15" w:type="dxa"/>
            </w:tcMar>
            <w:vAlign w:val="bottom"/>
          </w:tcPr>
          <w:p w14:paraId="3973EF8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w:t>
            </w:r>
          </w:p>
        </w:tc>
        <w:tc>
          <w:tcPr>
            <w:tcW w:w="50" w:type="pct"/>
            <w:shd w:val="clear" w:color="auto" w:fill="FFFFFF"/>
            <w:noWrap/>
            <w:tcMar>
              <w:top w:w="15" w:type="dxa"/>
              <w:right w:w="15" w:type="dxa"/>
            </w:tcMar>
            <w:vAlign w:val="bottom"/>
          </w:tcPr>
          <w:p w14:paraId="3973EF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EF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8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54.95</w:t>
            </w:r>
          </w:p>
        </w:tc>
        <w:tc>
          <w:tcPr>
            <w:tcW w:w="50" w:type="pct"/>
            <w:shd w:val="clear" w:color="auto" w:fill="FFFFFF"/>
            <w:noWrap/>
            <w:tcMar>
              <w:top w:w="15" w:type="dxa"/>
              <w:right w:w="15" w:type="dxa"/>
            </w:tcMar>
            <w:vAlign w:val="bottom"/>
          </w:tcPr>
          <w:p w14:paraId="3973EF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97" w14:textId="77777777">
        <w:tc>
          <w:tcPr>
            <w:tcW w:w="3004" w:type="pct"/>
            <w:shd w:val="clear" w:color="auto" w:fill="CFF0FC"/>
            <w:tcMar>
              <w:top w:w="15" w:type="dxa"/>
              <w:right w:w="15" w:type="dxa"/>
            </w:tcMar>
          </w:tcPr>
          <w:p w14:paraId="3973EF8E"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77" w:type="pct"/>
            <w:shd w:val="clear" w:color="auto" w:fill="CFF0FC"/>
            <w:tcMar>
              <w:top w:w="15" w:type="dxa"/>
              <w:right w:w="15" w:type="dxa"/>
            </w:tcMar>
            <w:vAlign w:val="bottom"/>
          </w:tcPr>
          <w:p w14:paraId="3973EF8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F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EF9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CFF0FC"/>
            <w:noWrap/>
            <w:tcMar>
              <w:top w:w="15" w:type="dxa"/>
              <w:right w:w="15" w:type="dxa"/>
            </w:tcMar>
            <w:vAlign w:val="bottom"/>
          </w:tcPr>
          <w:p w14:paraId="3973EF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EF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9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46.88</w:t>
            </w:r>
          </w:p>
        </w:tc>
        <w:tc>
          <w:tcPr>
            <w:tcW w:w="50" w:type="pct"/>
            <w:shd w:val="clear" w:color="auto" w:fill="CFF0FC"/>
            <w:noWrap/>
            <w:tcMar>
              <w:top w:w="15" w:type="dxa"/>
              <w:right w:w="15" w:type="dxa"/>
            </w:tcMar>
            <w:vAlign w:val="bottom"/>
          </w:tcPr>
          <w:p w14:paraId="3973EF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A1" w14:textId="77777777">
        <w:tc>
          <w:tcPr>
            <w:tcW w:w="3004" w:type="pct"/>
            <w:shd w:val="clear" w:color="auto" w:fill="FFFFFF"/>
            <w:tcMar>
              <w:top w:w="15" w:type="dxa"/>
              <w:right w:w="15" w:type="dxa"/>
            </w:tcMar>
          </w:tcPr>
          <w:p w14:paraId="3973EF98"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EF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F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EF9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3973EF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3973EF9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9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50.40</w:t>
            </w:r>
          </w:p>
        </w:tc>
        <w:tc>
          <w:tcPr>
            <w:tcW w:w="50" w:type="pct"/>
            <w:shd w:val="clear" w:color="auto" w:fill="FFFFFF"/>
            <w:noWrap/>
            <w:tcMar>
              <w:top w:w="15" w:type="dxa"/>
              <w:right w:w="15" w:type="dxa"/>
            </w:tcMar>
            <w:vAlign w:val="bottom"/>
          </w:tcPr>
          <w:p w14:paraId="3973EF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AB" w14:textId="77777777">
        <w:tc>
          <w:tcPr>
            <w:tcW w:w="3004" w:type="pct"/>
            <w:shd w:val="clear" w:color="auto" w:fill="CFF0FC"/>
            <w:tcMar>
              <w:top w:w="15" w:type="dxa"/>
              <w:right w:w="15" w:type="dxa"/>
            </w:tcMar>
          </w:tcPr>
          <w:p w14:paraId="3973EF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2021</w:t>
            </w:r>
          </w:p>
        </w:tc>
        <w:tc>
          <w:tcPr>
            <w:tcW w:w="77" w:type="pct"/>
            <w:shd w:val="clear" w:color="auto" w:fill="CFF0FC"/>
            <w:tcMar>
              <w:top w:w="15" w:type="dxa"/>
              <w:right w:w="15" w:type="dxa"/>
            </w:tcMar>
            <w:vAlign w:val="bottom"/>
          </w:tcPr>
          <w:p w14:paraId="3973EFA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EF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single" w:sz="6" w:space="0" w:color="000000"/>
            </w:tcBorders>
            <w:shd w:val="clear" w:color="auto" w:fill="CFF0FC"/>
            <w:noWrap/>
            <w:tcMar>
              <w:top w:w="15" w:type="dxa"/>
              <w:right w:w="15" w:type="dxa"/>
            </w:tcMar>
            <w:vAlign w:val="bottom"/>
          </w:tcPr>
          <w:p w14:paraId="3973EFA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50" w:type="pct"/>
            <w:shd w:val="clear" w:color="auto" w:fill="CFF0FC"/>
            <w:noWrap/>
            <w:tcMar>
              <w:top w:w="15" w:type="dxa"/>
              <w:right w:w="15" w:type="dxa"/>
            </w:tcMar>
            <w:vAlign w:val="bottom"/>
          </w:tcPr>
          <w:p w14:paraId="3973EF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EF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A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51.87</w:t>
            </w:r>
          </w:p>
        </w:tc>
        <w:tc>
          <w:tcPr>
            <w:tcW w:w="50" w:type="pct"/>
            <w:shd w:val="clear" w:color="auto" w:fill="CFF0FC"/>
            <w:noWrap/>
            <w:tcMar>
              <w:top w:w="15" w:type="dxa"/>
              <w:right w:w="15" w:type="dxa"/>
            </w:tcMar>
            <w:vAlign w:val="bottom"/>
          </w:tcPr>
          <w:p w14:paraId="3973EF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B5" w14:textId="77777777">
        <w:tc>
          <w:tcPr>
            <w:tcW w:w="3004" w:type="pct"/>
            <w:shd w:val="clear" w:color="auto" w:fill="FFFFFF"/>
            <w:tcMar>
              <w:top w:w="15" w:type="dxa"/>
              <w:right w:w="15" w:type="dxa"/>
            </w:tcMar>
          </w:tcPr>
          <w:p w14:paraId="3973EFAC"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77" w:type="pct"/>
            <w:shd w:val="clear" w:color="auto" w:fill="FFFFFF"/>
            <w:tcMar>
              <w:top w:w="15" w:type="dxa"/>
              <w:right w:w="15" w:type="dxa"/>
            </w:tcMar>
            <w:vAlign w:val="bottom"/>
          </w:tcPr>
          <w:p w14:paraId="3973EF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EF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tcBorders>
            <w:shd w:val="clear" w:color="auto" w:fill="FFFFFF"/>
            <w:noWrap/>
            <w:tcMar>
              <w:top w:w="15" w:type="dxa"/>
              <w:right w:w="15" w:type="dxa"/>
            </w:tcMar>
            <w:vAlign w:val="bottom"/>
          </w:tcPr>
          <w:p w14:paraId="3973EFA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w:t>
            </w:r>
          </w:p>
        </w:tc>
        <w:tc>
          <w:tcPr>
            <w:tcW w:w="50" w:type="pct"/>
            <w:shd w:val="clear" w:color="auto" w:fill="FFFFFF"/>
            <w:noWrap/>
            <w:tcMar>
              <w:top w:w="15" w:type="dxa"/>
              <w:right w:w="15" w:type="dxa"/>
            </w:tcMar>
            <w:vAlign w:val="bottom"/>
          </w:tcPr>
          <w:p w14:paraId="3973EF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EFB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B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85.07</w:t>
            </w:r>
          </w:p>
        </w:tc>
        <w:tc>
          <w:tcPr>
            <w:tcW w:w="50" w:type="pct"/>
            <w:shd w:val="clear" w:color="auto" w:fill="FFFFFF"/>
            <w:noWrap/>
            <w:tcMar>
              <w:top w:w="15" w:type="dxa"/>
              <w:right w:w="15" w:type="dxa"/>
            </w:tcMar>
            <w:vAlign w:val="bottom"/>
          </w:tcPr>
          <w:p w14:paraId="3973EF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BF" w14:textId="77777777">
        <w:tc>
          <w:tcPr>
            <w:tcW w:w="3004" w:type="pct"/>
            <w:shd w:val="clear" w:color="auto" w:fill="CFF0FC"/>
            <w:tcMar>
              <w:top w:w="15" w:type="dxa"/>
              <w:right w:w="15" w:type="dxa"/>
            </w:tcMar>
          </w:tcPr>
          <w:p w14:paraId="3973EFB6"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77" w:type="pct"/>
            <w:shd w:val="clear" w:color="auto" w:fill="CFF0FC"/>
            <w:tcMar>
              <w:top w:w="15" w:type="dxa"/>
              <w:right w:w="15" w:type="dxa"/>
            </w:tcMar>
            <w:vAlign w:val="bottom"/>
          </w:tcPr>
          <w:p w14:paraId="3973EF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EF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EFB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3973EF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EF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B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50.52</w:t>
            </w:r>
          </w:p>
        </w:tc>
        <w:tc>
          <w:tcPr>
            <w:tcW w:w="50" w:type="pct"/>
            <w:shd w:val="clear" w:color="auto" w:fill="CFF0FC"/>
            <w:noWrap/>
            <w:tcMar>
              <w:top w:w="15" w:type="dxa"/>
              <w:right w:w="15" w:type="dxa"/>
            </w:tcMar>
            <w:vAlign w:val="bottom"/>
          </w:tcPr>
          <w:p w14:paraId="3973EF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C9" w14:textId="77777777">
        <w:tc>
          <w:tcPr>
            <w:tcW w:w="3004" w:type="pct"/>
            <w:shd w:val="clear" w:color="auto" w:fill="FFFFFF"/>
            <w:tcMar>
              <w:top w:w="15" w:type="dxa"/>
              <w:right w:w="15" w:type="dxa"/>
            </w:tcMar>
          </w:tcPr>
          <w:p w14:paraId="3973EFC0"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EF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EF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EFC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3973EF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3973EFC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EFC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63.25</w:t>
            </w:r>
          </w:p>
        </w:tc>
        <w:tc>
          <w:tcPr>
            <w:tcW w:w="50" w:type="pct"/>
            <w:shd w:val="clear" w:color="auto" w:fill="FFFFFF"/>
            <w:noWrap/>
            <w:tcMar>
              <w:top w:w="15" w:type="dxa"/>
              <w:right w:w="15" w:type="dxa"/>
            </w:tcMar>
            <w:vAlign w:val="bottom"/>
          </w:tcPr>
          <w:p w14:paraId="3973EF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EFD3" w14:textId="77777777">
        <w:tc>
          <w:tcPr>
            <w:tcW w:w="3004" w:type="pct"/>
            <w:shd w:val="clear" w:color="auto" w:fill="CFF0FC"/>
            <w:tcMar>
              <w:top w:w="15" w:type="dxa"/>
              <w:right w:w="15" w:type="dxa"/>
            </w:tcMar>
          </w:tcPr>
          <w:p w14:paraId="3973EFC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2022</w:t>
            </w:r>
          </w:p>
        </w:tc>
        <w:tc>
          <w:tcPr>
            <w:tcW w:w="77" w:type="pct"/>
            <w:shd w:val="clear" w:color="auto" w:fill="CFF0FC"/>
            <w:tcMar>
              <w:top w:w="15" w:type="dxa"/>
              <w:right w:w="15" w:type="dxa"/>
            </w:tcMar>
            <w:vAlign w:val="bottom"/>
          </w:tcPr>
          <w:p w14:paraId="3973EFC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EF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double" w:sz="6" w:space="0" w:color="000000"/>
            </w:tcBorders>
            <w:shd w:val="clear" w:color="auto" w:fill="CFF0FC"/>
            <w:noWrap/>
            <w:tcMar>
              <w:top w:w="15" w:type="dxa"/>
              <w:right w:w="15" w:type="dxa"/>
            </w:tcMar>
            <w:vAlign w:val="bottom"/>
          </w:tcPr>
          <w:p w14:paraId="3973EFC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w:t>
            </w:r>
          </w:p>
        </w:tc>
        <w:tc>
          <w:tcPr>
            <w:tcW w:w="50" w:type="pct"/>
            <w:shd w:val="clear" w:color="auto" w:fill="CFF0FC"/>
            <w:noWrap/>
            <w:tcMar>
              <w:top w:w="15" w:type="dxa"/>
              <w:right w:w="15" w:type="dxa"/>
            </w:tcMar>
            <w:vAlign w:val="bottom"/>
          </w:tcPr>
          <w:p w14:paraId="3973EF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EFC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EF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EFD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68.34</w:t>
            </w:r>
          </w:p>
        </w:tc>
        <w:tc>
          <w:tcPr>
            <w:tcW w:w="50" w:type="pct"/>
            <w:shd w:val="clear" w:color="auto" w:fill="CFF0FC"/>
            <w:noWrap/>
            <w:tcMar>
              <w:top w:w="15" w:type="dxa"/>
              <w:right w:w="15" w:type="dxa"/>
            </w:tcMar>
            <w:vAlign w:val="bottom"/>
          </w:tcPr>
          <w:p w14:paraId="3973EFD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EFD4" w14:textId="77777777" w:rsidR="007B027D" w:rsidRDefault="008E0125">
      <w:pPr>
        <w:pStyle w:val="a3"/>
        <w:spacing w:beforeAutospacing="0" w:afterAutospacing="0"/>
        <w:rPr>
          <w:sz w:val="12"/>
          <w:szCs w:val="12"/>
        </w:rPr>
      </w:pPr>
      <w:r>
        <w:rPr>
          <w:sz w:val="12"/>
          <w:szCs w:val="12"/>
        </w:rPr>
        <w:t> </w:t>
      </w:r>
    </w:p>
    <w:p w14:paraId="3973EFD5"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The total grant date fair values of restricted stock-based awards that were vested and issued in fiscal 2022, 2021 and 2020 were $1.9 billion, $1.6 billion and $1.5 billion, respectively. As of May 31, 2022, total unrecognized stock-based compensation expe</w:t>
      </w:r>
      <w:r>
        <w:rPr>
          <w:rFonts w:ascii="Calibri" w:hAnsi="Calibri" w:cs="Calibri"/>
          <w:color w:val="000000"/>
          <w:sz w:val="20"/>
          <w:szCs w:val="20"/>
        </w:rPr>
        <w:t xml:space="preserve">nse related to non-vested restricted stock-based awards was $5.9 billion and is expected to be recognized over the remaining weighted-average vesting period of 2.93 years. </w:t>
      </w:r>
    </w:p>
    <w:p w14:paraId="3973EFD6"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95</w:t>
      </w:r>
    </w:p>
    <w:p w14:paraId="3973EFD7" w14:textId="77777777" w:rsidR="007B027D" w:rsidRDefault="008E0125">
      <w:r>
        <w:rPr>
          <w:rFonts w:ascii="Calibri" w:hAnsi="Calibri" w:cs="Calibri"/>
          <w:sz w:val="20"/>
          <w:szCs w:val="20"/>
        </w:rPr>
        <w:pict w14:anchorId="3974009A">
          <v:rect id="_x0000_i1121" style="width:415.3pt;height:1.5pt" o:hralign="center" o:hrstd="t" o:hr="t" fillcolor="#a0a0a0" stroked="f"/>
        </w:pict>
      </w:r>
    </w:p>
    <w:p w14:paraId="3973EFD8" w14:textId="77777777" w:rsidR="007B027D" w:rsidRDefault="008E0125">
      <w:pPr>
        <w:pStyle w:val="a3"/>
        <w:spacing w:beforeAutospacing="0" w:after="120" w:afterAutospacing="0"/>
        <w:rPr>
          <w:rFonts w:ascii="Calibri" w:hAnsi="Calibri" w:cs="Calibri"/>
          <w:sz w:val="18"/>
          <w:szCs w:val="18"/>
        </w:rPr>
      </w:pPr>
      <w:hyperlink r:id="rId226" w:anchor="TABLE_OF_CONTENTS" w:history="1">
        <w:r>
          <w:rPr>
            <w:rStyle w:val="a5"/>
            <w:rFonts w:ascii="Calibri" w:hAnsi="Calibri" w:cs="Calibri"/>
            <w:sz w:val="18"/>
            <w:szCs w:val="18"/>
          </w:rPr>
          <w:t>Table of Contents</w:t>
        </w:r>
      </w:hyperlink>
    </w:p>
    <w:p w14:paraId="3973EFD9" w14:textId="77777777" w:rsidR="007B027D" w:rsidRDefault="008E0125">
      <w:pPr>
        <w:pStyle w:val="a3"/>
        <w:spacing w:beforeAutospacing="0" w:afterAutospacing="0"/>
        <w:rPr>
          <w:rFonts w:ascii="Calibri" w:hAnsi="Calibri" w:cs="Calibri"/>
          <w:sz w:val="18"/>
          <w:szCs w:val="18"/>
        </w:rPr>
      </w:pPr>
      <w:hyperlink r:id="rId227" w:anchor="ITEM_15_EXHIBITS_FINANCIAL_STATEMENT_SCH" w:history="1">
        <w:r>
          <w:rPr>
            <w:rStyle w:val="a5"/>
            <w:rFonts w:ascii="Calibri" w:hAnsi="Calibri" w:cs="Calibri"/>
            <w:sz w:val="18"/>
            <w:szCs w:val="18"/>
          </w:rPr>
          <w:t>Index to Financial Statements</w:t>
        </w:r>
      </w:hyperlink>
    </w:p>
    <w:p w14:paraId="3973EFDA"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EFDB"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EFDC"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EFDD"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EFDE"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summarizes stock option activity, including SOs and </w:t>
      </w:r>
      <w:r>
        <w:rPr>
          <w:rFonts w:ascii="Calibri" w:hAnsi="Calibri" w:cs="Calibri"/>
          <w:sz w:val="20"/>
          <w:szCs w:val="20"/>
        </w:rPr>
        <w:t>PSOs, and includes awards granted pursuant to the Plans and stock plans assumed from our acquisitions for our last three fiscal years ended May 31, 2022:</w:t>
      </w:r>
    </w:p>
    <w:p w14:paraId="3973EFDF"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998"/>
        <w:gridCol w:w="125"/>
        <w:gridCol w:w="80"/>
        <w:gridCol w:w="1360"/>
        <w:gridCol w:w="80"/>
        <w:gridCol w:w="125"/>
        <w:gridCol w:w="108"/>
        <w:gridCol w:w="1365"/>
        <w:gridCol w:w="80"/>
      </w:tblGrid>
      <w:tr w:rsidR="007B027D" w14:paraId="3973EFE4" w14:textId="77777777">
        <w:tc>
          <w:tcPr>
            <w:tcW w:w="3004" w:type="pct"/>
            <w:shd w:val="clear" w:color="auto" w:fill="FFFFFF"/>
            <w:tcMar>
              <w:top w:w="15" w:type="dxa"/>
              <w:right w:w="15" w:type="dxa"/>
            </w:tcMar>
            <w:vAlign w:val="bottom"/>
          </w:tcPr>
          <w:p w14:paraId="3973EFE0"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3973EFE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868" w:type="pct"/>
            <w:gridSpan w:val="6"/>
            <w:tcBorders>
              <w:bottom w:val="single" w:sz="6" w:space="0" w:color="000000"/>
            </w:tcBorders>
            <w:shd w:val="clear" w:color="auto" w:fill="FFFFFF"/>
            <w:tcMar>
              <w:top w:w="15" w:type="dxa"/>
              <w:right w:w="15" w:type="dxa"/>
            </w:tcMar>
            <w:vAlign w:val="bottom"/>
          </w:tcPr>
          <w:p w14:paraId="3973EFE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Options Outstanding</w:t>
            </w:r>
          </w:p>
        </w:tc>
        <w:tc>
          <w:tcPr>
            <w:tcW w:w="50" w:type="pct"/>
            <w:shd w:val="clear" w:color="auto" w:fill="FFFFFF"/>
            <w:noWrap/>
            <w:tcMar>
              <w:top w:w="15" w:type="dxa"/>
              <w:right w:w="15" w:type="dxa"/>
            </w:tcMar>
            <w:vAlign w:val="bottom"/>
          </w:tcPr>
          <w:p w14:paraId="3973EFE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EE" w14:textId="77777777">
        <w:tc>
          <w:tcPr>
            <w:tcW w:w="3004" w:type="pct"/>
            <w:tcBorders>
              <w:bottom w:val="single" w:sz="6" w:space="0" w:color="000000"/>
            </w:tcBorders>
            <w:shd w:val="clear" w:color="auto" w:fill="FFFFFF"/>
            <w:tcMar>
              <w:top w:w="15" w:type="dxa"/>
              <w:right w:w="15" w:type="dxa"/>
            </w:tcMar>
            <w:vAlign w:val="bottom"/>
          </w:tcPr>
          <w:p w14:paraId="3973EFE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exercise price)</w:t>
            </w:r>
          </w:p>
        </w:tc>
        <w:tc>
          <w:tcPr>
            <w:tcW w:w="77" w:type="pct"/>
            <w:shd w:val="clear" w:color="auto" w:fill="FFFFFF"/>
            <w:tcMar>
              <w:top w:w="15" w:type="dxa"/>
              <w:right w:w="15" w:type="dxa"/>
            </w:tcMar>
            <w:vAlign w:val="bottom"/>
          </w:tcPr>
          <w:p w14:paraId="3973EFE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9" w:type="pct"/>
            <w:gridSpan w:val="2"/>
            <w:tcBorders>
              <w:top w:val="single" w:sz="6" w:space="0" w:color="000000"/>
              <w:bottom w:val="single" w:sz="6" w:space="0" w:color="000000"/>
            </w:tcBorders>
            <w:shd w:val="clear" w:color="auto" w:fill="FFFFFF"/>
            <w:tcMar>
              <w:top w:w="15" w:type="dxa"/>
              <w:right w:w="15" w:type="dxa"/>
            </w:tcMar>
            <w:vAlign w:val="bottom"/>
          </w:tcPr>
          <w:p w14:paraId="3973EFE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Under</w:t>
            </w:r>
          </w:p>
          <w:p w14:paraId="3973EFE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 Option</w:t>
            </w:r>
          </w:p>
        </w:tc>
        <w:tc>
          <w:tcPr>
            <w:tcW w:w="50" w:type="pct"/>
            <w:shd w:val="clear" w:color="auto" w:fill="FFFFFF"/>
            <w:noWrap/>
            <w:tcMar>
              <w:top w:w="15" w:type="dxa"/>
              <w:right w:w="15" w:type="dxa"/>
            </w:tcMar>
            <w:vAlign w:val="bottom"/>
          </w:tcPr>
          <w:p w14:paraId="3973EFE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EFE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9" w:type="pct"/>
            <w:gridSpan w:val="2"/>
            <w:tcBorders>
              <w:top w:val="single" w:sz="6" w:space="0" w:color="000000"/>
              <w:bottom w:val="single" w:sz="6" w:space="0" w:color="000000"/>
            </w:tcBorders>
            <w:shd w:val="clear" w:color="auto" w:fill="FFFFFF"/>
            <w:tcMar>
              <w:top w:w="15" w:type="dxa"/>
              <w:right w:w="15" w:type="dxa"/>
            </w:tcMar>
            <w:vAlign w:val="bottom"/>
          </w:tcPr>
          <w:p w14:paraId="3973EFE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3973EFE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Exercise Price</w:t>
            </w:r>
          </w:p>
        </w:tc>
        <w:tc>
          <w:tcPr>
            <w:tcW w:w="50" w:type="pct"/>
            <w:shd w:val="clear" w:color="auto" w:fill="FFFFFF"/>
            <w:noWrap/>
            <w:tcMar>
              <w:top w:w="15" w:type="dxa"/>
              <w:right w:w="15" w:type="dxa"/>
            </w:tcMar>
            <w:vAlign w:val="bottom"/>
          </w:tcPr>
          <w:p w14:paraId="3973EFE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EFF8" w14:textId="77777777">
        <w:tc>
          <w:tcPr>
            <w:tcW w:w="3004" w:type="pct"/>
            <w:tcBorders>
              <w:top w:val="single" w:sz="6" w:space="0" w:color="000000"/>
            </w:tcBorders>
            <w:shd w:val="clear" w:color="auto" w:fill="CFF0FC"/>
            <w:tcMar>
              <w:top w:w="15" w:type="dxa"/>
              <w:right w:w="15" w:type="dxa"/>
            </w:tcMar>
          </w:tcPr>
          <w:p w14:paraId="3973EF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2019</w:t>
            </w:r>
          </w:p>
        </w:tc>
        <w:tc>
          <w:tcPr>
            <w:tcW w:w="77" w:type="pct"/>
            <w:shd w:val="clear" w:color="auto" w:fill="CFF0FC"/>
            <w:tcMar>
              <w:top w:w="15" w:type="dxa"/>
              <w:right w:w="15" w:type="dxa"/>
            </w:tcMar>
            <w:vAlign w:val="bottom"/>
          </w:tcPr>
          <w:p w14:paraId="3973EF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EFF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tcBorders>
            <w:shd w:val="clear" w:color="auto" w:fill="CFF0FC"/>
            <w:noWrap/>
            <w:tcMar>
              <w:top w:w="15" w:type="dxa"/>
              <w:right w:w="15" w:type="dxa"/>
            </w:tcMar>
            <w:vAlign w:val="bottom"/>
          </w:tcPr>
          <w:p w14:paraId="3973EFF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w:t>
            </w:r>
          </w:p>
        </w:tc>
        <w:tc>
          <w:tcPr>
            <w:tcW w:w="50" w:type="pct"/>
            <w:shd w:val="clear" w:color="auto" w:fill="CFF0FC"/>
            <w:noWrap/>
            <w:tcMar>
              <w:top w:w="15" w:type="dxa"/>
              <w:right w:w="15" w:type="dxa"/>
            </w:tcMar>
            <w:vAlign w:val="bottom"/>
          </w:tcPr>
          <w:p w14:paraId="3973EF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EFF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EFF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tcBorders>
              <w:top w:val="single" w:sz="6" w:space="0" w:color="000000"/>
            </w:tcBorders>
            <w:shd w:val="clear" w:color="auto" w:fill="CFF0FC"/>
            <w:noWrap/>
            <w:tcMar>
              <w:top w:w="15" w:type="dxa"/>
              <w:right w:w="15" w:type="dxa"/>
            </w:tcMar>
            <w:vAlign w:val="bottom"/>
          </w:tcPr>
          <w:p w14:paraId="3973EFF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37.78</w:t>
            </w:r>
          </w:p>
        </w:tc>
        <w:tc>
          <w:tcPr>
            <w:tcW w:w="50" w:type="pct"/>
            <w:shd w:val="clear" w:color="auto" w:fill="CFF0FC"/>
            <w:noWrap/>
            <w:tcMar>
              <w:top w:w="15" w:type="dxa"/>
              <w:right w:w="15" w:type="dxa"/>
            </w:tcMar>
            <w:vAlign w:val="bottom"/>
          </w:tcPr>
          <w:p w14:paraId="3973EF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02" w14:textId="77777777">
        <w:tc>
          <w:tcPr>
            <w:tcW w:w="3004" w:type="pct"/>
            <w:shd w:val="clear" w:color="auto" w:fill="FFFFFF"/>
            <w:tcMar>
              <w:top w:w="15" w:type="dxa"/>
              <w:right w:w="15" w:type="dxa"/>
            </w:tcMar>
          </w:tcPr>
          <w:p w14:paraId="3973EFF9"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 and assumed</w:t>
            </w:r>
          </w:p>
        </w:tc>
        <w:tc>
          <w:tcPr>
            <w:tcW w:w="77" w:type="pct"/>
            <w:shd w:val="clear" w:color="auto" w:fill="FFFFFF"/>
            <w:tcMar>
              <w:top w:w="15" w:type="dxa"/>
              <w:right w:w="15" w:type="dxa"/>
            </w:tcMar>
            <w:vAlign w:val="bottom"/>
          </w:tcPr>
          <w:p w14:paraId="3973EF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EF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FFFFFF"/>
            <w:noWrap/>
            <w:tcMar>
              <w:top w:w="15" w:type="dxa"/>
              <w:right w:w="15" w:type="dxa"/>
            </w:tcMar>
            <w:vAlign w:val="bottom"/>
          </w:tcPr>
          <w:p w14:paraId="3973EFF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EFF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EF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EFF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0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0C" w14:textId="77777777">
        <w:tc>
          <w:tcPr>
            <w:tcW w:w="3004" w:type="pct"/>
            <w:shd w:val="clear" w:color="auto" w:fill="CFF0FC"/>
            <w:tcMar>
              <w:top w:w="15" w:type="dxa"/>
              <w:right w:w="15" w:type="dxa"/>
            </w:tcMar>
          </w:tcPr>
          <w:p w14:paraId="3973F003"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77" w:type="pct"/>
            <w:shd w:val="clear" w:color="auto" w:fill="CFF0FC"/>
            <w:tcMar>
              <w:top w:w="15" w:type="dxa"/>
              <w:right w:w="15" w:type="dxa"/>
            </w:tcMar>
            <w:vAlign w:val="bottom"/>
          </w:tcPr>
          <w:p w14:paraId="3973F0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0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F00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3973F0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F0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0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0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33.18</w:t>
            </w:r>
          </w:p>
        </w:tc>
        <w:tc>
          <w:tcPr>
            <w:tcW w:w="50" w:type="pct"/>
            <w:shd w:val="clear" w:color="auto" w:fill="CFF0FC"/>
            <w:noWrap/>
            <w:tcMar>
              <w:top w:w="15" w:type="dxa"/>
              <w:right w:w="15" w:type="dxa"/>
            </w:tcMar>
            <w:vAlign w:val="bottom"/>
          </w:tcPr>
          <w:p w14:paraId="3973F0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16" w14:textId="77777777">
        <w:tc>
          <w:tcPr>
            <w:tcW w:w="3004" w:type="pct"/>
            <w:shd w:val="clear" w:color="auto" w:fill="FFFFFF"/>
            <w:tcMar>
              <w:top w:w="15" w:type="dxa"/>
              <w:right w:w="15" w:type="dxa"/>
            </w:tcMar>
          </w:tcPr>
          <w:p w14:paraId="3973F00D"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F00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00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F01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3973F0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3973F0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1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1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44.76</w:t>
            </w:r>
          </w:p>
        </w:tc>
        <w:tc>
          <w:tcPr>
            <w:tcW w:w="50" w:type="pct"/>
            <w:shd w:val="clear" w:color="auto" w:fill="FFFFFF"/>
            <w:noWrap/>
            <w:tcMar>
              <w:top w:w="15" w:type="dxa"/>
              <w:right w:w="15" w:type="dxa"/>
            </w:tcMar>
            <w:vAlign w:val="bottom"/>
          </w:tcPr>
          <w:p w14:paraId="3973F0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20" w14:textId="77777777">
        <w:tc>
          <w:tcPr>
            <w:tcW w:w="3004" w:type="pct"/>
            <w:shd w:val="clear" w:color="auto" w:fill="CFF0FC"/>
            <w:tcMar>
              <w:top w:w="15" w:type="dxa"/>
              <w:right w:w="15" w:type="dxa"/>
            </w:tcMar>
          </w:tcPr>
          <w:p w14:paraId="3973F01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2020</w:t>
            </w:r>
          </w:p>
        </w:tc>
        <w:tc>
          <w:tcPr>
            <w:tcW w:w="77" w:type="pct"/>
            <w:shd w:val="clear" w:color="auto" w:fill="CFF0FC"/>
            <w:tcMar>
              <w:top w:w="15" w:type="dxa"/>
              <w:right w:w="15" w:type="dxa"/>
            </w:tcMar>
            <w:vAlign w:val="bottom"/>
          </w:tcPr>
          <w:p w14:paraId="3973F0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01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single" w:sz="6" w:space="0" w:color="000000"/>
            </w:tcBorders>
            <w:shd w:val="clear" w:color="auto" w:fill="CFF0FC"/>
            <w:noWrap/>
            <w:tcMar>
              <w:top w:w="15" w:type="dxa"/>
              <w:right w:w="15" w:type="dxa"/>
            </w:tcMar>
            <w:vAlign w:val="bottom"/>
          </w:tcPr>
          <w:p w14:paraId="3973F01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176</w:t>
            </w:r>
          </w:p>
        </w:tc>
        <w:tc>
          <w:tcPr>
            <w:tcW w:w="50" w:type="pct"/>
            <w:shd w:val="clear" w:color="auto" w:fill="CFF0FC"/>
            <w:noWrap/>
            <w:tcMar>
              <w:top w:w="15" w:type="dxa"/>
              <w:right w:w="15" w:type="dxa"/>
            </w:tcMar>
            <w:vAlign w:val="bottom"/>
          </w:tcPr>
          <w:p w14:paraId="3973F0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F0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1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38.86</w:t>
            </w:r>
          </w:p>
        </w:tc>
        <w:tc>
          <w:tcPr>
            <w:tcW w:w="50" w:type="pct"/>
            <w:shd w:val="clear" w:color="auto" w:fill="CFF0FC"/>
            <w:noWrap/>
            <w:tcMar>
              <w:top w:w="15" w:type="dxa"/>
              <w:right w:w="15" w:type="dxa"/>
            </w:tcMar>
            <w:vAlign w:val="bottom"/>
          </w:tcPr>
          <w:p w14:paraId="3973F0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2A" w14:textId="77777777">
        <w:tc>
          <w:tcPr>
            <w:tcW w:w="3004" w:type="pct"/>
            <w:shd w:val="clear" w:color="auto" w:fill="FFFFFF"/>
            <w:tcMar>
              <w:top w:w="15" w:type="dxa"/>
              <w:right w:w="15" w:type="dxa"/>
            </w:tcMar>
          </w:tcPr>
          <w:p w14:paraId="3973F021"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 and assumed</w:t>
            </w:r>
          </w:p>
        </w:tc>
        <w:tc>
          <w:tcPr>
            <w:tcW w:w="77" w:type="pct"/>
            <w:shd w:val="clear" w:color="auto" w:fill="FFFFFF"/>
            <w:tcMar>
              <w:top w:w="15" w:type="dxa"/>
              <w:right w:w="15" w:type="dxa"/>
            </w:tcMar>
            <w:vAlign w:val="bottom"/>
          </w:tcPr>
          <w:p w14:paraId="3973F02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0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FFFFFF"/>
            <w:noWrap/>
            <w:tcMar>
              <w:top w:w="15" w:type="dxa"/>
              <w:right w:w="15" w:type="dxa"/>
            </w:tcMar>
            <w:vAlign w:val="bottom"/>
          </w:tcPr>
          <w:p w14:paraId="3973F02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2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F0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2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34" w14:textId="77777777">
        <w:tc>
          <w:tcPr>
            <w:tcW w:w="3004" w:type="pct"/>
            <w:shd w:val="clear" w:color="auto" w:fill="CFF0FC"/>
            <w:tcMar>
              <w:top w:w="15" w:type="dxa"/>
              <w:right w:w="15" w:type="dxa"/>
            </w:tcMar>
          </w:tcPr>
          <w:p w14:paraId="3973F02B"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77" w:type="pct"/>
            <w:shd w:val="clear" w:color="auto" w:fill="CFF0FC"/>
            <w:tcMar>
              <w:top w:w="15" w:type="dxa"/>
              <w:right w:w="15" w:type="dxa"/>
            </w:tcMar>
            <w:vAlign w:val="bottom"/>
          </w:tcPr>
          <w:p w14:paraId="3973F02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0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F02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right w:w="15" w:type="dxa"/>
            </w:tcMar>
            <w:vAlign w:val="bottom"/>
          </w:tcPr>
          <w:p w14:paraId="3973F0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F0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3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32.05</w:t>
            </w:r>
          </w:p>
        </w:tc>
        <w:tc>
          <w:tcPr>
            <w:tcW w:w="50" w:type="pct"/>
            <w:shd w:val="clear" w:color="auto" w:fill="CFF0FC"/>
            <w:noWrap/>
            <w:tcMar>
              <w:top w:w="15" w:type="dxa"/>
              <w:right w:w="15" w:type="dxa"/>
            </w:tcMar>
            <w:vAlign w:val="bottom"/>
          </w:tcPr>
          <w:p w14:paraId="3973F0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3E" w14:textId="77777777">
        <w:tc>
          <w:tcPr>
            <w:tcW w:w="3004" w:type="pct"/>
            <w:shd w:val="clear" w:color="auto" w:fill="FFFFFF"/>
            <w:tcMar>
              <w:top w:w="15" w:type="dxa"/>
              <w:right w:w="15" w:type="dxa"/>
            </w:tcMar>
          </w:tcPr>
          <w:p w14:paraId="3973F035"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F0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0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F03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3973F0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FFFFFF"/>
            <w:tcMar>
              <w:top w:w="15" w:type="dxa"/>
              <w:right w:w="15" w:type="dxa"/>
            </w:tcMar>
            <w:vAlign w:val="bottom"/>
          </w:tcPr>
          <w:p w14:paraId="3973F03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3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51.02</w:t>
            </w:r>
          </w:p>
        </w:tc>
        <w:tc>
          <w:tcPr>
            <w:tcW w:w="50" w:type="pct"/>
            <w:shd w:val="clear" w:color="auto" w:fill="FFFFFF"/>
            <w:noWrap/>
            <w:tcMar>
              <w:top w:w="15" w:type="dxa"/>
              <w:right w:w="15" w:type="dxa"/>
            </w:tcMar>
            <w:vAlign w:val="bottom"/>
          </w:tcPr>
          <w:p w14:paraId="3973F0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48" w14:textId="77777777">
        <w:tc>
          <w:tcPr>
            <w:tcW w:w="3004" w:type="pct"/>
            <w:shd w:val="clear" w:color="auto" w:fill="CFF0FC"/>
            <w:tcMar>
              <w:top w:w="15" w:type="dxa"/>
              <w:right w:w="15" w:type="dxa"/>
            </w:tcMar>
          </w:tcPr>
          <w:p w14:paraId="3973F0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2021</w:t>
            </w:r>
          </w:p>
        </w:tc>
        <w:tc>
          <w:tcPr>
            <w:tcW w:w="77" w:type="pct"/>
            <w:shd w:val="clear" w:color="auto" w:fill="CFF0FC"/>
            <w:tcMar>
              <w:top w:w="15" w:type="dxa"/>
              <w:right w:w="15" w:type="dxa"/>
            </w:tcMar>
            <w:vAlign w:val="bottom"/>
          </w:tcPr>
          <w:p w14:paraId="3973F0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04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single" w:sz="6" w:space="0" w:color="000000"/>
            </w:tcBorders>
            <w:shd w:val="clear" w:color="auto" w:fill="CFF0FC"/>
            <w:noWrap/>
            <w:tcMar>
              <w:top w:w="15" w:type="dxa"/>
              <w:right w:w="15" w:type="dxa"/>
            </w:tcMar>
            <w:vAlign w:val="bottom"/>
          </w:tcPr>
          <w:p w14:paraId="3973F04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CFF0FC"/>
            <w:noWrap/>
            <w:tcMar>
              <w:top w:w="15" w:type="dxa"/>
              <w:right w:w="15" w:type="dxa"/>
            </w:tcMar>
            <w:vAlign w:val="bottom"/>
          </w:tcPr>
          <w:p w14:paraId="3973F04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F0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4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40.14</w:t>
            </w:r>
          </w:p>
        </w:tc>
        <w:tc>
          <w:tcPr>
            <w:tcW w:w="50" w:type="pct"/>
            <w:shd w:val="clear" w:color="auto" w:fill="CFF0FC"/>
            <w:noWrap/>
            <w:tcMar>
              <w:top w:w="15" w:type="dxa"/>
              <w:right w:w="15" w:type="dxa"/>
            </w:tcMar>
            <w:vAlign w:val="bottom"/>
          </w:tcPr>
          <w:p w14:paraId="3973F04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52" w14:textId="77777777">
        <w:tc>
          <w:tcPr>
            <w:tcW w:w="3004" w:type="pct"/>
            <w:shd w:val="clear" w:color="auto" w:fill="FFFFFF"/>
            <w:tcMar>
              <w:top w:w="15" w:type="dxa"/>
              <w:right w:w="15" w:type="dxa"/>
            </w:tcMar>
          </w:tcPr>
          <w:p w14:paraId="3973F049"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77" w:type="pct"/>
            <w:shd w:val="clear" w:color="auto" w:fill="FFFFFF"/>
            <w:tcMar>
              <w:top w:w="15" w:type="dxa"/>
              <w:right w:w="15" w:type="dxa"/>
            </w:tcMar>
            <w:vAlign w:val="bottom"/>
          </w:tcPr>
          <w:p w14:paraId="3973F0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F04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tcBorders>
            <w:shd w:val="clear" w:color="auto" w:fill="FFFFFF"/>
            <w:noWrap/>
            <w:tcMar>
              <w:top w:w="15" w:type="dxa"/>
              <w:right w:w="15" w:type="dxa"/>
            </w:tcMar>
            <w:vAlign w:val="bottom"/>
          </w:tcPr>
          <w:p w14:paraId="3973F04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F0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4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5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5C" w14:textId="77777777">
        <w:tc>
          <w:tcPr>
            <w:tcW w:w="3004" w:type="pct"/>
            <w:shd w:val="clear" w:color="auto" w:fill="CFF0FC"/>
            <w:tcMar>
              <w:top w:w="15" w:type="dxa"/>
              <w:right w:w="15" w:type="dxa"/>
            </w:tcMar>
          </w:tcPr>
          <w:p w14:paraId="3973F053"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77" w:type="pct"/>
            <w:shd w:val="clear" w:color="auto" w:fill="CFF0FC"/>
            <w:tcMar>
              <w:top w:w="15" w:type="dxa"/>
              <w:right w:w="15" w:type="dxa"/>
            </w:tcMar>
            <w:vAlign w:val="bottom"/>
          </w:tcPr>
          <w:p w14:paraId="3973F0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05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shd w:val="clear" w:color="auto" w:fill="CFF0FC"/>
            <w:noWrap/>
            <w:tcMar>
              <w:top w:w="15" w:type="dxa"/>
              <w:right w:w="15" w:type="dxa"/>
            </w:tcMar>
            <w:vAlign w:val="bottom"/>
          </w:tcPr>
          <w:p w14:paraId="3973F05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3973F0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3973F0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5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34.34</w:t>
            </w:r>
          </w:p>
        </w:tc>
        <w:tc>
          <w:tcPr>
            <w:tcW w:w="50" w:type="pct"/>
            <w:shd w:val="clear" w:color="auto" w:fill="CFF0FC"/>
            <w:noWrap/>
            <w:tcMar>
              <w:top w:w="15" w:type="dxa"/>
              <w:right w:w="15" w:type="dxa"/>
            </w:tcMar>
            <w:vAlign w:val="bottom"/>
          </w:tcPr>
          <w:p w14:paraId="3973F0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66" w14:textId="77777777">
        <w:tc>
          <w:tcPr>
            <w:tcW w:w="3004" w:type="pct"/>
            <w:shd w:val="clear" w:color="auto" w:fill="FFFFFF"/>
            <w:tcMar>
              <w:top w:w="15" w:type="dxa"/>
              <w:right w:w="15" w:type="dxa"/>
            </w:tcMar>
          </w:tcPr>
          <w:p w14:paraId="3973F05D"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77" w:type="pct"/>
            <w:shd w:val="clear" w:color="auto" w:fill="FFFFFF"/>
            <w:tcMar>
              <w:top w:w="15" w:type="dxa"/>
              <w:right w:w="15" w:type="dxa"/>
            </w:tcMar>
            <w:vAlign w:val="bottom"/>
          </w:tcPr>
          <w:p w14:paraId="3973F0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0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bottom w:val="single" w:sz="6" w:space="0" w:color="000000"/>
            </w:tcBorders>
            <w:shd w:val="clear" w:color="auto" w:fill="FFFFFF"/>
            <w:noWrap/>
            <w:tcMar>
              <w:top w:w="15" w:type="dxa"/>
              <w:right w:w="15" w:type="dxa"/>
            </w:tcMar>
            <w:vAlign w:val="bottom"/>
          </w:tcPr>
          <w:p w14:paraId="3973F06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3973F0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FFFFFF"/>
            <w:noWrap/>
            <w:tcMar>
              <w:top w:w="15" w:type="dxa"/>
              <w:right w:w="15" w:type="dxa"/>
            </w:tcMar>
            <w:vAlign w:val="bottom"/>
          </w:tcPr>
          <w:p w14:paraId="3973F06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0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70" w14:textId="77777777">
        <w:tc>
          <w:tcPr>
            <w:tcW w:w="3004" w:type="pct"/>
            <w:shd w:val="clear" w:color="auto" w:fill="CFF0FC"/>
            <w:tcMar>
              <w:top w:w="15" w:type="dxa"/>
              <w:right w:w="15" w:type="dxa"/>
            </w:tcMar>
          </w:tcPr>
          <w:p w14:paraId="3973F0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2022</w:t>
            </w:r>
          </w:p>
        </w:tc>
        <w:tc>
          <w:tcPr>
            <w:tcW w:w="77" w:type="pct"/>
            <w:shd w:val="clear" w:color="auto" w:fill="CFF0FC"/>
            <w:tcMar>
              <w:top w:w="15" w:type="dxa"/>
              <w:right w:w="15" w:type="dxa"/>
            </w:tcMar>
            <w:vAlign w:val="bottom"/>
          </w:tcPr>
          <w:p w14:paraId="3973F0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0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19" w:type="pct"/>
            <w:tcBorders>
              <w:top w:val="single" w:sz="6" w:space="0" w:color="000000"/>
              <w:bottom w:val="double" w:sz="6" w:space="0" w:color="000000"/>
            </w:tcBorders>
            <w:shd w:val="clear" w:color="auto" w:fill="CFF0FC"/>
            <w:noWrap/>
            <w:tcMar>
              <w:top w:w="15" w:type="dxa"/>
              <w:right w:w="15" w:type="dxa"/>
            </w:tcMar>
            <w:vAlign w:val="bottom"/>
          </w:tcPr>
          <w:p w14:paraId="3973F06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w:t>
            </w:r>
          </w:p>
        </w:tc>
        <w:tc>
          <w:tcPr>
            <w:tcW w:w="50" w:type="pct"/>
            <w:shd w:val="clear" w:color="auto" w:fill="CFF0FC"/>
            <w:noWrap/>
            <w:tcMar>
              <w:top w:w="15" w:type="dxa"/>
              <w:right w:w="15" w:type="dxa"/>
            </w:tcMar>
            <w:vAlign w:val="bottom"/>
          </w:tcPr>
          <w:p w14:paraId="3973F0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3973F0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19" w:type="pct"/>
            <w:shd w:val="clear" w:color="auto" w:fill="CFF0FC"/>
            <w:noWrap/>
            <w:tcMar>
              <w:top w:w="15" w:type="dxa"/>
              <w:right w:w="15" w:type="dxa"/>
            </w:tcMar>
            <w:vAlign w:val="bottom"/>
          </w:tcPr>
          <w:p w14:paraId="3973F06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40.70</w:t>
            </w:r>
          </w:p>
        </w:tc>
        <w:tc>
          <w:tcPr>
            <w:tcW w:w="50" w:type="pct"/>
            <w:shd w:val="clear" w:color="auto" w:fill="CFF0FC"/>
            <w:noWrap/>
            <w:tcMar>
              <w:top w:w="15" w:type="dxa"/>
              <w:right w:w="15" w:type="dxa"/>
            </w:tcMar>
            <w:vAlign w:val="bottom"/>
          </w:tcPr>
          <w:p w14:paraId="3973F06F"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07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F074" w14:textId="77777777">
        <w:tc>
          <w:tcPr>
            <w:tcW w:w="192" w:type="pct"/>
            <w:shd w:val="clear" w:color="auto" w:fill="auto"/>
            <w:noWrap/>
          </w:tcPr>
          <w:p w14:paraId="3973F072" w14:textId="77777777" w:rsidR="007B027D" w:rsidRDefault="007B027D">
            <w:pPr>
              <w:rPr>
                <w:rFonts w:ascii="宋体"/>
              </w:rPr>
            </w:pPr>
          </w:p>
        </w:tc>
        <w:tc>
          <w:tcPr>
            <w:tcW w:w="0" w:type="auto"/>
            <w:shd w:val="clear" w:color="auto" w:fill="auto"/>
          </w:tcPr>
          <w:p w14:paraId="3973F073"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w:t>
            </w:r>
          </w:p>
        </w:tc>
      </w:tr>
    </w:tbl>
    <w:p w14:paraId="3973F07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Stock options outstanding that have vested and that are expected to vest as of May 31, 2022 were as follows:</w:t>
      </w:r>
    </w:p>
    <w:p w14:paraId="3973F076"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183"/>
        <w:gridCol w:w="103"/>
        <w:gridCol w:w="74"/>
        <w:gridCol w:w="1299"/>
        <w:gridCol w:w="74"/>
        <w:gridCol w:w="74"/>
        <w:gridCol w:w="108"/>
        <w:gridCol w:w="1299"/>
        <w:gridCol w:w="75"/>
        <w:gridCol w:w="75"/>
        <w:gridCol w:w="75"/>
        <w:gridCol w:w="1300"/>
        <w:gridCol w:w="75"/>
        <w:gridCol w:w="75"/>
        <w:gridCol w:w="108"/>
        <w:gridCol w:w="1253"/>
        <w:gridCol w:w="71"/>
      </w:tblGrid>
      <w:tr w:rsidR="007B027D" w14:paraId="3973F08B" w14:textId="77777777">
        <w:tc>
          <w:tcPr>
            <w:tcW w:w="1317" w:type="pct"/>
            <w:shd w:val="clear" w:color="auto" w:fill="FFFFFF"/>
            <w:tcMar>
              <w:top w:w="15" w:type="dxa"/>
              <w:right w:w="15" w:type="dxa"/>
            </w:tcMar>
            <w:vAlign w:val="bottom"/>
          </w:tcPr>
          <w:p w14:paraId="3973F07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67" w:type="pct"/>
            <w:shd w:val="clear" w:color="auto" w:fill="FFFFFF"/>
            <w:tcMar>
              <w:top w:w="15" w:type="dxa"/>
              <w:right w:w="15" w:type="dxa"/>
            </w:tcMar>
            <w:vAlign w:val="bottom"/>
          </w:tcPr>
          <w:p w14:paraId="3973F07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5" w:type="pct"/>
            <w:gridSpan w:val="2"/>
            <w:tcBorders>
              <w:bottom w:val="single" w:sz="6" w:space="0" w:color="000000"/>
            </w:tcBorders>
            <w:shd w:val="clear" w:color="auto" w:fill="FFFFFF"/>
            <w:tcMar>
              <w:top w:w="15" w:type="dxa"/>
              <w:right w:w="15" w:type="dxa"/>
            </w:tcMar>
            <w:vAlign w:val="bottom"/>
          </w:tcPr>
          <w:p w14:paraId="3973F07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Outstanding</w:t>
            </w:r>
          </w:p>
          <w:p w14:paraId="3973F07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 Options</w:t>
            </w:r>
          </w:p>
          <w:p w14:paraId="3973F07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right w:w="15" w:type="dxa"/>
            </w:tcMar>
            <w:vAlign w:val="bottom"/>
          </w:tcPr>
          <w:p w14:paraId="3973F07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F07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5" w:type="pct"/>
            <w:gridSpan w:val="2"/>
            <w:tcBorders>
              <w:bottom w:val="single" w:sz="6" w:space="0" w:color="000000"/>
            </w:tcBorders>
            <w:shd w:val="clear" w:color="auto" w:fill="FFFFFF"/>
            <w:tcMar>
              <w:top w:w="15" w:type="dxa"/>
              <w:right w:w="15" w:type="dxa"/>
            </w:tcMar>
            <w:vAlign w:val="bottom"/>
          </w:tcPr>
          <w:p w14:paraId="3973F07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3973F07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Exercise Price</w:t>
            </w:r>
          </w:p>
        </w:tc>
        <w:tc>
          <w:tcPr>
            <w:tcW w:w="50" w:type="pct"/>
            <w:shd w:val="clear" w:color="auto" w:fill="FFFFFF"/>
            <w:noWrap/>
            <w:tcMar>
              <w:top w:w="15" w:type="dxa"/>
              <w:right w:w="15" w:type="dxa"/>
            </w:tcMar>
            <w:vAlign w:val="bottom"/>
          </w:tcPr>
          <w:p w14:paraId="3973F08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F08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5" w:type="pct"/>
            <w:gridSpan w:val="2"/>
            <w:tcBorders>
              <w:bottom w:val="single" w:sz="6" w:space="0" w:color="000000"/>
            </w:tcBorders>
            <w:shd w:val="clear" w:color="auto" w:fill="FFFFFF"/>
            <w:tcMar>
              <w:top w:w="15" w:type="dxa"/>
              <w:right w:w="15" w:type="dxa"/>
            </w:tcMar>
            <w:vAlign w:val="bottom"/>
          </w:tcPr>
          <w:p w14:paraId="3973F08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3973F08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Remaining Contract Term</w:t>
            </w:r>
          </w:p>
          <w:p w14:paraId="3973F08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years)</w:t>
            </w:r>
          </w:p>
        </w:tc>
        <w:tc>
          <w:tcPr>
            <w:tcW w:w="50" w:type="pct"/>
            <w:shd w:val="clear" w:color="auto" w:fill="FFFFFF"/>
            <w:noWrap/>
            <w:tcMar>
              <w:top w:w="15" w:type="dxa"/>
              <w:right w:w="15" w:type="dxa"/>
            </w:tcMar>
            <w:vAlign w:val="bottom"/>
          </w:tcPr>
          <w:p w14:paraId="3973F08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3973F08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5" w:type="pct"/>
            <w:gridSpan w:val="2"/>
            <w:tcBorders>
              <w:bottom w:val="single" w:sz="6" w:space="0" w:color="000000"/>
            </w:tcBorders>
            <w:shd w:val="clear" w:color="auto" w:fill="FFFFFF"/>
            <w:tcMar>
              <w:top w:w="15" w:type="dxa"/>
              <w:right w:w="15" w:type="dxa"/>
            </w:tcMar>
            <w:vAlign w:val="bottom"/>
          </w:tcPr>
          <w:p w14:paraId="3973F08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Aggregate</w:t>
            </w:r>
          </w:p>
          <w:p w14:paraId="3973F08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Intrinsic Value</w:t>
            </w:r>
            <w:r>
              <w:rPr>
                <w:rFonts w:ascii="Calibri" w:hAnsi="Calibri" w:cs="Calibri"/>
                <w:b/>
                <w:bCs/>
                <w:color w:val="000000"/>
                <w:sz w:val="12"/>
                <w:szCs w:val="12"/>
              </w:rPr>
              <w:t>(1)</w:t>
            </w:r>
          </w:p>
          <w:p w14:paraId="3973F08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right w:w="15" w:type="dxa"/>
            </w:tcMar>
            <w:vAlign w:val="bottom"/>
          </w:tcPr>
          <w:p w14:paraId="3973F08A" w14:textId="77777777" w:rsidR="007B027D" w:rsidRDefault="008E012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r>
      <w:tr w:rsidR="007B027D" w14:paraId="3973F09D" w14:textId="77777777">
        <w:tc>
          <w:tcPr>
            <w:tcW w:w="1317" w:type="pct"/>
            <w:shd w:val="clear" w:color="auto" w:fill="CFF0FC"/>
            <w:tcMar>
              <w:top w:w="15" w:type="dxa"/>
              <w:right w:w="15" w:type="dxa"/>
            </w:tcMar>
          </w:tcPr>
          <w:p w14:paraId="3973F0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Vested</w:t>
            </w:r>
          </w:p>
        </w:tc>
        <w:tc>
          <w:tcPr>
            <w:tcW w:w="67" w:type="pct"/>
            <w:shd w:val="clear" w:color="auto" w:fill="CFF0FC"/>
            <w:tcMar>
              <w:top w:w="15" w:type="dxa"/>
              <w:right w:w="15" w:type="dxa"/>
            </w:tcMar>
            <w:vAlign w:val="bottom"/>
          </w:tcPr>
          <w:p w14:paraId="3973F0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08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tcBorders>
              <w:top w:val="single" w:sz="6" w:space="0" w:color="000000"/>
            </w:tcBorders>
            <w:shd w:val="clear" w:color="auto" w:fill="CFF0FC"/>
            <w:noWrap/>
            <w:tcMar>
              <w:top w:w="15" w:type="dxa"/>
              <w:right w:w="15" w:type="dxa"/>
            </w:tcMar>
            <w:vAlign w:val="bottom"/>
          </w:tcPr>
          <w:p w14:paraId="3973F08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w:t>
            </w:r>
          </w:p>
        </w:tc>
        <w:tc>
          <w:tcPr>
            <w:tcW w:w="50" w:type="pct"/>
            <w:shd w:val="clear" w:color="auto" w:fill="CFF0FC"/>
            <w:noWrap/>
            <w:tcMar>
              <w:top w:w="15" w:type="dxa"/>
              <w:right w:w="15" w:type="dxa"/>
            </w:tcMar>
            <w:vAlign w:val="bottom"/>
          </w:tcPr>
          <w:p w14:paraId="3973F0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9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0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6" w:type="pct"/>
            <w:tcBorders>
              <w:top w:val="single" w:sz="6" w:space="0" w:color="000000"/>
            </w:tcBorders>
            <w:shd w:val="clear" w:color="auto" w:fill="CFF0FC"/>
            <w:noWrap/>
            <w:tcMar>
              <w:top w:w="15" w:type="dxa"/>
              <w:right w:w="15" w:type="dxa"/>
            </w:tcMar>
            <w:vAlign w:val="bottom"/>
          </w:tcPr>
          <w:p w14:paraId="3973F09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35.81</w:t>
            </w:r>
          </w:p>
        </w:tc>
        <w:tc>
          <w:tcPr>
            <w:tcW w:w="50" w:type="pct"/>
            <w:shd w:val="clear" w:color="auto" w:fill="CFF0FC"/>
            <w:noWrap/>
            <w:tcMar>
              <w:top w:w="15" w:type="dxa"/>
              <w:right w:w="15" w:type="dxa"/>
            </w:tcMar>
            <w:vAlign w:val="bottom"/>
          </w:tcPr>
          <w:p w14:paraId="3973F0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9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0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tcBorders>
              <w:top w:val="single" w:sz="6" w:space="0" w:color="000000"/>
            </w:tcBorders>
            <w:shd w:val="clear" w:color="auto" w:fill="CFF0FC"/>
            <w:noWrap/>
            <w:tcMar>
              <w:top w:w="15" w:type="dxa"/>
              <w:right w:w="15" w:type="dxa"/>
            </w:tcMar>
            <w:vAlign w:val="bottom"/>
          </w:tcPr>
          <w:p w14:paraId="3973F09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1.83</w:t>
            </w:r>
          </w:p>
        </w:tc>
        <w:tc>
          <w:tcPr>
            <w:tcW w:w="50" w:type="pct"/>
            <w:shd w:val="clear" w:color="auto" w:fill="CFF0FC"/>
            <w:noWrap/>
            <w:tcMar>
              <w:top w:w="15" w:type="dxa"/>
              <w:right w:w="15" w:type="dxa"/>
            </w:tcMar>
            <w:vAlign w:val="bottom"/>
          </w:tcPr>
          <w:p w14:paraId="3973F0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9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0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6" w:type="pct"/>
            <w:tcBorders>
              <w:top w:val="single" w:sz="6" w:space="0" w:color="000000"/>
            </w:tcBorders>
            <w:shd w:val="clear" w:color="auto" w:fill="CFF0FC"/>
            <w:noWrap/>
            <w:tcMar>
              <w:top w:w="15" w:type="dxa"/>
              <w:right w:w="15" w:type="dxa"/>
            </w:tcMar>
            <w:vAlign w:val="bottom"/>
          </w:tcPr>
          <w:p w14:paraId="3973F09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2,360</w:t>
            </w:r>
          </w:p>
        </w:tc>
        <w:tc>
          <w:tcPr>
            <w:tcW w:w="50" w:type="pct"/>
            <w:shd w:val="clear" w:color="auto" w:fill="CFF0FC"/>
            <w:noWrap/>
            <w:tcMar>
              <w:top w:w="15" w:type="dxa"/>
              <w:right w:w="15" w:type="dxa"/>
            </w:tcMar>
            <w:vAlign w:val="bottom"/>
          </w:tcPr>
          <w:p w14:paraId="3973F0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AF" w14:textId="77777777">
        <w:tc>
          <w:tcPr>
            <w:tcW w:w="1317" w:type="pct"/>
            <w:shd w:val="clear" w:color="auto" w:fill="FFFFFF"/>
            <w:tcMar>
              <w:top w:w="15" w:type="dxa"/>
              <w:right w:w="15" w:type="dxa"/>
            </w:tcMar>
          </w:tcPr>
          <w:p w14:paraId="3973F0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Expected to vest</w:t>
            </w:r>
            <w:r>
              <w:rPr>
                <w:rFonts w:ascii="Calibri" w:hAnsi="Calibri" w:cs="Calibri"/>
                <w:color w:val="000000"/>
                <w:sz w:val="15"/>
                <w:szCs w:val="15"/>
              </w:rPr>
              <w:t>(2)</w:t>
            </w:r>
          </w:p>
        </w:tc>
        <w:tc>
          <w:tcPr>
            <w:tcW w:w="67" w:type="pct"/>
            <w:shd w:val="clear" w:color="auto" w:fill="FFFFFF"/>
            <w:tcMar>
              <w:top w:w="15" w:type="dxa"/>
              <w:right w:w="15" w:type="dxa"/>
            </w:tcMar>
            <w:vAlign w:val="bottom"/>
          </w:tcPr>
          <w:p w14:paraId="3973F0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0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tcBorders>
              <w:bottom w:val="single" w:sz="6" w:space="0" w:color="000000"/>
            </w:tcBorders>
            <w:shd w:val="clear" w:color="auto" w:fill="FFFFFF"/>
            <w:noWrap/>
            <w:tcMar>
              <w:top w:w="15" w:type="dxa"/>
              <w:right w:w="15" w:type="dxa"/>
            </w:tcMar>
            <w:vAlign w:val="bottom"/>
          </w:tcPr>
          <w:p w14:paraId="3973F0A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3973F0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3973F0A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6" w:type="pct"/>
            <w:shd w:val="clear" w:color="auto" w:fill="FFFFFF"/>
            <w:noWrap/>
            <w:tcMar>
              <w:top w:w="15" w:type="dxa"/>
              <w:right w:w="15" w:type="dxa"/>
            </w:tcMar>
            <w:vAlign w:val="bottom"/>
          </w:tcPr>
          <w:p w14:paraId="3973F0A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50.38</w:t>
            </w:r>
          </w:p>
        </w:tc>
        <w:tc>
          <w:tcPr>
            <w:tcW w:w="50" w:type="pct"/>
            <w:shd w:val="clear" w:color="auto" w:fill="FFFFFF"/>
            <w:noWrap/>
            <w:tcMar>
              <w:top w:w="15" w:type="dxa"/>
              <w:right w:w="15" w:type="dxa"/>
            </w:tcMar>
            <w:vAlign w:val="bottom"/>
          </w:tcPr>
          <w:p w14:paraId="3973F0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3973F0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0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shd w:val="clear" w:color="auto" w:fill="FFFFFF"/>
            <w:noWrap/>
            <w:tcMar>
              <w:top w:w="15" w:type="dxa"/>
              <w:right w:w="15" w:type="dxa"/>
            </w:tcMar>
            <w:vAlign w:val="bottom"/>
          </w:tcPr>
          <w:p w14:paraId="3973F0A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3.67</w:t>
            </w:r>
          </w:p>
        </w:tc>
        <w:tc>
          <w:tcPr>
            <w:tcW w:w="50" w:type="pct"/>
            <w:shd w:val="clear" w:color="auto" w:fill="FFFFFF"/>
            <w:noWrap/>
            <w:tcMar>
              <w:top w:w="15" w:type="dxa"/>
              <w:right w:w="15" w:type="dxa"/>
            </w:tcMar>
            <w:vAlign w:val="bottom"/>
          </w:tcPr>
          <w:p w14:paraId="3973F0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3973F0A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0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tcBorders>
              <w:bottom w:val="single" w:sz="6" w:space="0" w:color="000000"/>
            </w:tcBorders>
            <w:shd w:val="clear" w:color="auto" w:fill="FFFFFF"/>
            <w:noWrap/>
            <w:tcMar>
              <w:top w:w="15" w:type="dxa"/>
              <w:right w:w="15" w:type="dxa"/>
            </w:tcMar>
            <w:vAlign w:val="bottom"/>
          </w:tcPr>
          <w:p w14:paraId="3973F0A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w:t>
            </w:r>
          </w:p>
        </w:tc>
        <w:tc>
          <w:tcPr>
            <w:tcW w:w="50" w:type="pct"/>
            <w:shd w:val="clear" w:color="auto" w:fill="FFFFFF"/>
            <w:noWrap/>
            <w:tcMar>
              <w:top w:w="15" w:type="dxa"/>
              <w:right w:w="15" w:type="dxa"/>
            </w:tcMar>
            <w:vAlign w:val="bottom"/>
          </w:tcPr>
          <w:p w14:paraId="3973F0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0C1" w14:textId="77777777">
        <w:tc>
          <w:tcPr>
            <w:tcW w:w="1317" w:type="pct"/>
            <w:shd w:val="clear" w:color="auto" w:fill="CFF0FC"/>
            <w:tcMar>
              <w:top w:w="15" w:type="dxa"/>
              <w:right w:w="15" w:type="dxa"/>
            </w:tcMar>
          </w:tcPr>
          <w:p w14:paraId="3973F0B0"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67" w:type="pct"/>
            <w:shd w:val="clear" w:color="auto" w:fill="CFF0FC"/>
            <w:tcMar>
              <w:top w:w="15" w:type="dxa"/>
              <w:right w:w="15" w:type="dxa"/>
            </w:tcMar>
            <w:vAlign w:val="bottom"/>
          </w:tcPr>
          <w:p w14:paraId="3973F0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0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tcBorders>
              <w:top w:val="single" w:sz="6" w:space="0" w:color="000000"/>
              <w:bottom w:val="double" w:sz="6" w:space="0" w:color="000000"/>
            </w:tcBorders>
            <w:shd w:val="clear" w:color="auto" w:fill="CFF0FC"/>
            <w:noWrap/>
            <w:tcMar>
              <w:top w:w="15" w:type="dxa"/>
              <w:right w:w="15" w:type="dxa"/>
            </w:tcMar>
            <w:vAlign w:val="bottom"/>
          </w:tcPr>
          <w:p w14:paraId="3973F0B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CFF0FC"/>
            <w:noWrap/>
            <w:tcMar>
              <w:top w:w="15" w:type="dxa"/>
              <w:right w:w="15" w:type="dxa"/>
            </w:tcMar>
            <w:vAlign w:val="bottom"/>
          </w:tcPr>
          <w:p w14:paraId="3973F0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B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6" w:type="pct"/>
            <w:shd w:val="clear" w:color="auto" w:fill="CFF0FC"/>
            <w:noWrap/>
            <w:tcMar>
              <w:top w:w="15" w:type="dxa"/>
              <w:right w:w="15" w:type="dxa"/>
            </w:tcMar>
            <w:vAlign w:val="bottom"/>
          </w:tcPr>
          <w:p w14:paraId="3973F0B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37.97</w:t>
            </w:r>
          </w:p>
        </w:tc>
        <w:tc>
          <w:tcPr>
            <w:tcW w:w="50" w:type="pct"/>
            <w:shd w:val="clear" w:color="auto" w:fill="CFF0FC"/>
            <w:noWrap/>
            <w:tcMar>
              <w:top w:w="15" w:type="dxa"/>
              <w:right w:w="15" w:type="dxa"/>
            </w:tcMar>
            <w:vAlign w:val="bottom"/>
          </w:tcPr>
          <w:p w14:paraId="3973F0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B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0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6" w:type="pct"/>
            <w:shd w:val="clear" w:color="auto" w:fill="CFF0FC"/>
            <w:noWrap/>
            <w:tcMar>
              <w:top w:w="15" w:type="dxa"/>
              <w:right w:w="15" w:type="dxa"/>
            </w:tcMar>
            <w:vAlign w:val="bottom"/>
          </w:tcPr>
          <w:p w14:paraId="3973F0B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2.10</w:t>
            </w:r>
          </w:p>
        </w:tc>
        <w:tc>
          <w:tcPr>
            <w:tcW w:w="50" w:type="pct"/>
            <w:shd w:val="clear" w:color="auto" w:fill="CFF0FC"/>
            <w:noWrap/>
            <w:tcMar>
              <w:top w:w="15" w:type="dxa"/>
              <w:right w:w="15" w:type="dxa"/>
            </w:tcMar>
            <w:vAlign w:val="bottom"/>
          </w:tcPr>
          <w:p w14:paraId="3973F0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3973F0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0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6" w:type="pct"/>
            <w:tcBorders>
              <w:top w:val="single" w:sz="6" w:space="0" w:color="000000"/>
              <w:bottom w:val="double" w:sz="6" w:space="0" w:color="000000"/>
            </w:tcBorders>
            <w:shd w:val="clear" w:color="auto" w:fill="CFF0FC"/>
            <w:noWrap/>
            <w:tcMar>
              <w:top w:w="15" w:type="dxa"/>
              <w:right w:w="15" w:type="dxa"/>
            </w:tcMar>
            <w:vAlign w:val="bottom"/>
          </w:tcPr>
          <w:p w14:paraId="3973F0B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2,605</w:t>
            </w:r>
          </w:p>
        </w:tc>
        <w:tc>
          <w:tcPr>
            <w:tcW w:w="50" w:type="pct"/>
            <w:shd w:val="clear" w:color="auto" w:fill="CFF0FC"/>
            <w:noWrap/>
            <w:tcMar>
              <w:top w:w="15" w:type="dxa"/>
              <w:right w:w="15" w:type="dxa"/>
            </w:tcMar>
            <w:vAlign w:val="bottom"/>
          </w:tcPr>
          <w:p w14:paraId="3973F0C0"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0C2"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0C5" w14:textId="77777777">
        <w:tc>
          <w:tcPr>
            <w:tcW w:w="192" w:type="pct"/>
            <w:shd w:val="clear" w:color="auto" w:fill="auto"/>
            <w:noWrap/>
          </w:tcPr>
          <w:p w14:paraId="3973F0C3"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r>
              <w:rPr>
                <w:rFonts w:ascii="Calibri" w:hAnsi="Calibri" w:cs="Calibri"/>
                <w:sz w:val="15"/>
                <w:szCs w:val="15"/>
              </w:rPr>
              <w:t xml:space="preserve"> </w:t>
            </w:r>
          </w:p>
        </w:tc>
        <w:tc>
          <w:tcPr>
            <w:tcW w:w="0" w:type="auto"/>
            <w:shd w:val="clear" w:color="auto" w:fill="auto"/>
          </w:tcPr>
          <w:p w14:paraId="3973F0C4"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The aggregate intrinsic value was </w:t>
            </w:r>
            <w:r>
              <w:rPr>
                <w:rFonts w:ascii="Calibri" w:hAnsi="Calibri" w:cs="Calibri"/>
                <w:sz w:val="15"/>
                <w:szCs w:val="15"/>
              </w:rPr>
              <w:t>calculated based on the gross difference between our closing stock price on the last trading day of fiscal 2022 of $71.92 and the exercise prices for all “in-the-money” options outstanding, excluding tax effects.</w:t>
            </w:r>
          </w:p>
        </w:tc>
      </w:tr>
    </w:tbl>
    <w:p w14:paraId="3973F0C6"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F0C9" w14:textId="77777777">
        <w:tc>
          <w:tcPr>
            <w:tcW w:w="192" w:type="pct"/>
            <w:shd w:val="clear" w:color="auto" w:fill="auto"/>
            <w:noWrap/>
          </w:tcPr>
          <w:p w14:paraId="3973F0C7"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(2)</w:t>
            </w:r>
            <w:r>
              <w:rPr>
                <w:rFonts w:ascii="Calibri" w:hAnsi="Calibri" w:cs="Calibri"/>
                <w:sz w:val="15"/>
                <w:szCs w:val="15"/>
              </w:rPr>
              <w:t xml:space="preserve"> </w:t>
            </w:r>
          </w:p>
        </w:tc>
        <w:tc>
          <w:tcPr>
            <w:tcW w:w="0" w:type="auto"/>
            <w:shd w:val="clear" w:color="auto" w:fill="auto"/>
          </w:tcPr>
          <w:p w14:paraId="3973F0C8"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The unrecognized compensation expens</w:t>
            </w:r>
            <w:r>
              <w:rPr>
                <w:rFonts w:ascii="Calibri" w:hAnsi="Calibri" w:cs="Calibri"/>
                <w:sz w:val="15"/>
                <w:szCs w:val="15"/>
              </w:rPr>
              <w:t>e calculated under the fair value method for shares expected to vest (unvested shares net of expected forfeitures) as of May 31, 2022 was approximately $190 million and is expected to be recognized over a weighted-average period of 2.98 years. Approximatel</w:t>
            </w:r>
            <w:r>
              <w:rPr>
                <w:rFonts w:ascii="Calibri" w:hAnsi="Calibri" w:cs="Calibri"/>
                <w:sz w:val="15"/>
                <w:szCs w:val="15"/>
              </w:rPr>
              <w:t>y 20 million shares outstanding as of May 31, 2022 were not expected to vest.</w:t>
            </w:r>
          </w:p>
        </w:tc>
      </w:tr>
    </w:tbl>
    <w:p w14:paraId="3973F0CA" w14:textId="77777777" w:rsidR="007B027D" w:rsidRDefault="008E012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Stock-Based Compensation Expense and Valuations of Restricted Stock-Based Awards</w:t>
      </w:r>
    </w:p>
    <w:p w14:paraId="3973F0C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estimated the fair values of our restricted stock-based awards that are solely subject to ser</w:t>
      </w:r>
      <w:r>
        <w:rPr>
          <w:rFonts w:ascii="Calibri" w:hAnsi="Calibri" w:cs="Calibri"/>
          <w:sz w:val="20"/>
          <w:szCs w:val="20"/>
        </w:rPr>
        <w:t xml:space="preserve">vice-based vesting requirements based upon their market values as of the grant dates, discounted for the present values of expected dividends. </w:t>
      </w:r>
    </w:p>
    <w:p w14:paraId="3973F0C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96</w:t>
      </w:r>
    </w:p>
    <w:p w14:paraId="3973F0CD" w14:textId="77777777" w:rsidR="007B027D" w:rsidRDefault="008E0125">
      <w:r>
        <w:rPr>
          <w:rFonts w:ascii="Calibri" w:hAnsi="Calibri" w:cs="Calibri"/>
          <w:sz w:val="20"/>
          <w:szCs w:val="20"/>
        </w:rPr>
        <w:pict w14:anchorId="3974009B">
          <v:rect id="_x0000_i1122" style="width:415.3pt;height:1.5pt" o:hralign="center" o:hrstd="t" o:hr="t" fillcolor="#a0a0a0" stroked="f"/>
        </w:pict>
      </w:r>
    </w:p>
    <w:p w14:paraId="3973F0CE" w14:textId="77777777" w:rsidR="007B027D" w:rsidRDefault="008E0125">
      <w:pPr>
        <w:pStyle w:val="a3"/>
        <w:spacing w:beforeAutospacing="0" w:after="120" w:afterAutospacing="0"/>
        <w:rPr>
          <w:rFonts w:ascii="Calibri" w:hAnsi="Calibri" w:cs="Calibri"/>
          <w:sz w:val="18"/>
          <w:szCs w:val="18"/>
        </w:rPr>
      </w:pPr>
      <w:hyperlink r:id="rId228" w:anchor="TABLE_OF_CONTENTS" w:history="1">
        <w:r>
          <w:rPr>
            <w:rStyle w:val="a5"/>
            <w:rFonts w:ascii="Calibri" w:hAnsi="Calibri" w:cs="Calibri"/>
            <w:sz w:val="18"/>
            <w:szCs w:val="18"/>
          </w:rPr>
          <w:t>Table of Contents</w:t>
        </w:r>
      </w:hyperlink>
    </w:p>
    <w:p w14:paraId="3973F0CF" w14:textId="77777777" w:rsidR="007B027D" w:rsidRDefault="008E0125">
      <w:pPr>
        <w:pStyle w:val="a3"/>
        <w:spacing w:beforeAutospacing="0" w:afterAutospacing="0"/>
        <w:rPr>
          <w:rFonts w:ascii="Calibri" w:hAnsi="Calibri" w:cs="Calibri"/>
          <w:sz w:val="18"/>
          <w:szCs w:val="18"/>
        </w:rPr>
      </w:pPr>
      <w:hyperlink r:id="rId229" w:anchor="ITEM_15_EXHIBITS_FINANCIAL_STATEMENT_SCH" w:history="1">
        <w:r>
          <w:rPr>
            <w:rStyle w:val="a5"/>
            <w:rFonts w:ascii="Calibri" w:hAnsi="Calibri" w:cs="Calibri"/>
            <w:sz w:val="18"/>
            <w:szCs w:val="18"/>
          </w:rPr>
          <w:t>Index to Financial Statements</w:t>
        </w:r>
      </w:hyperlink>
    </w:p>
    <w:p w14:paraId="3973F0D0"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0D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F0D2"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0D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0D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Stock-based compensation expense was included in the following operating expense line items in our consolidated statements of operations:</w:t>
      </w:r>
    </w:p>
    <w:p w14:paraId="3973F0D5"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483"/>
        <w:gridCol w:w="109"/>
        <w:gridCol w:w="117"/>
        <w:gridCol w:w="643"/>
        <w:gridCol w:w="76"/>
        <w:gridCol w:w="107"/>
        <w:gridCol w:w="117"/>
        <w:gridCol w:w="644"/>
        <w:gridCol w:w="76"/>
        <w:gridCol w:w="107"/>
        <w:gridCol w:w="117"/>
        <w:gridCol w:w="649"/>
        <w:gridCol w:w="76"/>
      </w:tblGrid>
      <w:tr w:rsidR="007B027D" w14:paraId="3973F0DA" w14:textId="77777777">
        <w:tc>
          <w:tcPr>
            <w:tcW w:w="3300" w:type="pct"/>
            <w:shd w:val="clear" w:color="auto" w:fill="FFFFFF"/>
            <w:tcMar>
              <w:top w:w="15" w:type="dxa"/>
              <w:right w:w="15" w:type="dxa"/>
            </w:tcMar>
            <w:vAlign w:val="bottom"/>
          </w:tcPr>
          <w:p w14:paraId="3973F0D6"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3973F0D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10"/>
            <w:tcBorders>
              <w:bottom w:val="single" w:sz="6" w:space="0" w:color="000000"/>
            </w:tcBorders>
            <w:shd w:val="clear" w:color="auto" w:fill="FFFFFF"/>
            <w:tcMar>
              <w:top w:w="15" w:type="dxa"/>
              <w:right w:w="15" w:type="dxa"/>
            </w:tcMar>
            <w:vAlign w:val="bottom"/>
          </w:tcPr>
          <w:p w14:paraId="3973F0D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0D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0E5" w14:textId="77777777">
        <w:tc>
          <w:tcPr>
            <w:tcW w:w="3300" w:type="pct"/>
            <w:tcBorders>
              <w:bottom w:val="single" w:sz="6" w:space="0" w:color="000000"/>
            </w:tcBorders>
            <w:shd w:val="clear" w:color="auto" w:fill="FFFFFF"/>
            <w:tcMar>
              <w:top w:w="15" w:type="dxa"/>
              <w:right w:w="15" w:type="dxa"/>
            </w:tcMar>
            <w:vAlign w:val="bottom"/>
          </w:tcPr>
          <w:p w14:paraId="3973F0D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3973F0D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0D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0D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0D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0E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0E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0E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0E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0E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0F3" w14:textId="77777777">
        <w:tc>
          <w:tcPr>
            <w:tcW w:w="3300" w:type="pct"/>
            <w:tcBorders>
              <w:top w:val="single" w:sz="6" w:space="0" w:color="000000"/>
            </w:tcBorders>
            <w:shd w:val="clear" w:color="auto" w:fill="CFF0FC"/>
            <w:tcMar>
              <w:top w:w="15" w:type="dxa"/>
              <w:right w:w="15" w:type="dxa"/>
            </w:tcMar>
          </w:tcPr>
          <w:p w14:paraId="3973F0E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services and </w:t>
            </w:r>
            <w:r>
              <w:rPr>
                <w:rFonts w:ascii="Calibri" w:hAnsi="Calibri" w:cs="Calibri"/>
                <w:color w:val="000000"/>
                <w:sz w:val="20"/>
                <w:szCs w:val="20"/>
              </w:rPr>
              <w:t>license support</w:t>
            </w:r>
          </w:p>
        </w:tc>
        <w:tc>
          <w:tcPr>
            <w:tcW w:w="72" w:type="pct"/>
            <w:shd w:val="clear" w:color="auto" w:fill="CFF0FC"/>
            <w:tcMar>
              <w:top w:w="15" w:type="dxa"/>
              <w:right w:w="15" w:type="dxa"/>
            </w:tcMar>
            <w:vAlign w:val="bottom"/>
          </w:tcPr>
          <w:p w14:paraId="3973F0E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F0E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0E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w:t>
            </w:r>
          </w:p>
        </w:tc>
        <w:tc>
          <w:tcPr>
            <w:tcW w:w="50" w:type="pct"/>
            <w:shd w:val="clear" w:color="auto" w:fill="CFF0FC"/>
            <w:noWrap/>
            <w:tcMar>
              <w:top w:w="15" w:type="dxa"/>
              <w:right w:w="15" w:type="dxa"/>
            </w:tcMar>
            <w:vAlign w:val="bottom"/>
          </w:tcPr>
          <w:p w14:paraId="3973F0E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0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0E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0E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134</w:t>
            </w:r>
          </w:p>
        </w:tc>
        <w:tc>
          <w:tcPr>
            <w:tcW w:w="50" w:type="pct"/>
            <w:shd w:val="clear" w:color="auto" w:fill="CFF0FC"/>
            <w:noWrap/>
            <w:tcMar>
              <w:top w:w="15" w:type="dxa"/>
              <w:right w:w="15" w:type="dxa"/>
            </w:tcMar>
            <w:vAlign w:val="bottom"/>
          </w:tcPr>
          <w:p w14:paraId="3973F0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0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0F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0F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right w:w="15" w:type="dxa"/>
            </w:tcMar>
            <w:vAlign w:val="bottom"/>
          </w:tcPr>
          <w:p w14:paraId="3973F0F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01" w14:textId="77777777">
        <w:tc>
          <w:tcPr>
            <w:tcW w:w="3300" w:type="pct"/>
            <w:shd w:val="clear" w:color="auto" w:fill="FFFFFF"/>
            <w:tcMar>
              <w:top w:w="15" w:type="dxa"/>
              <w:right w:w="15" w:type="dxa"/>
            </w:tcMar>
          </w:tcPr>
          <w:p w14:paraId="3973F0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2" w:type="pct"/>
            <w:shd w:val="clear" w:color="auto" w:fill="FFFFFF"/>
            <w:tcMar>
              <w:top w:w="15" w:type="dxa"/>
              <w:right w:w="15" w:type="dxa"/>
            </w:tcMar>
            <w:vAlign w:val="bottom"/>
          </w:tcPr>
          <w:p w14:paraId="3973F0F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0F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0F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3973F0F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0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0F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0F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3973F0F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0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0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0F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3973F1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0F" w14:textId="77777777">
        <w:tc>
          <w:tcPr>
            <w:tcW w:w="3300" w:type="pct"/>
            <w:shd w:val="clear" w:color="auto" w:fill="CFF0FC"/>
            <w:tcMar>
              <w:top w:w="15" w:type="dxa"/>
              <w:right w:w="15" w:type="dxa"/>
            </w:tcMar>
          </w:tcPr>
          <w:p w14:paraId="3973F1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2" w:type="pct"/>
            <w:shd w:val="clear" w:color="auto" w:fill="CFF0FC"/>
            <w:tcMar>
              <w:top w:w="15" w:type="dxa"/>
              <w:right w:w="15" w:type="dxa"/>
            </w:tcMar>
            <w:vAlign w:val="bottom"/>
          </w:tcPr>
          <w:p w14:paraId="3973F10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10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0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right w:w="15" w:type="dxa"/>
            </w:tcMar>
            <w:vAlign w:val="bottom"/>
          </w:tcPr>
          <w:p w14:paraId="3973F1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0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3973F10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0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right w:w="15" w:type="dxa"/>
            </w:tcMar>
            <w:vAlign w:val="bottom"/>
          </w:tcPr>
          <w:p w14:paraId="3973F10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1D" w14:textId="77777777">
        <w:tc>
          <w:tcPr>
            <w:tcW w:w="3300" w:type="pct"/>
            <w:shd w:val="clear" w:color="auto" w:fill="FFFFFF"/>
            <w:tcMar>
              <w:top w:w="15" w:type="dxa"/>
              <w:right w:w="15" w:type="dxa"/>
            </w:tcMar>
          </w:tcPr>
          <w:p w14:paraId="3973F11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p>
        </w:tc>
        <w:tc>
          <w:tcPr>
            <w:tcW w:w="72" w:type="pct"/>
            <w:shd w:val="clear" w:color="auto" w:fill="FFFFFF"/>
            <w:tcMar>
              <w:top w:w="15" w:type="dxa"/>
              <w:right w:w="15" w:type="dxa"/>
            </w:tcMar>
            <w:vAlign w:val="bottom"/>
          </w:tcPr>
          <w:p w14:paraId="3973F111"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1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11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448</w:t>
            </w:r>
          </w:p>
        </w:tc>
        <w:tc>
          <w:tcPr>
            <w:tcW w:w="50" w:type="pct"/>
            <w:shd w:val="clear" w:color="auto" w:fill="FFFFFF"/>
            <w:noWrap/>
            <w:tcMar>
              <w:top w:w="15" w:type="dxa"/>
              <w:right w:w="15" w:type="dxa"/>
            </w:tcMar>
            <w:vAlign w:val="bottom"/>
          </w:tcPr>
          <w:p w14:paraId="3973F11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1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1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11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313</w:t>
            </w:r>
          </w:p>
        </w:tc>
        <w:tc>
          <w:tcPr>
            <w:tcW w:w="50" w:type="pct"/>
            <w:shd w:val="clear" w:color="auto" w:fill="FFFFFF"/>
            <w:noWrap/>
            <w:tcMar>
              <w:top w:w="15" w:type="dxa"/>
              <w:right w:w="15" w:type="dxa"/>
            </w:tcMar>
            <w:vAlign w:val="bottom"/>
          </w:tcPr>
          <w:p w14:paraId="3973F11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1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1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11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261</w:t>
            </w:r>
          </w:p>
        </w:tc>
        <w:tc>
          <w:tcPr>
            <w:tcW w:w="50" w:type="pct"/>
            <w:shd w:val="clear" w:color="auto" w:fill="FFFFFF"/>
            <w:noWrap/>
            <w:tcMar>
              <w:top w:w="15" w:type="dxa"/>
              <w:right w:w="15" w:type="dxa"/>
            </w:tcMar>
            <w:vAlign w:val="bottom"/>
          </w:tcPr>
          <w:p w14:paraId="3973F11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2B" w14:textId="77777777">
        <w:tc>
          <w:tcPr>
            <w:tcW w:w="3300" w:type="pct"/>
            <w:shd w:val="clear" w:color="auto" w:fill="CFF0FC"/>
            <w:tcMar>
              <w:top w:w="15" w:type="dxa"/>
              <w:right w:w="15" w:type="dxa"/>
            </w:tcMar>
          </w:tcPr>
          <w:p w14:paraId="3973F1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72" w:type="pct"/>
            <w:shd w:val="clear" w:color="auto" w:fill="CFF0FC"/>
            <w:tcMar>
              <w:top w:w="15" w:type="dxa"/>
              <w:right w:w="15" w:type="dxa"/>
            </w:tcMar>
            <w:vAlign w:val="bottom"/>
          </w:tcPr>
          <w:p w14:paraId="3973F11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1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2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1,633</w:t>
            </w:r>
          </w:p>
        </w:tc>
        <w:tc>
          <w:tcPr>
            <w:tcW w:w="50" w:type="pct"/>
            <w:shd w:val="clear" w:color="auto" w:fill="CFF0FC"/>
            <w:noWrap/>
            <w:tcMar>
              <w:top w:w="15" w:type="dxa"/>
              <w:right w:w="15" w:type="dxa"/>
            </w:tcMar>
            <w:vAlign w:val="bottom"/>
          </w:tcPr>
          <w:p w14:paraId="3973F12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2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2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1,188</w:t>
            </w:r>
          </w:p>
        </w:tc>
        <w:tc>
          <w:tcPr>
            <w:tcW w:w="50" w:type="pct"/>
            <w:shd w:val="clear" w:color="auto" w:fill="CFF0FC"/>
            <w:noWrap/>
            <w:tcMar>
              <w:top w:w="15" w:type="dxa"/>
              <w:right w:w="15" w:type="dxa"/>
            </w:tcMar>
            <w:vAlign w:val="bottom"/>
          </w:tcPr>
          <w:p w14:paraId="3973F1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2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12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1,035</w:t>
            </w:r>
          </w:p>
        </w:tc>
        <w:tc>
          <w:tcPr>
            <w:tcW w:w="50" w:type="pct"/>
            <w:shd w:val="clear" w:color="auto" w:fill="CFF0FC"/>
            <w:noWrap/>
            <w:tcMar>
              <w:top w:w="15" w:type="dxa"/>
              <w:right w:w="15" w:type="dxa"/>
            </w:tcMar>
            <w:vAlign w:val="bottom"/>
          </w:tcPr>
          <w:p w14:paraId="3973F12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39" w14:textId="77777777">
        <w:tc>
          <w:tcPr>
            <w:tcW w:w="3300" w:type="pct"/>
            <w:shd w:val="clear" w:color="auto" w:fill="FFFFFF"/>
            <w:tcMar>
              <w:top w:w="15" w:type="dxa"/>
              <w:right w:w="15" w:type="dxa"/>
            </w:tcMar>
          </w:tcPr>
          <w:p w14:paraId="3973F12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General and </w:t>
            </w:r>
            <w:r>
              <w:rPr>
                <w:rFonts w:ascii="Calibri" w:hAnsi="Calibri" w:cs="Calibri"/>
                <w:color w:val="000000"/>
                <w:sz w:val="20"/>
                <w:szCs w:val="20"/>
              </w:rPr>
              <w:t>administrative</w:t>
            </w:r>
          </w:p>
        </w:tc>
        <w:tc>
          <w:tcPr>
            <w:tcW w:w="72" w:type="pct"/>
            <w:shd w:val="clear" w:color="auto" w:fill="FFFFFF"/>
            <w:tcMar>
              <w:top w:w="15" w:type="dxa"/>
              <w:right w:w="15" w:type="dxa"/>
            </w:tcMar>
            <w:vAlign w:val="bottom"/>
          </w:tcPr>
          <w:p w14:paraId="3973F12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F12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3973F12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w:t>
            </w:r>
          </w:p>
        </w:tc>
        <w:tc>
          <w:tcPr>
            <w:tcW w:w="50" w:type="pct"/>
            <w:shd w:val="clear" w:color="auto" w:fill="FFFFFF"/>
            <w:noWrap/>
            <w:tcMar>
              <w:top w:w="15" w:type="dxa"/>
              <w:right w:w="15" w:type="dxa"/>
            </w:tcMar>
            <w:vAlign w:val="bottom"/>
          </w:tcPr>
          <w:p w14:paraId="3973F13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1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1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3973F13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w:t>
            </w:r>
          </w:p>
        </w:tc>
        <w:tc>
          <w:tcPr>
            <w:tcW w:w="50" w:type="pct"/>
            <w:shd w:val="clear" w:color="auto" w:fill="FFFFFF"/>
            <w:noWrap/>
            <w:tcMar>
              <w:top w:w="15" w:type="dxa"/>
              <w:right w:w="15" w:type="dxa"/>
            </w:tcMar>
            <w:vAlign w:val="bottom"/>
          </w:tcPr>
          <w:p w14:paraId="3973F13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13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1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3973F13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50" w:type="pct"/>
            <w:shd w:val="clear" w:color="auto" w:fill="FFFFFF"/>
            <w:noWrap/>
            <w:tcMar>
              <w:top w:w="15" w:type="dxa"/>
              <w:right w:w="15" w:type="dxa"/>
            </w:tcMar>
            <w:vAlign w:val="bottom"/>
          </w:tcPr>
          <w:p w14:paraId="3973F13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47" w14:textId="77777777">
        <w:tc>
          <w:tcPr>
            <w:tcW w:w="3300" w:type="pct"/>
            <w:shd w:val="clear" w:color="auto" w:fill="CFF0FC"/>
            <w:tcMar>
              <w:top w:w="15" w:type="dxa"/>
              <w:right w:w="15" w:type="dxa"/>
            </w:tcMar>
          </w:tcPr>
          <w:p w14:paraId="3973F13A"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72" w:type="pct"/>
            <w:shd w:val="clear" w:color="auto" w:fill="CFF0FC"/>
            <w:tcMar>
              <w:top w:w="15" w:type="dxa"/>
              <w:right w:w="15" w:type="dxa"/>
            </w:tcMar>
            <w:vAlign w:val="bottom"/>
          </w:tcPr>
          <w:p w14:paraId="3973F13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13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13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2,613</w:t>
            </w:r>
          </w:p>
        </w:tc>
        <w:tc>
          <w:tcPr>
            <w:tcW w:w="50" w:type="pct"/>
            <w:shd w:val="clear" w:color="auto" w:fill="CFF0FC"/>
            <w:noWrap/>
            <w:tcMar>
              <w:top w:w="15" w:type="dxa"/>
              <w:right w:w="15" w:type="dxa"/>
            </w:tcMar>
            <w:vAlign w:val="bottom"/>
          </w:tcPr>
          <w:p w14:paraId="3973F1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14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14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1,837</w:t>
            </w:r>
          </w:p>
        </w:tc>
        <w:tc>
          <w:tcPr>
            <w:tcW w:w="50" w:type="pct"/>
            <w:shd w:val="clear" w:color="auto" w:fill="CFF0FC"/>
            <w:noWrap/>
            <w:tcMar>
              <w:top w:w="15" w:type="dxa"/>
              <w:right w:w="15" w:type="dxa"/>
            </w:tcMar>
            <w:vAlign w:val="bottom"/>
          </w:tcPr>
          <w:p w14:paraId="3973F14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4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14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14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1,590</w:t>
            </w:r>
          </w:p>
        </w:tc>
        <w:tc>
          <w:tcPr>
            <w:tcW w:w="50" w:type="pct"/>
            <w:shd w:val="clear" w:color="auto" w:fill="CFF0FC"/>
            <w:noWrap/>
            <w:tcMar>
              <w:top w:w="15" w:type="dxa"/>
              <w:right w:w="15" w:type="dxa"/>
            </w:tcMar>
            <w:vAlign w:val="bottom"/>
          </w:tcPr>
          <w:p w14:paraId="3973F14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55" w14:textId="77777777">
        <w:tc>
          <w:tcPr>
            <w:tcW w:w="3300" w:type="pct"/>
            <w:shd w:val="clear" w:color="auto" w:fill="FFFFFF"/>
            <w:tcMar>
              <w:top w:w="15" w:type="dxa"/>
              <w:right w:w="15" w:type="dxa"/>
            </w:tcMar>
          </w:tcPr>
          <w:p w14:paraId="3973F1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Estimated income tax benefit included in provision for income taxes</w:t>
            </w:r>
          </w:p>
        </w:tc>
        <w:tc>
          <w:tcPr>
            <w:tcW w:w="72" w:type="pct"/>
            <w:shd w:val="clear" w:color="auto" w:fill="FFFFFF"/>
            <w:tcMar>
              <w:top w:w="15" w:type="dxa"/>
              <w:right w:w="15" w:type="dxa"/>
            </w:tcMar>
            <w:vAlign w:val="bottom"/>
          </w:tcPr>
          <w:p w14:paraId="3973F14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1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14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(593</w:t>
            </w:r>
          </w:p>
        </w:tc>
        <w:tc>
          <w:tcPr>
            <w:tcW w:w="50" w:type="pct"/>
            <w:shd w:val="clear" w:color="auto" w:fill="FFFFFF"/>
            <w:noWrap/>
            <w:tcMar>
              <w:top w:w="15" w:type="dxa"/>
              <w:right w:w="15" w:type="dxa"/>
            </w:tcMar>
            <w:vAlign w:val="bottom"/>
          </w:tcPr>
          <w:p w14:paraId="3973F1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3973F1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1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14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(413</w:t>
            </w:r>
          </w:p>
        </w:tc>
        <w:tc>
          <w:tcPr>
            <w:tcW w:w="50" w:type="pct"/>
            <w:shd w:val="clear" w:color="auto" w:fill="FFFFFF"/>
            <w:noWrap/>
            <w:tcMar>
              <w:top w:w="15" w:type="dxa"/>
              <w:right w:w="15" w:type="dxa"/>
            </w:tcMar>
            <w:vAlign w:val="bottom"/>
          </w:tcPr>
          <w:p w14:paraId="3973F15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3973F15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15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15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FFFFFF"/>
            <w:noWrap/>
            <w:tcMar>
              <w:top w:w="15" w:type="dxa"/>
              <w:right w:w="15" w:type="dxa"/>
            </w:tcMar>
            <w:vAlign w:val="bottom"/>
          </w:tcPr>
          <w:p w14:paraId="3973F1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163" w14:textId="77777777">
        <w:tc>
          <w:tcPr>
            <w:tcW w:w="3300" w:type="pct"/>
            <w:shd w:val="clear" w:color="auto" w:fill="CFF0FC"/>
            <w:tcMar>
              <w:top w:w="15" w:type="dxa"/>
              <w:right w:w="15" w:type="dxa"/>
            </w:tcMar>
          </w:tcPr>
          <w:p w14:paraId="3973F156"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stock-based </w:t>
            </w:r>
            <w:r>
              <w:rPr>
                <w:rFonts w:ascii="Calibri" w:hAnsi="Calibri" w:cs="Calibri"/>
                <w:color w:val="000000"/>
                <w:sz w:val="20"/>
                <w:szCs w:val="20"/>
              </w:rPr>
              <w:t>compensation, net of estimated income tax benefit</w:t>
            </w:r>
          </w:p>
        </w:tc>
        <w:tc>
          <w:tcPr>
            <w:tcW w:w="72" w:type="pct"/>
            <w:shd w:val="clear" w:color="auto" w:fill="CFF0FC"/>
            <w:tcMar>
              <w:top w:w="15" w:type="dxa"/>
              <w:right w:w="15" w:type="dxa"/>
            </w:tcMar>
            <w:vAlign w:val="bottom"/>
          </w:tcPr>
          <w:p w14:paraId="3973F15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15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2,020</w:t>
            </w:r>
          </w:p>
        </w:tc>
        <w:tc>
          <w:tcPr>
            <w:tcW w:w="50" w:type="pct"/>
            <w:shd w:val="clear" w:color="auto" w:fill="CFF0FC"/>
            <w:noWrap/>
            <w:tcMar>
              <w:top w:w="15" w:type="dxa"/>
              <w:right w:w="15" w:type="dxa"/>
            </w:tcMar>
            <w:vAlign w:val="bottom"/>
          </w:tcPr>
          <w:p w14:paraId="3973F1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5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15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1,424</w:t>
            </w:r>
          </w:p>
        </w:tc>
        <w:tc>
          <w:tcPr>
            <w:tcW w:w="50" w:type="pct"/>
            <w:shd w:val="clear" w:color="auto" w:fill="CFF0FC"/>
            <w:noWrap/>
            <w:tcMar>
              <w:top w:w="15" w:type="dxa"/>
              <w:right w:w="15" w:type="dxa"/>
            </w:tcMar>
            <w:vAlign w:val="bottom"/>
          </w:tcPr>
          <w:p w14:paraId="3973F1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1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6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16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1,247</w:t>
            </w:r>
          </w:p>
        </w:tc>
        <w:tc>
          <w:tcPr>
            <w:tcW w:w="50" w:type="pct"/>
            <w:shd w:val="clear" w:color="auto" w:fill="CFF0FC"/>
            <w:noWrap/>
            <w:tcMar>
              <w:top w:w="15" w:type="dxa"/>
              <w:right w:w="15" w:type="dxa"/>
            </w:tcMar>
            <w:vAlign w:val="bottom"/>
          </w:tcPr>
          <w:p w14:paraId="3973F16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164" w14:textId="77777777" w:rsidR="007B027D" w:rsidRDefault="008E0125">
      <w:pPr>
        <w:pStyle w:val="a3"/>
        <w:spacing w:beforeAutospacing="0" w:afterAutospacing="0"/>
        <w:rPr>
          <w:sz w:val="12"/>
          <w:szCs w:val="12"/>
        </w:rPr>
      </w:pPr>
      <w:r>
        <w:rPr>
          <w:sz w:val="12"/>
          <w:szCs w:val="12"/>
        </w:rPr>
        <w:t> </w:t>
      </w:r>
    </w:p>
    <w:p w14:paraId="3973F165" w14:textId="77777777" w:rsidR="007B027D" w:rsidRDefault="008E012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Tax Benefits from Exercises of Stock Options and Vesting of Restricted Stock-Based Awards</w:t>
      </w:r>
    </w:p>
    <w:p w14:paraId="3973F16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Total cash received as a result of stock option exercises was approximately $319 million, $1.7 billion and $1.5 billion for fiscal 2022, 2021 and 2020, respectively. The total aggregate intrinsic value of restricted stock-based awards that vested and were </w:t>
      </w:r>
      <w:r>
        <w:rPr>
          <w:rFonts w:ascii="Calibri" w:hAnsi="Calibri" w:cs="Calibri"/>
          <w:sz w:val="20"/>
          <w:szCs w:val="20"/>
        </w:rPr>
        <w:t>issued and stock options that were exercised was $3.7 billion for each of fiscal 2022 and 2021 and $2.9 billion for fiscal 2020. In connection with the vesting and issuance of restricted stock-based awards and stock options that were exercised, the tax ben</w:t>
      </w:r>
      <w:r>
        <w:rPr>
          <w:rFonts w:ascii="Calibri" w:hAnsi="Calibri" w:cs="Calibri"/>
          <w:sz w:val="20"/>
          <w:szCs w:val="20"/>
        </w:rPr>
        <w:t xml:space="preserve">efits realized by us were $843 million, $842 million and $638 million for fiscal 2022, 2021 and 2020, respectively. </w:t>
      </w:r>
    </w:p>
    <w:p w14:paraId="3973F16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Employee Stock Purchase Plan</w:t>
      </w:r>
    </w:p>
    <w:p w14:paraId="3973F16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have an Employee Stock Purchase Plan (Purchase Plan) that allows employees to purchase shares of common sto</w:t>
      </w:r>
      <w:r>
        <w:rPr>
          <w:rFonts w:ascii="Calibri" w:hAnsi="Calibri" w:cs="Calibri"/>
          <w:sz w:val="20"/>
          <w:szCs w:val="20"/>
        </w:rPr>
        <w:t>ck at a price per share that is 95% of the fair market value of Oracle stock as of the end of the semi-annual option period. As of May 31, 2022, 39 million shares were reserved for future issuances under the Purchase Plan. We issued approximately 2 million</w:t>
      </w:r>
      <w:r>
        <w:rPr>
          <w:rFonts w:ascii="Calibri" w:hAnsi="Calibri" w:cs="Calibri"/>
          <w:sz w:val="20"/>
          <w:szCs w:val="20"/>
        </w:rPr>
        <w:t xml:space="preserve"> shares in each of fiscal 2022, 2021 and 2020, respectively, under the Purchase Plan. The Compensation Committee last amended the Purchase Plan on May 3, 2022. </w:t>
      </w:r>
    </w:p>
    <w:p w14:paraId="3973F16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Defined Contribution and Other Postretirement Plans </w:t>
      </w:r>
    </w:p>
    <w:p w14:paraId="3973F16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offer various defined contribution plan</w:t>
      </w:r>
      <w:r>
        <w:rPr>
          <w:rFonts w:ascii="Calibri" w:hAnsi="Calibri" w:cs="Calibri"/>
          <w:sz w:val="20"/>
          <w:szCs w:val="20"/>
        </w:rPr>
        <w:t xml:space="preserve">s for our U.S. and non-U.S. employees. Total defined contribution plan expense was $412 million, $380 million and $376 million for fiscal 2022, 2021 and 2020, respectively. </w:t>
      </w:r>
    </w:p>
    <w:p w14:paraId="3973F16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the U.S., regular employees can participate in the Oracle Corporation 401(k) Sa</w:t>
      </w:r>
      <w:r>
        <w:rPr>
          <w:rFonts w:ascii="Calibri" w:hAnsi="Calibri" w:cs="Calibri"/>
          <w:sz w:val="20"/>
          <w:szCs w:val="20"/>
        </w:rPr>
        <w:t>vings and Investment Plan (Oracle 401(k) Plan). Participants can generally contribute up to 40% of their eligible compensation on a per-pay-period basis as defined by the Oracle 401(k) Plan document or by the section 402(g) limit as defined by the U.S. Int</w:t>
      </w:r>
      <w:r>
        <w:rPr>
          <w:rFonts w:ascii="Calibri" w:hAnsi="Calibri" w:cs="Calibri"/>
          <w:sz w:val="20"/>
          <w:szCs w:val="20"/>
        </w:rPr>
        <w:t>ernal Revenue Service (IRS). We match a portion of employee contributions, currently 50% up to 6% of compensation each pay period, subject to maximum aggregate matching amounts. Our contributions to the Oracle 401(k) Plan, net of forfeitures, were $164 mil</w:t>
      </w:r>
      <w:r>
        <w:rPr>
          <w:rFonts w:ascii="Calibri" w:hAnsi="Calibri" w:cs="Calibri"/>
          <w:sz w:val="20"/>
          <w:szCs w:val="20"/>
        </w:rPr>
        <w:t>lion, $150 million and $152 million in fiscal 2022, 2021 and 2020, respectively.</w:t>
      </w:r>
    </w:p>
    <w:p w14:paraId="3973F16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also offer non-qualified deferred compensation plans to certain employees whereby they may defer a portion of their annual base and/or variable compensation until retiremen</w:t>
      </w:r>
      <w:r>
        <w:rPr>
          <w:rFonts w:ascii="Calibri" w:hAnsi="Calibri" w:cs="Calibri"/>
          <w:sz w:val="20"/>
          <w:szCs w:val="20"/>
        </w:rPr>
        <w:t>t or a date specified by the employee in accordance with the plans. Deferred compensation plan assets and liabilities were each approximately $756 million and approximately $813 million as of May 31, 2022 and 2021, respectively, and were presented in other</w:t>
      </w:r>
      <w:r>
        <w:rPr>
          <w:rFonts w:ascii="Calibri" w:hAnsi="Calibri" w:cs="Calibri"/>
          <w:sz w:val="20"/>
          <w:szCs w:val="20"/>
        </w:rPr>
        <w:t xml:space="preserve"> non-current assets and other non-current liabilities in the accompanying consolidated balance sheets.</w:t>
      </w:r>
    </w:p>
    <w:p w14:paraId="3973F16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97</w:t>
      </w:r>
    </w:p>
    <w:p w14:paraId="3973F16E" w14:textId="77777777" w:rsidR="007B027D" w:rsidRDefault="008E0125">
      <w:r>
        <w:rPr>
          <w:rFonts w:ascii="Calibri" w:hAnsi="Calibri" w:cs="Calibri"/>
          <w:sz w:val="20"/>
          <w:szCs w:val="20"/>
        </w:rPr>
        <w:pict w14:anchorId="3974009C">
          <v:rect id="_x0000_i1123" style="width:415.3pt;height:1.5pt" o:hralign="center" o:hrstd="t" o:hr="t" fillcolor="#a0a0a0" stroked="f"/>
        </w:pict>
      </w:r>
    </w:p>
    <w:p w14:paraId="3973F16F" w14:textId="77777777" w:rsidR="007B027D" w:rsidRDefault="008E0125">
      <w:pPr>
        <w:pStyle w:val="a3"/>
        <w:spacing w:beforeAutospacing="0" w:after="120" w:afterAutospacing="0"/>
        <w:rPr>
          <w:rFonts w:ascii="Calibri" w:hAnsi="Calibri" w:cs="Calibri"/>
          <w:sz w:val="18"/>
          <w:szCs w:val="18"/>
        </w:rPr>
      </w:pPr>
      <w:hyperlink r:id="rId230" w:anchor="TABLE_OF_CONTENTS" w:history="1">
        <w:r>
          <w:rPr>
            <w:rStyle w:val="a5"/>
            <w:rFonts w:ascii="Calibri" w:hAnsi="Calibri" w:cs="Calibri"/>
            <w:sz w:val="18"/>
            <w:szCs w:val="18"/>
          </w:rPr>
          <w:t>Table of Conten</w:t>
        </w:r>
        <w:r>
          <w:rPr>
            <w:rStyle w:val="a5"/>
            <w:rFonts w:ascii="Calibri" w:hAnsi="Calibri" w:cs="Calibri"/>
            <w:sz w:val="18"/>
            <w:szCs w:val="18"/>
          </w:rPr>
          <w:t>ts</w:t>
        </w:r>
      </w:hyperlink>
    </w:p>
    <w:p w14:paraId="3973F170" w14:textId="77777777" w:rsidR="007B027D" w:rsidRDefault="008E0125">
      <w:pPr>
        <w:pStyle w:val="a3"/>
        <w:spacing w:beforeAutospacing="0" w:afterAutospacing="0"/>
        <w:rPr>
          <w:rFonts w:ascii="Calibri" w:hAnsi="Calibri" w:cs="Calibri"/>
          <w:sz w:val="18"/>
          <w:szCs w:val="18"/>
        </w:rPr>
      </w:pPr>
      <w:hyperlink r:id="rId231" w:anchor="ITEM_15_EXHIBITS_FINANCIAL_STATEMENT_SCH" w:history="1">
        <w:r>
          <w:rPr>
            <w:rStyle w:val="a5"/>
            <w:rFonts w:ascii="Calibri" w:hAnsi="Calibri" w:cs="Calibri"/>
            <w:sz w:val="18"/>
            <w:szCs w:val="18"/>
          </w:rPr>
          <w:t>Index to Financial Statements</w:t>
        </w:r>
      </w:hyperlink>
    </w:p>
    <w:p w14:paraId="3973F17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17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3973F173"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17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17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sponsor certain defined benefit pension plans that are offered primarily by certain of our foreign subsidiaries. Many of these plans were assumed through our acquisitions or are required by local regulatory requirements. We may dep</w:t>
      </w:r>
      <w:r>
        <w:rPr>
          <w:rFonts w:ascii="Calibri" w:hAnsi="Calibri" w:cs="Calibri"/>
          <w:sz w:val="20"/>
          <w:szCs w:val="20"/>
        </w:rPr>
        <w:t xml:space="preserve">osit funds for these plans with insurance companies, third-party trustees, or into government-managed accounts consistent with local regulatory requirements, as applicable. Our total defined benefit plan pension expenses were $67 million, $105 million and </w:t>
      </w:r>
      <w:r>
        <w:rPr>
          <w:rFonts w:ascii="Calibri" w:hAnsi="Calibri" w:cs="Calibri"/>
          <w:sz w:val="20"/>
          <w:szCs w:val="20"/>
        </w:rPr>
        <w:t>$97 million for fiscal 2022, 2021 and 2020, respectively. The aggregate projected benefit obligation and aggregate net liability (funded status, which is substantially included in other non-current liabilities in our consolidated balance sheets) of our def</w:t>
      </w:r>
      <w:r>
        <w:rPr>
          <w:rFonts w:ascii="Calibri" w:hAnsi="Calibri" w:cs="Calibri"/>
          <w:sz w:val="20"/>
          <w:szCs w:val="20"/>
        </w:rPr>
        <w:t>ined benefit plans as of May 31, 2022 were $1.1 billion and $580 million, respectively, and as of May 31, 2021 were $1.4 billion and $889 million, respectively.</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F178" w14:textId="77777777">
        <w:tc>
          <w:tcPr>
            <w:tcW w:w="262" w:type="pct"/>
            <w:shd w:val="clear" w:color="auto" w:fill="auto"/>
            <w:noWrap/>
          </w:tcPr>
          <w:p w14:paraId="3973F176"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13.</w:t>
            </w:r>
          </w:p>
        </w:tc>
        <w:tc>
          <w:tcPr>
            <w:tcW w:w="0" w:type="auto"/>
            <w:shd w:val="clear" w:color="auto" w:fill="auto"/>
          </w:tcPr>
          <w:p w14:paraId="3973F177" w14:textId="77777777" w:rsidR="007B027D" w:rsidRDefault="008E0125">
            <w:pPr>
              <w:pStyle w:val="a3"/>
              <w:spacing w:before="240" w:beforeAutospacing="0" w:afterAutospacing="0"/>
              <w:rPr>
                <w:rFonts w:ascii="Calibri" w:hAnsi="Calibri" w:cs="Calibri"/>
                <w:b/>
                <w:bCs/>
                <w:sz w:val="20"/>
                <w:szCs w:val="20"/>
              </w:rPr>
            </w:pPr>
            <w:r>
              <w:rPr>
                <w:rFonts w:ascii="Calibri" w:hAnsi="Calibri" w:cs="Calibri"/>
                <w:b/>
                <w:bCs/>
                <w:sz w:val="20"/>
                <w:szCs w:val="20"/>
              </w:rPr>
              <w:t>INCOME TAXES</w:t>
            </w:r>
            <w:r>
              <w:rPr>
                <w:rFonts w:ascii="Calibri" w:hAnsi="Calibri" w:cs="Calibri"/>
                <w:b/>
                <w:bCs/>
                <w:color w:val="FF0000"/>
                <w:sz w:val="20"/>
                <w:szCs w:val="20"/>
              </w:rPr>
              <w:t xml:space="preserve"> </w:t>
            </w:r>
          </w:p>
        </w:tc>
      </w:tr>
    </w:tbl>
    <w:p w14:paraId="3973F17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each of the periods presented are the </w:t>
      </w:r>
      <w:r>
        <w:rPr>
          <w:rFonts w:ascii="Calibri" w:hAnsi="Calibri" w:cs="Calibri"/>
          <w:sz w:val="20"/>
          <w:szCs w:val="20"/>
        </w:rPr>
        <w:t xml:space="preserve">result of the mix of income and losses earned in various tax jurisdictions that apply a broad range of income tax rates. Our (provision for) benefit from income taxes varied from that computed at the U.S. federal statutory income tax rate for fiscal 2022, </w:t>
      </w:r>
      <w:r>
        <w:rPr>
          <w:rFonts w:ascii="Calibri" w:hAnsi="Calibri" w:cs="Calibri"/>
          <w:sz w:val="20"/>
          <w:szCs w:val="20"/>
        </w:rPr>
        <w:t>2021 and 2020 primarily due to earnings in foreign operations, state taxes, the U.S. research and development tax credit, settlements with tax authorities, the tax effects of stock-based compensation, the Foreign Derived Intangible Income deduction and the</w:t>
      </w:r>
      <w:r>
        <w:rPr>
          <w:rFonts w:ascii="Calibri" w:hAnsi="Calibri" w:cs="Calibri"/>
          <w:sz w:val="20"/>
          <w:szCs w:val="20"/>
        </w:rPr>
        <w:t xml:space="preserve"> tax effect of Global Intangible Low-Taxed Income. In addition, for fiscal 2021, our benefit from income taxes varied from the tax computed at the U.S. federal statutory income tax rate primarily due to a total net deferred tax benefit of $2.3 billion as a</w:t>
      </w:r>
      <w:r>
        <w:rPr>
          <w:rFonts w:ascii="Calibri" w:hAnsi="Calibri" w:cs="Calibri"/>
          <w:sz w:val="20"/>
          <w:szCs w:val="20"/>
        </w:rPr>
        <w:t xml:space="preserve"> result of a partial realignment of our legal entity structure that resulted in the intra-group transfer of certain intellectual property rights.</w:t>
      </w:r>
    </w:p>
    <w:p w14:paraId="3973F17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November 2021, the U.S. House of Representatives passed the “Build Back Better Act” budget reconciliation b</w:t>
      </w:r>
      <w:r>
        <w:rPr>
          <w:rFonts w:ascii="Calibri" w:hAnsi="Calibri" w:cs="Calibri"/>
          <w:sz w:val="20"/>
          <w:szCs w:val="20"/>
        </w:rPr>
        <w:t>ill (the Bill). To date, the Bill has failed to advance in the Senate. If the Bill as currently drafted (or a modified version containing similar revenue provisions) were enacted, it would substantially increase U.S. taxes on corporations, including, among</w:t>
      </w:r>
      <w:r>
        <w:rPr>
          <w:rFonts w:ascii="Calibri" w:hAnsi="Calibri" w:cs="Calibri"/>
          <w:sz w:val="20"/>
          <w:szCs w:val="20"/>
        </w:rPr>
        <w:t xml:space="preserve"> other changes, raising the level of U.S. tax on profits earned outside the U.S. and further restricting the deductibility of interest expense. Such changes, if enacted, likely would have a material adverse impact on our future tax liabilities and consolid</w:t>
      </w:r>
      <w:r>
        <w:rPr>
          <w:rFonts w:ascii="Calibri" w:hAnsi="Calibri" w:cs="Calibri"/>
          <w:sz w:val="20"/>
          <w:szCs w:val="20"/>
        </w:rPr>
        <w:t xml:space="preserve">ated financial results. </w:t>
      </w:r>
    </w:p>
    <w:p w14:paraId="3973F17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is a geographical breakdown of income before income taxes:</w:t>
      </w:r>
    </w:p>
    <w:p w14:paraId="3973F17C"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52"/>
        <w:gridCol w:w="118"/>
        <w:gridCol w:w="117"/>
        <w:gridCol w:w="647"/>
        <w:gridCol w:w="76"/>
        <w:gridCol w:w="115"/>
        <w:gridCol w:w="117"/>
        <w:gridCol w:w="647"/>
        <w:gridCol w:w="73"/>
        <w:gridCol w:w="118"/>
        <w:gridCol w:w="117"/>
        <w:gridCol w:w="650"/>
        <w:gridCol w:w="74"/>
      </w:tblGrid>
      <w:tr w:rsidR="007B027D" w14:paraId="3973F181" w14:textId="77777777">
        <w:tc>
          <w:tcPr>
            <w:tcW w:w="3281" w:type="pct"/>
            <w:shd w:val="clear" w:color="auto" w:fill="FFFFFF"/>
            <w:tcMar>
              <w:top w:w="15" w:type="dxa"/>
              <w:right w:w="15" w:type="dxa"/>
            </w:tcMar>
            <w:vAlign w:val="bottom"/>
          </w:tcPr>
          <w:p w14:paraId="3973F17D"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3973F17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0" w:type="pct"/>
            <w:gridSpan w:val="10"/>
            <w:tcBorders>
              <w:bottom w:val="single" w:sz="6" w:space="0" w:color="000000"/>
            </w:tcBorders>
            <w:shd w:val="clear" w:color="auto" w:fill="FFFFFF"/>
            <w:tcMar>
              <w:top w:w="15" w:type="dxa"/>
              <w:right w:w="15" w:type="dxa"/>
            </w:tcMar>
            <w:vAlign w:val="bottom"/>
          </w:tcPr>
          <w:p w14:paraId="3973F17F"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18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18C" w14:textId="77777777">
        <w:tc>
          <w:tcPr>
            <w:tcW w:w="3281" w:type="pct"/>
            <w:tcBorders>
              <w:bottom w:val="single" w:sz="6" w:space="0" w:color="000000"/>
            </w:tcBorders>
            <w:shd w:val="clear" w:color="auto" w:fill="FFFFFF"/>
            <w:tcMar>
              <w:top w:w="15" w:type="dxa"/>
              <w:right w:w="15" w:type="dxa"/>
            </w:tcMar>
            <w:vAlign w:val="bottom"/>
          </w:tcPr>
          <w:p w14:paraId="3973F18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3973F18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8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18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18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8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18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18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8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18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19A" w14:textId="77777777">
        <w:tc>
          <w:tcPr>
            <w:tcW w:w="3281" w:type="pct"/>
            <w:tcBorders>
              <w:top w:val="single" w:sz="6" w:space="0" w:color="000000"/>
            </w:tcBorders>
            <w:shd w:val="clear" w:color="auto" w:fill="CFF0FC"/>
            <w:tcMar>
              <w:top w:w="15" w:type="dxa"/>
              <w:right w:w="15" w:type="dxa"/>
            </w:tcMar>
          </w:tcPr>
          <w:p w14:paraId="3973F1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Domestic</w:t>
            </w:r>
          </w:p>
        </w:tc>
        <w:tc>
          <w:tcPr>
            <w:tcW w:w="77" w:type="pct"/>
            <w:shd w:val="clear" w:color="auto" w:fill="CFF0FC"/>
            <w:tcMar>
              <w:top w:w="15" w:type="dxa"/>
              <w:right w:w="15" w:type="dxa"/>
            </w:tcMar>
            <w:vAlign w:val="bottom"/>
          </w:tcPr>
          <w:p w14:paraId="3973F18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F18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3973F19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(629</w:t>
            </w:r>
          </w:p>
        </w:tc>
        <w:tc>
          <w:tcPr>
            <w:tcW w:w="50" w:type="pct"/>
            <w:shd w:val="clear" w:color="auto" w:fill="CFF0FC"/>
            <w:noWrap/>
            <w:tcMar>
              <w:top w:w="15" w:type="dxa"/>
              <w:right w:w="15" w:type="dxa"/>
            </w:tcMar>
            <w:vAlign w:val="bottom"/>
          </w:tcPr>
          <w:p w14:paraId="3973F19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1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1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3973F19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4,375</w:t>
            </w:r>
          </w:p>
        </w:tc>
        <w:tc>
          <w:tcPr>
            <w:tcW w:w="50" w:type="pct"/>
            <w:shd w:val="clear" w:color="auto" w:fill="CFF0FC"/>
            <w:noWrap/>
            <w:tcMar>
              <w:top w:w="15" w:type="dxa"/>
              <w:right w:w="15" w:type="dxa"/>
            </w:tcMar>
            <w:vAlign w:val="bottom"/>
          </w:tcPr>
          <w:p w14:paraId="3973F1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1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1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3973F19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3,890</w:t>
            </w:r>
          </w:p>
        </w:tc>
        <w:tc>
          <w:tcPr>
            <w:tcW w:w="50" w:type="pct"/>
            <w:shd w:val="clear" w:color="auto" w:fill="CFF0FC"/>
            <w:noWrap/>
            <w:tcMar>
              <w:top w:w="15" w:type="dxa"/>
              <w:right w:w="15" w:type="dxa"/>
            </w:tcMar>
            <w:vAlign w:val="bottom"/>
          </w:tcPr>
          <w:p w14:paraId="3973F1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A8" w14:textId="77777777">
        <w:tc>
          <w:tcPr>
            <w:tcW w:w="3281" w:type="pct"/>
            <w:shd w:val="clear" w:color="auto" w:fill="FFFFFF"/>
            <w:tcMar>
              <w:top w:w="15" w:type="dxa"/>
              <w:right w:w="15" w:type="dxa"/>
            </w:tcMar>
          </w:tcPr>
          <w:p w14:paraId="3973F19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w:t>
            </w:r>
          </w:p>
        </w:tc>
        <w:tc>
          <w:tcPr>
            <w:tcW w:w="77" w:type="pct"/>
            <w:shd w:val="clear" w:color="auto" w:fill="FFFFFF"/>
            <w:tcMar>
              <w:top w:w="15" w:type="dxa"/>
              <w:right w:w="15" w:type="dxa"/>
            </w:tcMar>
            <w:vAlign w:val="bottom"/>
          </w:tcPr>
          <w:p w14:paraId="3973F19C"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F1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19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8,278</w:t>
            </w:r>
          </w:p>
        </w:tc>
        <w:tc>
          <w:tcPr>
            <w:tcW w:w="50" w:type="pct"/>
            <w:shd w:val="clear" w:color="auto" w:fill="FFFFFF"/>
            <w:noWrap/>
            <w:tcMar>
              <w:top w:w="15" w:type="dxa"/>
              <w:right w:w="15" w:type="dxa"/>
            </w:tcMar>
            <w:vAlign w:val="bottom"/>
          </w:tcPr>
          <w:p w14:paraId="3973F1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1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1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1A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8,624</w:t>
            </w:r>
          </w:p>
        </w:tc>
        <w:tc>
          <w:tcPr>
            <w:tcW w:w="50" w:type="pct"/>
            <w:shd w:val="clear" w:color="auto" w:fill="FFFFFF"/>
            <w:noWrap/>
            <w:tcMar>
              <w:top w:w="15" w:type="dxa"/>
              <w:right w:w="15" w:type="dxa"/>
            </w:tcMar>
            <w:vAlign w:val="bottom"/>
          </w:tcPr>
          <w:p w14:paraId="3973F1A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1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1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1A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8,173</w:t>
            </w:r>
          </w:p>
        </w:tc>
        <w:tc>
          <w:tcPr>
            <w:tcW w:w="50" w:type="pct"/>
            <w:shd w:val="clear" w:color="auto" w:fill="FFFFFF"/>
            <w:noWrap/>
            <w:tcMar>
              <w:top w:w="15" w:type="dxa"/>
              <w:right w:w="15" w:type="dxa"/>
            </w:tcMar>
            <w:vAlign w:val="bottom"/>
          </w:tcPr>
          <w:p w14:paraId="3973F1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B6" w14:textId="77777777">
        <w:tc>
          <w:tcPr>
            <w:tcW w:w="3281" w:type="pct"/>
            <w:shd w:val="clear" w:color="auto" w:fill="CFF0FC"/>
            <w:tcMar>
              <w:top w:w="15" w:type="dxa"/>
              <w:right w:w="15" w:type="dxa"/>
            </w:tcMar>
          </w:tcPr>
          <w:p w14:paraId="3973F1A9"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Income before income taxes</w:t>
            </w:r>
          </w:p>
        </w:tc>
        <w:tc>
          <w:tcPr>
            <w:tcW w:w="77" w:type="pct"/>
            <w:shd w:val="clear" w:color="auto" w:fill="CFF0FC"/>
            <w:tcMar>
              <w:top w:w="15" w:type="dxa"/>
              <w:right w:w="15" w:type="dxa"/>
            </w:tcMar>
            <w:vAlign w:val="bottom"/>
          </w:tcPr>
          <w:p w14:paraId="3973F1A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A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1A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7,649</w:t>
            </w:r>
          </w:p>
        </w:tc>
        <w:tc>
          <w:tcPr>
            <w:tcW w:w="50" w:type="pct"/>
            <w:shd w:val="clear" w:color="auto" w:fill="CFF0FC"/>
            <w:noWrap/>
            <w:tcMar>
              <w:top w:w="15" w:type="dxa"/>
              <w:right w:w="15" w:type="dxa"/>
            </w:tcMar>
            <w:vAlign w:val="bottom"/>
          </w:tcPr>
          <w:p w14:paraId="3973F1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1A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1B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12,999</w:t>
            </w:r>
          </w:p>
        </w:tc>
        <w:tc>
          <w:tcPr>
            <w:tcW w:w="50" w:type="pct"/>
            <w:shd w:val="clear" w:color="auto" w:fill="CFF0FC"/>
            <w:noWrap/>
            <w:tcMar>
              <w:top w:w="15" w:type="dxa"/>
              <w:right w:w="15" w:type="dxa"/>
            </w:tcMar>
            <w:vAlign w:val="bottom"/>
          </w:tcPr>
          <w:p w14:paraId="3973F1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1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1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1B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12,063</w:t>
            </w:r>
          </w:p>
        </w:tc>
        <w:tc>
          <w:tcPr>
            <w:tcW w:w="50" w:type="pct"/>
            <w:shd w:val="clear" w:color="auto" w:fill="CFF0FC"/>
            <w:noWrap/>
            <w:tcMar>
              <w:top w:w="15" w:type="dxa"/>
              <w:right w:w="15" w:type="dxa"/>
            </w:tcMar>
            <w:vAlign w:val="bottom"/>
          </w:tcPr>
          <w:p w14:paraId="3973F1B5"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1B7" w14:textId="77777777" w:rsidR="007B027D" w:rsidRDefault="008E0125">
      <w:pPr>
        <w:pStyle w:val="a3"/>
        <w:spacing w:beforeAutospacing="0" w:afterAutospacing="0"/>
        <w:rPr>
          <w:sz w:val="12"/>
          <w:szCs w:val="12"/>
        </w:rPr>
      </w:pPr>
      <w:r>
        <w:rPr>
          <w:sz w:val="12"/>
          <w:szCs w:val="12"/>
        </w:rPr>
        <w:t> </w:t>
      </w:r>
    </w:p>
    <w:p w14:paraId="3973F1B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98</w:t>
      </w:r>
    </w:p>
    <w:p w14:paraId="3973F1B9" w14:textId="77777777" w:rsidR="007B027D" w:rsidRDefault="008E0125">
      <w:r>
        <w:rPr>
          <w:rFonts w:ascii="Calibri" w:hAnsi="Calibri" w:cs="Calibri"/>
          <w:sz w:val="20"/>
          <w:szCs w:val="20"/>
        </w:rPr>
        <w:pict w14:anchorId="3974009D">
          <v:rect id="_x0000_i1124" style="width:415.3pt;height:1.5pt" o:hralign="center" o:hrstd="t" o:hr="t" fillcolor="#a0a0a0" stroked="f"/>
        </w:pict>
      </w:r>
    </w:p>
    <w:p w14:paraId="3973F1BA" w14:textId="77777777" w:rsidR="007B027D" w:rsidRDefault="008E0125">
      <w:pPr>
        <w:pStyle w:val="a3"/>
        <w:spacing w:beforeAutospacing="0" w:after="120" w:afterAutospacing="0"/>
        <w:rPr>
          <w:rFonts w:ascii="Calibri" w:hAnsi="Calibri" w:cs="Calibri"/>
          <w:sz w:val="18"/>
          <w:szCs w:val="18"/>
        </w:rPr>
      </w:pPr>
      <w:hyperlink r:id="rId232" w:anchor="TABLE_OF_CONTENTS" w:history="1">
        <w:r>
          <w:rPr>
            <w:rStyle w:val="a5"/>
            <w:rFonts w:ascii="Calibri" w:hAnsi="Calibri" w:cs="Calibri"/>
            <w:sz w:val="18"/>
            <w:szCs w:val="18"/>
          </w:rPr>
          <w:t>Table of Contents</w:t>
        </w:r>
      </w:hyperlink>
    </w:p>
    <w:p w14:paraId="3973F1BB" w14:textId="77777777" w:rsidR="007B027D" w:rsidRDefault="008E0125">
      <w:pPr>
        <w:pStyle w:val="a3"/>
        <w:spacing w:beforeAutospacing="0" w:afterAutospacing="0"/>
        <w:rPr>
          <w:rFonts w:ascii="Calibri" w:hAnsi="Calibri" w:cs="Calibri"/>
          <w:sz w:val="18"/>
          <w:szCs w:val="18"/>
        </w:rPr>
      </w:pPr>
      <w:hyperlink r:id="rId233" w:anchor="ITEM_15_EXHIBITS_FINANCIAL_STATEMENT_SCH" w:history="1">
        <w:r>
          <w:rPr>
            <w:rStyle w:val="a5"/>
            <w:rFonts w:ascii="Calibri" w:hAnsi="Calibri" w:cs="Calibri"/>
            <w:sz w:val="18"/>
            <w:szCs w:val="18"/>
          </w:rPr>
          <w:t>Index to Financial Statements</w:t>
        </w:r>
      </w:hyperlink>
    </w:p>
    <w:p w14:paraId="3973F1BC"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1B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1BE"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1BF"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1C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1C1"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The (provision for) benefit from income taxes consisted of the </w:t>
      </w:r>
      <w:r>
        <w:rPr>
          <w:rFonts w:ascii="Calibri" w:hAnsi="Calibri" w:cs="Calibri"/>
          <w:sz w:val="20"/>
          <w:szCs w:val="20"/>
        </w:rPr>
        <w:t>following:</w:t>
      </w:r>
    </w:p>
    <w:p w14:paraId="3973F1C2"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51"/>
        <w:gridCol w:w="117"/>
        <w:gridCol w:w="117"/>
        <w:gridCol w:w="647"/>
        <w:gridCol w:w="76"/>
        <w:gridCol w:w="115"/>
        <w:gridCol w:w="117"/>
        <w:gridCol w:w="647"/>
        <w:gridCol w:w="76"/>
        <w:gridCol w:w="115"/>
        <w:gridCol w:w="117"/>
        <w:gridCol w:w="650"/>
        <w:gridCol w:w="76"/>
      </w:tblGrid>
      <w:tr w:rsidR="007B027D" w14:paraId="3973F1C7" w14:textId="77777777">
        <w:tc>
          <w:tcPr>
            <w:tcW w:w="3281" w:type="pct"/>
            <w:shd w:val="clear" w:color="auto" w:fill="FFFFFF"/>
            <w:tcMar>
              <w:top w:w="15" w:type="dxa"/>
              <w:right w:w="15" w:type="dxa"/>
            </w:tcMar>
            <w:vAlign w:val="bottom"/>
          </w:tcPr>
          <w:p w14:paraId="3973F1C3"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3973F1C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0" w:type="pct"/>
            <w:gridSpan w:val="10"/>
            <w:tcBorders>
              <w:bottom w:val="single" w:sz="6" w:space="0" w:color="000000"/>
            </w:tcBorders>
            <w:shd w:val="clear" w:color="auto" w:fill="FFFFFF"/>
            <w:tcMar>
              <w:top w:w="15" w:type="dxa"/>
              <w:right w:w="15" w:type="dxa"/>
            </w:tcMar>
            <w:vAlign w:val="bottom"/>
          </w:tcPr>
          <w:p w14:paraId="3973F1C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1C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1D2" w14:textId="77777777">
        <w:tc>
          <w:tcPr>
            <w:tcW w:w="3281" w:type="pct"/>
            <w:tcBorders>
              <w:bottom w:val="single" w:sz="6" w:space="0" w:color="000000"/>
            </w:tcBorders>
            <w:shd w:val="clear" w:color="auto" w:fill="FFFFFF"/>
            <w:tcMar>
              <w:top w:w="15" w:type="dxa"/>
              <w:right w:w="15" w:type="dxa"/>
            </w:tcMar>
            <w:vAlign w:val="bottom"/>
          </w:tcPr>
          <w:p w14:paraId="3973F1C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7" w:type="pct"/>
            <w:shd w:val="clear" w:color="auto" w:fill="FFFFFF"/>
            <w:tcMar>
              <w:top w:w="15" w:type="dxa"/>
              <w:right w:w="15" w:type="dxa"/>
            </w:tcMar>
            <w:vAlign w:val="bottom"/>
          </w:tcPr>
          <w:p w14:paraId="3973F1C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C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1C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1C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C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1C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1C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1D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1D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1E0" w14:textId="77777777">
        <w:tc>
          <w:tcPr>
            <w:tcW w:w="3281" w:type="pct"/>
            <w:tcBorders>
              <w:top w:val="single" w:sz="6" w:space="0" w:color="000000"/>
            </w:tcBorders>
            <w:shd w:val="clear" w:color="auto" w:fill="CFF0FC"/>
            <w:tcMar>
              <w:top w:w="15" w:type="dxa"/>
              <w:right w:w="15" w:type="dxa"/>
            </w:tcMar>
          </w:tcPr>
          <w:p w14:paraId="3973F1D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Current provision:</w:t>
            </w:r>
          </w:p>
        </w:tc>
        <w:tc>
          <w:tcPr>
            <w:tcW w:w="77" w:type="pct"/>
            <w:shd w:val="clear" w:color="auto" w:fill="CFF0FC"/>
            <w:tcMar>
              <w:top w:w="15" w:type="dxa"/>
              <w:right w:w="15" w:type="dxa"/>
            </w:tcMar>
            <w:vAlign w:val="bottom"/>
          </w:tcPr>
          <w:p w14:paraId="3973F1D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F1D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3973F1D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1D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1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3973F1D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1D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1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3973F1D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1EE" w14:textId="77777777">
        <w:tc>
          <w:tcPr>
            <w:tcW w:w="3281" w:type="pct"/>
            <w:shd w:val="clear" w:color="auto" w:fill="FFFFFF"/>
            <w:tcMar>
              <w:top w:w="15" w:type="dxa"/>
              <w:right w:w="15" w:type="dxa"/>
            </w:tcMar>
          </w:tcPr>
          <w:p w14:paraId="3973F1E1"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7" w:type="pct"/>
            <w:shd w:val="clear" w:color="auto" w:fill="FFFFFF"/>
            <w:tcMar>
              <w:top w:w="15" w:type="dxa"/>
              <w:right w:w="15" w:type="dxa"/>
            </w:tcMar>
            <w:vAlign w:val="bottom"/>
          </w:tcPr>
          <w:p w14:paraId="3973F1E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1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3973F1E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(709</w:t>
            </w:r>
          </w:p>
        </w:tc>
        <w:tc>
          <w:tcPr>
            <w:tcW w:w="50" w:type="pct"/>
            <w:shd w:val="clear" w:color="auto" w:fill="FFFFFF"/>
            <w:noWrap/>
            <w:tcMar>
              <w:top w:w="15" w:type="dxa"/>
              <w:right w:w="15" w:type="dxa"/>
            </w:tcMar>
            <w:vAlign w:val="bottom"/>
          </w:tcPr>
          <w:p w14:paraId="3973F1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FFFFFF"/>
            <w:tcMar>
              <w:top w:w="15" w:type="dxa"/>
              <w:right w:w="15" w:type="dxa"/>
            </w:tcMar>
            <w:vAlign w:val="bottom"/>
          </w:tcPr>
          <w:p w14:paraId="3973F1E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1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3973F1E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(516</w:t>
            </w:r>
          </w:p>
        </w:tc>
        <w:tc>
          <w:tcPr>
            <w:tcW w:w="50" w:type="pct"/>
            <w:shd w:val="clear" w:color="auto" w:fill="FFFFFF"/>
            <w:noWrap/>
            <w:tcMar>
              <w:top w:w="15" w:type="dxa"/>
              <w:right w:w="15" w:type="dxa"/>
            </w:tcMar>
            <w:vAlign w:val="bottom"/>
          </w:tcPr>
          <w:p w14:paraId="3973F1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FFFFFF"/>
            <w:tcMar>
              <w:top w:w="15" w:type="dxa"/>
              <w:right w:w="15" w:type="dxa"/>
            </w:tcMar>
            <w:vAlign w:val="bottom"/>
          </w:tcPr>
          <w:p w14:paraId="3973F1E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1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3973F1E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(1,616</w:t>
            </w:r>
          </w:p>
        </w:tc>
        <w:tc>
          <w:tcPr>
            <w:tcW w:w="50" w:type="pct"/>
            <w:shd w:val="clear" w:color="auto" w:fill="FFFFFF"/>
            <w:noWrap/>
            <w:tcMar>
              <w:top w:w="15" w:type="dxa"/>
              <w:right w:w="15" w:type="dxa"/>
            </w:tcMar>
            <w:vAlign w:val="bottom"/>
          </w:tcPr>
          <w:p w14:paraId="3973F1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1FC" w14:textId="77777777">
        <w:tc>
          <w:tcPr>
            <w:tcW w:w="3281" w:type="pct"/>
            <w:shd w:val="clear" w:color="auto" w:fill="CFF0FC"/>
            <w:tcMar>
              <w:top w:w="15" w:type="dxa"/>
              <w:right w:w="15" w:type="dxa"/>
            </w:tcMar>
          </w:tcPr>
          <w:p w14:paraId="3973F1EF"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State</w:t>
            </w:r>
          </w:p>
        </w:tc>
        <w:tc>
          <w:tcPr>
            <w:tcW w:w="77" w:type="pct"/>
            <w:shd w:val="clear" w:color="auto" w:fill="CFF0FC"/>
            <w:tcMar>
              <w:top w:w="15" w:type="dxa"/>
              <w:right w:w="15" w:type="dxa"/>
            </w:tcMar>
            <w:vAlign w:val="bottom"/>
          </w:tcPr>
          <w:p w14:paraId="3973F1F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1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3973F1F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(186</w:t>
            </w:r>
          </w:p>
        </w:tc>
        <w:tc>
          <w:tcPr>
            <w:tcW w:w="50" w:type="pct"/>
            <w:shd w:val="clear" w:color="auto" w:fill="CFF0FC"/>
            <w:noWrap/>
            <w:tcMar>
              <w:top w:w="15" w:type="dxa"/>
              <w:right w:w="15" w:type="dxa"/>
            </w:tcMar>
            <w:vAlign w:val="bottom"/>
          </w:tcPr>
          <w:p w14:paraId="3973F1F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1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3973F1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w:t>
            </w:r>
          </w:p>
        </w:tc>
        <w:tc>
          <w:tcPr>
            <w:tcW w:w="50" w:type="pct"/>
            <w:shd w:val="clear" w:color="auto" w:fill="CFF0FC"/>
            <w:noWrap/>
            <w:tcMar>
              <w:top w:w="15" w:type="dxa"/>
              <w:right w:w="15" w:type="dxa"/>
            </w:tcMar>
            <w:vAlign w:val="bottom"/>
          </w:tcPr>
          <w:p w14:paraId="3973F1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1F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1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3973F1F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3973F1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0A" w14:textId="77777777">
        <w:tc>
          <w:tcPr>
            <w:tcW w:w="3281" w:type="pct"/>
            <w:shd w:val="clear" w:color="auto" w:fill="FFFFFF"/>
            <w:tcMar>
              <w:top w:w="15" w:type="dxa"/>
              <w:right w:w="15" w:type="dxa"/>
            </w:tcMar>
          </w:tcPr>
          <w:p w14:paraId="3973F1FD"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7" w:type="pct"/>
            <w:shd w:val="clear" w:color="auto" w:fill="FFFFFF"/>
            <w:tcMar>
              <w:top w:w="15" w:type="dxa"/>
              <w:right w:w="15" w:type="dxa"/>
            </w:tcMar>
            <w:vAlign w:val="bottom"/>
          </w:tcPr>
          <w:p w14:paraId="3973F1F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3973F1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20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(1,183</w:t>
            </w:r>
          </w:p>
        </w:tc>
        <w:tc>
          <w:tcPr>
            <w:tcW w:w="50" w:type="pct"/>
            <w:shd w:val="clear" w:color="auto" w:fill="FFFFFF"/>
            <w:noWrap/>
            <w:tcMar>
              <w:top w:w="15" w:type="dxa"/>
              <w:right w:w="15" w:type="dxa"/>
            </w:tcMar>
            <w:vAlign w:val="bottom"/>
          </w:tcPr>
          <w:p w14:paraId="3973F2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FFFFFF"/>
            <w:tcMar>
              <w:top w:w="15" w:type="dxa"/>
              <w:right w:w="15" w:type="dxa"/>
            </w:tcMar>
            <w:vAlign w:val="bottom"/>
          </w:tcPr>
          <w:p w14:paraId="3973F2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2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20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(929</w:t>
            </w:r>
          </w:p>
        </w:tc>
        <w:tc>
          <w:tcPr>
            <w:tcW w:w="50" w:type="pct"/>
            <w:shd w:val="clear" w:color="auto" w:fill="FFFFFF"/>
            <w:noWrap/>
            <w:tcMar>
              <w:top w:w="15" w:type="dxa"/>
              <w:right w:w="15" w:type="dxa"/>
            </w:tcMar>
            <w:vAlign w:val="bottom"/>
          </w:tcPr>
          <w:p w14:paraId="3973F2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FFFFFF"/>
            <w:tcMar>
              <w:top w:w="15" w:type="dxa"/>
              <w:right w:w="15" w:type="dxa"/>
            </w:tcMar>
            <w:vAlign w:val="bottom"/>
          </w:tcPr>
          <w:p w14:paraId="3973F20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2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3973F20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(1,144</w:t>
            </w:r>
          </w:p>
        </w:tc>
        <w:tc>
          <w:tcPr>
            <w:tcW w:w="50" w:type="pct"/>
            <w:shd w:val="clear" w:color="auto" w:fill="FFFFFF"/>
            <w:noWrap/>
            <w:tcMar>
              <w:top w:w="15" w:type="dxa"/>
              <w:right w:w="15" w:type="dxa"/>
            </w:tcMar>
            <w:vAlign w:val="bottom"/>
          </w:tcPr>
          <w:p w14:paraId="3973F2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18" w14:textId="77777777">
        <w:tc>
          <w:tcPr>
            <w:tcW w:w="3281" w:type="pct"/>
            <w:shd w:val="clear" w:color="auto" w:fill="CFF0FC"/>
            <w:tcMar>
              <w:top w:w="15" w:type="dxa"/>
              <w:right w:w="15" w:type="dxa"/>
            </w:tcMar>
          </w:tcPr>
          <w:p w14:paraId="3973F20B"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current provision</w:t>
            </w:r>
          </w:p>
        </w:tc>
        <w:tc>
          <w:tcPr>
            <w:tcW w:w="77" w:type="pct"/>
            <w:shd w:val="clear" w:color="auto" w:fill="CFF0FC"/>
            <w:tcMar>
              <w:top w:w="15" w:type="dxa"/>
              <w:right w:w="15" w:type="dxa"/>
            </w:tcMar>
            <w:vAlign w:val="bottom"/>
          </w:tcPr>
          <w:p w14:paraId="3973F20C"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2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3973F2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(2,078</w:t>
            </w:r>
          </w:p>
        </w:tc>
        <w:tc>
          <w:tcPr>
            <w:tcW w:w="50" w:type="pct"/>
            <w:shd w:val="clear" w:color="auto" w:fill="CFF0FC"/>
            <w:noWrap/>
            <w:tcMar>
              <w:top w:w="15" w:type="dxa"/>
              <w:right w:w="15" w:type="dxa"/>
            </w:tcMar>
            <w:vAlign w:val="bottom"/>
          </w:tcPr>
          <w:p w14:paraId="3973F2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21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2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3973F21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(1,678</w:t>
            </w:r>
          </w:p>
        </w:tc>
        <w:tc>
          <w:tcPr>
            <w:tcW w:w="50" w:type="pct"/>
            <w:shd w:val="clear" w:color="auto" w:fill="CFF0FC"/>
            <w:noWrap/>
            <w:tcMar>
              <w:top w:w="15" w:type="dxa"/>
              <w:right w:w="15" w:type="dxa"/>
            </w:tcMar>
            <w:vAlign w:val="bottom"/>
          </w:tcPr>
          <w:p w14:paraId="3973F2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21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2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3973F21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(2,779</w:t>
            </w:r>
          </w:p>
        </w:tc>
        <w:tc>
          <w:tcPr>
            <w:tcW w:w="50" w:type="pct"/>
            <w:shd w:val="clear" w:color="auto" w:fill="CFF0FC"/>
            <w:noWrap/>
            <w:tcMar>
              <w:top w:w="15" w:type="dxa"/>
              <w:right w:w="15" w:type="dxa"/>
            </w:tcMar>
            <w:vAlign w:val="bottom"/>
          </w:tcPr>
          <w:p w14:paraId="3973F2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26" w14:textId="77777777">
        <w:tc>
          <w:tcPr>
            <w:tcW w:w="3281" w:type="pct"/>
            <w:shd w:val="clear" w:color="auto" w:fill="FFFFFF"/>
            <w:tcMar>
              <w:top w:w="15" w:type="dxa"/>
              <w:right w:w="15" w:type="dxa"/>
            </w:tcMar>
          </w:tcPr>
          <w:p w14:paraId="3973F2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benefit:</w:t>
            </w:r>
          </w:p>
        </w:tc>
        <w:tc>
          <w:tcPr>
            <w:tcW w:w="77" w:type="pct"/>
            <w:shd w:val="clear" w:color="auto" w:fill="FFFFFF"/>
            <w:tcMar>
              <w:top w:w="15" w:type="dxa"/>
              <w:right w:w="15" w:type="dxa"/>
            </w:tcMar>
            <w:vAlign w:val="bottom"/>
          </w:tcPr>
          <w:p w14:paraId="3973F21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3973F2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3973F2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2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1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F2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3973F22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2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2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F2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3973F22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22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234" w14:textId="77777777">
        <w:tc>
          <w:tcPr>
            <w:tcW w:w="3281" w:type="pct"/>
            <w:shd w:val="clear" w:color="auto" w:fill="CFF0FC"/>
            <w:tcMar>
              <w:top w:w="15" w:type="dxa"/>
              <w:right w:w="15" w:type="dxa"/>
            </w:tcMar>
          </w:tcPr>
          <w:p w14:paraId="3973F227"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7" w:type="pct"/>
            <w:shd w:val="clear" w:color="auto" w:fill="CFF0FC"/>
            <w:tcMar>
              <w:top w:w="15" w:type="dxa"/>
              <w:right w:w="15" w:type="dxa"/>
            </w:tcMar>
            <w:vAlign w:val="bottom"/>
          </w:tcPr>
          <w:p w14:paraId="3973F228"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22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3973F22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1,661</w:t>
            </w:r>
          </w:p>
        </w:tc>
        <w:tc>
          <w:tcPr>
            <w:tcW w:w="50" w:type="pct"/>
            <w:shd w:val="clear" w:color="auto" w:fill="CFF0FC"/>
            <w:noWrap/>
            <w:tcMar>
              <w:top w:w="15" w:type="dxa"/>
              <w:right w:w="15" w:type="dxa"/>
            </w:tcMar>
            <w:vAlign w:val="bottom"/>
          </w:tcPr>
          <w:p w14:paraId="3973F22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22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2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3973F22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(8,631</w:t>
            </w:r>
          </w:p>
        </w:tc>
        <w:tc>
          <w:tcPr>
            <w:tcW w:w="50" w:type="pct"/>
            <w:shd w:val="clear" w:color="auto" w:fill="CFF0FC"/>
            <w:noWrap/>
            <w:tcMar>
              <w:top w:w="15" w:type="dxa"/>
              <w:right w:w="15" w:type="dxa"/>
            </w:tcMar>
            <w:vAlign w:val="bottom"/>
          </w:tcPr>
          <w:p w14:paraId="3973F2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23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2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3973F23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983</w:t>
            </w:r>
          </w:p>
        </w:tc>
        <w:tc>
          <w:tcPr>
            <w:tcW w:w="50" w:type="pct"/>
            <w:shd w:val="clear" w:color="auto" w:fill="CFF0FC"/>
            <w:noWrap/>
            <w:tcMar>
              <w:top w:w="15" w:type="dxa"/>
              <w:right w:w="15" w:type="dxa"/>
            </w:tcMar>
            <w:vAlign w:val="bottom"/>
          </w:tcPr>
          <w:p w14:paraId="3973F23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242" w14:textId="77777777">
        <w:tc>
          <w:tcPr>
            <w:tcW w:w="3281" w:type="pct"/>
            <w:shd w:val="clear" w:color="auto" w:fill="FFFFFF"/>
            <w:tcMar>
              <w:top w:w="15" w:type="dxa"/>
              <w:right w:w="15" w:type="dxa"/>
            </w:tcMar>
          </w:tcPr>
          <w:p w14:paraId="3973F235"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State</w:t>
            </w:r>
          </w:p>
        </w:tc>
        <w:tc>
          <w:tcPr>
            <w:tcW w:w="77" w:type="pct"/>
            <w:shd w:val="clear" w:color="auto" w:fill="FFFFFF"/>
            <w:tcMar>
              <w:top w:w="15" w:type="dxa"/>
              <w:right w:w="15" w:type="dxa"/>
            </w:tcMar>
            <w:vAlign w:val="bottom"/>
          </w:tcPr>
          <w:p w14:paraId="3973F236"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23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3973F23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w:t>
            </w:r>
          </w:p>
        </w:tc>
        <w:tc>
          <w:tcPr>
            <w:tcW w:w="50" w:type="pct"/>
            <w:shd w:val="clear" w:color="auto" w:fill="FFFFFF"/>
            <w:noWrap/>
            <w:tcMar>
              <w:top w:w="15" w:type="dxa"/>
              <w:right w:w="15" w:type="dxa"/>
            </w:tcMar>
            <w:vAlign w:val="bottom"/>
          </w:tcPr>
          <w:p w14:paraId="3973F23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3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23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3973F23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FFFFFF"/>
            <w:noWrap/>
            <w:tcMar>
              <w:top w:w="15" w:type="dxa"/>
              <w:right w:w="15" w:type="dxa"/>
            </w:tcMar>
            <w:vAlign w:val="bottom"/>
          </w:tcPr>
          <w:p w14:paraId="3973F23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3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2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3973F24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3973F24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50" w14:textId="77777777">
        <w:tc>
          <w:tcPr>
            <w:tcW w:w="3281" w:type="pct"/>
            <w:shd w:val="clear" w:color="auto" w:fill="CFF0FC"/>
            <w:tcMar>
              <w:top w:w="15" w:type="dxa"/>
              <w:right w:w="15" w:type="dxa"/>
            </w:tcMar>
          </w:tcPr>
          <w:p w14:paraId="3973F243"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7" w:type="pct"/>
            <w:shd w:val="clear" w:color="auto" w:fill="CFF0FC"/>
            <w:tcMar>
              <w:top w:w="15" w:type="dxa"/>
              <w:right w:w="15" w:type="dxa"/>
            </w:tcMar>
            <w:vAlign w:val="bottom"/>
          </w:tcPr>
          <w:p w14:paraId="3973F24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F24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3973F24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(654</w:t>
            </w:r>
          </w:p>
        </w:tc>
        <w:tc>
          <w:tcPr>
            <w:tcW w:w="50" w:type="pct"/>
            <w:shd w:val="clear" w:color="auto" w:fill="CFF0FC"/>
            <w:noWrap/>
            <w:tcMar>
              <w:top w:w="15" w:type="dxa"/>
              <w:right w:w="15" w:type="dxa"/>
            </w:tcMar>
            <w:vAlign w:val="bottom"/>
          </w:tcPr>
          <w:p w14:paraId="3973F24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24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24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3973F24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10,979</w:t>
            </w:r>
          </w:p>
        </w:tc>
        <w:tc>
          <w:tcPr>
            <w:tcW w:w="50" w:type="pct"/>
            <w:shd w:val="clear" w:color="auto" w:fill="CFF0FC"/>
            <w:noWrap/>
            <w:tcMar>
              <w:top w:w="15" w:type="dxa"/>
              <w:right w:w="15" w:type="dxa"/>
            </w:tcMar>
            <w:vAlign w:val="bottom"/>
          </w:tcPr>
          <w:p w14:paraId="3973F24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24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2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3973F24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right w:w="15" w:type="dxa"/>
            </w:tcMar>
            <w:vAlign w:val="bottom"/>
          </w:tcPr>
          <w:p w14:paraId="3973F24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5E" w14:textId="77777777">
        <w:tc>
          <w:tcPr>
            <w:tcW w:w="3281" w:type="pct"/>
            <w:shd w:val="clear" w:color="auto" w:fill="FFFFFF"/>
            <w:tcMar>
              <w:top w:w="15" w:type="dxa"/>
              <w:right w:w="15" w:type="dxa"/>
            </w:tcMar>
          </w:tcPr>
          <w:p w14:paraId="3973F251"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deferred benefit</w:t>
            </w:r>
          </w:p>
        </w:tc>
        <w:tc>
          <w:tcPr>
            <w:tcW w:w="77" w:type="pct"/>
            <w:shd w:val="clear" w:color="auto" w:fill="FFFFFF"/>
            <w:tcMar>
              <w:top w:w="15" w:type="dxa"/>
              <w:right w:w="15" w:type="dxa"/>
            </w:tcMar>
            <w:vAlign w:val="bottom"/>
          </w:tcPr>
          <w:p w14:paraId="3973F25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2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3973F25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1,146</w:t>
            </w:r>
          </w:p>
        </w:tc>
        <w:tc>
          <w:tcPr>
            <w:tcW w:w="50" w:type="pct"/>
            <w:shd w:val="clear" w:color="auto" w:fill="FFFFFF"/>
            <w:noWrap/>
            <w:tcMar>
              <w:top w:w="15" w:type="dxa"/>
              <w:right w:w="15" w:type="dxa"/>
            </w:tcMar>
            <w:vAlign w:val="bottom"/>
          </w:tcPr>
          <w:p w14:paraId="3973F25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5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25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3973F25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2,425</w:t>
            </w:r>
          </w:p>
        </w:tc>
        <w:tc>
          <w:tcPr>
            <w:tcW w:w="50" w:type="pct"/>
            <w:shd w:val="clear" w:color="auto" w:fill="FFFFFF"/>
            <w:noWrap/>
            <w:tcMar>
              <w:top w:w="15" w:type="dxa"/>
              <w:right w:w="15" w:type="dxa"/>
            </w:tcMar>
            <w:vAlign w:val="bottom"/>
          </w:tcPr>
          <w:p w14:paraId="3973F25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2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3973F25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851</w:t>
            </w:r>
          </w:p>
        </w:tc>
        <w:tc>
          <w:tcPr>
            <w:tcW w:w="50" w:type="pct"/>
            <w:shd w:val="clear" w:color="auto" w:fill="FFFFFF"/>
            <w:noWrap/>
            <w:tcMar>
              <w:top w:w="15" w:type="dxa"/>
              <w:right w:w="15" w:type="dxa"/>
            </w:tcMar>
            <w:vAlign w:val="bottom"/>
          </w:tcPr>
          <w:p w14:paraId="3973F25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26C" w14:textId="77777777">
        <w:tc>
          <w:tcPr>
            <w:tcW w:w="3281" w:type="pct"/>
            <w:shd w:val="clear" w:color="auto" w:fill="CFF0FC"/>
            <w:tcMar>
              <w:top w:w="15" w:type="dxa"/>
              <w:right w:w="15" w:type="dxa"/>
            </w:tcMar>
          </w:tcPr>
          <w:p w14:paraId="3973F2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(provision for) benefit from income taxes</w:t>
            </w:r>
          </w:p>
        </w:tc>
        <w:tc>
          <w:tcPr>
            <w:tcW w:w="77" w:type="pct"/>
            <w:shd w:val="clear" w:color="auto" w:fill="CFF0FC"/>
            <w:tcMar>
              <w:top w:w="15" w:type="dxa"/>
              <w:right w:w="15" w:type="dxa"/>
            </w:tcMar>
            <w:vAlign w:val="bottom"/>
          </w:tcPr>
          <w:p w14:paraId="3973F26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2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26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(932</w:t>
            </w:r>
          </w:p>
        </w:tc>
        <w:tc>
          <w:tcPr>
            <w:tcW w:w="50" w:type="pct"/>
            <w:shd w:val="clear" w:color="auto" w:fill="CFF0FC"/>
            <w:noWrap/>
            <w:tcMar>
              <w:top w:w="15" w:type="dxa"/>
              <w:right w:w="15" w:type="dxa"/>
            </w:tcMar>
            <w:vAlign w:val="bottom"/>
          </w:tcPr>
          <w:p w14:paraId="3973F2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7" w:type="pct"/>
            <w:shd w:val="clear" w:color="auto" w:fill="CFF0FC"/>
            <w:tcMar>
              <w:top w:w="15" w:type="dxa"/>
              <w:right w:w="15" w:type="dxa"/>
            </w:tcMar>
            <w:vAlign w:val="bottom"/>
          </w:tcPr>
          <w:p w14:paraId="3973F26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2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26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747</w:t>
            </w:r>
          </w:p>
        </w:tc>
        <w:tc>
          <w:tcPr>
            <w:tcW w:w="50" w:type="pct"/>
            <w:shd w:val="clear" w:color="auto" w:fill="CFF0FC"/>
            <w:noWrap/>
            <w:tcMar>
              <w:top w:w="15" w:type="dxa"/>
              <w:right w:w="15" w:type="dxa"/>
            </w:tcMar>
            <w:vAlign w:val="bottom"/>
          </w:tcPr>
          <w:p w14:paraId="3973F26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CFF0FC"/>
            <w:tcMar>
              <w:top w:w="15" w:type="dxa"/>
              <w:right w:w="15" w:type="dxa"/>
            </w:tcMar>
            <w:vAlign w:val="bottom"/>
          </w:tcPr>
          <w:p w14:paraId="3973F2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2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26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(1,928</w:t>
            </w:r>
          </w:p>
        </w:tc>
        <w:tc>
          <w:tcPr>
            <w:tcW w:w="50" w:type="pct"/>
            <w:shd w:val="clear" w:color="auto" w:fill="CFF0FC"/>
            <w:noWrap/>
            <w:tcMar>
              <w:top w:w="15" w:type="dxa"/>
              <w:right w:w="15" w:type="dxa"/>
            </w:tcMar>
            <w:vAlign w:val="bottom"/>
          </w:tcPr>
          <w:p w14:paraId="3973F26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277" w14:textId="77777777">
        <w:tc>
          <w:tcPr>
            <w:tcW w:w="3281" w:type="pct"/>
            <w:shd w:val="clear" w:color="auto" w:fill="FFFFFF"/>
            <w:tcMar>
              <w:top w:w="15" w:type="dxa"/>
              <w:right w:w="15" w:type="dxa"/>
            </w:tcMar>
          </w:tcPr>
          <w:p w14:paraId="3973F2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Effective income tax expense (benefit) rate</w:t>
            </w:r>
          </w:p>
        </w:tc>
        <w:tc>
          <w:tcPr>
            <w:tcW w:w="77" w:type="pct"/>
            <w:shd w:val="clear" w:color="auto" w:fill="FFFFFF"/>
            <w:tcMar>
              <w:top w:w="15" w:type="dxa"/>
              <w:right w:w="15" w:type="dxa"/>
            </w:tcMar>
            <w:vAlign w:val="bottom"/>
          </w:tcPr>
          <w:p w14:paraId="3973F26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5" w:type="pct"/>
            <w:gridSpan w:val="2"/>
            <w:tcBorders>
              <w:top w:val="double" w:sz="6" w:space="0" w:color="000000"/>
            </w:tcBorders>
            <w:shd w:val="clear" w:color="auto" w:fill="FFFFFF"/>
            <w:tcMar>
              <w:top w:w="15" w:type="dxa"/>
              <w:right w:w="15" w:type="dxa"/>
            </w:tcMar>
            <w:vAlign w:val="bottom"/>
          </w:tcPr>
          <w:p w14:paraId="3973F26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FFFFFF"/>
            <w:noWrap/>
            <w:tcMar>
              <w:top w:w="15" w:type="dxa"/>
              <w:right w:w="15" w:type="dxa"/>
            </w:tcMar>
            <w:vAlign w:val="bottom"/>
          </w:tcPr>
          <w:p w14:paraId="3973F2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45" w:type="pct"/>
            <w:gridSpan w:val="2"/>
            <w:tcBorders>
              <w:top w:val="double" w:sz="6" w:space="0" w:color="000000"/>
            </w:tcBorders>
            <w:shd w:val="clear" w:color="auto" w:fill="FFFFFF"/>
            <w:tcMar>
              <w:top w:w="15" w:type="dxa"/>
              <w:right w:w="15" w:type="dxa"/>
            </w:tcMar>
            <w:vAlign w:val="bottom"/>
          </w:tcPr>
          <w:p w14:paraId="3973F27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FFFFFF"/>
            <w:noWrap/>
            <w:tcMar>
              <w:top w:w="15" w:type="dxa"/>
              <w:right w:w="15" w:type="dxa"/>
            </w:tcMar>
            <w:vAlign w:val="bottom"/>
          </w:tcPr>
          <w:p w14:paraId="3973F2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7" w:type="pct"/>
            <w:shd w:val="clear" w:color="auto" w:fill="FFFFFF"/>
            <w:tcMar>
              <w:top w:w="15" w:type="dxa"/>
              <w:right w:w="15" w:type="dxa"/>
            </w:tcMar>
            <w:vAlign w:val="bottom"/>
          </w:tcPr>
          <w:p w14:paraId="3973F2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45" w:type="pct"/>
            <w:gridSpan w:val="2"/>
            <w:tcBorders>
              <w:top w:val="double" w:sz="6" w:space="0" w:color="000000"/>
            </w:tcBorders>
            <w:shd w:val="clear" w:color="auto" w:fill="FFFFFF"/>
            <w:tcMar>
              <w:top w:w="15" w:type="dxa"/>
              <w:right w:w="15" w:type="dxa"/>
            </w:tcMar>
            <w:vAlign w:val="bottom"/>
          </w:tcPr>
          <w:p w14:paraId="3973F27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right w:w="15" w:type="dxa"/>
            </w:tcMar>
            <w:vAlign w:val="bottom"/>
          </w:tcPr>
          <w:p w14:paraId="3973F276"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278" w14:textId="77777777" w:rsidR="007B027D" w:rsidRDefault="008E0125">
      <w:pPr>
        <w:pStyle w:val="a3"/>
        <w:spacing w:beforeAutospacing="0" w:afterAutospacing="0"/>
        <w:rPr>
          <w:sz w:val="12"/>
          <w:szCs w:val="12"/>
        </w:rPr>
      </w:pPr>
      <w:r>
        <w:rPr>
          <w:sz w:val="12"/>
          <w:szCs w:val="12"/>
        </w:rPr>
        <w:t> </w:t>
      </w:r>
    </w:p>
    <w:p w14:paraId="3973F279"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The (provision for) benefit from </w:t>
      </w:r>
      <w:r>
        <w:rPr>
          <w:rFonts w:ascii="Calibri" w:hAnsi="Calibri" w:cs="Calibri"/>
          <w:sz w:val="20"/>
          <w:szCs w:val="20"/>
        </w:rPr>
        <w:t>income taxes differed from the amount computed by applying the federal statutory rate to our income before income taxes as follows:</w:t>
      </w:r>
    </w:p>
    <w:p w14:paraId="3973F27A"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53"/>
        <w:gridCol w:w="119"/>
        <w:gridCol w:w="112"/>
        <w:gridCol w:w="648"/>
        <w:gridCol w:w="75"/>
        <w:gridCol w:w="120"/>
        <w:gridCol w:w="112"/>
        <w:gridCol w:w="649"/>
        <w:gridCol w:w="75"/>
        <w:gridCol w:w="120"/>
        <w:gridCol w:w="112"/>
        <w:gridCol w:w="651"/>
        <w:gridCol w:w="75"/>
      </w:tblGrid>
      <w:tr w:rsidR="007B027D" w14:paraId="3973F27F" w14:textId="77777777">
        <w:tc>
          <w:tcPr>
            <w:tcW w:w="3281" w:type="pct"/>
            <w:shd w:val="clear" w:color="auto" w:fill="FFFFFF"/>
            <w:tcMar>
              <w:top w:w="15" w:type="dxa"/>
              <w:right w:w="15" w:type="dxa"/>
            </w:tcMar>
            <w:vAlign w:val="bottom"/>
          </w:tcPr>
          <w:p w14:paraId="3973F27B"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3973F27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0" w:type="pct"/>
            <w:gridSpan w:val="10"/>
            <w:tcBorders>
              <w:bottom w:val="single" w:sz="6" w:space="0" w:color="000000"/>
            </w:tcBorders>
            <w:shd w:val="clear" w:color="auto" w:fill="FFFFFF"/>
            <w:tcMar>
              <w:top w:w="15" w:type="dxa"/>
              <w:right w:w="15" w:type="dxa"/>
            </w:tcMar>
            <w:vAlign w:val="bottom"/>
          </w:tcPr>
          <w:p w14:paraId="3973F27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27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28A" w14:textId="77777777">
        <w:tc>
          <w:tcPr>
            <w:tcW w:w="3281" w:type="pct"/>
            <w:tcBorders>
              <w:bottom w:val="single" w:sz="6" w:space="0" w:color="000000"/>
            </w:tcBorders>
            <w:shd w:val="clear" w:color="auto" w:fill="FFFFFF"/>
            <w:tcMar>
              <w:top w:w="15" w:type="dxa"/>
              <w:right w:w="15" w:type="dxa"/>
            </w:tcMar>
            <w:vAlign w:val="bottom"/>
          </w:tcPr>
          <w:p w14:paraId="3973F28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7" w:type="pct"/>
            <w:shd w:val="clear" w:color="auto" w:fill="FFFFFF"/>
            <w:tcMar>
              <w:top w:w="15" w:type="dxa"/>
              <w:right w:w="15" w:type="dxa"/>
            </w:tcMar>
            <w:vAlign w:val="bottom"/>
          </w:tcPr>
          <w:p w14:paraId="3973F28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28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28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28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28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28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3973F28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5" w:type="pct"/>
            <w:gridSpan w:val="2"/>
            <w:tcBorders>
              <w:top w:val="single" w:sz="6" w:space="0" w:color="000000"/>
              <w:bottom w:val="single" w:sz="6" w:space="0" w:color="000000"/>
            </w:tcBorders>
            <w:shd w:val="clear" w:color="auto" w:fill="FFFFFF"/>
            <w:tcMar>
              <w:top w:w="15" w:type="dxa"/>
              <w:right w:w="15" w:type="dxa"/>
            </w:tcMar>
            <w:vAlign w:val="bottom"/>
          </w:tcPr>
          <w:p w14:paraId="3973F28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28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295" w14:textId="77777777">
        <w:tc>
          <w:tcPr>
            <w:tcW w:w="3281" w:type="pct"/>
            <w:tcBorders>
              <w:top w:val="single" w:sz="6" w:space="0" w:color="000000"/>
            </w:tcBorders>
            <w:shd w:val="clear" w:color="auto" w:fill="CFF0FC"/>
            <w:tcMar>
              <w:top w:w="15" w:type="dxa"/>
              <w:right w:w="15" w:type="dxa"/>
            </w:tcMar>
          </w:tcPr>
          <w:p w14:paraId="3973F28B"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U.S. federal statutory tax rate</w:t>
            </w:r>
          </w:p>
        </w:tc>
        <w:tc>
          <w:tcPr>
            <w:tcW w:w="77" w:type="pct"/>
            <w:shd w:val="clear" w:color="auto" w:fill="CFF0FC"/>
            <w:tcMar>
              <w:top w:w="15" w:type="dxa"/>
              <w:right w:w="15" w:type="dxa"/>
            </w:tcMar>
            <w:vAlign w:val="bottom"/>
          </w:tcPr>
          <w:p w14:paraId="3973F28C"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445" w:type="pct"/>
            <w:gridSpan w:val="2"/>
            <w:tcBorders>
              <w:top w:val="single" w:sz="6" w:space="0" w:color="000000"/>
            </w:tcBorders>
            <w:shd w:val="clear" w:color="auto" w:fill="CFF0FC"/>
            <w:tcMar>
              <w:top w:w="15" w:type="dxa"/>
              <w:right w:w="15" w:type="dxa"/>
            </w:tcMar>
            <w:vAlign w:val="bottom"/>
          </w:tcPr>
          <w:p w14:paraId="3973F28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right w:w="15" w:type="dxa"/>
            </w:tcMar>
            <w:vAlign w:val="bottom"/>
          </w:tcPr>
          <w:p w14:paraId="3973F28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28F"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45" w:type="pct"/>
            <w:gridSpan w:val="2"/>
            <w:tcBorders>
              <w:top w:val="single" w:sz="6" w:space="0" w:color="000000"/>
            </w:tcBorders>
            <w:shd w:val="clear" w:color="auto" w:fill="CFF0FC"/>
            <w:tcMar>
              <w:top w:w="15" w:type="dxa"/>
              <w:right w:w="15" w:type="dxa"/>
            </w:tcMar>
            <w:vAlign w:val="bottom"/>
          </w:tcPr>
          <w:p w14:paraId="3973F290"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right w:w="15" w:type="dxa"/>
            </w:tcMar>
            <w:vAlign w:val="bottom"/>
          </w:tcPr>
          <w:p w14:paraId="3973F291"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29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45" w:type="pct"/>
            <w:gridSpan w:val="2"/>
            <w:tcBorders>
              <w:top w:val="single" w:sz="6" w:space="0" w:color="000000"/>
            </w:tcBorders>
            <w:shd w:val="clear" w:color="auto" w:fill="CFF0FC"/>
            <w:tcMar>
              <w:top w:w="15" w:type="dxa"/>
              <w:right w:w="15" w:type="dxa"/>
            </w:tcMar>
            <w:vAlign w:val="bottom"/>
          </w:tcPr>
          <w:p w14:paraId="3973F293"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right w:w="15" w:type="dxa"/>
            </w:tcMar>
            <w:vAlign w:val="bottom"/>
          </w:tcPr>
          <w:p w14:paraId="3973F29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2A3" w14:textId="77777777">
        <w:tc>
          <w:tcPr>
            <w:tcW w:w="3281" w:type="pct"/>
            <w:shd w:val="clear" w:color="auto" w:fill="FFFFFF"/>
            <w:tcMar>
              <w:top w:w="15" w:type="dxa"/>
              <w:right w:w="15" w:type="dxa"/>
            </w:tcMar>
          </w:tcPr>
          <w:p w14:paraId="3973F29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Tax provision at statutory rate</w:t>
            </w:r>
          </w:p>
        </w:tc>
        <w:tc>
          <w:tcPr>
            <w:tcW w:w="77" w:type="pct"/>
            <w:shd w:val="clear" w:color="auto" w:fill="FFFFFF"/>
            <w:tcMar>
              <w:top w:w="15" w:type="dxa"/>
              <w:right w:w="15" w:type="dxa"/>
            </w:tcMar>
            <w:vAlign w:val="bottom"/>
          </w:tcPr>
          <w:p w14:paraId="3973F297"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3973F29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3973F299"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(1,606</w:t>
            </w:r>
          </w:p>
        </w:tc>
        <w:tc>
          <w:tcPr>
            <w:tcW w:w="50" w:type="pct"/>
            <w:shd w:val="clear" w:color="auto" w:fill="FFFFFF"/>
            <w:noWrap/>
            <w:tcMar>
              <w:top w:w="15" w:type="dxa"/>
              <w:right w:w="15" w:type="dxa"/>
            </w:tcMar>
            <w:vAlign w:val="bottom"/>
          </w:tcPr>
          <w:p w14:paraId="3973F29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FFFFFF"/>
            <w:tcMar>
              <w:top w:w="15" w:type="dxa"/>
              <w:right w:w="15" w:type="dxa"/>
            </w:tcMar>
            <w:vAlign w:val="bottom"/>
          </w:tcPr>
          <w:p w14:paraId="3973F29B"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9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3973F29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(2,730</w:t>
            </w:r>
          </w:p>
        </w:tc>
        <w:tc>
          <w:tcPr>
            <w:tcW w:w="50" w:type="pct"/>
            <w:shd w:val="clear" w:color="auto" w:fill="FFFFFF"/>
            <w:noWrap/>
            <w:tcMar>
              <w:top w:w="15" w:type="dxa"/>
              <w:right w:w="15" w:type="dxa"/>
            </w:tcMar>
            <w:vAlign w:val="bottom"/>
          </w:tcPr>
          <w:p w14:paraId="3973F29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FFFFFF"/>
            <w:tcMar>
              <w:top w:w="15" w:type="dxa"/>
              <w:right w:w="15" w:type="dxa"/>
            </w:tcMar>
            <w:vAlign w:val="bottom"/>
          </w:tcPr>
          <w:p w14:paraId="3973F29F"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A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3973F2A1"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(2,533</w:t>
            </w:r>
          </w:p>
        </w:tc>
        <w:tc>
          <w:tcPr>
            <w:tcW w:w="50" w:type="pct"/>
            <w:shd w:val="clear" w:color="auto" w:fill="FFFFFF"/>
            <w:noWrap/>
            <w:tcMar>
              <w:top w:w="15" w:type="dxa"/>
              <w:right w:w="15" w:type="dxa"/>
            </w:tcMar>
            <w:vAlign w:val="bottom"/>
          </w:tcPr>
          <w:p w14:paraId="3973F2A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7B027D" w14:paraId="3973F2B1" w14:textId="77777777">
        <w:tc>
          <w:tcPr>
            <w:tcW w:w="3281" w:type="pct"/>
            <w:shd w:val="clear" w:color="auto" w:fill="CFF0FC"/>
            <w:tcMar>
              <w:top w:w="15" w:type="dxa"/>
              <w:right w:w="15" w:type="dxa"/>
            </w:tcMar>
          </w:tcPr>
          <w:p w14:paraId="3973F2A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Foreign earnings at other than United States rates</w:t>
            </w:r>
          </w:p>
        </w:tc>
        <w:tc>
          <w:tcPr>
            <w:tcW w:w="77" w:type="pct"/>
            <w:shd w:val="clear" w:color="auto" w:fill="CFF0FC"/>
            <w:tcMar>
              <w:top w:w="15" w:type="dxa"/>
              <w:right w:w="15" w:type="dxa"/>
            </w:tcMar>
            <w:vAlign w:val="bottom"/>
          </w:tcPr>
          <w:p w14:paraId="3973F2A5"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3973F2A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A7"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536</w:t>
            </w:r>
          </w:p>
        </w:tc>
        <w:tc>
          <w:tcPr>
            <w:tcW w:w="50" w:type="pct"/>
            <w:shd w:val="clear" w:color="auto" w:fill="CFF0FC"/>
            <w:noWrap/>
            <w:tcMar>
              <w:top w:w="15" w:type="dxa"/>
              <w:right w:w="15" w:type="dxa"/>
            </w:tcMar>
            <w:vAlign w:val="bottom"/>
          </w:tcPr>
          <w:p w14:paraId="3973F2A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2A9"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A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AB"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580</w:t>
            </w:r>
          </w:p>
        </w:tc>
        <w:tc>
          <w:tcPr>
            <w:tcW w:w="50" w:type="pct"/>
            <w:shd w:val="clear" w:color="auto" w:fill="CFF0FC"/>
            <w:noWrap/>
            <w:tcMar>
              <w:top w:w="15" w:type="dxa"/>
              <w:right w:w="15" w:type="dxa"/>
            </w:tcMar>
            <w:vAlign w:val="bottom"/>
          </w:tcPr>
          <w:p w14:paraId="3973F2A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2AD"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A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AF"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496</w:t>
            </w:r>
          </w:p>
        </w:tc>
        <w:tc>
          <w:tcPr>
            <w:tcW w:w="50" w:type="pct"/>
            <w:shd w:val="clear" w:color="auto" w:fill="CFF0FC"/>
            <w:noWrap/>
            <w:tcMar>
              <w:top w:w="15" w:type="dxa"/>
              <w:right w:w="15" w:type="dxa"/>
            </w:tcMar>
            <w:vAlign w:val="bottom"/>
          </w:tcPr>
          <w:p w14:paraId="3973F2B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2BF" w14:textId="77777777">
        <w:tc>
          <w:tcPr>
            <w:tcW w:w="3281" w:type="pct"/>
            <w:shd w:val="clear" w:color="auto" w:fill="FFFFFF"/>
            <w:tcMar>
              <w:top w:w="15" w:type="dxa"/>
              <w:right w:w="15" w:type="dxa"/>
            </w:tcMar>
          </w:tcPr>
          <w:p w14:paraId="3973F2B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Net impact of intra-entity IP transfer</w:t>
            </w:r>
          </w:p>
        </w:tc>
        <w:tc>
          <w:tcPr>
            <w:tcW w:w="77" w:type="pct"/>
            <w:shd w:val="clear" w:color="auto" w:fill="FFFFFF"/>
            <w:tcMar>
              <w:top w:w="15" w:type="dxa"/>
              <w:right w:w="15" w:type="dxa"/>
            </w:tcMar>
            <w:vAlign w:val="bottom"/>
          </w:tcPr>
          <w:p w14:paraId="3973F2B3"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3973F2B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B5"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right w:w="15" w:type="dxa"/>
            </w:tcMar>
            <w:vAlign w:val="bottom"/>
          </w:tcPr>
          <w:p w14:paraId="3973F2B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2B7"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B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B9"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2,266</w:t>
            </w:r>
          </w:p>
        </w:tc>
        <w:tc>
          <w:tcPr>
            <w:tcW w:w="50" w:type="pct"/>
            <w:shd w:val="clear" w:color="auto" w:fill="FFFFFF"/>
            <w:noWrap/>
            <w:tcMar>
              <w:top w:w="15" w:type="dxa"/>
              <w:right w:w="15" w:type="dxa"/>
            </w:tcMar>
            <w:vAlign w:val="bottom"/>
          </w:tcPr>
          <w:p w14:paraId="3973F2B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2BB"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B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B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right w:w="15" w:type="dxa"/>
            </w:tcMar>
            <w:vAlign w:val="bottom"/>
          </w:tcPr>
          <w:p w14:paraId="3973F2B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2CD" w14:textId="77777777">
        <w:tc>
          <w:tcPr>
            <w:tcW w:w="3281" w:type="pct"/>
            <w:shd w:val="clear" w:color="auto" w:fill="CFF0FC"/>
            <w:tcMar>
              <w:top w:w="15" w:type="dxa"/>
              <w:right w:w="15" w:type="dxa"/>
            </w:tcMar>
          </w:tcPr>
          <w:p w14:paraId="3973F2C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xml:space="preserve">State tax </w:t>
            </w:r>
            <w:r>
              <w:rPr>
                <w:rFonts w:ascii="Calibri" w:hAnsi="Calibri" w:cs="Calibri"/>
                <w:color w:val="000000"/>
                <w:sz w:val="19"/>
                <w:szCs w:val="19"/>
              </w:rPr>
              <w:t>expense, net of federal benefit</w:t>
            </w:r>
          </w:p>
        </w:tc>
        <w:tc>
          <w:tcPr>
            <w:tcW w:w="77" w:type="pct"/>
            <w:shd w:val="clear" w:color="auto" w:fill="CFF0FC"/>
            <w:tcMar>
              <w:top w:w="15" w:type="dxa"/>
              <w:right w:w="15" w:type="dxa"/>
            </w:tcMar>
            <w:vAlign w:val="bottom"/>
          </w:tcPr>
          <w:p w14:paraId="3973F2C1"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3973F2C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C3"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(132</w:t>
            </w:r>
          </w:p>
        </w:tc>
        <w:tc>
          <w:tcPr>
            <w:tcW w:w="50" w:type="pct"/>
            <w:shd w:val="clear" w:color="auto" w:fill="CFF0FC"/>
            <w:noWrap/>
            <w:tcMar>
              <w:top w:w="15" w:type="dxa"/>
              <w:right w:w="15" w:type="dxa"/>
            </w:tcMar>
            <w:vAlign w:val="bottom"/>
          </w:tcPr>
          <w:p w14:paraId="3973F2C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CFF0FC"/>
            <w:tcMar>
              <w:top w:w="15" w:type="dxa"/>
              <w:right w:w="15" w:type="dxa"/>
            </w:tcMar>
            <w:vAlign w:val="bottom"/>
          </w:tcPr>
          <w:p w14:paraId="3973F2C5"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C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C7"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(206</w:t>
            </w:r>
          </w:p>
        </w:tc>
        <w:tc>
          <w:tcPr>
            <w:tcW w:w="50" w:type="pct"/>
            <w:shd w:val="clear" w:color="auto" w:fill="CFF0FC"/>
            <w:noWrap/>
            <w:tcMar>
              <w:top w:w="15" w:type="dxa"/>
              <w:right w:w="15" w:type="dxa"/>
            </w:tcMar>
            <w:vAlign w:val="bottom"/>
          </w:tcPr>
          <w:p w14:paraId="3973F2C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CFF0FC"/>
            <w:tcMar>
              <w:top w:w="15" w:type="dxa"/>
              <w:right w:w="15" w:type="dxa"/>
            </w:tcMar>
            <w:vAlign w:val="bottom"/>
          </w:tcPr>
          <w:p w14:paraId="3973F2C9"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C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CB"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(172</w:t>
            </w:r>
          </w:p>
        </w:tc>
        <w:tc>
          <w:tcPr>
            <w:tcW w:w="50" w:type="pct"/>
            <w:shd w:val="clear" w:color="auto" w:fill="CFF0FC"/>
            <w:noWrap/>
            <w:tcMar>
              <w:top w:w="15" w:type="dxa"/>
              <w:right w:w="15" w:type="dxa"/>
            </w:tcMar>
            <w:vAlign w:val="bottom"/>
          </w:tcPr>
          <w:p w14:paraId="3973F2C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7B027D" w14:paraId="3973F2DB" w14:textId="77777777">
        <w:tc>
          <w:tcPr>
            <w:tcW w:w="3281" w:type="pct"/>
            <w:shd w:val="clear" w:color="auto" w:fill="FFFFFF"/>
            <w:tcMar>
              <w:top w:w="15" w:type="dxa"/>
              <w:right w:w="15" w:type="dxa"/>
            </w:tcMar>
          </w:tcPr>
          <w:p w14:paraId="3973F2C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Settlements and releases from judicial decisions and statute expirations, net</w:t>
            </w:r>
          </w:p>
        </w:tc>
        <w:tc>
          <w:tcPr>
            <w:tcW w:w="77" w:type="pct"/>
            <w:shd w:val="clear" w:color="auto" w:fill="FFFFFF"/>
            <w:tcMar>
              <w:top w:w="15" w:type="dxa"/>
              <w:right w:w="15" w:type="dxa"/>
            </w:tcMar>
            <w:vAlign w:val="bottom"/>
          </w:tcPr>
          <w:p w14:paraId="3973F2CF"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3973F2D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D1"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263</w:t>
            </w:r>
          </w:p>
        </w:tc>
        <w:tc>
          <w:tcPr>
            <w:tcW w:w="50" w:type="pct"/>
            <w:shd w:val="clear" w:color="auto" w:fill="FFFFFF"/>
            <w:noWrap/>
            <w:tcMar>
              <w:top w:w="15" w:type="dxa"/>
              <w:right w:w="15" w:type="dxa"/>
            </w:tcMar>
            <w:vAlign w:val="bottom"/>
          </w:tcPr>
          <w:p w14:paraId="3973F2D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2D3"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D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D5"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582</w:t>
            </w:r>
          </w:p>
        </w:tc>
        <w:tc>
          <w:tcPr>
            <w:tcW w:w="50" w:type="pct"/>
            <w:shd w:val="clear" w:color="auto" w:fill="FFFFFF"/>
            <w:noWrap/>
            <w:tcMar>
              <w:top w:w="15" w:type="dxa"/>
              <w:right w:w="15" w:type="dxa"/>
            </w:tcMar>
            <w:vAlign w:val="bottom"/>
          </w:tcPr>
          <w:p w14:paraId="3973F2D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2D7"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D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D9"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137</w:t>
            </w:r>
          </w:p>
        </w:tc>
        <w:tc>
          <w:tcPr>
            <w:tcW w:w="50" w:type="pct"/>
            <w:shd w:val="clear" w:color="auto" w:fill="FFFFFF"/>
            <w:noWrap/>
            <w:tcMar>
              <w:top w:w="15" w:type="dxa"/>
              <w:right w:w="15" w:type="dxa"/>
            </w:tcMar>
            <w:vAlign w:val="bottom"/>
          </w:tcPr>
          <w:p w14:paraId="3973F2D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2E9" w14:textId="77777777">
        <w:tc>
          <w:tcPr>
            <w:tcW w:w="3281" w:type="pct"/>
            <w:shd w:val="clear" w:color="auto" w:fill="CFF0FC"/>
            <w:tcMar>
              <w:top w:w="15" w:type="dxa"/>
              <w:right w:w="15" w:type="dxa"/>
            </w:tcMar>
          </w:tcPr>
          <w:p w14:paraId="3973F2D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Tax contingency interest accrual, net</w:t>
            </w:r>
          </w:p>
        </w:tc>
        <w:tc>
          <w:tcPr>
            <w:tcW w:w="77" w:type="pct"/>
            <w:shd w:val="clear" w:color="auto" w:fill="CFF0FC"/>
            <w:tcMar>
              <w:top w:w="15" w:type="dxa"/>
              <w:right w:w="15" w:type="dxa"/>
            </w:tcMar>
            <w:vAlign w:val="bottom"/>
          </w:tcPr>
          <w:p w14:paraId="3973F2DD"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3973F2D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DF"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(44</w:t>
            </w:r>
          </w:p>
        </w:tc>
        <w:tc>
          <w:tcPr>
            <w:tcW w:w="50" w:type="pct"/>
            <w:shd w:val="clear" w:color="auto" w:fill="CFF0FC"/>
            <w:noWrap/>
            <w:tcMar>
              <w:top w:w="15" w:type="dxa"/>
              <w:right w:w="15" w:type="dxa"/>
            </w:tcMar>
            <w:vAlign w:val="bottom"/>
          </w:tcPr>
          <w:p w14:paraId="3973F2E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CFF0FC"/>
            <w:tcMar>
              <w:top w:w="15" w:type="dxa"/>
              <w:right w:w="15" w:type="dxa"/>
            </w:tcMar>
            <w:vAlign w:val="bottom"/>
          </w:tcPr>
          <w:p w14:paraId="3973F2E1"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E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E3"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(55</w:t>
            </w:r>
          </w:p>
        </w:tc>
        <w:tc>
          <w:tcPr>
            <w:tcW w:w="50" w:type="pct"/>
            <w:shd w:val="clear" w:color="auto" w:fill="CFF0FC"/>
            <w:noWrap/>
            <w:tcMar>
              <w:top w:w="15" w:type="dxa"/>
              <w:right w:w="15" w:type="dxa"/>
            </w:tcMar>
            <w:vAlign w:val="bottom"/>
          </w:tcPr>
          <w:p w14:paraId="3973F2E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CFF0FC"/>
            <w:tcMar>
              <w:top w:w="15" w:type="dxa"/>
              <w:right w:w="15" w:type="dxa"/>
            </w:tcMar>
            <w:vAlign w:val="bottom"/>
          </w:tcPr>
          <w:p w14:paraId="3973F2E5"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E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E7"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(163</w:t>
            </w:r>
          </w:p>
        </w:tc>
        <w:tc>
          <w:tcPr>
            <w:tcW w:w="50" w:type="pct"/>
            <w:shd w:val="clear" w:color="auto" w:fill="CFF0FC"/>
            <w:noWrap/>
            <w:tcMar>
              <w:top w:w="15" w:type="dxa"/>
              <w:right w:w="15" w:type="dxa"/>
            </w:tcMar>
            <w:vAlign w:val="bottom"/>
          </w:tcPr>
          <w:p w14:paraId="3973F2E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7B027D" w14:paraId="3973F2F7" w14:textId="77777777">
        <w:tc>
          <w:tcPr>
            <w:tcW w:w="3281" w:type="pct"/>
            <w:shd w:val="clear" w:color="auto" w:fill="FFFFFF"/>
            <w:tcMar>
              <w:top w:w="15" w:type="dxa"/>
              <w:right w:w="15" w:type="dxa"/>
            </w:tcMar>
          </w:tcPr>
          <w:p w14:paraId="3973F2E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Domestic tax contingency, net</w:t>
            </w:r>
          </w:p>
        </w:tc>
        <w:tc>
          <w:tcPr>
            <w:tcW w:w="77" w:type="pct"/>
            <w:shd w:val="clear" w:color="auto" w:fill="FFFFFF"/>
            <w:tcMar>
              <w:top w:w="15" w:type="dxa"/>
              <w:right w:w="15" w:type="dxa"/>
            </w:tcMar>
            <w:vAlign w:val="bottom"/>
          </w:tcPr>
          <w:p w14:paraId="3973F2EB"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3973F2E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E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(441</w:t>
            </w:r>
          </w:p>
        </w:tc>
        <w:tc>
          <w:tcPr>
            <w:tcW w:w="50" w:type="pct"/>
            <w:shd w:val="clear" w:color="auto" w:fill="FFFFFF"/>
            <w:noWrap/>
            <w:tcMar>
              <w:top w:w="15" w:type="dxa"/>
              <w:right w:w="15" w:type="dxa"/>
            </w:tcMar>
            <w:vAlign w:val="bottom"/>
          </w:tcPr>
          <w:p w14:paraId="3973F2E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FFFFFF"/>
            <w:tcMar>
              <w:top w:w="15" w:type="dxa"/>
              <w:right w:w="15" w:type="dxa"/>
            </w:tcMar>
            <w:vAlign w:val="bottom"/>
          </w:tcPr>
          <w:p w14:paraId="3973F2EF"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F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F1"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(282</w:t>
            </w:r>
          </w:p>
        </w:tc>
        <w:tc>
          <w:tcPr>
            <w:tcW w:w="50" w:type="pct"/>
            <w:shd w:val="clear" w:color="auto" w:fill="FFFFFF"/>
            <w:noWrap/>
            <w:tcMar>
              <w:top w:w="15" w:type="dxa"/>
              <w:right w:w="15" w:type="dxa"/>
            </w:tcMar>
            <w:vAlign w:val="bottom"/>
          </w:tcPr>
          <w:p w14:paraId="3973F2F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FFFFFF"/>
            <w:tcMar>
              <w:top w:w="15" w:type="dxa"/>
              <w:right w:w="15" w:type="dxa"/>
            </w:tcMar>
            <w:vAlign w:val="bottom"/>
          </w:tcPr>
          <w:p w14:paraId="3973F2F3"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2F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2F5"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(58</w:t>
            </w:r>
          </w:p>
        </w:tc>
        <w:tc>
          <w:tcPr>
            <w:tcW w:w="50" w:type="pct"/>
            <w:shd w:val="clear" w:color="auto" w:fill="FFFFFF"/>
            <w:noWrap/>
            <w:tcMar>
              <w:top w:w="15" w:type="dxa"/>
              <w:right w:w="15" w:type="dxa"/>
            </w:tcMar>
            <w:vAlign w:val="bottom"/>
          </w:tcPr>
          <w:p w14:paraId="3973F2F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7B027D" w14:paraId="3973F305" w14:textId="77777777">
        <w:tc>
          <w:tcPr>
            <w:tcW w:w="3281" w:type="pct"/>
            <w:shd w:val="clear" w:color="auto" w:fill="CFF0FC"/>
            <w:tcMar>
              <w:top w:w="15" w:type="dxa"/>
              <w:right w:w="15" w:type="dxa"/>
            </w:tcMar>
          </w:tcPr>
          <w:p w14:paraId="3973F2F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Federal research and development credit</w:t>
            </w:r>
          </w:p>
        </w:tc>
        <w:tc>
          <w:tcPr>
            <w:tcW w:w="77" w:type="pct"/>
            <w:shd w:val="clear" w:color="auto" w:fill="CFF0FC"/>
            <w:tcMar>
              <w:top w:w="15" w:type="dxa"/>
              <w:right w:w="15" w:type="dxa"/>
            </w:tcMar>
            <w:vAlign w:val="bottom"/>
          </w:tcPr>
          <w:p w14:paraId="3973F2F9"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3973F2F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FB"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222</w:t>
            </w:r>
          </w:p>
        </w:tc>
        <w:tc>
          <w:tcPr>
            <w:tcW w:w="50" w:type="pct"/>
            <w:shd w:val="clear" w:color="auto" w:fill="CFF0FC"/>
            <w:noWrap/>
            <w:tcMar>
              <w:top w:w="15" w:type="dxa"/>
              <w:right w:w="15" w:type="dxa"/>
            </w:tcMar>
            <w:vAlign w:val="bottom"/>
          </w:tcPr>
          <w:p w14:paraId="3973F2F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2FD"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2F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2FF"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169</w:t>
            </w:r>
          </w:p>
        </w:tc>
        <w:tc>
          <w:tcPr>
            <w:tcW w:w="50" w:type="pct"/>
            <w:shd w:val="clear" w:color="auto" w:fill="CFF0FC"/>
            <w:noWrap/>
            <w:tcMar>
              <w:top w:w="15" w:type="dxa"/>
              <w:right w:w="15" w:type="dxa"/>
            </w:tcMar>
            <w:vAlign w:val="bottom"/>
          </w:tcPr>
          <w:p w14:paraId="3973F30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301"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3973F30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3973F303"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151</w:t>
            </w:r>
          </w:p>
        </w:tc>
        <w:tc>
          <w:tcPr>
            <w:tcW w:w="50" w:type="pct"/>
            <w:shd w:val="clear" w:color="auto" w:fill="CFF0FC"/>
            <w:noWrap/>
            <w:tcMar>
              <w:top w:w="15" w:type="dxa"/>
              <w:right w:w="15" w:type="dxa"/>
            </w:tcMar>
            <w:vAlign w:val="bottom"/>
          </w:tcPr>
          <w:p w14:paraId="3973F30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313" w14:textId="77777777">
        <w:tc>
          <w:tcPr>
            <w:tcW w:w="3281" w:type="pct"/>
            <w:shd w:val="clear" w:color="auto" w:fill="FFFFFF"/>
            <w:tcMar>
              <w:top w:w="15" w:type="dxa"/>
              <w:right w:w="15" w:type="dxa"/>
            </w:tcMar>
          </w:tcPr>
          <w:p w14:paraId="3973F30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77" w:type="pct"/>
            <w:shd w:val="clear" w:color="auto" w:fill="FFFFFF"/>
            <w:tcMar>
              <w:top w:w="15" w:type="dxa"/>
              <w:right w:w="15" w:type="dxa"/>
            </w:tcMar>
            <w:vAlign w:val="bottom"/>
          </w:tcPr>
          <w:p w14:paraId="3973F307"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3973F30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309"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263</w:t>
            </w:r>
          </w:p>
        </w:tc>
        <w:tc>
          <w:tcPr>
            <w:tcW w:w="50" w:type="pct"/>
            <w:shd w:val="clear" w:color="auto" w:fill="FFFFFF"/>
            <w:noWrap/>
            <w:tcMar>
              <w:top w:w="15" w:type="dxa"/>
              <w:right w:w="15" w:type="dxa"/>
            </w:tcMar>
            <w:vAlign w:val="bottom"/>
          </w:tcPr>
          <w:p w14:paraId="3973F30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30B"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30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30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300</w:t>
            </w:r>
          </w:p>
        </w:tc>
        <w:tc>
          <w:tcPr>
            <w:tcW w:w="50" w:type="pct"/>
            <w:shd w:val="clear" w:color="auto" w:fill="FFFFFF"/>
            <w:noWrap/>
            <w:tcMar>
              <w:top w:w="15" w:type="dxa"/>
              <w:right w:w="15" w:type="dxa"/>
            </w:tcMar>
            <w:vAlign w:val="bottom"/>
          </w:tcPr>
          <w:p w14:paraId="3973F30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30F"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3973F31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3973F311"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166</w:t>
            </w:r>
          </w:p>
        </w:tc>
        <w:tc>
          <w:tcPr>
            <w:tcW w:w="50" w:type="pct"/>
            <w:shd w:val="clear" w:color="auto" w:fill="FFFFFF"/>
            <w:noWrap/>
            <w:tcMar>
              <w:top w:w="15" w:type="dxa"/>
              <w:right w:w="15" w:type="dxa"/>
            </w:tcMar>
            <w:vAlign w:val="bottom"/>
          </w:tcPr>
          <w:p w14:paraId="3973F312"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321" w14:textId="77777777">
        <w:tc>
          <w:tcPr>
            <w:tcW w:w="3281" w:type="pct"/>
            <w:shd w:val="clear" w:color="auto" w:fill="CFF0FC"/>
            <w:tcMar>
              <w:top w:w="15" w:type="dxa"/>
              <w:right w:w="15" w:type="dxa"/>
            </w:tcMar>
          </w:tcPr>
          <w:p w14:paraId="3973F31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Other, net</w:t>
            </w:r>
          </w:p>
        </w:tc>
        <w:tc>
          <w:tcPr>
            <w:tcW w:w="77" w:type="pct"/>
            <w:shd w:val="clear" w:color="auto" w:fill="CFF0FC"/>
            <w:tcMar>
              <w:top w:w="15" w:type="dxa"/>
              <w:right w:w="15" w:type="dxa"/>
            </w:tcMar>
            <w:vAlign w:val="bottom"/>
          </w:tcPr>
          <w:p w14:paraId="3973F315"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3973F31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3973F317"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w:t>
            </w:r>
          </w:p>
        </w:tc>
        <w:tc>
          <w:tcPr>
            <w:tcW w:w="50" w:type="pct"/>
            <w:shd w:val="clear" w:color="auto" w:fill="CFF0FC"/>
            <w:noWrap/>
            <w:tcMar>
              <w:top w:w="15" w:type="dxa"/>
              <w:right w:w="15" w:type="dxa"/>
            </w:tcMar>
            <w:vAlign w:val="bottom"/>
          </w:tcPr>
          <w:p w14:paraId="3973F31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319"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3973F31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3973F31B"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123</w:t>
            </w:r>
          </w:p>
        </w:tc>
        <w:tc>
          <w:tcPr>
            <w:tcW w:w="50" w:type="pct"/>
            <w:shd w:val="clear" w:color="auto" w:fill="CFF0FC"/>
            <w:noWrap/>
            <w:tcMar>
              <w:top w:w="15" w:type="dxa"/>
              <w:right w:w="15" w:type="dxa"/>
            </w:tcMar>
            <w:vAlign w:val="bottom"/>
          </w:tcPr>
          <w:p w14:paraId="3973F31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CFF0FC"/>
            <w:tcMar>
              <w:top w:w="15" w:type="dxa"/>
              <w:right w:w="15" w:type="dxa"/>
            </w:tcMar>
            <w:vAlign w:val="bottom"/>
          </w:tcPr>
          <w:p w14:paraId="3973F31D"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3973F31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3973F31F"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48</w:t>
            </w:r>
          </w:p>
        </w:tc>
        <w:tc>
          <w:tcPr>
            <w:tcW w:w="50" w:type="pct"/>
            <w:shd w:val="clear" w:color="auto" w:fill="CFF0FC"/>
            <w:noWrap/>
            <w:tcMar>
              <w:top w:w="15" w:type="dxa"/>
              <w:right w:w="15" w:type="dxa"/>
            </w:tcMar>
            <w:vAlign w:val="bottom"/>
          </w:tcPr>
          <w:p w14:paraId="3973F320"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7B027D" w14:paraId="3973F32F" w14:textId="77777777">
        <w:tc>
          <w:tcPr>
            <w:tcW w:w="3281" w:type="pct"/>
            <w:shd w:val="clear" w:color="auto" w:fill="FFFFFF"/>
            <w:tcMar>
              <w:top w:w="15" w:type="dxa"/>
              <w:right w:w="15" w:type="dxa"/>
            </w:tcMar>
          </w:tcPr>
          <w:p w14:paraId="3973F322" w14:textId="77777777" w:rsidR="007B027D" w:rsidRDefault="008E0125">
            <w:pPr>
              <w:pStyle w:val="a3"/>
              <w:spacing w:beforeAutospacing="0" w:afterAutospacing="0"/>
              <w:ind w:left="274"/>
              <w:rPr>
                <w:rFonts w:ascii="Calibri" w:hAnsi="Calibri" w:cs="Calibri"/>
                <w:color w:val="000000"/>
                <w:sz w:val="19"/>
                <w:szCs w:val="19"/>
              </w:rPr>
            </w:pPr>
            <w:r>
              <w:rPr>
                <w:rFonts w:ascii="Calibri" w:hAnsi="Calibri" w:cs="Calibri"/>
                <w:color w:val="000000"/>
                <w:sz w:val="19"/>
                <w:szCs w:val="19"/>
              </w:rPr>
              <w:t xml:space="preserve">Total (provision for) </w:t>
            </w:r>
            <w:r>
              <w:rPr>
                <w:rFonts w:ascii="Calibri" w:hAnsi="Calibri" w:cs="Calibri"/>
                <w:color w:val="000000"/>
                <w:sz w:val="19"/>
                <w:szCs w:val="19"/>
              </w:rPr>
              <w:t>benefit from income taxes</w:t>
            </w:r>
          </w:p>
        </w:tc>
        <w:tc>
          <w:tcPr>
            <w:tcW w:w="77" w:type="pct"/>
            <w:shd w:val="clear" w:color="auto" w:fill="FFFFFF"/>
            <w:tcMar>
              <w:top w:w="15" w:type="dxa"/>
              <w:right w:w="15" w:type="dxa"/>
            </w:tcMar>
            <w:vAlign w:val="bottom"/>
          </w:tcPr>
          <w:p w14:paraId="3973F323" w14:textId="77777777" w:rsidR="007B027D" w:rsidRDefault="008E012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324"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3973F325"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(932</w:t>
            </w:r>
          </w:p>
        </w:tc>
        <w:tc>
          <w:tcPr>
            <w:tcW w:w="50" w:type="pct"/>
            <w:shd w:val="clear" w:color="auto" w:fill="FFFFFF"/>
            <w:noWrap/>
            <w:tcMar>
              <w:top w:w="15" w:type="dxa"/>
              <w:right w:w="15" w:type="dxa"/>
            </w:tcMar>
            <w:vAlign w:val="bottom"/>
          </w:tcPr>
          <w:p w14:paraId="3973F326"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7" w:type="pct"/>
            <w:shd w:val="clear" w:color="auto" w:fill="FFFFFF"/>
            <w:tcMar>
              <w:top w:w="15" w:type="dxa"/>
              <w:right w:w="15" w:type="dxa"/>
            </w:tcMar>
            <w:vAlign w:val="bottom"/>
          </w:tcPr>
          <w:p w14:paraId="3973F327"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328"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3973F329"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747</w:t>
            </w:r>
          </w:p>
        </w:tc>
        <w:tc>
          <w:tcPr>
            <w:tcW w:w="50" w:type="pct"/>
            <w:shd w:val="clear" w:color="auto" w:fill="FFFFFF"/>
            <w:noWrap/>
            <w:tcMar>
              <w:top w:w="15" w:type="dxa"/>
              <w:right w:w="15" w:type="dxa"/>
            </w:tcMar>
            <w:vAlign w:val="bottom"/>
          </w:tcPr>
          <w:p w14:paraId="3973F32A"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7" w:type="pct"/>
            <w:shd w:val="clear" w:color="auto" w:fill="FFFFFF"/>
            <w:tcMar>
              <w:top w:w="15" w:type="dxa"/>
              <w:right w:w="15" w:type="dxa"/>
            </w:tcMar>
            <w:vAlign w:val="bottom"/>
          </w:tcPr>
          <w:p w14:paraId="3973F32B"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32C"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3973F32D" w14:textId="77777777" w:rsidR="007B027D" w:rsidRDefault="008E012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(1,928</w:t>
            </w:r>
          </w:p>
        </w:tc>
        <w:tc>
          <w:tcPr>
            <w:tcW w:w="50" w:type="pct"/>
            <w:shd w:val="clear" w:color="auto" w:fill="FFFFFF"/>
            <w:noWrap/>
            <w:tcMar>
              <w:top w:w="15" w:type="dxa"/>
              <w:right w:w="15" w:type="dxa"/>
            </w:tcMar>
            <w:vAlign w:val="bottom"/>
          </w:tcPr>
          <w:p w14:paraId="3973F32E" w14:textId="77777777" w:rsidR="007B027D" w:rsidRDefault="008E012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bl>
    <w:p w14:paraId="3973F330" w14:textId="77777777" w:rsidR="007B027D" w:rsidRDefault="008E0125">
      <w:pPr>
        <w:pStyle w:val="a3"/>
        <w:spacing w:beforeAutospacing="0" w:afterAutospacing="0"/>
        <w:rPr>
          <w:sz w:val="12"/>
          <w:szCs w:val="12"/>
        </w:rPr>
      </w:pPr>
      <w:r>
        <w:rPr>
          <w:sz w:val="12"/>
          <w:szCs w:val="12"/>
        </w:rPr>
        <w:t> </w:t>
      </w:r>
    </w:p>
    <w:p w14:paraId="3973F331"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99</w:t>
      </w:r>
    </w:p>
    <w:p w14:paraId="3973F332" w14:textId="77777777" w:rsidR="007B027D" w:rsidRDefault="008E0125">
      <w:r>
        <w:rPr>
          <w:rFonts w:ascii="Calibri" w:hAnsi="Calibri" w:cs="Calibri"/>
          <w:sz w:val="20"/>
          <w:szCs w:val="20"/>
        </w:rPr>
        <w:pict w14:anchorId="3974009E">
          <v:rect id="_x0000_i1125" style="width:415.3pt;height:1.5pt" o:hralign="center" o:hrstd="t" o:hr="t" fillcolor="#a0a0a0" stroked="f"/>
        </w:pict>
      </w:r>
    </w:p>
    <w:p w14:paraId="3973F333" w14:textId="77777777" w:rsidR="007B027D" w:rsidRDefault="008E0125">
      <w:pPr>
        <w:pStyle w:val="a3"/>
        <w:spacing w:beforeAutospacing="0" w:after="120" w:afterAutospacing="0"/>
        <w:rPr>
          <w:rFonts w:ascii="Calibri" w:hAnsi="Calibri" w:cs="Calibri"/>
          <w:sz w:val="18"/>
          <w:szCs w:val="18"/>
        </w:rPr>
      </w:pPr>
      <w:hyperlink r:id="rId234" w:anchor="TABLE_OF_CONTENTS" w:history="1">
        <w:r>
          <w:rPr>
            <w:rStyle w:val="a5"/>
            <w:rFonts w:ascii="Calibri" w:hAnsi="Calibri" w:cs="Calibri"/>
            <w:sz w:val="18"/>
            <w:szCs w:val="18"/>
          </w:rPr>
          <w:t>Table of Contents</w:t>
        </w:r>
      </w:hyperlink>
    </w:p>
    <w:p w14:paraId="3973F334" w14:textId="77777777" w:rsidR="007B027D" w:rsidRDefault="008E0125">
      <w:pPr>
        <w:pStyle w:val="a3"/>
        <w:spacing w:beforeAutospacing="0" w:afterAutospacing="0"/>
        <w:rPr>
          <w:rFonts w:ascii="Calibri" w:hAnsi="Calibri" w:cs="Calibri"/>
          <w:sz w:val="18"/>
          <w:szCs w:val="18"/>
        </w:rPr>
      </w:pPr>
      <w:hyperlink r:id="rId235" w:anchor="ITEM_15_EXHIBITS_FINANCIAL_STATEMENT_SCH" w:history="1">
        <w:r>
          <w:rPr>
            <w:rStyle w:val="a5"/>
            <w:rFonts w:ascii="Calibri" w:hAnsi="Calibri" w:cs="Calibri"/>
            <w:sz w:val="18"/>
            <w:szCs w:val="18"/>
          </w:rPr>
          <w:t>Index to Financial Statements</w:t>
        </w:r>
      </w:hyperlink>
    </w:p>
    <w:p w14:paraId="3973F335"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336"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337"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338"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33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33A"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The components of our deferred tax assets and liabilities were as </w:t>
      </w:r>
      <w:r>
        <w:rPr>
          <w:rFonts w:ascii="Calibri" w:hAnsi="Calibri" w:cs="Calibri"/>
          <w:sz w:val="20"/>
          <w:szCs w:val="20"/>
        </w:rPr>
        <w:t>follows:</w:t>
      </w:r>
    </w:p>
    <w:p w14:paraId="3973F33B"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592"/>
        <w:gridCol w:w="113"/>
        <w:gridCol w:w="117"/>
        <w:gridCol w:w="1059"/>
        <w:gridCol w:w="76"/>
        <w:gridCol w:w="112"/>
        <w:gridCol w:w="117"/>
        <w:gridCol w:w="1059"/>
        <w:gridCol w:w="76"/>
      </w:tblGrid>
      <w:tr w:rsidR="007B027D" w14:paraId="3973F340" w14:textId="77777777">
        <w:tc>
          <w:tcPr>
            <w:tcW w:w="3365" w:type="pct"/>
            <w:shd w:val="clear" w:color="auto" w:fill="FFFFFF"/>
            <w:tcMar>
              <w:top w:w="15" w:type="dxa"/>
              <w:right w:w="15" w:type="dxa"/>
            </w:tcMar>
            <w:vAlign w:val="bottom"/>
          </w:tcPr>
          <w:p w14:paraId="3973F33C"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4" w:type="pct"/>
            <w:shd w:val="clear" w:color="auto" w:fill="FFFFFF"/>
            <w:tcMar>
              <w:top w:w="15" w:type="dxa"/>
              <w:right w:w="15" w:type="dxa"/>
            </w:tcMar>
            <w:vAlign w:val="bottom"/>
          </w:tcPr>
          <w:p w14:paraId="3973F33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8" w:type="pct"/>
            <w:gridSpan w:val="6"/>
            <w:tcBorders>
              <w:bottom w:val="single" w:sz="6" w:space="0" w:color="000000"/>
            </w:tcBorders>
            <w:shd w:val="clear" w:color="auto" w:fill="FFFFFF"/>
            <w:tcMar>
              <w:top w:w="15" w:type="dxa"/>
              <w:right w:w="15" w:type="dxa"/>
            </w:tcMar>
            <w:vAlign w:val="bottom"/>
          </w:tcPr>
          <w:p w14:paraId="3973F33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3973F33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348" w14:textId="77777777">
        <w:tc>
          <w:tcPr>
            <w:tcW w:w="3365" w:type="pct"/>
            <w:tcBorders>
              <w:bottom w:val="single" w:sz="6" w:space="0" w:color="000000"/>
            </w:tcBorders>
            <w:shd w:val="clear" w:color="auto" w:fill="FFFFFF"/>
            <w:tcMar>
              <w:top w:w="15" w:type="dxa"/>
              <w:right w:w="15" w:type="dxa"/>
            </w:tcMar>
            <w:vAlign w:val="bottom"/>
          </w:tcPr>
          <w:p w14:paraId="3973F34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4" w:type="pct"/>
            <w:shd w:val="clear" w:color="auto" w:fill="FFFFFF"/>
            <w:tcMar>
              <w:top w:w="15" w:type="dxa"/>
              <w:right w:w="15" w:type="dxa"/>
            </w:tcMar>
            <w:vAlign w:val="bottom"/>
          </w:tcPr>
          <w:p w14:paraId="3973F34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3973F34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34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tcBorders>
              <w:top w:val="single" w:sz="6" w:space="0" w:color="000000"/>
            </w:tcBorders>
            <w:shd w:val="clear" w:color="auto" w:fill="FFFFFF"/>
            <w:tcMar>
              <w:top w:w="15" w:type="dxa"/>
              <w:right w:w="15" w:type="dxa"/>
            </w:tcMar>
            <w:vAlign w:val="bottom"/>
          </w:tcPr>
          <w:p w14:paraId="3973F34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2"/>
            <w:tcBorders>
              <w:top w:val="single" w:sz="6" w:space="0" w:color="000000"/>
              <w:bottom w:val="single" w:sz="6" w:space="0" w:color="000000"/>
            </w:tcBorders>
            <w:shd w:val="clear" w:color="auto" w:fill="FFFFFF"/>
            <w:tcMar>
              <w:top w:w="15" w:type="dxa"/>
              <w:right w:w="15" w:type="dxa"/>
            </w:tcMar>
            <w:vAlign w:val="bottom"/>
          </w:tcPr>
          <w:p w14:paraId="3973F34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34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352" w14:textId="77777777">
        <w:tc>
          <w:tcPr>
            <w:tcW w:w="3365" w:type="pct"/>
            <w:tcBorders>
              <w:top w:val="single" w:sz="6" w:space="0" w:color="000000"/>
            </w:tcBorders>
            <w:shd w:val="clear" w:color="auto" w:fill="CFF0FC"/>
            <w:tcMar>
              <w:top w:w="15" w:type="dxa"/>
              <w:right w:w="15" w:type="dxa"/>
            </w:tcMar>
          </w:tcPr>
          <w:p w14:paraId="3973F34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assets:</w:t>
            </w:r>
          </w:p>
        </w:tc>
        <w:tc>
          <w:tcPr>
            <w:tcW w:w="74" w:type="pct"/>
            <w:shd w:val="clear" w:color="auto" w:fill="CFF0FC"/>
            <w:tcMar>
              <w:top w:w="15" w:type="dxa"/>
              <w:right w:w="15" w:type="dxa"/>
            </w:tcMar>
            <w:vAlign w:val="bottom"/>
          </w:tcPr>
          <w:p w14:paraId="3973F34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34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tcBorders>
            <w:shd w:val="clear" w:color="auto" w:fill="CFF0FC"/>
            <w:noWrap/>
            <w:tcMar>
              <w:top w:w="15" w:type="dxa"/>
              <w:right w:w="15" w:type="dxa"/>
            </w:tcMar>
            <w:vAlign w:val="bottom"/>
          </w:tcPr>
          <w:p w14:paraId="3973F34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4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34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tcBorders>
            <w:shd w:val="clear" w:color="auto" w:fill="CFF0FC"/>
            <w:noWrap/>
            <w:tcMar>
              <w:top w:w="15" w:type="dxa"/>
              <w:right w:w="15" w:type="dxa"/>
            </w:tcMar>
            <w:vAlign w:val="bottom"/>
          </w:tcPr>
          <w:p w14:paraId="3973F35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5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5C" w14:textId="77777777">
        <w:tc>
          <w:tcPr>
            <w:tcW w:w="3365" w:type="pct"/>
            <w:shd w:val="clear" w:color="auto" w:fill="FFFFFF"/>
            <w:tcMar>
              <w:top w:w="15" w:type="dxa"/>
              <w:right w:w="15" w:type="dxa"/>
            </w:tcMar>
          </w:tcPr>
          <w:p w14:paraId="3973F353"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Accruals and allowances</w:t>
            </w:r>
          </w:p>
        </w:tc>
        <w:tc>
          <w:tcPr>
            <w:tcW w:w="74" w:type="pct"/>
            <w:shd w:val="clear" w:color="auto" w:fill="FFFFFF"/>
            <w:tcMar>
              <w:top w:w="15" w:type="dxa"/>
              <w:right w:w="15" w:type="dxa"/>
            </w:tcMar>
            <w:vAlign w:val="bottom"/>
          </w:tcPr>
          <w:p w14:paraId="3973F35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5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shd w:val="clear" w:color="auto" w:fill="FFFFFF"/>
            <w:noWrap/>
            <w:tcMar>
              <w:top w:w="15" w:type="dxa"/>
              <w:right w:w="15" w:type="dxa"/>
            </w:tcMar>
            <w:vAlign w:val="bottom"/>
          </w:tcPr>
          <w:p w14:paraId="3973F35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493</w:t>
            </w:r>
          </w:p>
        </w:tc>
        <w:tc>
          <w:tcPr>
            <w:tcW w:w="50" w:type="pct"/>
            <w:shd w:val="clear" w:color="auto" w:fill="FFFFFF"/>
            <w:noWrap/>
            <w:tcMar>
              <w:top w:w="15" w:type="dxa"/>
              <w:right w:w="15" w:type="dxa"/>
            </w:tcMar>
            <w:vAlign w:val="bottom"/>
          </w:tcPr>
          <w:p w14:paraId="3973F35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5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5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shd w:val="clear" w:color="auto" w:fill="FFFFFF"/>
            <w:noWrap/>
            <w:tcMar>
              <w:top w:w="15" w:type="dxa"/>
              <w:right w:w="15" w:type="dxa"/>
            </w:tcMar>
            <w:vAlign w:val="bottom"/>
          </w:tcPr>
          <w:p w14:paraId="3973F35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452</w:t>
            </w:r>
          </w:p>
        </w:tc>
        <w:tc>
          <w:tcPr>
            <w:tcW w:w="50" w:type="pct"/>
            <w:shd w:val="clear" w:color="auto" w:fill="FFFFFF"/>
            <w:noWrap/>
            <w:tcMar>
              <w:top w:w="15" w:type="dxa"/>
              <w:right w:w="15" w:type="dxa"/>
            </w:tcMar>
            <w:vAlign w:val="bottom"/>
          </w:tcPr>
          <w:p w14:paraId="3973F3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66" w14:textId="77777777">
        <w:tc>
          <w:tcPr>
            <w:tcW w:w="3365" w:type="pct"/>
            <w:shd w:val="clear" w:color="auto" w:fill="CFF0FC"/>
            <w:tcMar>
              <w:top w:w="15" w:type="dxa"/>
              <w:right w:w="15" w:type="dxa"/>
            </w:tcMar>
          </w:tcPr>
          <w:p w14:paraId="3973F35D"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Employee compensation and benefits</w:t>
            </w:r>
          </w:p>
        </w:tc>
        <w:tc>
          <w:tcPr>
            <w:tcW w:w="74" w:type="pct"/>
            <w:shd w:val="clear" w:color="auto" w:fill="CFF0FC"/>
            <w:tcMar>
              <w:top w:w="15" w:type="dxa"/>
              <w:right w:w="15" w:type="dxa"/>
            </w:tcMar>
            <w:vAlign w:val="bottom"/>
          </w:tcPr>
          <w:p w14:paraId="3973F3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818</w:t>
            </w:r>
          </w:p>
        </w:tc>
        <w:tc>
          <w:tcPr>
            <w:tcW w:w="50" w:type="pct"/>
            <w:shd w:val="clear" w:color="auto" w:fill="CFF0FC"/>
            <w:noWrap/>
            <w:tcMar>
              <w:top w:w="15" w:type="dxa"/>
              <w:right w:w="15" w:type="dxa"/>
            </w:tcMar>
            <w:vAlign w:val="bottom"/>
          </w:tcPr>
          <w:p w14:paraId="3973F3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6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755</w:t>
            </w:r>
          </w:p>
        </w:tc>
        <w:tc>
          <w:tcPr>
            <w:tcW w:w="50" w:type="pct"/>
            <w:shd w:val="clear" w:color="auto" w:fill="CFF0FC"/>
            <w:noWrap/>
            <w:tcMar>
              <w:top w:w="15" w:type="dxa"/>
              <w:right w:w="15" w:type="dxa"/>
            </w:tcMar>
            <w:vAlign w:val="bottom"/>
          </w:tcPr>
          <w:p w14:paraId="3973F3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70" w14:textId="77777777">
        <w:tc>
          <w:tcPr>
            <w:tcW w:w="3365" w:type="pct"/>
            <w:shd w:val="clear" w:color="auto" w:fill="FFFFFF"/>
            <w:tcMar>
              <w:top w:w="15" w:type="dxa"/>
              <w:right w:w="15" w:type="dxa"/>
            </w:tcMar>
          </w:tcPr>
          <w:p w14:paraId="3973F367"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Differences in timing of revenue recognition</w:t>
            </w:r>
          </w:p>
        </w:tc>
        <w:tc>
          <w:tcPr>
            <w:tcW w:w="74" w:type="pct"/>
            <w:shd w:val="clear" w:color="auto" w:fill="FFFFFF"/>
            <w:tcMar>
              <w:top w:w="15" w:type="dxa"/>
              <w:right w:w="15" w:type="dxa"/>
            </w:tcMar>
            <w:vAlign w:val="bottom"/>
          </w:tcPr>
          <w:p w14:paraId="3973F3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6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623</w:t>
            </w:r>
          </w:p>
        </w:tc>
        <w:tc>
          <w:tcPr>
            <w:tcW w:w="50" w:type="pct"/>
            <w:shd w:val="clear" w:color="auto" w:fill="FFFFFF"/>
            <w:noWrap/>
            <w:tcMar>
              <w:top w:w="15" w:type="dxa"/>
              <w:right w:w="15" w:type="dxa"/>
            </w:tcMar>
            <w:vAlign w:val="bottom"/>
          </w:tcPr>
          <w:p w14:paraId="3973F36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6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547</w:t>
            </w:r>
          </w:p>
        </w:tc>
        <w:tc>
          <w:tcPr>
            <w:tcW w:w="50" w:type="pct"/>
            <w:shd w:val="clear" w:color="auto" w:fill="FFFFFF"/>
            <w:noWrap/>
            <w:tcMar>
              <w:top w:w="15" w:type="dxa"/>
              <w:right w:w="15" w:type="dxa"/>
            </w:tcMar>
            <w:vAlign w:val="bottom"/>
          </w:tcPr>
          <w:p w14:paraId="3973F3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7A" w14:textId="77777777">
        <w:tc>
          <w:tcPr>
            <w:tcW w:w="3365" w:type="pct"/>
            <w:shd w:val="clear" w:color="auto" w:fill="CFF0FC"/>
            <w:tcMar>
              <w:top w:w="15" w:type="dxa"/>
              <w:right w:w="15" w:type="dxa"/>
            </w:tcMar>
          </w:tcPr>
          <w:p w14:paraId="3973F371"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Lease liabilities</w:t>
            </w:r>
          </w:p>
        </w:tc>
        <w:tc>
          <w:tcPr>
            <w:tcW w:w="74" w:type="pct"/>
            <w:shd w:val="clear" w:color="auto" w:fill="CFF0FC"/>
            <w:tcMar>
              <w:top w:w="15" w:type="dxa"/>
              <w:right w:w="15" w:type="dxa"/>
            </w:tcMar>
            <w:vAlign w:val="bottom"/>
          </w:tcPr>
          <w:p w14:paraId="3973F3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7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688</w:t>
            </w:r>
          </w:p>
        </w:tc>
        <w:tc>
          <w:tcPr>
            <w:tcW w:w="50" w:type="pct"/>
            <w:shd w:val="clear" w:color="auto" w:fill="CFF0FC"/>
            <w:noWrap/>
            <w:tcMar>
              <w:top w:w="15" w:type="dxa"/>
              <w:right w:w="15" w:type="dxa"/>
            </w:tcMar>
            <w:vAlign w:val="bottom"/>
          </w:tcPr>
          <w:p w14:paraId="3973F37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7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w:t>
            </w:r>
          </w:p>
        </w:tc>
        <w:tc>
          <w:tcPr>
            <w:tcW w:w="50" w:type="pct"/>
            <w:shd w:val="clear" w:color="auto" w:fill="CFF0FC"/>
            <w:noWrap/>
            <w:tcMar>
              <w:top w:w="15" w:type="dxa"/>
              <w:right w:w="15" w:type="dxa"/>
            </w:tcMar>
            <w:vAlign w:val="bottom"/>
          </w:tcPr>
          <w:p w14:paraId="3973F37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84" w14:textId="77777777">
        <w:tc>
          <w:tcPr>
            <w:tcW w:w="3365" w:type="pct"/>
            <w:shd w:val="clear" w:color="auto" w:fill="FFFFFF"/>
            <w:tcMar>
              <w:top w:w="15" w:type="dxa"/>
              <w:right w:w="15" w:type="dxa"/>
            </w:tcMar>
          </w:tcPr>
          <w:p w14:paraId="3973F37B"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Basis of property, plant and equipment and intangible assets</w:t>
            </w:r>
          </w:p>
        </w:tc>
        <w:tc>
          <w:tcPr>
            <w:tcW w:w="74" w:type="pct"/>
            <w:shd w:val="clear" w:color="auto" w:fill="FFFFFF"/>
            <w:tcMar>
              <w:top w:w="15" w:type="dxa"/>
              <w:right w:w="15" w:type="dxa"/>
            </w:tcMar>
            <w:vAlign w:val="bottom"/>
          </w:tcPr>
          <w:p w14:paraId="3973F37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7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11,362</w:t>
            </w:r>
          </w:p>
        </w:tc>
        <w:tc>
          <w:tcPr>
            <w:tcW w:w="50" w:type="pct"/>
            <w:shd w:val="clear" w:color="auto" w:fill="FFFFFF"/>
            <w:noWrap/>
            <w:tcMar>
              <w:top w:w="15" w:type="dxa"/>
              <w:right w:w="15" w:type="dxa"/>
            </w:tcMar>
            <w:vAlign w:val="bottom"/>
          </w:tcPr>
          <w:p w14:paraId="3973F3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8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8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12,161</w:t>
            </w:r>
          </w:p>
        </w:tc>
        <w:tc>
          <w:tcPr>
            <w:tcW w:w="50" w:type="pct"/>
            <w:shd w:val="clear" w:color="auto" w:fill="FFFFFF"/>
            <w:noWrap/>
            <w:tcMar>
              <w:top w:w="15" w:type="dxa"/>
              <w:right w:w="15" w:type="dxa"/>
            </w:tcMar>
            <w:vAlign w:val="bottom"/>
          </w:tcPr>
          <w:p w14:paraId="3973F38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8E" w14:textId="77777777">
        <w:tc>
          <w:tcPr>
            <w:tcW w:w="3365" w:type="pct"/>
            <w:shd w:val="clear" w:color="auto" w:fill="CFF0FC"/>
            <w:tcMar>
              <w:top w:w="15" w:type="dxa"/>
              <w:right w:w="15" w:type="dxa"/>
            </w:tcMar>
          </w:tcPr>
          <w:p w14:paraId="3973F385"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Tax credit and net operating loss carryforwards</w:t>
            </w:r>
          </w:p>
        </w:tc>
        <w:tc>
          <w:tcPr>
            <w:tcW w:w="74" w:type="pct"/>
            <w:shd w:val="clear" w:color="auto" w:fill="CFF0FC"/>
            <w:tcMar>
              <w:top w:w="15" w:type="dxa"/>
              <w:right w:w="15" w:type="dxa"/>
            </w:tcMar>
            <w:vAlign w:val="bottom"/>
          </w:tcPr>
          <w:p w14:paraId="3973F3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8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4,409</w:t>
            </w:r>
          </w:p>
        </w:tc>
        <w:tc>
          <w:tcPr>
            <w:tcW w:w="50" w:type="pct"/>
            <w:shd w:val="clear" w:color="auto" w:fill="CFF0FC"/>
            <w:noWrap/>
            <w:tcMar>
              <w:top w:w="15" w:type="dxa"/>
              <w:right w:w="15" w:type="dxa"/>
            </w:tcMar>
            <w:vAlign w:val="bottom"/>
          </w:tcPr>
          <w:p w14:paraId="3973F38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8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8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3,934</w:t>
            </w:r>
          </w:p>
        </w:tc>
        <w:tc>
          <w:tcPr>
            <w:tcW w:w="50" w:type="pct"/>
            <w:shd w:val="clear" w:color="auto" w:fill="CFF0FC"/>
            <w:noWrap/>
            <w:tcMar>
              <w:top w:w="15" w:type="dxa"/>
              <w:right w:w="15" w:type="dxa"/>
            </w:tcMar>
            <w:vAlign w:val="bottom"/>
          </w:tcPr>
          <w:p w14:paraId="3973F3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98" w14:textId="77777777">
        <w:tc>
          <w:tcPr>
            <w:tcW w:w="3365" w:type="pct"/>
            <w:shd w:val="clear" w:color="auto" w:fill="FFFFFF"/>
            <w:tcMar>
              <w:top w:w="15" w:type="dxa"/>
              <w:right w:w="15" w:type="dxa"/>
            </w:tcMar>
          </w:tcPr>
          <w:p w14:paraId="3973F38F"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Other</w:t>
            </w:r>
          </w:p>
        </w:tc>
        <w:tc>
          <w:tcPr>
            <w:tcW w:w="74" w:type="pct"/>
            <w:shd w:val="clear" w:color="auto" w:fill="FFFFFF"/>
            <w:tcMar>
              <w:top w:w="15" w:type="dxa"/>
              <w:right w:w="15" w:type="dxa"/>
            </w:tcMar>
            <w:vAlign w:val="bottom"/>
          </w:tcPr>
          <w:p w14:paraId="3973F3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39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3973F39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w:t>
            </w:r>
          </w:p>
        </w:tc>
        <w:tc>
          <w:tcPr>
            <w:tcW w:w="50" w:type="pct"/>
            <w:shd w:val="clear" w:color="auto" w:fill="FFFFFF"/>
            <w:noWrap/>
            <w:tcMar>
              <w:top w:w="15" w:type="dxa"/>
              <w:right w:w="15" w:type="dxa"/>
            </w:tcMar>
            <w:vAlign w:val="bottom"/>
          </w:tcPr>
          <w:p w14:paraId="3973F3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9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3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3973F39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F3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A2" w14:textId="77777777">
        <w:tc>
          <w:tcPr>
            <w:tcW w:w="3365" w:type="pct"/>
            <w:shd w:val="clear" w:color="auto" w:fill="CFF0FC"/>
            <w:tcMar>
              <w:top w:w="15" w:type="dxa"/>
              <w:right w:w="15" w:type="dxa"/>
            </w:tcMar>
          </w:tcPr>
          <w:p w14:paraId="3973F399"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 xml:space="preserve">Total deferred tax </w:t>
            </w:r>
            <w:r>
              <w:rPr>
                <w:rFonts w:ascii="Calibri" w:hAnsi="Calibri" w:cs="Calibri"/>
                <w:color w:val="000000"/>
                <w:sz w:val="20"/>
                <w:szCs w:val="20"/>
              </w:rPr>
              <w:t>assets</w:t>
            </w:r>
          </w:p>
        </w:tc>
        <w:tc>
          <w:tcPr>
            <w:tcW w:w="74" w:type="pct"/>
            <w:shd w:val="clear" w:color="auto" w:fill="CFF0FC"/>
            <w:tcMar>
              <w:top w:w="15" w:type="dxa"/>
              <w:right w:w="15" w:type="dxa"/>
            </w:tcMar>
            <w:vAlign w:val="bottom"/>
          </w:tcPr>
          <w:p w14:paraId="3973F3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39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39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18,534</w:t>
            </w:r>
          </w:p>
        </w:tc>
        <w:tc>
          <w:tcPr>
            <w:tcW w:w="50" w:type="pct"/>
            <w:shd w:val="clear" w:color="auto" w:fill="CFF0FC"/>
            <w:noWrap/>
            <w:tcMar>
              <w:top w:w="15" w:type="dxa"/>
              <w:right w:w="15" w:type="dxa"/>
            </w:tcMar>
            <w:vAlign w:val="bottom"/>
          </w:tcPr>
          <w:p w14:paraId="3973F3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3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3A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18,373</w:t>
            </w:r>
          </w:p>
        </w:tc>
        <w:tc>
          <w:tcPr>
            <w:tcW w:w="50" w:type="pct"/>
            <w:shd w:val="clear" w:color="auto" w:fill="CFF0FC"/>
            <w:noWrap/>
            <w:tcMar>
              <w:top w:w="15" w:type="dxa"/>
              <w:right w:w="15" w:type="dxa"/>
            </w:tcMar>
            <w:vAlign w:val="bottom"/>
          </w:tcPr>
          <w:p w14:paraId="3973F3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AC" w14:textId="77777777">
        <w:tc>
          <w:tcPr>
            <w:tcW w:w="3365" w:type="pct"/>
            <w:shd w:val="clear" w:color="auto" w:fill="FFFFFF"/>
            <w:tcMar>
              <w:top w:w="15" w:type="dxa"/>
              <w:right w:w="15" w:type="dxa"/>
            </w:tcMar>
          </w:tcPr>
          <w:p w14:paraId="3973F3A3"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Valuation allowance</w:t>
            </w:r>
          </w:p>
        </w:tc>
        <w:tc>
          <w:tcPr>
            <w:tcW w:w="74" w:type="pct"/>
            <w:shd w:val="clear" w:color="auto" w:fill="FFFFFF"/>
            <w:tcMar>
              <w:top w:w="15" w:type="dxa"/>
              <w:right w:w="15" w:type="dxa"/>
            </w:tcMar>
            <w:vAlign w:val="bottom"/>
          </w:tcPr>
          <w:p w14:paraId="3973F3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3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3973F3A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(1,742</w:t>
            </w:r>
          </w:p>
        </w:tc>
        <w:tc>
          <w:tcPr>
            <w:tcW w:w="50" w:type="pct"/>
            <w:shd w:val="clear" w:color="auto" w:fill="FFFFFF"/>
            <w:noWrap/>
            <w:tcMar>
              <w:top w:w="15" w:type="dxa"/>
              <w:right w:w="15" w:type="dxa"/>
            </w:tcMar>
            <w:vAlign w:val="bottom"/>
          </w:tcPr>
          <w:p w14:paraId="3973F3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FFFFFF"/>
            <w:tcMar>
              <w:top w:w="15" w:type="dxa"/>
              <w:right w:w="15" w:type="dxa"/>
            </w:tcMar>
            <w:vAlign w:val="bottom"/>
          </w:tcPr>
          <w:p w14:paraId="3973F3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3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3973F3A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(1,526</w:t>
            </w:r>
          </w:p>
        </w:tc>
        <w:tc>
          <w:tcPr>
            <w:tcW w:w="50" w:type="pct"/>
            <w:shd w:val="clear" w:color="auto" w:fill="FFFFFF"/>
            <w:noWrap/>
            <w:tcMar>
              <w:top w:w="15" w:type="dxa"/>
              <w:right w:w="15" w:type="dxa"/>
            </w:tcMar>
            <w:vAlign w:val="bottom"/>
          </w:tcPr>
          <w:p w14:paraId="3973F3A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B6" w14:textId="77777777">
        <w:tc>
          <w:tcPr>
            <w:tcW w:w="3365" w:type="pct"/>
            <w:shd w:val="clear" w:color="auto" w:fill="CFF0FC"/>
            <w:tcMar>
              <w:top w:w="15" w:type="dxa"/>
              <w:right w:w="15" w:type="dxa"/>
            </w:tcMar>
          </w:tcPr>
          <w:p w14:paraId="3973F3AD"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tax assets, net</w:t>
            </w:r>
          </w:p>
        </w:tc>
        <w:tc>
          <w:tcPr>
            <w:tcW w:w="74" w:type="pct"/>
            <w:shd w:val="clear" w:color="auto" w:fill="CFF0FC"/>
            <w:tcMar>
              <w:top w:w="15" w:type="dxa"/>
              <w:right w:w="15" w:type="dxa"/>
            </w:tcMar>
            <w:vAlign w:val="bottom"/>
          </w:tcPr>
          <w:p w14:paraId="3973F3A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3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3B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16,792</w:t>
            </w:r>
          </w:p>
        </w:tc>
        <w:tc>
          <w:tcPr>
            <w:tcW w:w="50" w:type="pct"/>
            <w:shd w:val="clear" w:color="auto" w:fill="CFF0FC"/>
            <w:noWrap/>
            <w:tcMar>
              <w:top w:w="15" w:type="dxa"/>
              <w:right w:w="15" w:type="dxa"/>
            </w:tcMar>
            <w:vAlign w:val="bottom"/>
          </w:tcPr>
          <w:p w14:paraId="3973F3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3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3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3B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16,847</w:t>
            </w:r>
          </w:p>
        </w:tc>
        <w:tc>
          <w:tcPr>
            <w:tcW w:w="50" w:type="pct"/>
            <w:shd w:val="clear" w:color="auto" w:fill="CFF0FC"/>
            <w:noWrap/>
            <w:tcMar>
              <w:top w:w="15" w:type="dxa"/>
              <w:right w:w="15" w:type="dxa"/>
            </w:tcMar>
            <w:vAlign w:val="bottom"/>
          </w:tcPr>
          <w:p w14:paraId="3973F3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C0" w14:textId="77777777">
        <w:tc>
          <w:tcPr>
            <w:tcW w:w="3365" w:type="pct"/>
            <w:shd w:val="clear" w:color="auto" w:fill="FFFFFF"/>
            <w:tcMar>
              <w:top w:w="15" w:type="dxa"/>
              <w:right w:w="15" w:type="dxa"/>
            </w:tcMar>
          </w:tcPr>
          <w:p w14:paraId="3973F3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liabilities:</w:t>
            </w:r>
          </w:p>
        </w:tc>
        <w:tc>
          <w:tcPr>
            <w:tcW w:w="74" w:type="pct"/>
            <w:shd w:val="clear" w:color="auto" w:fill="FFFFFF"/>
            <w:tcMar>
              <w:top w:w="15" w:type="dxa"/>
              <w:right w:w="15" w:type="dxa"/>
            </w:tcMar>
            <w:vAlign w:val="bottom"/>
          </w:tcPr>
          <w:p w14:paraId="3973F3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F3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tcBorders>
            <w:shd w:val="clear" w:color="auto" w:fill="FFFFFF"/>
            <w:noWrap/>
            <w:tcMar>
              <w:top w:w="15" w:type="dxa"/>
              <w:right w:w="15" w:type="dxa"/>
            </w:tcMar>
            <w:vAlign w:val="bottom"/>
          </w:tcPr>
          <w:p w14:paraId="3973F3B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3973F3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tcBorders>
            <w:shd w:val="clear" w:color="auto" w:fill="FFFFFF"/>
            <w:noWrap/>
            <w:tcMar>
              <w:top w:w="15" w:type="dxa"/>
              <w:right w:w="15" w:type="dxa"/>
            </w:tcMar>
            <w:vAlign w:val="bottom"/>
          </w:tcPr>
          <w:p w14:paraId="3973F3B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3CA" w14:textId="77777777">
        <w:tc>
          <w:tcPr>
            <w:tcW w:w="3365" w:type="pct"/>
            <w:shd w:val="clear" w:color="auto" w:fill="CFF0FC"/>
            <w:tcMar>
              <w:top w:w="15" w:type="dxa"/>
              <w:right w:w="15" w:type="dxa"/>
            </w:tcMar>
          </w:tcPr>
          <w:p w14:paraId="3973F3C1"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Unrealized gain on stock</w:t>
            </w:r>
          </w:p>
        </w:tc>
        <w:tc>
          <w:tcPr>
            <w:tcW w:w="74" w:type="pct"/>
            <w:shd w:val="clear" w:color="auto" w:fill="CFF0FC"/>
            <w:tcMar>
              <w:top w:w="15" w:type="dxa"/>
              <w:right w:w="15" w:type="dxa"/>
            </w:tcMar>
            <w:vAlign w:val="bottom"/>
          </w:tcPr>
          <w:p w14:paraId="3973F3C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C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right w:w="15" w:type="dxa"/>
            </w:tcMar>
            <w:vAlign w:val="bottom"/>
          </w:tcPr>
          <w:p w14:paraId="3973F3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CFF0FC"/>
            <w:tcMar>
              <w:top w:w="15" w:type="dxa"/>
              <w:right w:w="15" w:type="dxa"/>
            </w:tcMar>
            <w:vAlign w:val="bottom"/>
          </w:tcPr>
          <w:p w14:paraId="3973F3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C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C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right w:w="15" w:type="dxa"/>
            </w:tcMar>
            <w:vAlign w:val="bottom"/>
          </w:tcPr>
          <w:p w14:paraId="3973F3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D4" w14:textId="77777777">
        <w:tc>
          <w:tcPr>
            <w:tcW w:w="3365" w:type="pct"/>
            <w:shd w:val="clear" w:color="auto" w:fill="FFFFFF"/>
            <w:tcMar>
              <w:top w:w="15" w:type="dxa"/>
              <w:right w:w="15" w:type="dxa"/>
            </w:tcMar>
          </w:tcPr>
          <w:p w14:paraId="3973F3CB"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 xml:space="preserve">Acquired </w:t>
            </w:r>
            <w:r>
              <w:rPr>
                <w:rFonts w:ascii="Calibri" w:hAnsi="Calibri" w:cs="Calibri"/>
                <w:color w:val="000000"/>
                <w:sz w:val="20"/>
                <w:szCs w:val="20"/>
              </w:rPr>
              <w:t>intangible assets</w:t>
            </w:r>
          </w:p>
        </w:tc>
        <w:tc>
          <w:tcPr>
            <w:tcW w:w="74" w:type="pct"/>
            <w:shd w:val="clear" w:color="auto" w:fill="FFFFFF"/>
            <w:tcMar>
              <w:top w:w="15" w:type="dxa"/>
              <w:right w:w="15" w:type="dxa"/>
            </w:tcMar>
            <w:vAlign w:val="bottom"/>
          </w:tcPr>
          <w:p w14:paraId="3973F3C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C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right w:w="15" w:type="dxa"/>
            </w:tcMar>
            <w:vAlign w:val="bottom"/>
          </w:tcPr>
          <w:p w14:paraId="3973F3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FFFFFF"/>
            <w:tcMar>
              <w:top w:w="15" w:type="dxa"/>
              <w:right w:w="15" w:type="dxa"/>
            </w:tcMar>
            <w:vAlign w:val="bottom"/>
          </w:tcPr>
          <w:p w14:paraId="3973F3D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D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(266</w:t>
            </w:r>
          </w:p>
        </w:tc>
        <w:tc>
          <w:tcPr>
            <w:tcW w:w="50" w:type="pct"/>
            <w:shd w:val="clear" w:color="auto" w:fill="FFFFFF"/>
            <w:noWrap/>
            <w:tcMar>
              <w:top w:w="15" w:type="dxa"/>
              <w:right w:w="15" w:type="dxa"/>
            </w:tcMar>
            <w:vAlign w:val="bottom"/>
          </w:tcPr>
          <w:p w14:paraId="3973F3D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DE" w14:textId="77777777">
        <w:tc>
          <w:tcPr>
            <w:tcW w:w="3365" w:type="pct"/>
            <w:shd w:val="clear" w:color="auto" w:fill="CFF0FC"/>
            <w:tcMar>
              <w:top w:w="15" w:type="dxa"/>
              <w:right w:w="15" w:type="dxa"/>
            </w:tcMar>
          </w:tcPr>
          <w:p w14:paraId="3973F3D5"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GILTI deferred</w:t>
            </w:r>
          </w:p>
        </w:tc>
        <w:tc>
          <w:tcPr>
            <w:tcW w:w="74" w:type="pct"/>
            <w:shd w:val="clear" w:color="auto" w:fill="CFF0FC"/>
            <w:tcMar>
              <w:top w:w="15" w:type="dxa"/>
              <w:right w:w="15" w:type="dxa"/>
            </w:tcMar>
            <w:vAlign w:val="bottom"/>
          </w:tcPr>
          <w:p w14:paraId="3973F3D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D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(8,937</w:t>
            </w:r>
          </w:p>
        </w:tc>
        <w:tc>
          <w:tcPr>
            <w:tcW w:w="50" w:type="pct"/>
            <w:shd w:val="clear" w:color="auto" w:fill="CFF0FC"/>
            <w:noWrap/>
            <w:tcMar>
              <w:top w:w="15" w:type="dxa"/>
              <w:right w:w="15" w:type="dxa"/>
            </w:tcMar>
            <w:vAlign w:val="bottom"/>
          </w:tcPr>
          <w:p w14:paraId="3973F3D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CFF0FC"/>
            <w:tcMar>
              <w:top w:w="15" w:type="dxa"/>
              <w:right w:w="15" w:type="dxa"/>
            </w:tcMar>
            <w:vAlign w:val="bottom"/>
          </w:tcPr>
          <w:p w14:paraId="3973F3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D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(9,883</w:t>
            </w:r>
          </w:p>
        </w:tc>
        <w:tc>
          <w:tcPr>
            <w:tcW w:w="50" w:type="pct"/>
            <w:shd w:val="clear" w:color="auto" w:fill="CFF0FC"/>
            <w:noWrap/>
            <w:tcMar>
              <w:top w:w="15" w:type="dxa"/>
              <w:right w:w="15" w:type="dxa"/>
            </w:tcMar>
            <w:vAlign w:val="bottom"/>
          </w:tcPr>
          <w:p w14:paraId="3973F3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E8" w14:textId="77777777">
        <w:tc>
          <w:tcPr>
            <w:tcW w:w="3365" w:type="pct"/>
            <w:shd w:val="clear" w:color="auto" w:fill="FFFFFF"/>
            <w:tcMar>
              <w:top w:w="15" w:type="dxa"/>
              <w:right w:w="15" w:type="dxa"/>
            </w:tcMar>
          </w:tcPr>
          <w:p w14:paraId="3973F3DF"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ROU assets</w:t>
            </w:r>
          </w:p>
        </w:tc>
        <w:tc>
          <w:tcPr>
            <w:tcW w:w="74" w:type="pct"/>
            <w:shd w:val="clear" w:color="auto" w:fill="FFFFFF"/>
            <w:tcMar>
              <w:top w:w="15" w:type="dxa"/>
              <w:right w:w="15" w:type="dxa"/>
            </w:tcMar>
            <w:vAlign w:val="bottom"/>
          </w:tcPr>
          <w:p w14:paraId="3973F3E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E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E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(668</w:t>
            </w:r>
          </w:p>
        </w:tc>
        <w:tc>
          <w:tcPr>
            <w:tcW w:w="50" w:type="pct"/>
            <w:shd w:val="clear" w:color="auto" w:fill="FFFFFF"/>
            <w:noWrap/>
            <w:tcMar>
              <w:top w:w="15" w:type="dxa"/>
              <w:right w:w="15" w:type="dxa"/>
            </w:tcMar>
            <w:vAlign w:val="bottom"/>
          </w:tcPr>
          <w:p w14:paraId="3973F3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FFFFFF"/>
            <w:tcMar>
              <w:top w:w="15" w:type="dxa"/>
              <w:right w:w="15" w:type="dxa"/>
            </w:tcMar>
            <w:vAlign w:val="bottom"/>
          </w:tcPr>
          <w:p w14:paraId="3973F3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3E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3973F3E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3973F3E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F2" w14:textId="77777777">
        <w:tc>
          <w:tcPr>
            <w:tcW w:w="3365" w:type="pct"/>
            <w:shd w:val="clear" w:color="auto" w:fill="CFF0FC"/>
            <w:tcMar>
              <w:top w:w="15" w:type="dxa"/>
              <w:right w:w="15" w:type="dxa"/>
            </w:tcMar>
          </w:tcPr>
          <w:p w14:paraId="3973F3E9"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Withholding taxes on foreign earnings</w:t>
            </w:r>
          </w:p>
        </w:tc>
        <w:tc>
          <w:tcPr>
            <w:tcW w:w="74" w:type="pct"/>
            <w:shd w:val="clear" w:color="auto" w:fill="CFF0FC"/>
            <w:tcMar>
              <w:top w:w="15" w:type="dxa"/>
              <w:right w:w="15" w:type="dxa"/>
            </w:tcMar>
            <w:vAlign w:val="bottom"/>
          </w:tcPr>
          <w:p w14:paraId="3973F3E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E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w:t>
            </w:r>
          </w:p>
        </w:tc>
        <w:tc>
          <w:tcPr>
            <w:tcW w:w="50" w:type="pct"/>
            <w:shd w:val="clear" w:color="auto" w:fill="CFF0FC"/>
            <w:noWrap/>
            <w:tcMar>
              <w:top w:w="15" w:type="dxa"/>
              <w:right w:w="15" w:type="dxa"/>
            </w:tcMar>
            <w:vAlign w:val="bottom"/>
          </w:tcPr>
          <w:p w14:paraId="3973F3E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CFF0FC"/>
            <w:tcMar>
              <w:top w:w="15" w:type="dxa"/>
              <w:right w:w="15" w:type="dxa"/>
            </w:tcMar>
            <w:vAlign w:val="bottom"/>
          </w:tcPr>
          <w:p w14:paraId="3973F3E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3E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3973F3F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(195</w:t>
            </w:r>
          </w:p>
        </w:tc>
        <w:tc>
          <w:tcPr>
            <w:tcW w:w="50" w:type="pct"/>
            <w:shd w:val="clear" w:color="auto" w:fill="CFF0FC"/>
            <w:noWrap/>
            <w:tcMar>
              <w:top w:w="15" w:type="dxa"/>
              <w:right w:w="15" w:type="dxa"/>
            </w:tcMar>
            <w:vAlign w:val="bottom"/>
          </w:tcPr>
          <w:p w14:paraId="3973F3F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3FC" w14:textId="77777777">
        <w:tc>
          <w:tcPr>
            <w:tcW w:w="3365" w:type="pct"/>
            <w:shd w:val="clear" w:color="auto" w:fill="FFFFFF"/>
            <w:tcMar>
              <w:top w:w="15" w:type="dxa"/>
              <w:right w:w="15" w:type="dxa"/>
            </w:tcMar>
          </w:tcPr>
          <w:p w14:paraId="3973F3F3"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Other</w:t>
            </w:r>
          </w:p>
        </w:tc>
        <w:tc>
          <w:tcPr>
            <w:tcW w:w="74" w:type="pct"/>
            <w:shd w:val="clear" w:color="auto" w:fill="FFFFFF"/>
            <w:tcMar>
              <w:top w:w="15" w:type="dxa"/>
              <w:right w:w="15" w:type="dxa"/>
            </w:tcMar>
            <w:vAlign w:val="bottom"/>
          </w:tcPr>
          <w:p w14:paraId="3973F3F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3F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3973F3F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3973F3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3F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3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3973F3F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w:t>
            </w:r>
          </w:p>
        </w:tc>
        <w:tc>
          <w:tcPr>
            <w:tcW w:w="50" w:type="pct"/>
            <w:shd w:val="clear" w:color="auto" w:fill="FFFFFF"/>
            <w:noWrap/>
            <w:tcMar>
              <w:top w:w="15" w:type="dxa"/>
              <w:right w:w="15" w:type="dxa"/>
            </w:tcMar>
            <w:vAlign w:val="bottom"/>
          </w:tcPr>
          <w:p w14:paraId="3973F3F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06" w14:textId="77777777">
        <w:tc>
          <w:tcPr>
            <w:tcW w:w="3365" w:type="pct"/>
            <w:shd w:val="clear" w:color="auto" w:fill="CFF0FC"/>
            <w:tcMar>
              <w:top w:w="15" w:type="dxa"/>
              <w:right w:w="15" w:type="dxa"/>
            </w:tcMar>
          </w:tcPr>
          <w:p w14:paraId="3973F3FD"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tax liabilities</w:t>
            </w:r>
          </w:p>
        </w:tc>
        <w:tc>
          <w:tcPr>
            <w:tcW w:w="74" w:type="pct"/>
            <w:shd w:val="clear" w:color="auto" w:fill="CFF0FC"/>
            <w:tcMar>
              <w:top w:w="15" w:type="dxa"/>
              <w:right w:w="15" w:type="dxa"/>
            </w:tcMar>
            <w:vAlign w:val="bottom"/>
          </w:tcPr>
          <w:p w14:paraId="3973F3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3F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40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(10,041</w:t>
            </w:r>
          </w:p>
        </w:tc>
        <w:tc>
          <w:tcPr>
            <w:tcW w:w="50" w:type="pct"/>
            <w:shd w:val="clear" w:color="auto" w:fill="CFF0FC"/>
            <w:noWrap/>
            <w:tcMar>
              <w:top w:w="15" w:type="dxa"/>
              <w:right w:w="15" w:type="dxa"/>
            </w:tcMar>
            <w:vAlign w:val="bottom"/>
          </w:tcPr>
          <w:p w14:paraId="3973F40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CFF0FC"/>
            <w:tcMar>
              <w:top w:w="15" w:type="dxa"/>
              <w:right w:w="15" w:type="dxa"/>
            </w:tcMar>
            <w:vAlign w:val="bottom"/>
          </w:tcPr>
          <w:p w14:paraId="3973F40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4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3973F40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(11,075</w:t>
            </w:r>
          </w:p>
        </w:tc>
        <w:tc>
          <w:tcPr>
            <w:tcW w:w="50" w:type="pct"/>
            <w:shd w:val="clear" w:color="auto" w:fill="CFF0FC"/>
            <w:noWrap/>
            <w:tcMar>
              <w:top w:w="15" w:type="dxa"/>
              <w:right w:w="15" w:type="dxa"/>
            </w:tcMar>
            <w:vAlign w:val="bottom"/>
          </w:tcPr>
          <w:p w14:paraId="3973F4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10" w14:textId="77777777">
        <w:tc>
          <w:tcPr>
            <w:tcW w:w="3365" w:type="pct"/>
            <w:shd w:val="clear" w:color="auto" w:fill="FFFFFF"/>
            <w:tcMar>
              <w:top w:w="15" w:type="dxa"/>
              <w:right w:w="15" w:type="dxa"/>
            </w:tcMar>
          </w:tcPr>
          <w:p w14:paraId="3973F407"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74" w:type="pct"/>
            <w:shd w:val="clear" w:color="auto" w:fill="FFFFFF"/>
            <w:tcMar>
              <w:top w:w="15" w:type="dxa"/>
              <w:right w:w="15" w:type="dxa"/>
            </w:tcMar>
            <w:vAlign w:val="bottom"/>
          </w:tcPr>
          <w:p w14:paraId="3973F4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3973F40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6,751</w:t>
            </w:r>
          </w:p>
        </w:tc>
        <w:tc>
          <w:tcPr>
            <w:tcW w:w="50" w:type="pct"/>
            <w:shd w:val="clear" w:color="auto" w:fill="FFFFFF"/>
            <w:noWrap/>
            <w:tcMar>
              <w:top w:w="15" w:type="dxa"/>
              <w:right w:w="15" w:type="dxa"/>
            </w:tcMar>
            <w:vAlign w:val="bottom"/>
          </w:tcPr>
          <w:p w14:paraId="3973F4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40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3973F4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5,772</w:t>
            </w:r>
          </w:p>
        </w:tc>
        <w:tc>
          <w:tcPr>
            <w:tcW w:w="50" w:type="pct"/>
            <w:shd w:val="clear" w:color="auto" w:fill="FFFFFF"/>
            <w:noWrap/>
            <w:tcMar>
              <w:top w:w="15" w:type="dxa"/>
              <w:right w:w="15" w:type="dxa"/>
            </w:tcMar>
            <w:vAlign w:val="bottom"/>
          </w:tcPr>
          <w:p w14:paraId="3973F4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1A" w14:textId="77777777">
        <w:tc>
          <w:tcPr>
            <w:tcW w:w="3365" w:type="pct"/>
            <w:shd w:val="clear" w:color="auto" w:fill="CFF0FC"/>
            <w:tcMar>
              <w:top w:w="15" w:type="dxa"/>
              <w:right w:w="15" w:type="dxa"/>
            </w:tcMar>
          </w:tcPr>
          <w:p w14:paraId="3973F4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Recorded as:</w:t>
            </w:r>
          </w:p>
        </w:tc>
        <w:tc>
          <w:tcPr>
            <w:tcW w:w="74" w:type="pct"/>
            <w:shd w:val="clear" w:color="auto" w:fill="CFF0FC"/>
            <w:tcMar>
              <w:top w:w="15" w:type="dxa"/>
              <w:right w:w="15" w:type="dxa"/>
            </w:tcMar>
            <w:vAlign w:val="bottom"/>
          </w:tcPr>
          <w:p w14:paraId="3973F41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3973F4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double" w:sz="6" w:space="0" w:color="000000"/>
            </w:tcBorders>
            <w:shd w:val="clear" w:color="auto" w:fill="CFF0FC"/>
            <w:noWrap/>
            <w:tcMar>
              <w:top w:w="15" w:type="dxa"/>
              <w:right w:w="15" w:type="dxa"/>
            </w:tcMar>
            <w:vAlign w:val="bottom"/>
          </w:tcPr>
          <w:p w14:paraId="3973F4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3973F4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3973F4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double" w:sz="6" w:space="0" w:color="000000"/>
            </w:tcBorders>
            <w:shd w:val="clear" w:color="auto" w:fill="CFF0FC"/>
            <w:noWrap/>
            <w:tcMar>
              <w:top w:w="15" w:type="dxa"/>
              <w:right w:w="15" w:type="dxa"/>
            </w:tcMar>
            <w:vAlign w:val="bottom"/>
          </w:tcPr>
          <w:p w14:paraId="3973F41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24" w14:textId="77777777">
        <w:tc>
          <w:tcPr>
            <w:tcW w:w="3365" w:type="pct"/>
            <w:shd w:val="clear" w:color="auto" w:fill="FFFFFF"/>
            <w:tcMar>
              <w:top w:w="15" w:type="dxa"/>
              <w:right w:w="15" w:type="dxa"/>
            </w:tcMar>
          </w:tcPr>
          <w:p w14:paraId="3973F41B"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Non-current deferred tax assets</w:t>
            </w:r>
          </w:p>
        </w:tc>
        <w:tc>
          <w:tcPr>
            <w:tcW w:w="74" w:type="pct"/>
            <w:shd w:val="clear" w:color="auto" w:fill="FFFFFF"/>
            <w:tcMar>
              <w:top w:w="15" w:type="dxa"/>
              <w:right w:w="15" w:type="dxa"/>
            </w:tcMar>
            <w:vAlign w:val="bottom"/>
          </w:tcPr>
          <w:p w14:paraId="3973F41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shd w:val="clear" w:color="auto" w:fill="FFFFFF"/>
            <w:noWrap/>
            <w:tcMar>
              <w:top w:w="15" w:type="dxa"/>
              <w:right w:w="15" w:type="dxa"/>
            </w:tcMar>
            <w:vAlign w:val="bottom"/>
          </w:tcPr>
          <w:p w14:paraId="3973F41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12,782</w:t>
            </w:r>
          </w:p>
        </w:tc>
        <w:tc>
          <w:tcPr>
            <w:tcW w:w="50" w:type="pct"/>
            <w:shd w:val="clear" w:color="auto" w:fill="FFFFFF"/>
            <w:noWrap/>
            <w:tcMar>
              <w:top w:w="15" w:type="dxa"/>
              <w:right w:w="15" w:type="dxa"/>
            </w:tcMar>
            <w:vAlign w:val="bottom"/>
          </w:tcPr>
          <w:p w14:paraId="3973F4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42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shd w:val="clear" w:color="auto" w:fill="FFFFFF"/>
            <w:noWrap/>
            <w:tcMar>
              <w:top w:w="15" w:type="dxa"/>
              <w:right w:w="15" w:type="dxa"/>
            </w:tcMar>
            <w:vAlign w:val="bottom"/>
          </w:tcPr>
          <w:p w14:paraId="3973F42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13,636</w:t>
            </w:r>
          </w:p>
        </w:tc>
        <w:tc>
          <w:tcPr>
            <w:tcW w:w="50" w:type="pct"/>
            <w:shd w:val="clear" w:color="auto" w:fill="FFFFFF"/>
            <w:noWrap/>
            <w:tcMar>
              <w:top w:w="15" w:type="dxa"/>
              <w:right w:w="15" w:type="dxa"/>
            </w:tcMar>
            <w:vAlign w:val="bottom"/>
          </w:tcPr>
          <w:p w14:paraId="3973F4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2E" w14:textId="77777777">
        <w:tc>
          <w:tcPr>
            <w:tcW w:w="3365" w:type="pct"/>
            <w:shd w:val="clear" w:color="auto" w:fill="CFF0FC"/>
            <w:tcMar>
              <w:top w:w="15" w:type="dxa"/>
              <w:right w:w="15" w:type="dxa"/>
            </w:tcMar>
          </w:tcPr>
          <w:p w14:paraId="3973F425"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Non-current deferred tax liabilities</w:t>
            </w:r>
          </w:p>
        </w:tc>
        <w:tc>
          <w:tcPr>
            <w:tcW w:w="74" w:type="pct"/>
            <w:shd w:val="clear" w:color="auto" w:fill="CFF0FC"/>
            <w:tcMar>
              <w:top w:w="15" w:type="dxa"/>
              <w:right w:w="15" w:type="dxa"/>
            </w:tcMar>
            <w:vAlign w:val="bottom"/>
          </w:tcPr>
          <w:p w14:paraId="3973F42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42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3973F42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(6,031</w:t>
            </w:r>
          </w:p>
        </w:tc>
        <w:tc>
          <w:tcPr>
            <w:tcW w:w="50" w:type="pct"/>
            <w:shd w:val="clear" w:color="auto" w:fill="CFF0FC"/>
            <w:noWrap/>
            <w:tcMar>
              <w:top w:w="15" w:type="dxa"/>
              <w:right w:w="15" w:type="dxa"/>
            </w:tcMar>
            <w:vAlign w:val="bottom"/>
          </w:tcPr>
          <w:p w14:paraId="3973F42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4" w:type="pct"/>
            <w:shd w:val="clear" w:color="auto" w:fill="CFF0FC"/>
            <w:tcMar>
              <w:top w:w="15" w:type="dxa"/>
              <w:right w:w="15" w:type="dxa"/>
            </w:tcMar>
            <w:vAlign w:val="bottom"/>
          </w:tcPr>
          <w:p w14:paraId="3973F42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42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CFF0FC"/>
            <w:noWrap/>
            <w:tcMar>
              <w:top w:w="15" w:type="dxa"/>
              <w:right w:w="15" w:type="dxa"/>
            </w:tcMar>
            <w:vAlign w:val="bottom"/>
          </w:tcPr>
          <w:p w14:paraId="3973F42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(7,864</w:t>
            </w:r>
          </w:p>
        </w:tc>
        <w:tc>
          <w:tcPr>
            <w:tcW w:w="50" w:type="pct"/>
            <w:shd w:val="clear" w:color="auto" w:fill="CFF0FC"/>
            <w:noWrap/>
            <w:tcMar>
              <w:top w:w="15" w:type="dxa"/>
              <w:right w:w="15" w:type="dxa"/>
            </w:tcMar>
            <w:vAlign w:val="bottom"/>
          </w:tcPr>
          <w:p w14:paraId="3973F42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38" w14:textId="77777777">
        <w:tc>
          <w:tcPr>
            <w:tcW w:w="3365" w:type="pct"/>
            <w:shd w:val="clear" w:color="auto" w:fill="FFFFFF"/>
            <w:tcMar>
              <w:top w:w="15" w:type="dxa"/>
              <w:right w:w="15" w:type="dxa"/>
            </w:tcMar>
          </w:tcPr>
          <w:p w14:paraId="3973F42F" w14:textId="77777777" w:rsidR="007B027D" w:rsidRDefault="008E0125">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74" w:type="pct"/>
            <w:shd w:val="clear" w:color="auto" w:fill="FFFFFF"/>
            <w:tcMar>
              <w:top w:w="15" w:type="dxa"/>
              <w:right w:w="15" w:type="dxa"/>
            </w:tcMar>
            <w:vAlign w:val="bottom"/>
          </w:tcPr>
          <w:p w14:paraId="3973F43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3973F43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6,751</w:t>
            </w:r>
          </w:p>
        </w:tc>
        <w:tc>
          <w:tcPr>
            <w:tcW w:w="50" w:type="pct"/>
            <w:shd w:val="clear" w:color="auto" w:fill="FFFFFF"/>
            <w:noWrap/>
            <w:tcMar>
              <w:top w:w="15" w:type="dxa"/>
              <w:right w:w="15" w:type="dxa"/>
            </w:tcMar>
            <w:vAlign w:val="bottom"/>
          </w:tcPr>
          <w:p w14:paraId="3973F43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3973F43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3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FFFFFF"/>
            <w:noWrap/>
            <w:tcMar>
              <w:top w:w="15" w:type="dxa"/>
              <w:right w:w="15" w:type="dxa"/>
            </w:tcMar>
            <w:vAlign w:val="bottom"/>
          </w:tcPr>
          <w:p w14:paraId="3973F43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5,772</w:t>
            </w:r>
          </w:p>
        </w:tc>
        <w:tc>
          <w:tcPr>
            <w:tcW w:w="50" w:type="pct"/>
            <w:shd w:val="clear" w:color="auto" w:fill="FFFFFF"/>
            <w:noWrap/>
            <w:tcMar>
              <w:top w:w="15" w:type="dxa"/>
              <w:right w:w="15" w:type="dxa"/>
            </w:tcMar>
            <w:vAlign w:val="bottom"/>
          </w:tcPr>
          <w:p w14:paraId="3973F437"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439" w14:textId="77777777" w:rsidR="007B027D" w:rsidRDefault="008E0125">
      <w:pPr>
        <w:pStyle w:val="a3"/>
        <w:spacing w:beforeAutospacing="0" w:afterAutospacing="0"/>
        <w:rPr>
          <w:sz w:val="12"/>
          <w:szCs w:val="12"/>
        </w:rPr>
      </w:pPr>
      <w:r>
        <w:rPr>
          <w:sz w:val="12"/>
          <w:szCs w:val="12"/>
        </w:rPr>
        <w:t> </w:t>
      </w:r>
    </w:p>
    <w:p w14:paraId="3973F43A"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We provide for United States income taxes on the undistributed earnings and the other outside basis temporary differences of foreign subsidiaries unless they are considered indefinitely reinvested outside the United States. At May 31, 2022, </w:t>
      </w:r>
      <w:r>
        <w:rPr>
          <w:rFonts w:ascii="Calibri" w:hAnsi="Calibri" w:cs="Calibri"/>
          <w:sz w:val="20"/>
          <w:szCs w:val="20"/>
        </w:rPr>
        <w:t>the amount of temporary differences related to undistributed earnings and other outside basis temporary differences of investments in foreign subsidiaries upon which U.S. income taxes have not been provided was approximately $7.9 billion. If the undistribu</w:t>
      </w:r>
      <w:r>
        <w:rPr>
          <w:rFonts w:ascii="Calibri" w:hAnsi="Calibri" w:cs="Calibri"/>
          <w:sz w:val="20"/>
          <w:szCs w:val="20"/>
        </w:rPr>
        <w:t>ted earnings and other outside basis differences were recognized in a taxable transaction, they would generate foreign tax credits that would reduce the federal tax liability associated with the foreign dividend or the otherwise taxable transaction. At May</w:t>
      </w:r>
      <w:r>
        <w:rPr>
          <w:rFonts w:ascii="Calibri" w:hAnsi="Calibri" w:cs="Calibri"/>
          <w:sz w:val="20"/>
          <w:szCs w:val="20"/>
        </w:rPr>
        <w:t xml:space="preserve"> 31, 2022, assuming a full utilization of the foreign tax credits, the potential net deferred tax liability associated with these other outside basis temporary differences would be approximately $1.5 billion.</w:t>
      </w:r>
    </w:p>
    <w:p w14:paraId="3973F43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$6.8 billion and $5.8 billion as of May 31, 2022 and 2021, respectively. We believe that it is more likely than not that the net deferred tax assets will be realized in the foreseeable future. Realization of our net deferre</w:t>
      </w:r>
      <w:r>
        <w:rPr>
          <w:rFonts w:ascii="Calibri" w:hAnsi="Calibri" w:cs="Calibri"/>
          <w:sz w:val="20"/>
          <w:szCs w:val="20"/>
        </w:rPr>
        <w:t>d tax assets is dependent upon our generation of sufficient taxable income in future years in appropriate tax jurisdictions to obtain benefit from the reversal of temporary differences, net operating loss carryforwards and tax credit carryforwards. The amo</w:t>
      </w:r>
      <w:r>
        <w:rPr>
          <w:rFonts w:ascii="Calibri" w:hAnsi="Calibri" w:cs="Calibri"/>
          <w:sz w:val="20"/>
          <w:szCs w:val="20"/>
        </w:rPr>
        <w:t xml:space="preserve">unt of net deferred tax assets considered realizable is subject to adjustment in future periods if estimates of future taxable income change. </w:t>
      </w:r>
    </w:p>
    <w:p w14:paraId="3973F43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valuation allowance was $1.7 billion and $1.5 billion as of May 31, 2022 and 2021, respectively. A majority o</w:t>
      </w:r>
      <w:r>
        <w:rPr>
          <w:rFonts w:ascii="Calibri" w:hAnsi="Calibri" w:cs="Calibri"/>
          <w:sz w:val="20"/>
          <w:szCs w:val="20"/>
        </w:rPr>
        <w:t>f the valuation allowances as of May 31, 2022 and 2021 related to tax assets established in purchase accounting and other tax credits. Any subsequent reduction of that portion of the valuation allowance and the recognition of the associated tax benefits as</w:t>
      </w:r>
      <w:r>
        <w:rPr>
          <w:rFonts w:ascii="Calibri" w:hAnsi="Calibri" w:cs="Calibri"/>
          <w:sz w:val="20"/>
          <w:szCs w:val="20"/>
        </w:rPr>
        <w:t xml:space="preserve">sociated with our acquisitions will be recorded to our provision for income taxes </w:t>
      </w:r>
    </w:p>
    <w:p w14:paraId="3973F43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100</w:t>
      </w:r>
    </w:p>
    <w:p w14:paraId="3973F43E" w14:textId="77777777" w:rsidR="007B027D" w:rsidRDefault="008E0125">
      <w:r>
        <w:rPr>
          <w:rFonts w:ascii="Calibri" w:hAnsi="Calibri" w:cs="Calibri"/>
          <w:sz w:val="20"/>
          <w:szCs w:val="20"/>
        </w:rPr>
        <w:pict w14:anchorId="3974009F">
          <v:rect id="_x0000_i1126" style="width:415.3pt;height:1.5pt" o:hralign="center" o:hrstd="t" o:hr="t" fillcolor="#a0a0a0" stroked="f"/>
        </w:pict>
      </w:r>
    </w:p>
    <w:p w14:paraId="3973F43F" w14:textId="77777777" w:rsidR="007B027D" w:rsidRDefault="008E0125">
      <w:pPr>
        <w:pStyle w:val="a3"/>
        <w:spacing w:beforeAutospacing="0" w:after="120" w:afterAutospacing="0"/>
        <w:rPr>
          <w:rFonts w:ascii="Calibri" w:hAnsi="Calibri" w:cs="Calibri"/>
          <w:sz w:val="18"/>
          <w:szCs w:val="18"/>
        </w:rPr>
      </w:pPr>
      <w:hyperlink r:id="rId236" w:anchor="TABLE_OF_CONTENTS" w:history="1">
        <w:r>
          <w:rPr>
            <w:rStyle w:val="a5"/>
            <w:rFonts w:ascii="Calibri" w:hAnsi="Calibri" w:cs="Calibri"/>
            <w:sz w:val="18"/>
            <w:szCs w:val="18"/>
          </w:rPr>
          <w:t>Table of Contents</w:t>
        </w:r>
      </w:hyperlink>
    </w:p>
    <w:p w14:paraId="3973F440" w14:textId="77777777" w:rsidR="007B027D" w:rsidRDefault="008E0125">
      <w:pPr>
        <w:pStyle w:val="a3"/>
        <w:spacing w:beforeAutospacing="0" w:afterAutospacing="0"/>
        <w:rPr>
          <w:rFonts w:ascii="Calibri" w:hAnsi="Calibri" w:cs="Calibri"/>
          <w:sz w:val="18"/>
          <w:szCs w:val="18"/>
        </w:rPr>
      </w:pPr>
      <w:hyperlink r:id="rId237" w:anchor="ITEM_15_EXHIBITS_FINANCIAL_STATEMENT_SCH" w:history="1">
        <w:r>
          <w:rPr>
            <w:rStyle w:val="a5"/>
            <w:rFonts w:ascii="Calibri" w:hAnsi="Calibri" w:cs="Calibri"/>
            <w:sz w:val="18"/>
            <w:szCs w:val="18"/>
          </w:rPr>
          <w:t>Index to Financial Statements</w:t>
        </w:r>
      </w:hyperlink>
    </w:p>
    <w:p w14:paraId="3973F44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44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443"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44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44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subsequent to our final determination of the valuation allowance or the </w:t>
      </w:r>
      <w:r>
        <w:rPr>
          <w:rFonts w:ascii="Calibri" w:hAnsi="Calibri" w:cs="Calibri"/>
          <w:sz w:val="20"/>
          <w:szCs w:val="20"/>
        </w:rPr>
        <w:t>conclusion of the measurement period (as defined above), whichever comes first.</w:t>
      </w:r>
    </w:p>
    <w:p w14:paraId="3973F44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At May 31, 2022, we had federal net operating loss carryforwards of approximately $446 million, which are subject to limitation on their utilization.</w:t>
      </w:r>
      <w:r>
        <w:rPr>
          <w:rFonts w:ascii="Times New Roman" w:hAnsi="Times New Roman"/>
          <w:sz w:val="20"/>
          <w:szCs w:val="20"/>
        </w:rPr>
        <w:t xml:space="preserve"> </w:t>
      </w:r>
      <w:r>
        <w:rPr>
          <w:rFonts w:ascii="Calibri" w:hAnsi="Calibri" w:cs="Calibri"/>
          <w:sz w:val="20"/>
          <w:szCs w:val="20"/>
        </w:rPr>
        <w:t>Approximately $372 million</w:t>
      </w:r>
      <w:r>
        <w:rPr>
          <w:rFonts w:ascii="Calibri" w:hAnsi="Calibri" w:cs="Calibri"/>
          <w:sz w:val="20"/>
          <w:szCs w:val="20"/>
        </w:rPr>
        <w:t xml:space="preserve"> of these federal net operating losses expire in various years between fiscal 2023 and fiscal 2038. Approximately $74 million of these federal net operating losses are not currently subject to expiration dates. We had state net operating loss carryforwards</w:t>
      </w:r>
      <w:r>
        <w:rPr>
          <w:rFonts w:ascii="Calibri" w:hAnsi="Calibri" w:cs="Calibri"/>
          <w:sz w:val="20"/>
          <w:szCs w:val="20"/>
        </w:rPr>
        <w:t xml:space="preserve"> of approximately $1.8 billion at May 31, 2022, which expire between fiscal 2023 and fiscal 2042 and are subject to limitations on their utilization. We had total foreign net operating loss carryforwards of approximately $1.9 billion at May 31, 2022, which</w:t>
      </w:r>
      <w:r>
        <w:rPr>
          <w:rFonts w:ascii="Calibri" w:hAnsi="Calibri" w:cs="Calibri"/>
          <w:sz w:val="20"/>
          <w:szCs w:val="20"/>
        </w:rPr>
        <w:t xml:space="preserve"> are subject to limitations on their utilization. Approximately $1.8 billion of these foreign net operating losses are not currently subject to expiration dates. The remainder of the foreign net operating losses, approximately $53 million, expire between f</w:t>
      </w:r>
      <w:r>
        <w:rPr>
          <w:rFonts w:ascii="Calibri" w:hAnsi="Calibri" w:cs="Calibri"/>
          <w:sz w:val="20"/>
          <w:szCs w:val="20"/>
        </w:rPr>
        <w:t>iscal 2023 and fiscal 2041. At May 31, 2022, we had federal capital loss carryforwards of approximately $193 million, which expire in fiscal 2026. We had state capital loss carryforwards of approximately $366 million, which expire between fiscal 2026 and f</w:t>
      </w:r>
      <w:r>
        <w:rPr>
          <w:rFonts w:ascii="Calibri" w:hAnsi="Calibri" w:cs="Calibri"/>
          <w:sz w:val="20"/>
          <w:szCs w:val="20"/>
        </w:rPr>
        <w:t>iscal 2036. We had tax credit carryforwards of approximately $1.3 billion at May 31, 2022, which are subject to limitations on their utilization. Approximately $854 million of these tax credit carryforwards are not currently subject to expiration dates. Th</w:t>
      </w:r>
      <w:r>
        <w:rPr>
          <w:rFonts w:ascii="Calibri" w:hAnsi="Calibri" w:cs="Calibri"/>
          <w:sz w:val="20"/>
          <w:szCs w:val="20"/>
        </w:rPr>
        <w:t>e remainder of the tax credit carryforwards, approximately $407 million, expire in various years between fiscal 2023 and fiscal 2042.</w:t>
      </w:r>
    </w:p>
    <w:p w14:paraId="3973F44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classify our unrecognized tax benefits as either current or non-current income taxes payable in the accompanying consol</w:t>
      </w:r>
      <w:r>
        <w:rPr>
          <w:rFonts w:ascii="Calibri" w:hAnsi="Calibri" w:cs="Calibri"/>
          <w:sz w:val="20"/>
          <w:szCs w:val="20"/>
        </w:rPr>
        <w:t>idated balance sheets. The aggregate changes in the balance of our gross unrecognized tax benefits, including acquisitions, were as follows:</w:t>
      </w:r>
    </w:p>
    <w:p w14:paraId="3973F448"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78"/>
        <w:gridCol w:w="110"/>
        <w:gridCol w:w="117"/>
        <w:gridCol w:w="644"/>
        <w:gridCol w:w="76"/>
        <w:gridCol w:w="108"/>
        <w:gridCol w:w="117"/>
        <w:gridCol w:w="644"/>
        <w:gridCol w:w="76"/>
        <w:gridCol w:w="108"/>
        <w:gridCol w:w="117"/>
        <w:gridCol w:w="650"/>
        <w:gridCol w:w="76"/>
      </w:tblGrid>
      <w:tr w:rsidR="007B027D" w14:paraId="3973F44D" w14:textId="77777777">
        <w:tc>
          <w:tcPr>
            <w:tcW w:w="3297" w:type="pct"/>
            <w:shd w:val="clear" w:color="auto" w:fill="FFFFFF"/>
            <w:tcMar>
              <w:top w:w="15" w:type="dxa"/>
              <w:right w:w="15" w:type="dxa"/>
            </w:tcMar>
            <w:vAlign w:val="bottom"/>
          </w:tcPr>
          <w:p w14:paraId="3973F449"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3" w:type="pct"/>
            <w:shd w:val="clear" w:color="auto" w:fill="FFFFFF"/>
            <w:tcMar>
              <w:top w:w="15" w:type="dxa"/>
              <w:right w:w="15" w:type="dxa"/>
            </w:tcMar>
            <w:vAlign w:val="bottom"/>
          </w:tcPr>
          <w:p w14:paraId="3973F44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8" w:type="pct"/>
            <w:gridSpan w:val="10"/>
            <w:tcBorders>
              <w:bottom w:val="single" w:sz="6" w:space="0" w:color="000000"/>
            </w:tcBorders>
            <w:shd w:val="clear" w:color="auto" w:fill="FFFFFF"/>
            <w:tcMar>
              <w:top w:w="15" w:type="dxa"/>
              <w:right w:w="15" w:type="dxa"/>
            </w:tcMar>
            <w:vAlign w:val="bottom"/>
          </w:tcPr>
          <w:p w14:paraId="3973F44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44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458" w14:textId="77777777">
        <w:tc>
          <w:tcPr>
            <w:tcW w:w="3297" w:type="pct"/>
            <w:tcBorders>
              <w:bottom w:val="single" w:sz="6" w:space="0" w:color="000000"/>
            </w:tcBorders>
            <w:shd w:val="clear" w:color="auto" w:fill="FFFFFF"/>
            <w:tcMar>
              <w:top w:w="15" w:type="dxa"/>
              <w:right w:w="15" w:type="dxa"/>
            </w:tcMar>
            <w:vAlign w:val="bottom"/>
          </w:tcPr>
          <w:p w14:paraId="3973F44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3973F44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5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45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3973F45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5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45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3973F45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5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45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466" w14:textId="77777777">
        <w:tc>
          <w:tcPr>
            <w:tcW w:w="3297" w:type="pct"/>
            <w:tcBorders>
              <w:top w:val="single" w:sz="6" w:space="0" w:color="000000"/>
            </w:tcBorders>
            <w:shd w:val="clear" w:color="auto" w:fill="CFF0FC"/>
            <w:tcMar>
              <w:top w:w="15" w:type="dxa"/>
              <w:right w:w="15" w:type="dxa"/>
            </w:tcMar>
          </w:tcPr>
          <w:p w14:paraId="3973F45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Gross unrecognized tax benefits as of </w:t>
            </w:r>
            <w:r>
              <w:rPr>
                <w:rFonts w:ascii="Calibri" w:hAnsi="Calibri" w:cs="Calibri"/>
                <w:color w:val="000000"/>
                <w:sz w:val="20"/>
                <w:szCs w:val="20"/>
              </w:rPr>
              <w:t>June 1</w:t>
            </w:r>
          </w:p>
        </w:tc>
        <w:tc>
          <w:tcPr>
            <w:tcW w:w="73" w:type="pct"/>
            <w:shd w:val="clear" w:color="auto" w:fill="CFF0FC"/>
            <w:tcMar>
              <w:top w:w="15" w:type="dxa"/>
              <w:right w:w="15" w:type="dxa"/>
            </w:tcMar>
            <w:vAlign w:val="bottom"/>
          </w:tcPr>
          <w:p w14:paraId="3973F45A"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F45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45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6,912</w:t>
            </w:r>
          </w:p>
        </w:tc>
        <w:tc>
          <w:tcPr>
            <w:tcW w:w="50" w:type="pct"/>
            <w:shd w:val="clear" w:color="auto" w:fill="CFF0FC"/>
            <w:noWrap/>
            <w:tcMar>
              <w:top w:w="15" w:type="dxa"/>
              <w:right w:w="15" w:type="dxa"/>
            </w:tcMar>
            <w:vAlign w:val="bottom"/>
          </w:tcPr>
          <w:p w14:paraId="3973F45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3973F45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45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46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6,972</w:t>
            </w:r>
          </w:p>
        </w:tc>
        <w:tc>
          <w:tcPr>
            <w:tcW w:w="50" w:type="pct"/>
            <w:shd w:val="clear" w:color="auto" w:fill="CFF0FC"/>
            <w:noWrap/>
            <w:tcMar>
              <w:top w:w="15" w:type="dxa"/>
              <w:right w:w="15" w:type="dxa"/>
            </w:tcMar>
            <w:vAlign w:val="bottom"/>
          </w:tcPr>
          <w:p w14:paraId="3973F4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3973F46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46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46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6,348</w:t>
            </w:r>
          </w:p>
        </w:tc>
        <w:tc>
          <w:tcPr>
            <w:tcW w:w="50" w:type="pct"/>
            <w:shd w:val="clear" w:color="auto" w:fill="CFF0FC"/>
            <w:noWrap/>
            <w:tcMar>
              <w:top w:w="15" w:type="dxa"/>
              <w:right w:w="15" w:type="dxa"/>
            </w:tcMar>
            <w:vAlign w:val="bottom"/>
          </w:tcPr>
          <w:p w14:paraId="3973F46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74" w14:textId="77777777">
        <w:tc>
          <w:tcPr>
            <w:tcW w:w="3297" w:type="pct"/>
            <w:shd w:val="clear" w:color="auto" w:fill="FFFFFF"/>
            <w:tcMar>
              <w:top w:w="15" w:type="dxa"/>
              <w:right w:w="15" w:type="dxa"/>
            </w:tcMar>
          </w:tcPr>
          <w:p w14:paraId="3973F46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Increases related to tax positions from prior fiscal years</w:t>
            </w:r>
          </w:p>
        </w:tc>
        <w:tc>
          <w:tcPr>
            <w:tcW w:w="73" w:type="pct"/>
            <w:shd w:val="clear" w:color="auto" w:fill="FFFFFF"/>
            <w:tcMar>
              <w:top w:w="15" w:type="dxa"/>
              <w:right w:w="15" w:type="dxa"/>
            </w:tcMar>
            <w:vAlign w:val="bottom"/>
          </w:tcPr>
          <w:p w14:paraId="3973F468"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46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6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3973F46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6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6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6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50" w:type="pct"/>
            <w:shd w:val="clear" w:color="auto" w:fill="FFFFFF"/>
            <w:noWrap/>
            <w:tcMar>
              <w:top w:w="15" w:type="dxa"/>
              <w:right w:w="15" w:type="dxa"/>
            </w:tcMar>
            <w:vAlign w:val="bottom"/>
          </w:tcPr>
          <w:p w14:paraId="3973F4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7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7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7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w:t>
            </w:r>
          </w:p>
        </w:tc>
        <w:tc>
          <w:tcPr>
            <w:tcW w:w="50" w:type="pct"/>
            <w:shd w:val="clear" w:color="auto" w:fill="FFFFFF"/>
            <w:noWrap/>
            <w:tcMar>
              <w:top w:w="15" w:type="dxa"/>
              <w:right w:w="15" w:type="dxa"/>
            </w:tcMar>
            <w:vAlign w:val="bottom"/>
          </w:tcPr>
          <w:p w14:paraId="3973F47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82" w14:textId="77777777">
        <w:tc>
          <w:tcPr>
            <w:tcW w:w="3297" w:type="pct"/>
            <w:shd w:val="clear" w:color="auto" w:fill="CFF0FC"/>
            <w:tcMar>
              <w:top w:w="15" w:type="dxa"/>
              <w:right w:w="15" w:type="dxa"/>
            </w:tcMar>
          </w:tcPr>
          <w:p w14:paraId="3973F47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Decreases related to tax positions from prior fiscal years</w:t>
            </w:r>
          </w:p>
        </w:tc>
        <w:tc>
          <w:tcPr>
            <w:tcW w:w="73" w:type="pct"/>
            <w:shd w:val="clear" w:color="auto" w:fill="CFF0FC"/>
            <w:tcMar>
              <w:top w:w="15" w:type="dxa"/>
              <w:right w:w="15" w:type="dxa"/>
            </w:tcMar>
            <w:vAlign w:val="bottom"/>
          </w:tcPr>
          <w:p w14:paraId="3973F476"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47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7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CFF0FC"/>
            <w:noWrap/>
            <w:tcMar>
              <w:top w:w="15" w:type="dxa"/>
              <w:right w:w="15" w:type="dxa"/>
            </w:tcMar>
            <w:vAlign w:val="bottom"/>
          </w:tcPr>
          <w:p w14:paraId="3973F47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F47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7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(836</w:t>
            </w:r>
          </w:p>
        </w:tc>
        <w:tc>
          <w:tcPr>
            <w:tcW w:w="50" w:type="pct"/>
            <w:shd w:val="clear" w:color="auto" w:fill="CFF0FC"/>
            <w:noWrap/>
            <w:tcMar>
              <w:top w:w="15" w:type="dxa"/>
              <w:right w:w="15" w:type="dxa"/>
            </w:tcMar>
            <w:vAlign w:val="bottom"/>
          </w:tcPr>
          <w:p w14:paraId="3973F4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F4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7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8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3973F48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90" w14:textId="77777777">
        <w:tc>
          <w:tcPr>
            <w:tcW w:w="3297" w:type="pct"/>
            <w:shd w:val="clear" w:color="auto" w:fill="FFFFFF"/>
            <w:tcMar>
              <w:top w:w="15" w:type="dxa"/>
              <w:right w:w="15" w:type="dxa"/>
            </w:tcMar>
          </w:tcPr>
          <w:p w14:paraId="3973F48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Increases related to tax </w:t>
            </w:r>
            <w:r>
              <w:rPr>
                <w:rFonts w:ascii="Calibri" w:hAnsi="Calibri" w:cs="Calibri"/>
                <w:color w:val="000000"/>
                <w:sz w:val="20"/>
                <w:szCs w:val="20"/>
              </w:rPr>
              <w:t>positions taken during current fiscal year</w:t>
            </w:r>
          </w:p>
        </w:tc>
        <w:tc>
          <w:tcPr>
            <w:tcW w:w="73" w:type="pct"/>
            <w:shd w:val="clear" w:color="auto" w:fill="FFFFFF"/>
            <w:tcMar>
              <w:top w:w="15" w:type="dxa"/>
              <w:right w:w="15" w:type="dxa"/>
            </w:tcMar>
            <w:vAlign w:val="bottom"/>
          </w:tcPr>
          <w:p w14:paraId="3973F48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48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8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919</w:t>
            </w:r>
          </w:p>
        </w:tc>
        <w:tc>
          <w:tcPr>
            <w:tcW w:w="50" w:type="pct"/>
            <w:shd w:val="clear" w:color="auto" w:fill="FFFFFF"/>
            <w:noWrap/>
            <w:tcMar>
              <w:top w:w="15" w:type="dxa"/>
              <w:right w:w="15" w:type="dxa"/>
            </w:tcMar>
            <w:vAlign w:val="bottom"/>
          </w:tcPr>
          <w:p w14:paraId="3973F4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8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8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531</w:t>
            </w:r>
          </w:p>
        </w:tc>
        <w:tc>
          <w:tcPr>
            <w:tcW w:w="50" w:type="pct"/>
            <w:shd w:val="clear" w:color="auto" w:fill="FFFFFF"/>
            <w:noWrap/>
            <w:tcMar>
              <w:top w:w="15" w:type="dxa"/>
              <w:right w:w="15" w:type="dxa"/>
            </w:tcMar>
            <w:vAlign w:val="bottom"/>
          </w:tcPr>
          <w:p w14:paraId="3973F4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8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8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628</w:t>
            </w:r>
          </w:p>
        </w:tc>
        <w:tc>
          <w:tcPr>
            <w:tcW w:w="50" w:type="pct"/>
            <w:shd w:val="clear" w:color="auto" w:fill="FFFFFF"/>
            <w:noWrap/>
            <w:tcMar>
              <w:top w:w="15" w:type="dxa"/>
              <w:right w:w="15" w:type="dxa"/>
            </w:tcMar>
            <w:vAlign w:val="bottom"/>
          </w:tcPr>
          <w:p w14:paraId="3973F48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49E" w14:textId="77777777">
        <w:tc>
          <w:tcPr>
            <w:tcW w:w="3297" w:type="pct"/>
            <w:shd w:val="clear" w:color="auto" w:fill="CFF0FC"/>
            <w:tcMar>
              <w:top w:w="15" w:type="dxa"/>
              <w:right w:w="15" w:type="dxa"/>
            </w:tcMar>
          </w:tcPr>
          <w:p w14:paraId="3973F49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Settlements with tax authorities</w:t>
            </w:r>
          </w:p>
        </w:tc>
        <w:tc>
          <w:tcPr>
            <w:tcW w:w="73" w:type="pct"/>
            <w:shd w:val="clear" w:color="auto" w:fill="CFF0FC"/>
            <w:tcMar>
              <w:top w:w="15" w:type="dxa"/>
              <w:right w:w="15" w:type="dxa"/>
            </w:tcMar>
            <w:vAlign w:val="bottom"/>
          </w:tcPr>
          <w:p w14:paraId="3973F49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49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9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CFF0FC"/>
            <w:noWrap/>
            <w:tcMar>
              <w:top w:w="15" w:type="dxa"/>
              <w:right w:w="15" w:type="dxa"/>
            </w:tcMar>
            <w:vAlign w:val="bottom"/>
          </w:tcPr>
          <w:p w14:paraId="3973F4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F4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9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3973F4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F4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49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CFF0FC"/>
            <w:noWrap/>
            <w:tcMar>
              <w:top w:w="15" w:type="dxa"/>
              <w:right w:w="15" w:type="dxa"/>
            </w:tcMar>
            <w:vAlign w:val="bottom"/>
          </w:tcPr>
          <w:p w14:paraId="3973F49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CFF0FC"/>
            <w:noWrap/>
            <w:tcMar>
              <w:top w:w="15" w:type="dxa"/>
              <w:right w:w="15" w:type="dxa"/>
            </w:tcMar>
            <w:vAlign w:val="bottom"/>
          </w:tcPr>
          <w:p w14:paraId="3973F49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AC" w14:textId="77777777">
        <w:tc>
          <w:tcPr>
            <w:tcW w:w="3297" w:type="pct"/>
            <w:shd w:val="clear" w:color="auto" w:fill="FFFFFF"/>
            <w:tcMar>
              <w:top w:w="15" w:type="dxa"/>
              <w:right w:w="15" w:type="dxa"/>
            </w:tcMar>
          </w:tcPr>
          <w:p w14:paraId="3973F4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Lapses of statutes of limitation</w:t>
            </w:r>
          </w:p>
        </w:tc>
        <w:tc>
          <w:tcPr>
            <w:tcW w:w="73" w:type="pct"/>
            <w:shd w:val="clear" w:color="auto" w:fill="FFFFFF"/>
            <w:tcMar>
              <w:top w:w="15" w:type="dxa"/>
              <w:right w:w="15" w:type="dxa"/>
            </w:tcMar>
            <w:vAlign w:val="bottom"/>
          </w:tcPr>
          <w:p w14:paraId="3973F4A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4A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A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(333</w:t>
            </w:r>
          </w:p>
        </w:tc>
        <w:tc>
          <w:tcPr>
            <w:tcW w:w="50" w:type="pct"/>
            <w:shd w:val="clear" w:color="auto" w:fill="FFFFFF"/>
            <w:noWrap/>
            <w:tcMar>
              <w:top w:w="15" w:type="dxa"/>
              <w:right w:w="15" w:type="dxa"/>
            </w:tcMar>
            <w:vAlign w:val="bottom"/>
          </w:tcPr>
          <w:p w14:paraId="3973F4A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3973F4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A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A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3973F4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FFFFFF"/>
            <w:tcMar>
              <w:top w:w="15" w:type="dxa"/>
              <w:right w:w="15" w:type="dxa"/>
            </w:tcMar>
            <w:vAlign w:val="bottom"/>
          </w:tcPr>
          <w:p w14:paraId="3973F4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4A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4A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FFFFFF"/>
            <w:noWrap/>
            <w:tcMar>
              <w:top w:w="15" w:type="dxa"/>
              <w:right w:w="15" w:type="dxa"/>
            </w:tcMar>
            <w:vAlign w:val="bottom"/>
          </w:tcPr>
          <w:p w14:paraId="3973F4A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BA" w14:textId="77777777">
        <w:tc>
          <w:tcPr>
            <w:tcW w:w="3297" w:type="pct"/>
            <w:shd w:val="clear" w:color="auto" w:fill="CFF0FC"/>
            <w:tcMar>
              <w:top w:w="15" w:type="dxa"/>
              <w:right w:w="15" w:type="dxa"/>
            </w:tcMar>
          </w:tcPr>
          <w:p w14:paraId="3973F4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Cumulative translation adjustments and </w:t>
            </w:r>
            <w:r>
              <w:rPr>
                <w:rFonts w:ascii="Calibri" w:hAnsi="Calibri" w:cs="Calibri"/>
                <w:color w:val="000000"/>
                <w:sz w:val="20"/>
                <w:szCs w:val="20"/>
              </w:rPr>
              <w:t>other, net</w:t>
            </w:r>
          </w:p>
        </w:tc>
        <w:tc>
          <w:tcPr>
            <w:tcW w:w="73" w:type="pct"/>
            <w:shd w:val="clear" w:color="auto" w:fill="CFF0FC"/>
            <w:tcMar>
              <w:top w:w="15" w:type="dxa"/>
              <w:right w:w="15" w:type="dxa"/>
            </w:tcMar>
            <w:vAlign w:val="bottom"/>
          </w:tcPr>
          <w:p w14:paraId="3973F4A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F4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4B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w:t>
            </w:r>
          </w:p>
        </w:tc>
        <w:tc>
          <w:tcPr>
            <w:tcW w:w="50" w:type="pct"/>
            <w:shd w:val="clear" w:color="auto" w:fill="CFF0FC"/>
            <w:noWrap/>
            <w:tcMar>
              <w:top w:w="15" w:type="dxa"/>
              <w:right w:w="15" w:type="dxa"/>
            </w:tcMar>
            <w:vAlign w:val="bottom"/>
          </w:tcPr>
          <w:p w14:paraId="3973F4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3" w:type="pct"/>
            <w:shd w:val="clear" w:color="auto" w:fill="CFF0FC"/>
            <w:tcMar>
              <w:top w:w="15" w:type="dxa"/>
              <w:right w:w="15" w:type="dxa"/>
            </w:tcMar>
            <w:vAlign w:val="bottom"/>
          </w:tcPr>
          <w:p w14:paraId="3973F4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4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4B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CFF0FC"/>
            <w:noWrap/>
            <w:tcMar>
              <w:top w:w="15" w:type="dxa"/>
              <w:right w:w="15" w:type="dxa"/>
            </w:tcMar>
            <w:vAlign w:val="bottom"/>
          </w:tcPr>
          <w:p w14:paraId="3973F4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3973F4B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4B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4B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3973F4B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7B027D" w14:paraId="3973F4C8" w14:textId="77777777">
        <w:tc>
          <w:tcPr>
            <w:tcW w:w="3297" w:type="pct"/>
            <w:shd w:val="clear" w:color="auto" w:fill="FFFFFF"/>
            <w:tcMar>
              <w:top w:w="15" w:type="dxa"/>
              <w:right w:w="15" w:type="dxa"/>
            </w:tcMar>
          </w:tcPr>
          <w:p w14:paraId="3973F4BB" w14:textId="77777777" w:rsidR="007B027D" w:rsidRDefault="008E0125">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Total gross unrecognized tax benefits as of May 31</w:t>
            </w:r>
          </w:p>
        </w:tc>
        <w:tc>
          <w:tcPr>
            <w:tcW w:w="73" w:type="pct"/>
            <w:shd w:val="clear" w:color="auto" w:fill="FFFFFF"/>
            <w:tcMar>
              <w:top w:w="15" w:type="dxa"/>
              <w:right w:w="15" w:type="dxa"/>
            </w:tcMar>
            <w:vAlign w:val="bottom"/>
          </w:tcPr>
          <w:p w14:paraId="3973F4BC"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B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4B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7,284</w:t>
            </w:r>
          </w:p>
        </w:tc>
        <w:tc>
          <w:tcPr>
            <w:tcW w:w="50" w:type="pct"/>
            <w:shd w:val="clear" w:color="auto" w:fill="FFFFFF"/>
            <w:noWrap/>
            <w:tcMar>
              <w:top w:w="15" w:type="dxa"/>
              <w:right w:w="15" w:type="dxa"/>
            </w:tcMar>
            <w:vAlign w:val="bottom"/>
          </w:tcPr>
          <w:p w14:paraId="3973F4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4C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6,912</w:t>
            </w:r>
          </w:p>
        </w:tc>
        <w:tc>
          <w:tcPr>
            <w:tcW w:w="50" w:type="pct"/>
            <w:shd w:val="clear" w:color="auto" w:fill="FFFFFF"/>
            <w:noWrap/>
            <w:tcMar>
              <w:top w:w="15" w:type="dxa"/>
              <w:right w:w="15" w:type="dxa"/>
            </w:tcMar>
            <w:vAlign w:val="bottom"/>
          </w:tcPr>
          <w:p w14:paraId="3973F4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3973F4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4C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4C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6,972</w:t>
            </w:r>
          </w:p>
        </w:tc>
        <w:tc>
          <w:tcPr>
            <w:tcW w:w="50" w:type="pct"/>
            <w:shd w:val="clear" w:color="auto" w:fill="FFFFFF"/>
            <w:noWrap/>
            <w:tcMar>
              <w:top w:w="15" w:type="dxa"/>
              <w:right w:w="15" w:type="dxa"/>
            </w:tcMar>
            <w:vAlign w:val="bottom"/>
          </w:tcPr>
          <w:p w14:paraId="3973F4C7"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4C9" w14:textId="77777777" w:rsidR="007B027D" w:rsidRDefault="008E0125">
      <w:pPr>
        <w:pStyle w:val="a3"/>
        <w:spacing w:beforeAutospacing="0" w:afterAutospacing="0"/>
        <w:rPr>
          <w:sz w:val="12"/>
          <w:szCs w:val="12"/>
        </w:rPr>
      </w:pPr>
      <w:r>
        <w:rPr>
          <w:sz w:val="12"/>
          <w:szCs w:val="12"/>
        </w:rPr>
        <w:t> </w:t>
      </w:r>
    </w:p>
    <w:p w14:paraId="3973F4CA"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 xml:space="preserve">As of May 31, 2022, 2021 and 2020, $4.3 billion, $4.4 billion and $4.3 billion, respectively, of unrecognized tax </w:t>
      </w:r>
      <w:r>
        <w:rPr>
          <w:rFonts w:ascii="Calibri" w:hAnsi="Calibri" w:cs="Calibri"/>
          <w:sz w:val="20"/>
          <w:szCs w:val="20"/>
        </w:rPr>
        <w:t>benefits would affect our effective tax rate if recognized. We recognized interest and penalties related to uncertain tax positions in our (provision for) benefit from income taxes line of our consolidated statements of operations of $93 million, $166 mill</w:t>
      </w:r>
      <w:r>
        <w:rPr>
          <w:rFonts w:ascii="Calibri" w:hAnsi="Calibri" w:cs="Calibri"/>
          <w:sz w:val="20"/>
          <w:szCs w:val="20"/>
        </w:rPr>
        <w:t>ion and $202 million during fiscal 2022, 2021 and 2020, respectively. Interest and penalties accrued were $1.6 billion as of May 31, 2022 and 2021.</w:t>
      </w:r>
    </w:p>
    <w:p w14:paraId="3973F4C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w:t>
      </w:r>
      <w:r>
        <w:rPr>
          <w:rFonts w:ascii="Calibri" w:hAnsi="Calibri" w:cs="Calibri"/>
          <w:sz w:val="20"/>
          <w:szCs w:val="20"/>
        </w:rPr>
        <w:t xml:space="preserve"> and various acquired entities for years through fiscal 2020. Many issues are at an advanced stage in the examination process, the most significant of which include issues related to transfer pricing, domestic production activity, foreign tax credits, rese</w:t>
      </w:r>
      <w:r>
        <w:rPr>
          <w:rFonts w:ascii="Calibri" w:hAnsi="Calibri" w:cs="Calibri"/>
          <w:sz w:val="20"/>
          <w:szCs w:val="20"/>
        </w:rPr>
        <w:t>arch and development credits, state economic nexus, and qualification as a state manufacturer. With respect to all of these domestic audit issues considered in the aggregate, we believe that it was reasonably possible that, as of May 31, 2022, our gross un</w:t>
      </w:r>
      <w:r>
        <w:rPr>
          <w:rFonts w:ascii="Calibri" w:hAnsi="Calibri" w:cs="Calibri"/>
          <w:sz w:val="20"/>
          <w:szCs w:val="20"/>
        </w:rPr>
        <w:t>recognized tax benefits could decrease (whether by payment, release, or a combination of both) in the next 12 months by as much as $994 million ($825 million net of offsetting tax benefits). Our U.S. federal income tax returns have been examined for all ye</w:t>
      </w:r>
      <w:r>
        <w:rPr>
          <w:rFonts w:ascii="Calibri" w:hAnsi="Calibri" w:cs="Calibri"/>
          <w:sz w:val="20"/>
          <w:szCs w:val="20"/>
        </w:rPr>
        <w:t>ars prior to fiscal 2011 and, with some exceptions, we are no longer subject to audit for those periods. Our U.S. state income tax returns, with some exceptions, have been examined for all years prior to fiscal 2007, and we are no longer subject to audit f</w:t>
      </w:r>
      <w:r>
        <w:rPr>
          <w:rFonts w:ascii="Calibri" w:hAnsi="Calibri" w:cs="Calibri"/>
          <w:sz w:val="20"/>
          <w:szCs w:val="20"/>
        </w:rPr>
        <w:t>or those periods.</w:t>
      </w:r>
    </w:p>
    <w:p w14:paraId="3973F4CC"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101</w:t>
      </w:r>
    </w:p>
    <w:p w14:paraId="3973F4CD" w14:textId="77777777" w:rsidR="007B027D" w:rsidRDefault="008E0125">
      <w:r>
        <w:rPr>
          <w:rFonts w:ascii="Calibri" w:hAnsi="Calibri" w:cs="Calibri"/>
          <w:sz w:val="20"/>
          <w:szCs w:val="20"/>
        </w:rPr>
        <w:pict w14:anchorId="397400A0">
          <v:rect id="_x0000_i1127" style="width:415.3pt;height:1.5pt" o:hralign="center" o:hrstd="t" o:hr="t" fillcolor="#a0a0a0" stroked="f"/>
        </w:pict>
      </w:r>
    </w:p>
    <w:p w14:paraId="3973F4CE" w14:textId="77777777" w:rsidR="007B027D" w:rsidRDefault="008E0125">
      <w:pPr>
        <w:pStyle w:val="a3"/>
        <w:spacing w:beforeAutospacing="0" w:after="120" w:afterAutospacing="0"/>
        <w:rPr>
          <w:rFonts w:ascii="Calibri" w:hAnsi="Calibri" w:cs="Calibri"/>
          <w:sz w:val="18"/>
          <w:szCs w:val="18"/>
        </w:rPr>
      </w:pPr>
      <w:hyperlink r:id="rId238" w:anchor="TABLE_OF_CONTENTS" w:history="1">
        <w:r>
          <w:rPr>
            <w:rStyle w:val="a5"/>
            <w:rFonts w:ascii="Calibri" w:hAnsi="Calibri" w:cs="Calibri"/>
            <w:sz w:val="18"/>
            <w:szCs w:val="18"/>
          </w:rPr>
          <w:t>Table of Contents</w:t>
        </w:r>
      </w:hyperlink>
    </w:p>
    <w:p w14:paraId="3973F4CF" w14:textId="77777777" w:rsidR="007B027D" w:rsidRDefault="008E0125">
      <w:pPr>
        <w:pStyle w:val="a3"/>
        <w:spacing w:beforeAutospacing="0" w:afterAutospacing="0"/>
        <w:rPr>
          <w:rFonts w:ascii="Calibri" w:hAnsi="Calibri" w:cs="Calibri"/>
          <w:sz w:val="18"/>
          <w:szCs w:val="18"/>
        </w:rPr>
      </w:pPr>
      <w:hyperlink r:id="rId239" w:anchor="ITEM_15_EXHIBITS_FINANCIAL_STATEMENT_SCH" w:history="1">
        <w:r>
          <w:rPr>
            <w:rStyle w:val="a5"/>
            <w:rFonts w:ascii="Calibri" w:hAnsi="Calibri" w:cs="Calibri"/>
            <w:sz w:val="18"/>
            <w:szCs w:val="18"/>
          </w:rPr>
          <w:t>Index to Financial Statements</w:t>
        </w:r>
      </w:hyperlink>
    </w:p>
    <w:p w14:paraId="3973F4D0"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4D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4D2"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4D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4D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Internationally, tax authorities for numerous </w:t>
      </w:r>
      <w:r>
        <w:rPr>
          <w:rFonts w:ascii="Calibri" w:hAnsi="Calibri" w:cs="Calibri"/>
          <w:sz w:val="20"/>
          <w:szCs w:val="20"/>
        </w:rPr>
        <w:t>non-U.S. jurisdictions are also examining or have examined returns of Oracle and various acquired entities for years through fiscal 2021. Many of the relevant tax years are at an advanced stage in examination or subsequent controversy resolution processes,</w:t>
      </w:r>
      <w:r>
        <w:rPr>
          <w:rFonts w:ascii="Calibri" w:hAnsi="Calibri" w:cs="Calibri"/>
          <w:sz w:val="20"/>
          <w:szCs w:val="20"/>
        </w:rPr>
        <w:t xml:space="preserve"> the most significant of which include issues related to transfer pricing and withholding tax. The manner in which those issues are resolved and the timing thereof could potentially result in a range of decreases or increases in our unrecognized tax benefi</w:t>
      </w:r>
      <w:r>
        <w:rPr>
          <w:rFonts w:ascii="Calibri" w:hAnsi="Calibri" w:cs="Calibri"/>
          <w:sz w:val="20"/>
          <w:szCs w:val="20"/>
        </w:rPr>
        <w:t>ts over the next 12 months. We believe it was reasonably possible that, as of May 31, 2022, the gross unrecognized tax benefits could decrease (whether by payment, release, or a combination of both) in the next 12 months by as much as $287 million ($109 mi</w:t>
      </w:r>
      <w:r>
        <w:rPr>
          <w:rFonts w:ascii="Calibri" w:hAnsi="Calibri" w:cs="Calibri"/>
          <w:sz w:val="20"/>
          <w:szCs w:val="20"/>
        </w:rPr>
        <w:t>llion net of offsetting tax benefits). We also believe it was reasonably possible that, as of May 31, 2022, the gross unrecognized tax benefits could increase in the next 12 months by as much as $869 million ($227 million net of offsetting US tax benefits)</w:t>
      </w:r>
      <w:r>
        <w:rPr>
          <w:rFonts w:ascii="Calibri" w:hAnsi="Calibri" w:cs="Calibri"/>
          <w:sz w:val="20"/>
          <w:szCs w:val="20"/>
        </w:rPr>
        <w:t>. With some exceptions, we are generally no longer subject to tax examinations in non-U.S. jurisdictions for years prior to fiscal 2001.</w:t>
      </w:r>
    </w:p>
    <w:p w14:paraId="3973F4D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w:t>
      </w:r>
      <w:r>
        <w:rPr>
          <w:rFonts w:ascii="Calibri" w:hAnsi="Calibri" w:cs="Calibri"/>
          <w:sz w:val="20"/>
          <w:szCs w:val="20"/>
        </w:rPr>
        <w:t>irect tax matters and are involved in various challenges and litigation in a number of countries, including, in particular, Australia, Brazil, Canada, India, Indonesia, Israel, Italy, Mexico, New Zealand, Pakistan, Saudi Arabia, South Korea and Spain, wher</w:t>
      </w:r>
      <w:r>
        <w:rPr>
          <w:rFonts w:ascii="Calibri" w:hAnsi="Calibri" w:cs="Calibri"/>
          <w:sz w:val="20"/>
          <w:szCs w:val="20"/>
        </w:rPr>
        <w:t>e the amounts under controversy are significant. In some, although not all, cases, we have reserved for potential adjustments to our provision for income taxes and accrual of indirect taxes that may result from examinations by, or any negotiated agreements</w:t>
      </w:r>
      <w:r>
        <w:rPr>
          <w:rFonts w:ascii="Calibri" w:hAnsi="Calibri" w:cs="Calibri"/>
          <w:sz w:val="20"/>
          <w:szCs w:val="20"/>
        </w:rPr>
        <w:t xml:space="preserve"> with, these tax authorities or final outcomes in judicial proceedings, and we believe that the final outcome of these examinations, agreements or judicial proceedings will not have a material effect on our results of operations. If events occur which indi</w:t>
      </w:r>
      <w:r>
        <w:rPr>
          <w:rFonts w:ascii="Calibri" w:hAnsi="Calibri" w:cs="Calibri"/>
          <w:sz w:val="20"/>
          <w:szCs w:val="20"/>
        </w:rPr>
        <w:t>cate payment of these amounts is unnecessary, the reversal of the liabilities would result in the recognition of benefits in the period we determine the liabilities are no longer necessary. If our estimates of the federal, state, and foreign income tax lia</w:t>
      </w:r>
      <w:r>
        <w:rPr>
          <w:rFonts w:ascii="Calibri" w:hAnsi="Calibri" w:cs="Calibri"/>
          <w:sz w:val="20"/>
          <w:szCs w:val="20"/>
        </w:rPr>
        <w:t>bilities and indirect tax liabilities are less than the ultimate assessment, it could result in a further charge to expense.</w:t>
      </w:r>
    </w:p>
    <w:p w14:paraId="3973F4D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have adequately provided under GAAP for outcomes related to our tax audits. However, there can be no assurances </w:t>
      </w:r>
      <w:r>
        <w:rPr>
          <w:rFonts w:ascii="Calibri" w:hAnsi="Calibri" w:cs="Calibri"/>
          <w:sz w:val="20"/>
          <w:szCs w:val="20"/>
        </w:rPr>
        <w:t>as to the possible outcomes or any related financial statement effect thereof.</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F4D9" w14:textId="77777777">
        <w:tc>
          <w:tcPr>
            <w:tcW w:w="262" w:type="pct"/>
            <w:shd w:val="clear" w:color="auto" w:fill="auto"/>
            <w:noWrap/>
          </w:tcPr>
          <w:p w14:paraId="3973F4D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14.</w:t>
            </w:r>
          </w:p>
        </w:tc>
        <w:tc>
          <w:tcPr>
            <w:tcW w:w="0" w:type="auto"/>
            <w:shd w:val="clear" w:color="auto" w:fill="auto"/>
          </w:tcPr>
          <w:p w14:paraId="3973F4D8"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SEGMENT INFORMATION </w:t>
            </w:r>
          </w:p>
        </w:tc>
      </w:tr>
    </w:tbl>
    <w:p w14:paraId="3973F4D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evaluated regularly by the chief operating decision ma</w:t>
      </w:r>
      <w:r>
        <w:rPr>
          <w:rFonts w:ascii="Calibri" w:hAnsi="Calibri" w:cs="Calibri"/>
          <w:sz w:val="20"/>
          <w:szCs w:val="20"/>
        </w:rPr>
        <w:t>ker, or decision-making group, in deciding how to allocate resources and in assessing performance. Our chief operating decision makers (CODMs) are our Chief Executive Officer and Chief Technology Officer. We are organized by line of business and geographic</w:t>
      </w:r>
      <w:r>
        <w:rPr>
          <w:rFonts w:ascii="Calibri" w:hAnsi="Calibri" w:cs="Calibri"/>
          <w:sz w:val="20"/>
          <w:szCs w:val="20"/>
        </w:rPr>
        <w:t xml:space="preserve">ally. While our CODMs evaluate results in a number of different ways, the line of business management structure is the primary basis for which the allocation of resources and financial results are assessed. The tabular information below presents financial </w:t>
      </w:r>
      <w:r>
        <w:rPr>
          <w:rFonts w:ascii="Calibri" w:hAnsi="Calibri" w:cs="Calibri"/>
          <w:sz w:val="20"/>
          <w:szCs w:val="20"/>
        </w:rPr>
        <w:t xml:space="preserve">information that is provided to our CODMs for their review and assists our CODMs with evaluating the company’s performance and allocating company resources. </w:t>
      </w:r>
    </w:p>
    <w:p w14:paraId="3973F4DB"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businesses—cloud and license, hardware and services—each of which is </w:t>
      </w:r>
      <w:r>
        <w:rPr>
          <w:rFonts w:ascii="Calibri" w:hAnsi="Calibri" w:cs="Calibri"/>
          <w:sz w:val="20"/>
          <w:szCs w:val="20"/>
        </w:rPr>
        <w:t>comprised of a single operating segment. All three of our businesses market and sell our offerings globally to businesses of many sizes, government agencies, educational institutions and resellers with a worldwide sales force positioned to offer the combin</w:t>
      </w:r>
      <w:r>
        <w:rPr>
          <w:rFonts w:ascii="Calibri" w:hAnsi="Calibri" w:cs="Calibri"/>
          <w:sz w:val="20"/>
          <w:szCs w:val="20"/>
        </w:rPr>
        <w:t>ations that best meet customer needs.</w:t>
      </w:r>
    </w:p>
    <w:p w14:paraId="3973F4D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marketing and delivery of our enterprise applications and infrastructure technologies through cloud and on-premise deployment models including our cloud services and </w:t>
      </w:r>
      <w:r>
        <w:rPr>
          <w:rFonts w:ascii="Calibri" w:hAnsi="Calibri" w:cs="Calibri"/>
          <w:sz w:val="20"/>
          <w:szCs w:val="20"/>
        </w:rPr>
        <w:t xml:space="preserve">license support offerings; and our cloud license and on-premise license offerings. Cloud services and license support revenues are generated from offerings that are typically contracted with customers directly, billed to customers in advance, delivered to </w:t>
      </w:r>
      <w:r>
        <w:rPr>
          <w:rFonts w:ascii="Calibri" w:hAnsi="Calibri" w:cs="Calibri"/>
          <w:sz w:val="20"/>
          <w:szCs w:val="20"/>
        </w:rPr>
        <w:t>customers over time with our revenue recognition occurring over the contractual terms, and renewed by customers upon completion of the contractual terms. Cloud services and license support contracts provide customers with access to the latest updates to th</w:t>
      </w:r>
      <w:r>
        <w:rPr>
          <w:rFonts w:ascii="Calibri" w:hAnsi="Calibri" w:cs="Calibri"/>
          <w:sz w:val="20"/>
          <w:szCs w:val="20"/>
        </w:rPr>
        <w:t xml:space="preserve">e applications and infrastructure technologies as they become available and for which the customer contracted and also include </w:t>
      </w:r>
    </w:p>
    <w:p w14:paraId="3973F4D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102</w:t>
      </w:r>
    </w:p>
    <w:p w14:paraId="3973F4DE" w14:textId="77777777" w:rsidR="007B027D" w:rsidRDefault="008E0125">
      <w:r>
        <w:rPr>
          <w:rFonts w:ascii="Calibri" w:hAnsi="Calibri" w:cs="Calibri"/>
          <w:sz w:val="20"/>
          <w:szCs w:val="20"/>
        </w:rPr>
        <w:pict w14:anchorId="397400A1">
          <v:rect id="_x0000_i1128" style="width:415.3pt;height:1.5pt" o:hralign="center" o:hrstd="t" o:hr="t" fillcolor="#a0a0a0" stroked="f"/>
        </w:pict>
      </w:r>
    </w:p>
    <w:p w14:paraId="3973F4DF" w14:textId="77777777" w:rsidR="007B027D" w:rsidRDefault="008E0125">
      <w:pPr>
        <w:pStyle w:val="a3"/>
        <w:spacing w:beforeAutospacing="0" w:after="120" w:afterAutospacing="0"/>
        <w:rPr>
          <w:rFonts w:ascii="Calibri" w:hAnsi="Calibri" w:cs="Calibri"/>
          <w:sz w:val="18"/>
          <w:szCs w:val="18"/>
        </w:rPr>
      </w:pPr>
      <w:hyperlink r:id="rId240" w:anchor="TABLE_OF_CONTENTS" w:history="1">
        <w:r>
          <w:rPr>
            <w:rStyle w:val="a5"/>
            <w:rFonts w:ascii="Calibri" w:hAnsi="Calibri" w:cs="Calibri"/>
            <w:sz w:val="18"/>
            <w:szCs w:val="18"/>
          </w:rPr>
          <w:t>Table of Contents</w:t>
        </w:r>
      </w:hyperlink>
    </w:p>
    <w:p w14:paraId="3973F4E0" w14:textId="77777777" w:rsidR="007B027D" w:rsidRDefault="008E0125">
      <w:pPr>
        <w:pStyle w:val="a3"/>
        <w:spacing w:beforeAutospacing="0" w:afterAutospacing="0"/>
        <w:rPr>
          <w:rFonts w:ascii="Calibri" w:hAnsi="Calibri" w:cs="Calibri"/>
          <w:sz w:val="18"/>
          <w:szCs w:val="18"/>
        </w:rPr>
      </w:pPr>
      <w:hyperlink r:id="rId241" w:anchor="ITEM_15_EXHIBITS_FINANCIAL_STATEMENT_SCH" w:history="1">
        <w:r>
          <w:rPr>
            <w:rStyle w:val="a5"/>
            <w:rFonts w:ascii="Calibri" w:hAnsi="Calibri" w:cs="Calibri"/>
            <w:sz w:val="18"/>
            <w:szCs w:val="18"/>
          </w:rPr>
          <w:t>Index to Financial Statements</w:t>
        </w:r>
      </w:hyperlink>
    </w:p>
    <w:p w14:paraId="3973F4E1"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4E2"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w:t>
      </w:r>
      <w:r>
        <w:rPr>
          <w:rFonts w:ascii="Calibri" w:hAnsi="Calibri" w:cs="Calibri"/>
          <w:b/>
          <w:bCs/>
          <w:color w:val="000000"/>
          <w:sz w:val="20"/>
          <w:szCs w:val="20"/>
          <w:shd w:val="clear" w:color="auto" w:fill="FFFFFF"/>
        </w:rPr>
        <w:t>DATED FINANCIAL STATEMENTS—(Continued)</w:t>
      </w:r>
    </w:p>
    <w:p w14:paraId="3973F4E3"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4E4"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4E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related technical support services over the contractual term. Cloud license and on-premise license revenues represent fees earned from granting customers licenses, generally on a perpetual basis, to use our database and middleware and our applications soft</w:t>
      </w:r>
      <w:r>
        <w:rPr>
          <w:rFonts w:ascii="Calibri" w:hAnsi="Calibri" w:cs="Calibri"/>
          <w:sz w:val="20"/>
          <w:szCs w:val="20"/>
        </w:rPr>
        <w:t>ware products within cloud and on-premise IT environments. We generally recognize revenues at the point in time the software is made available to the customer to download and use, which typically is immediate upon signature of the license contract. In each</w:t>
      </w:r>
      <w:r>
        <w:rPr>
          <w:rFonts w:ascii="Calibri" w:hAnsi="Calibri" w:cs="Calibri"/>
          <w:sz w:val="20"/>
          <w:szCs w:val="20"/>
        </w:rPr>
        <w:t xml:space="preserve"> fiscal year, our cloud and license business’ contractual activities are typically highest in our fourth fiscal quarter and the related cash flows are typically highest in the following quarter (i.e., in the first fiscal quarter of the next fiscal year) as</w:t>
      </w:r>
      <w:r>
        <w:rPr>
          <w:rFonts w:ascii="Calibri" w:hAnsi="Calibri" w:cs="Calibri"/>
          <w:sz w:val="20"/>
          <w:szCs w:val="20"/>
        </w:rPr>
        <w:t xml:space="preserve"> we receive payments from these contracts. </w:t>
      </w:r>
    </w:p>
    <w:p w14:paraId="3973F4E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infrastructure technologies including Oracle Engineered Systems, servers, storage, industry-specific hardware, operating systems, virtualization, management and other hardware-relat</w:t>
      </w:r>
      <w:r>
        <w:rPr>
          <w:rFonts w:ascii="Calibri" w:hAnsi="Calibri" w:cs="Calibri"/>
          <w:sz w:val="20"/>
          <w:szCs w:val="20"/>
        </w:rPr>
        <w:t>ed software to support diverse IT environments. Our hardware business also offers hardware support, which provides customers with software updates for the software components that are essential to the functionality of their hardware products and can also i</w:t>
      </w:r>
      <w:r>
        <w:rPr>
          <w:rFonts w:ascii="Calibri" w:hAnsi="Calibri" w:cs="Calibri"/>
          <w:sz w:val="20"/>
          <w:szCs w:val="20"/>
        </w:rPr>
        <w:t>nclude product repairs, maintenance services and technical support services that are typically delivered and recognized ratably over the contractual term.</w:t>
      </w:r>
      <w:r>
        <w:rPr>
          <w:rFonts w:ascii="Calibri" w:hAnsi="Calibri" w:cs="Calibri"/>
          <w:color w:val="000000"/>
          <w:sz w:val="20"/>
          <w:szCs w:val="20"/>
        </w:rPr>
        <w:t xml:space="preserve"> </w:t>
      </w:r>
    </w:p>
    <w:p w14:paraId="3973F4E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w:t>
      </w:r>
      <w:r>
        <w:rPr>
          <w:rFonts w:ascii="Calibri" w:hAnsi="Calibri" w:cs="Calibri"/>
          <w:sz w:val="20"/>
          <w:szCs w:val="20"/>
        </w:rPr>
        <w:t>f their investments in Oracle applications and infrastructure technologies.</w:t>
      </w:r>
    </w:p>
    <w:p w14:paraId="3973F4E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3973F4E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w:t>
      </w:r>
      <w:r>
        <w:rPr>
          <w:rFonts w:ascii="Calibri" w:hAnsi="Calibri" w:cs="Calibri"/>
          <w:sz w:val="20"/>
          <w:szCs w:val="20"/>
        </w:rPr>
        <w:t xml:space="preserve">ree businesses for each of fiscal 2022, 2021 and 2020: </w:t>
      </w:r>
    </w:p>
    <w:p w14:paraId="3973F4EA"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87"/>
        <w:gridCol w:w="113"/>
        <w:gridCol w:w="107"/>
        <w:gridCol w:w="647"/>
        <w:gridCol w:w="76"/>
        <w:gridCol w:w="113"/>
        <w:gridCol w:w="107"/>
        <w:gridCol w:w="647"/>
        <w:gridCol w:w="76"/>
        <w:gridCol w:w="113"/>
        <w:gridCol w:w="107"/>
        <w:gridCol w:w="652"/>
        <w:gridCol w:w="76"/>
      </w:tblGrid>
      <w:tr w:rsidR="007B027D" w14:paraId="3973F4EF" w14:textId="77777777">
        <w:tc>
          <w:tcPr>
            <w:tcW w:w="3300" w:type="pct"/>
            <w:shd w:val="clear" w:color="auto" w:fill="FFFFFF"/>
            <w:tcMar>
              <w:top w:w="15" w:type="dxa"/>
              <w:right w:w="15" w:type="dxa"/>
            </w:tcMar>
            <w:vAlign w:val="bottom"/>
          </w:tcPr>
          <w:p w14:paraId="3973F4EB"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2" w:type="pct"/>
            <w:shd w:val="clear" w:color="auto" w:fill="FFFFFF"/>
            <w:tcMar>
              <w:top w:w="15" w:type="dxa"/>
              <w:right w:w="15" w:type="dxa"/>
            </w:tcMar>
            <w:vAlign w:val="bottom"/>
          </w:tcPr>
          <w:p w14:paraId="3973F4E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10"/>
            <w:tcBorders>
              <w:bottom w:val="single" w:sz="6" w:space="0" w:color="000000"/>
            </w:tcBorders>
            <w:shd w:val="clear" w:color="auto" w:fill="FFFFFF"/>
            <w:tcMar>
              <w:top w:w="15" w:type="dxa"/>
              <w:right w:w="15" w:type="dxa"/>
            </w:tcMar>
            <w:vAlign w:val="bottom"/>
          </w:tcPr>
          <w:p w14:paraId="3973F4E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4E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4FA" w14:textId="77777777">
        <w:tc>
          <w:tcPr>
            <w:tcW w:w="3300" w:type="pct"/>
            <w:tcBorders>
              <w:bottom w:val="single" w:sz="6" w:space="0" w:color="000000"/>
            </w:tcBorders>
            <w:shd w:val="clear" w:color="auto" w:fill="FFFFFF"/>
            <w:tcMar>
              <w:top w:w="15" w:type="dxa"/>
              <w:right w:w="15" w:type="dxa"/>
            </w:tcMar>
            <w:vAlign w:val="bottom"/>
          </w:tcPr>
          <w:p w14:paraId="3973F4F0"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3973F4F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F2"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4F3"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4F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F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4F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4F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4F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4F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508" w14:textId="77777777">
        <w:tc>
          <w:tcPr>
            <w:tcW w:w="3300" w:type="pct"/>
            <w:tcBorders>
              <w:top w:val="single" w:sz="6" w:space="0" w:color="000000"/>
            </w:tcBorders>
            <w:shd w:val="clear" w:color="auto" w:fill="CFF0FC"/>
            <w:tcMar>
              <w:top w:w="15" w:type="dxa"/>
              <w:right w:w="15" w:type="dxa"/>
            </w:tcMar>
          </w:tcPr>
          <w:p w14:paraId="3973F4F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72" w:type="pct"/>
            <w:shd w:val="clear" w:color="auto" w:fill="CFF0FC"/>
            <w:tcMar>
              <w:top w:w="15" w:type="dxa"/>
              <w:right w:w="15" w:type="dxa"/>
            </w:tcMar>
            <w:vAlign w:val="bottom"/>
          </w:tcPr>
          <w:p w14:paraId="3973F4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4F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4F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4F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0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0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0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0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0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16" w14:textId="77777777">
        <w:tc>
          <w:tcPr>
            <w:tcW w:w="3300" w:type="pct"/>
            <w:shd w:val="clear" w:color="auto" w:fill="FFFFFF"/>
            <w:tcMar>
              <w:top w:w="15" w:type="dxa"/>
              <w:right w:w="15" w:type="dxa"/>
            </w:tcMar>
          </w:tcPr>
          <w:p w14:paraId="3973F509"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rPr>
              <w:t>(1)</w:t>
            </w:r>
          </w:p>
        </w:tc>
        <w:tc>
          <w:tcPr>
            <w:tcW w:w="72" w:type="pct"/>
            <w:shd w:val="clear" w:color="auto" w:fill="FFFFFF"/>
            <w:tcMar>
              <w:top w:w="15" w:type="dxa"/>
              <w:right w:w="15" w:type="dxa"/>
            </w:tcMar>
            <w:vAlign w:val="bottom"/>
          </w:tcPr>
          <w:p w14:paraId="3973F5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0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0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36,052</w:t>
            </w:r>
          </w:p>
        </w:tc>
        <w:tc>
          <w:tcPr>
            <w:tcW w:w="50" w:type="pct"/>
            <w:shd w:val="clear" w:color="auto" w:fill="FFFFFF"/>
            <w:noWrap/>
            <w:tcMar>
              <w:top w:w="15" w:type="dxa"/>
              <w:right w:w="15" w:type="dxa"/>
            </w:tcMar>
            <w:vAlign w:val="bottom"/>
          </w:tcPr>
          <w:p w14:paraId="3973F5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0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0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1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34,101</w:t>
            </w:r>
          </w:p>
        </w:tc>
        <w:tc>
          <w:tcPr>
            <w:tcW w:w="50" w:type="pct"/>
            <w:shd w:val="clear" w:color="auto" w:fill="FFFFFF"/>
            <w:noWrap/>
            <w:tcMar>
              <w:top w:w="15" w:type="dxa"/>
              <w:right w:w="15" w:type="dxa"/>
            </w:tcMar>
            <w:vAlign w:val="bottom"/>
          </w:tcPr>
          <w:p w14:paraId="3973F5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1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1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32,523</w:t>
            </w:r>
          </w:p>
        </w:tc>
        <w:tc>
          <w:tcPr>
            <w:tcW w:w="50" w:type="pct"/>
            <w:shd w:val="clear" w:color="auto" w:fill="FFFFFF"/>
            <w:noWrap/>
            <w:tcMar>
              <w:top w:w="15" w:type="dxa"/>
              <w:right w:w="15" w:type="dxa"/>
            </w:tcMar>
            <w:vAlign w:val="bottom"/>
          </w:tcPr>
          <w:p w14:paraId="3973F51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24" w14:textId="77777777">
        <w:tc>
          <w:tcPr>
            <w:tcW w:w="3300" w:type="pct"/>
            <w:shd w:val="clear" w:color="auto" w:fill="CFF0FC"/>
            <w:tcMar>
              <w:top w:w="15" w:type="dxa"/>
              <w:right w:w="15" w:type="dxa"/>
            </w:tcMar>
          </w:tcPr>
          <w:p w14:paraId="3973F517"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services and license </w:t>
            </w:r>
            <w:r>
              <w:rPr>
                <w:rFonts w:ascii="Calibri" w:hAnsi="Calibri" w:cs="Calibri"/>
                <w:color w:val="000000"/>
                <w:sz w:val="18"/>
                <w:szCs w:val="18"/>
              </w:rPr>
              <w:t>support expenses</w:t>
            </w:r>
          </w:p>
        </w:tc>
        <w:tc>
          <w:tcPr>
            <w:tcW w:w="72" w:type="pct"/>
            <w:shd w:val="clear" w:color="auto" w:fill="CFF0FC"/>
            <w:tcMar>
              <w:top w:w="15" w:type="dxa"/>
              <w:right w:w="15" w:type="dxa"/>
            </w:tcMar>
            <w:vAlign w:val="bottom"/>
          </w:tcPr>
          <w:p w14:paraId="3973F5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1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51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4,915</w:t>
            </w:r>
          </w:p>
        </w:tc>
        <w:tc>
          <w:tcPr>
            <w:tcW w:w="50" w:type="pct"/>
            <w:shd w:val="clear" w:color="auto" w:fill="CFF0FC"/>
            <w:noWrap/>
            <w:tcMar>
              <w:top w:w="15" w:type="dxa"/>
              <w:right w:w="15" w:type="dxa"/>
            </w:tcMar>
            <w:vAlign w:val="bottom"/>
          </w:tcPr>
          <w:p w14:paraId="3973F5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51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4,133</w:t>
            </w:r>
          </w:p>
        </w:tc>
        <w:tc>
          <w:tcPr>
            <w:tcW w:w="50" w:type="pct"/>
            <w:shd w:val="clear" w:color="auto" w:fill="CFF0FC"/>
            <w:noWrap/>
            <w:tcMar>
              <w:top w:w="15" w:type="dxa"/>
              <w:right w:w="15" w:type="dxa"/>
            </w:tcMar>
            <w:vAlign w:val="bottom"/>
          </w:tcPr>
          <w:p w14:paraId="3973F5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52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3,803</w:t>
            </w:r>
          </w:p>
        </w:tc>
        <w:tc>
          <w:tcPr>
            <w:tcW w:w="50" w:type="pct"/>
            <w:shd w:val="clear" w:color="auto" w:fill="CFF0FC"/>
            <w:noWrap/>
            <w:tcMar>
              <w:top w:w="15" w:type="dxa"/>
              <w:right w:w="15" w:type="dxa"/>
            </w:tcMar>
            <w:vAlign w:val="bottom"/>
          </w:tcPr>
          <w:p w14:paraId="3973F5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32" w14:textId="77777777">
        <w:tc>
          <w:tcPr>
            <w:tcW w:w="3300" w:type="pct"/>
            <w:shd w:val="clear" w:color="auto" w:fill="FFFFFF"/>
            <w:tcMar>
              <w:top w:w="15" w:type="dxa"/>
              <w:right w:w="15" w:type="dxa"/>
            </w:tcMar>
          </w:tcPr>
          <w:p w14:paraId="3973F52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2" w:type="pct"/>
            <w:shd w:val="clear" w:color="auto" w:fill="FFFFFF"/>
            <w:tcMar>
              <w:top w:w="15" w:type="dxa"/>
              <w:right w:w="15" w:type="dxa"/>
            </w:tcMar>
            <w:vAlign w:val="bottom"/>
          </w:tcPr>
          <w:p w14:paraId="3973F5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5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52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7,054</w:t>
            </w:r>
          </w:p>
        </w:tc>
        <w:tc>
          <w:tcPr>
            <w:tcW w:w="50" w:type="pct"/>
            <w:shd w:val="clear" w:color="auto" w:fill="FFFFFF"/>
            <w:noWrap/>
            <w:tcMar>
              <w:top w:w="15" w:type="dxa"/>
              <w:right w:w="15" w:type="dxa"/>
            </w:tcMar>
            <w:vAlign w:val="bottom"/>
          </w:tcPr>
          <w:p w14:paraId="3973F5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5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52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6,799</w:t>
            </w:r>
          </w:p>
        </w:tc>
        <w:tc>
          <w:tcPr>
            <w:tcW w:w="50" w:type="pct"/>
            <w:shd w:val="clear" w:color="auto" w:fill="FFFFFF"/>
            <w:noWrap/>
            <w:tcMar>
              <w:top w:w="15" w:type="dxa"/>
              <w:right w:w="15" w:type="dxa"/>
            </w:tcMar>
            <w:vAlign w:val="bottom"/>
          </w:tcPr>
          <w:p w14:paraId="3973F5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2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5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53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7,159</w:t>
            </w:r>
          </w:p>
        </w:tc>
        <w:tc>
          <w:tcPr>
            <w:tcW w:w="50" w:type="pct"/>
            <w:shd w:val="clear" w:color="auto" w:fill="FFFFFF"/>
            <w:noWrap/>
            <w:tcMar>
              <w:top w:w="15" w:type="dxa"/>
              <w:right w:w="15" w:type="dxa"/>
            </w:tcMar>
            <w:vAlign w:val="bottom"/>
          </w:tcPr>
          <w:p w14:paraId="3973F5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40" w14:textId="77777777">
        <w:tc>
          <w:tcPr>
            <w:tcW w:w="3300" w:type="pct"/>
            <w:shd w:val="clear" w:color="auto" w:fill="CFF0FC"/>
            <w:tcMar>
              <w:top w:w="15" w:type="dxa"/>
              <w:right w:w="15" w:type="dxa"/>
            </w:tcMar>
          </w:tcPr>
          <w:p w14:paraId="3973F533"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2" w:type="pct"/>
            <w:shd w:val="clear" w:color="auto" w:fill="CFF0FC"/>
            <w:tcMar>
              <w:top w:w="15" w:type="dxa"/>
              <w:right w:w="15" w:type="dxa"/>
            </w:tcMar>
            <w:vAlign w:val="bottom"/>
          </w:tcPr>
          <w:p w14:paraId="3973F5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53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53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24,083</w:t>
            </w:r>
          </w:p>
        </w:tc>
        <w:tc>
          <w:tcPr>
            <w:tcW w:w="50" w:type="pct"/>
            <w:shd w:val="clear" w:color="auto" w:fill="CFF0FC"/>
            <w:noWrap/>
            <w:tcMar>
              <w:top w:w="15" w:type="dxa"/>
              <w:right w:w="15" w:type="dxa"/>
            </w:tcMar>
            <w:vAlign w:val="bottom"/>
          </w:tcPr>
          <w:p w14:paraId="3973F5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5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53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23,169</w:t>
            </w:r>
          </w:p>
        </w:tc>
        <w:tc>
          <w:tcPr>
            <w:tcW w:w="50" w:type="pct"/>
            <w:shd w:val="clear" w:color="auto" w:fill="CFF0FC"/>
            <w:noWrap/>
            <w:tcMar>
              <w:top w:w="15" w:type="dxa"/>
              <w:right w:w="15" w:type="dxa"/>
            </w:tcMar>
            <w:vAlign w:val="bottom"/>
          </w:tcPr>
          <w:p w14:paraId="3973F5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3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3973F5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CFF0FC"/>
            <w:noWrap/>
            <w:tcMar>
              <w:top w:w="15" w:type="dxa"/>
              <w:right w:w="15" w:type="dxa"/>
            </w:tcMar>
            <w:vAlign w:val="bottom"/>
          </w:tcPr>
          <w:p w14:paraId="3973F53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21,561</w:t>
            </w:r>
          </w:p>
        </w:tc>
        <w:tc>
          <w:tcPr>
            <w:tcW w:w="50" w:type="pct"/>
            <w:shd w:val="clear" w:color="auto" w:fill="CFF0FC"/>
            <w:noWrap/>
            <w:tcMar>
              <w:top w:w="15" w:type="dxa"/>
              <w:right w:w="15" w:type="dxa"/>
            </w:tcMar>
            <w:vAlign w:val="bottom"/>
          </w:tcPr>
          <w:p w14:paraId="3973F5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4E" w14:textId="77777777">
        <w:tc>
          <w:tcPr>
            <w:tcW w:w="3300" w:type="pct"/>
            <w:shd w:val="clear" w:color="auto" w:fill="FFFFFF"/>
            <w:tcMar>
              <w:top w:w="15" w:type="dxa"/>
              <w:right w:w="15" w:type="dxa"/>
            </w:tcMar>
          </w:tcPr>
          <w:p w14:paraId="3973F54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72" w:type="pct"/>
            <w:shd w:val="clear" w:color="auto" w:fill="FFFFFF"/>
            <w:tcMar>
              <w:top w:w="15" w:type="dxa"/>
              <w:right w:w="15" w:type="dxa"/>
            </w:tcMar>
            <w:vAlign w:val="bottom"/>
          </w:tcPr>
          <w:p w14:paraId="3973F54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F54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FFFFFF"/>
            <w:noWrap/>
            <w:tcMar>
              <w:top w:w="15" w:type="dxa"/>
              <w:right w:w="15" w:type="dxa"/>
            </w:tcMar>
            <w:vAlign w:val="bottom"/>
          </w:tcPr>
          <w:p w14:paraId="3973F54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F54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FFFFFF"/>
            <w:noWrap/>
            <w:tcMar>
              <w:top w:w="15" w:type="dxa"/>
              <w:right w:w="15" w:type="dxa"/>
            </w:tcMar>
            <w:vAlign w:val="bottom"/>
          </w:tcPr>
          <w:p w14:paraId="3973F54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3973F54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FFFFFF"/>
            <w:noWrap/>
            <w:tcMar>
              <w:top w:w="15" w:type="dxa"/>
              <w:right w:w="15" w:type="dxa"/>
            </w:tcMar>
            <w:vAlign w:val="bottom"/>
          </w:tcPr>
          <w:p w14:paraId="3973F54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5C" w14:textId="77777777">
        <w:tc>
          <w:tcPr>
            <w:tcW w:w="3300" w:type="pct"/>
            <w:shd w:val="clear" w:color="auto" w:fill="CFF0FC"/>
            <w:tcMar>
              <w:top w:w="15" w:type="dxa"/>
              <w:right w:w="15" w:type="dxa"/>
            </w:tcMar>
          </w:tcPr>
          <w:p w14:paraId="3973F54F"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2" w:type="pct"/>
            <w:shd w:val="clear" w:color="auto" w:fill="CFF0FC"/>
            <w:tcMar>
              <w:top w:w="15" w:type="dxa"/>
              <w:right w:w="15" w:type="dxa"/>
            </w:tcMar>
            <w:vAlign w:val="bottom"/>
          </w:tcPr>
          <w:p w14:paraId="3973F5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5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CFF0FC"/>
            <w:noWrap/>
            <w:tcMar>
              <w:top w:w="15" w:type="dxa"/>
              <w:right w:w="15" w:type="dxa"/>
            </w:tcMar>
            <w:vAlign w:val="bottom"/>
          </w:tcPr>
          <w:p w14:paraId="3973F55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3,183</w:t>
            </w:r>
          </w:p>
        </w:tc>
        <w:tc>
          <w:tcPr>
            <w:tcW w:w="50" w:type="pct"/>
            <w:shd w:val="clear" w:color="auto" w:fill="CFF0FC"/>
            <w:noWrap/>
            <w:tcMar>
              <w:top w:w="15" w:type="dxa"/>
              <w:right w:w="15" w:type="dxa"/>
            </w:tcMar>
            <w:vAlign w:val="bottom"/>
          </w:tcPr>
          <w:p w14:paraId="3973F55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5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CFF0FC"/>
            <w:noWrap/>
            <w:tcMar>
              <w:top w:w="15" w:type="dxa"/>
              <w:right w:w="15" w:type="dxa"/>
            </w:tcMar>
            <w:vAlign w:val="bottom"/>
          </w:tcPr>
          <w:p w14:paraId="3973F55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CFF0FC"/>
            <w:noWrap/>
            <w:tcMar>
              <w:top w:w="15" w:type="dxa"/>
              <w:right w:w="15" w:type="dxa"/>
            </w:tcMar>
            <w:vAlign w:val="bottom"/>
          </w:tcPr>
          <w:p w14:paraId="3973F5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CFF0FC"/>
            <w:noWrap/>
            <w:tcMar>
              <w:top w:w="15" w:type="dxa"/>
              <w:right w:w="15" w:type="dxa"/>
            </w:tcMar>
            <w:vAlign w:val="bottom"/>
          </w:tcPr>
          <w:p w14:paraId="3973F55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3,443</w:t>
            </w:r>
          </w:p>
        </w:tc>
        <w:tc>
          <w:tcPr>
            <w:tcW w:w="50" w:type="pct"/>
            <w:shd w:val="clear" w:color="auto" w:fill="CFF0FC"/>
            <w:noWrap/>
            <w:tcMar>
              <w:top w:w="15" w:type="dxa"/>
              <w:right w:w="15" w:type="dxa"/>
            </w:tcMar>
            <w:vAlign w:val="bottom"/>
          </w:tcPr>
          <w:p w14:paraId="3973F5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6A" w14:textId="77777777">
        <w:tc>
          <w:tcPr>
            <w:tcW w:w="3300" w:type="pct"/>
            <w:shd w:val="clear" w:color="auto" w:fill="FFFFFF"/>
            <w:tcMar>
              <w:top w:w="15" w:type="dxa"/>
              <w:right w:w="15" w:type="dxa"/>
            </w:tcMar>
          </w:tcPr>
          <w:p w14:paraId="3973F55D"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 products and support expenses</w:t>
            </w:r>
          </w:p>
        </w:tc>
        <w:tc>
          <w:tcPr>
            <w:tcW w:w="72" w:type="pct"/>
            <w:shd w:val="clear" w:color="auto" w:fill="FFFFFF"/>
            <w:tcMar>
              <w:top w:w="15" w:type="dxa"/>
              <w:right w:w="15" w:type="dxa"/>
            </w:tcMar>
            <w:vAlign w:val="bottom"/>
          </w:tcPr>
          <w:p w14:paraId="3973F5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56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944</w:t>
            </w:r>
          </w:p>
        </w:tc>
        <w:tc>
          <w:tcPr>
            <w:tcW w:w="50" w:type="pct"/>
            <w:shd w:val="clear" w:color="auto" w:fill="FFFFFF"/>
            <w:noWrap/>
            <w:tcMar>
              <w:top w:w="15" w:type="dxa"/>
              <w:right w:w="15" w:type="dxa"/>
            </w:tcMar>
            <w:vAlign w:val="bottom"/>
          </w:tcPr>
          <w:p w14:paraId="3973F5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56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945</w:t>
            </w:r>
          </w:p>
        </w:tc>
        <w:tc>
          <w:tcPr>
            <w:tcW w:w="50" w:type="pct"/>
            <w:shd w:val="clear" w:color="auto" w:fill="FFFFFF"/>
            <w:noWrap/>
            <w:tcMar>
              <w:top w:w="15" w:type="dxa"/>
              <w:right w:w="15" w:type="dxa"/>
            </w:tcMar>
            <w:vAlign w:val="bottom"/>
          </w:tcPr>
          <w:p w14:paraId="3973F5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56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1,084</w:t>
            </w:r>
          </w:p>
        </w:tc>
        <w:tc>
          <w:tcPr>
            <w:tcW w:w="50" w:type="pct"/>
            <w:shd w:val="clear" w:color="auto" w:fill="FFFFFF"/>
            <w:noWrap/>
            <w:tcMar>
              <w:top w:w="15" w:type="dxa"/>
              <w:right w:w="15" w:type="dxa"/>
            </w:tcMar>
            <w:vAlign w:val="bottom"/>
          </w:tcPr>
          <w:p w14:paraId="3973F5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78" w14:textId="77777777">
        <w:tc>
          <w:tcPr>
            <w:tcW w:w="3300" w:type="pct"/>
            <w:shd w:val="clear" w:color="auto" w:fill="CFF0FC"/>
            <w:tcMar>
              <w:top w:w="15" w:type="dxa"/>
              <w:right w:w="15" w:type="dxa"/>
            </w:tcMar>
          </w:tcPr>
          <w:p w14:paraId="3973F56B"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2" w:type="pct"/>
            <w:shd w:val="clear" w:color="auto" w:fill="CFF0FC"/>
            <w:tcMar>
              <w:top w:w="15" w:type="dxa"/>
              <w:right w:w="15" w:type="dxa"/>
            </w:tcMar>
            <w:vAlign w:val="bottom"/>
          </w:tcPr>
          <w:p w14:paraId="3973F5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6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w:t>
            </w:r>
          </w:p>
        </w:tc>
        <w:tc>
          <w:tcPr>
            <w:tcW w:w="50" w:type="pct"/>
            <w:shd w:val="clear" w:color="auto" w:fill="CFF0FC"/>
            <w:noWrap/>
            <w:tcMar>
              <w:top w:w="15" w:type="dxa"/>
              <w:right w:w="15" w:type="dxa"/>
            </w:tcMar>
            <w:vAlign w:val="bottom"/>
          </w:tcPr>
          <w:p w14:paraId="3973F5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7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388</w:t>
            </w:r>
          </w:p>
        </w:tc>
        <w:tc>
          <w:tcPr>
            <w:tcW w:w="50" w:type="pct"/>
            <w:shd w:val="clear" w:color="auto" w:fill="CFF0FC"/>
            <w:noWrap/>
            <w:tcMar>
              <w:top w:w="15" w:type="dxa"/>
              <w:right w:w="15" w:type="dxa"/>
            </w:tcMar>
            <w:vAlign w:val="bottom"/>
          </w:tcPr>
          <w:p w14:paraId="3973F5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7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7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3973F5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86" w14:textId="77777777">
        <w:tc>
          <w:tcPr>
            <w:tcW w:w="3300" w:type="pct"/>
            <w:shd w:val="clear" w:color="auto" w:fill="FFFFFF"/>
            <w:tcMar>
              <w:top w:w="15" w:type="dxa"/>
              <w:right w:w="15" w:type="dxa"/>
            </w:tcMar>
          </w:tcPr>
          <w:p w14:paraId="3973F579"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2" w:type="pct"/>
            <w:shd w:val="clear" w:color="auto" w:fill="FFFFFF"/>
            <w:tcMar>
              <w:top w:w="15" w:type="dxa"/>
              <w:right w:w="15" w:type="dxa"/>
            </w:tcMar>
            <w:vAlign w:val="bottom"/>
          </w:tcPr>
          <w:p w14:paraId="3973F5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7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1,878</w:t>
            </w:r>
          </w:p>
        </w:tc>
        <w:tc>
          <w:tcPr>
            <w:tcW w:w="50" w:type="pct"/>
            <w:shd w:val="clear" w:color="auto" w:fill="FFFFFF"/>
            <w:noWrap/>
            <w:tcMar>
              <w:top w:w="15" w:type="dxa"/>
              <w:right w:w="15" w:type="dxa"/>
            </w:tcMar>
            <w:vAlign w:val="bottom"/>
          </w:tcPr>
          <w:p w14:paraId="3973F57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7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8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2,026</w:t>
            </w:r>
          </w:p>
        </w:tc>
        <w:tc>
          <w:tcPr>
            <w:tcW w:w="50" w:type="pct"/>
            <w:shd w:val="clear" w:color="auto" w:fill="FFFFFF"/>
            <w:noWrap/>
            <w:tcMar>
              <w:top w:w="15" w:type="dxa"/>
              <w:right w:w="15" w:type="dxa"/>
            </w:tcMar>
            <w:vAlign w:val="bottom"/>
          </w:tcPr>
          <w:p w14:paraId="3973F5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8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8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1,903</w:t>
            </w:r>
          </w:p>
        </w:tc>
        <w:tc>
          <w:tcPr>
            <w:tcW w:w="50" w:type="pct"/>
            <w:shd w:val="clear" w:color="auto" w:fill="FFFFFF"/>
            <w:noWrap/>
            <w:tcMar>
              <w:top w:w="15" w:type="dxa"/>
              <w:right w:w="15" w:type="dxa"/>
            </w:tcMar>
            <w:vAlign w:val="bottom"/>
          </w:tcPr>
          <w:p w14:paraId="3973F5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94" w14:textId="77777777">
        <w:tc>
          <w:tcPr>
            <w:tcW w:w="3300" w:type="pct"/>
            <w:shd w:val="clear" w:color="auto" w:fill="CFF0FC"/>
            <w:tcMar>
              <w:top w:w="15" w:type="dxa"/>
              <w:right w:w="15" w:type="dxa"/>
            </w:tcMar>
          </w:tcPr>
          <w:p w14:paraId="3973F58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72" w:type="pct"/>
            <w:shd w:val="clear" w:color="auto" w:fill="CFF0FC"/>
            <w:tcMar>
              <w:top w:w="15" w:type="dxa"/>
              <w:right w:w="15" w:type="dxa"/>
            </w:tcMar>
            <w:vAlign w:val="bottom"/>
          </w:tcPr>
          <w:p w14:paraId="3973F5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8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8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8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8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8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8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9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9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A2" w14:textId="77777777">
        <w:tc>
          <w:tcPr>
            <w:tcW w:w="3300" w:type="pct"/>
            <w:shd w:val="clear" w:color="auto" w:fill="FFFFFF"/>
            <w:tcMar>
              <w:top w:w="15" w:type="dxa"/>
              <w:right w:w="15" w:type="dxa"/>
            </w:tcMar>
          </w:tcPr>
          <w:p w14:paraId="3973F59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2" w:type="pct"/>
            <w:shd w:val="clear" w:color="auto" w:fill="FFFFFF"/>
            <w:tcMar>
              <w:top w:w="15" w:type="dxa"/>
              <w:right w:w="15" w:type="dxa"/>
            </w:tcMar>
            <w:vAlign w:val="bottom"/>
          </w:tcPr>
          <w:p w14:paraId="3973F5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9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9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3,205</w:t>
            </w:r>
          </w:p>
        </w:tc>
        <w:tc>
          <w:tcPr>
            <w:tcW w:w="50" w:type="pct"/>
            <w:shd w:val="clear" w:color="auto" w:fill="FFFFFF"/>
            <w:noWrap/>
            <w:tcMar>
              <w:top w:w="15" w:type="dxa"/>
              <w:right w:w="15" w:type="dxa"/>
            </w:tcMar>
            <w:vAlign w:val="bottom"/>
          </w:tcPr>
          <w:p w14:paraId="3973F59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9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9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3,021</w:t>
            </w:r>
          </w:p>
        </w:tc>
        <w:tc>
          <w:tcPr>
            <w:tcW w:w="50" w:type="pct"/>
            <w:shd w:val="clear" w:color="auto" w:fill="FFFFFF"/>
            <w:noWrap/>
            <w:tcMar>
              <w:top w:w="15" w:type="dxa"/>
              <w:right w:w="15" w:type="dxa"/>
            </w:tcMar>
            <w:vAlign w:val="bottom"/>
          </w:tcPr>
          <w:p w14:paraId="3973F59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9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A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3,106</w:t>
            </w:r>
          </w:p>
        </w:tc>
        <w:tc>
          <w:tcPr>
            <w:tcW w:w="50" w:type="pct"/>
            <w:shd w:val="clear" w:color="auto" w:fill="FFFFFF"/>
            <w:noWrap/>
            <w:tcMar>
              <w:top w:w="15" w:type="dxa"/>
              <w:right w:w="15" w:type="dxa"/>
            </w:tcMar>
            <w:vAlign w:val="bottom"/>
          </w:tcPr>
          <w:p w14:paraId="3973F5A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B0" w14:textId="77777777">
        <w:tc>
          <w:tcPr>
            <w:tcW w:w="3300" w:type="pct"/>
            <w:shd w:val="clear" w:color="auto" w:fill="CFF0FC"/>
            <w:tcMar>
              <w:top w:w="15" w:type="dxa"/>
              <w:right w:w="15" w:type="dxa"/>
            </w:tcMar>
          </w:tcPr>
          <w:p w14:paraId="3973F5A3"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 expenses</w:t>
            </w:r>
          </w:p>
        </w:tc>
        <w:tc>
          <w:tcPr>
            <w:tcW w:w="72" w:type="pct"/>
            <w:shd w:val="clear" w:color="auto" w:fill="CFF0FC"/>
            <w:tcMar>
              <w:top w:w="15" w:type="dxa"/>
              <w:right w:w="15" w:type="dxa"/>
            </w:tcMar>
            <w:vAlign w:val="bottom"/>
          </w:tcPr>
          <w:p w14:paraId="3973F5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A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A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2,539</w:t>
            </w:r>
          </w:p>
        </w:tc>
        <w:tc>
          <w:tcPr>
            <w:tcW w:w="50" w:type="pct"/>
            <w:shd w:val="clear" w:color="auto" w:fill="CFF0FC"/>
            <w:noWrap/>
            <w:tcMar>
              <w:top w:w="15" w:type="dxa"/>
              <w:right w:w="15" w:type="dxa"/>
            </w:tcMar>
            <w:vAlign w:val="bottom"/>
          </w:tcPr>
          <w:p w14:paraId="3973F5A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A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A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2,393</w:t>
            </w:r>
          </w:p>
        </w:tc>
        <w:tc>
          <w:tcPr>
            <w:tcW w:w="50" w:type="pct"/>
            <w:shd w:val="clear" w:color="auto" w:fill="CFF0FC"/>
            <w:noWrap/>
            <w:tcMar>
              <w:top w:w="15" w:type="dxa"/>
              <w:right w:w="15" w:type="dxa"/>
            </w:tcMar>
            <w:vAlign w:val="bottom"/>
          </w:tcPr>
          <w:p w14:paraId="3973F5A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A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A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2,656</w:t>
            </w:r>
          </w:p>
        </w:tc>
        <w:tc>
          <w:tcPr>
            <w:tcW w:w="50" w:type="pct"/>
            <w:shd w:val="clear" w:color="auto" w:fill="CFF0FC"/>
            <w:noWrap/>
            <w:tcMar>
              <w:top w:w="15" w:type="dxa"/>
              <w:right w:w="15" w:type="dxa"/>
            </w:tcMar>
            <w:vAlign w:val="bottom"/>
          </w:tcPr>
          <w:p w14:paraId="3973F5A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BE" w14:textId="77777777">
        <w:tc>
          <w:tcPr>
            <w:tcW w:w="3300" w:type="pct"/>
            <w:shd w:val="clear" w:color="auto" w:fill="FFFFFF"/>
            <w:tcMar>
              <w:top w:w="15" w:type="dxa"/>
              <w:right w:w="15" w:type="dxa"/>
            </w:tcMar>
          </w:tcPr>
          <w:p w14:paraId="3973F5B1"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2" w:type="pct"/>
            <w:shd w:val="clear" w:color="auto" w:fill="FFFFFF"/>
            <w:tcMar>
              <w:top w:w="15" w:type="dxa"/>
              <w:right w:w="15" w:type="dxa"/>
            </w:tcMar>
            <w:vAlign w:val="bottom"/>
          </w:tcPr>
          <w:p w14:paraId="3973F5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B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666</w:t>
            </w:r>
          </w:p>
        </w:tc>
        <w:tc>
          <w:tcPr>
            <w:tcW w:w="50" w:type="pct"/>
            <w:shd w:val="clear" w:color="auto" w:fill="FFFFFF"/>
            <w:noWrap/>
            <w:tcMar>
              <w:top w:w="15" w:type="dxa"/>
              <w:right w:w="15" w:type="dxa"/>
            </w:tcMar>
            <w:vAlign w:val="bottom"/>
          </w:tcPr>
          <w:p w14:paraId="3973F5B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B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B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628</w:t>
            </w:r>
          </w:p>
        </w:tc>
        <w:tc>
          <w:tcPr>
            <w:tcW w:w="50" w:type="pct"/>
            <w:shd w:val="clear" w:color="auto" w:fill="FFFFFF"/>
            <w:noWrap/>
            <w:tcMar>
              <w:top w:w="15" w:type="dxa"/>
              <w:right w:w="15" w:type="dxa"/>
            </w:tcMar>
            <w:vAlign w:val="bottom"/>
          </w:tcPr>
          <w:p w14:paraId="3973F5B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3973F5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single" w:sz="6" w:space="0" w:color="000000"/>
            </w:tcBorders>
            <w:shd w:val="clear" w:color="auto" w:fill="FFFFFF"/>
            <w:noWrap/>
            <w:tcMar>
              <w:top w:w="15" w:type="dxa"/>
              <w:right w:w="15" w:type="dxa"/>
            </w:tcMar>
            <w:vAlign w:val="bottom"/>
          </w:tcPr>
          <w:p w14:paraId="3973F5B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450</w:t>
            </w:r>
          </w:p>
        </w:tc>
        <w:tc>
          <w:tcPr>
            <w:tcW w:w="50" w:type="pct"/>
            <w:shd w:val="clear" w:color="auto" w:fill="FFFFFF"/>
            <w:noWrap/>
            <w:tcMar>
              <w:top w:w="15" w:type="dxa"/>
              <w:right w:w="15" w:type="dxa"/>
            </w:tcMar>
            <w:vAlign w:val="bottom"/>
          </w:tcPr>
          <w:p w14:paraId="3973F5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CC" w14:textId="77777777">
        <w:tc>
          <w:tcPr>
            <w:tcW w:w="3300" w:type="pct"/>
            <w:shd w:val="clear" w:color="auto" w:fill="CFF0FC"/>
            <w:tcMar>
              <w:top w:w="15" w:type="dxa"/>
              <w:right w:w="15" w:type="dxa"/>
            </w:tcMar>
          </w:tcPr>
          <w:p w14:paraId="3973F5BF" w14:textId="77777777" w:rsidR="007B027D" w:rsidRDefault="008E012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Totals:</w:t>
            </w:r>
          </w:p>
        </w:tc>
        <w:tc>
          <w:tcPr>
            <w:tcW w:w="72" w:type="pct"/>
            <w:shd w:val="clear" w:color="auto" w:fill="CFF0FC"/>
            <w:tcMar>
              <w:top w:w="15" w:type="dxa"/>
              <w:right w:w="15" w:type="dxa"/>
            </w:tcMar>
            <w:vAlign w:val="bottom"/>
          </w:tcPr>
          <w:p w14:paraId="3973F5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C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C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C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C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C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C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5C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top w:val="single" w:sz="6" w:space="0" w:color="000000"/>
            </w:tcBorders>
            <w:shd w:val="clear" w:color="auto" w:fill="CFF0FC"/>
            <w:noWrap/>
            <w:tcMar>
              <w:top w:w="15" w:type="dxa"/>
              <w:right w:w="15" w:type="dxa"/>
            </w:tcMar>
            <w:vAlign w:val="bottom"/>
          </w:tcPr>
          <w:p w14:paraId="3973F5C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5C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DA" w14:textId="77777777">
        <w:tc>
          <w:tcPr>
            <w:tcW w:w="3300" w:type="pct"/>
            <w:shd w:val="clear" w:color="auto" w:fill="FFFFFF"/>
            <w:tcMar>
              <w:top w:w="15" w:type="dxa"/>
              <w:right w:w="15" w:type="dxa"/>
            </w:tcMar>
          </w:tcPr>
          <w:p w14:paraId="3973F5CD" w14:textId="77777777" w:rsidR="007B027D" w:rsidRDefault="008E0125">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rPr>
              <w:t>(1)</w:t>
            </w:r>
          </w:p>
        </w:tc>
        <w:tc>
          <w:tcPr>
            <w:tcW w:w="72" w:type="pct"/>
            <w:shd w:val="clear" w:color="auto" w:fill="FFFFFF"/>
            <w:tcMar>
              <w:top w:w="15" w:type="dxa"/>
              <w:right w:w="15" w:type="dxa"/>
            </w:tcMar>
            <w:vAlign w:val="bottom"/>
          </w:tcPr>
          <w:p w14:paraId="3973F5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C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D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FFFFFF"/>
            <w:noWrap/>
            <w:tcMar>
              <w:top w:w="15" w:type="dxa"/>
              <w:right w:w="15" w:type="dxa"/>
            </w:tcMar>
            <w:vAlign w:val="bottom"/>
          </w:tcPr>
          <w:p w14:paraId="3973F5D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D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D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40,481</w:t>
            </w:r>
          </w:p>
        </w:tc>
        <w:tc>
          <w:tcPr>
            <w:tcW w:w="50" w:type="pct"/>
            <w:shd w:val="clear" w:color="auto" w:fill="FFFFFF"/>
            <w:noWrap/>
            <w:tcMar>
              <w:top w:w="15" w:type="dxa"/>
              <w:right w:w="15" w:type="dxa"/>
            </w:tcMar>
            <w:vAlign w:val="bottom"/>
          </w:tcPr>
          <w:p w14:paraId="3973F5D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5D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5D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39,072</w:t>
            </w:r>
          </w:p>
        </w:tc>
        <w:tc>
          <w:tcPr>
            <w:tcW w:w="50" w:type="pct"/>
            <w:shd w:val="clear" w:color="auto" w:fill="FFFFFF"/>
            <w:noWrap/>
            <w:tcMar>
              <w:top w:w="15" w:type="dxa"/>
              <w:right w:w="15" w:type="dxa"/>
            </w:tcMar>
            <w:vAlign w:val="bottom"/>
          </w:tcPr>
          <w:p w14:paraId="3973F5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E8" w14:textId="77777777">
        <w:tc>
          <w:tcPr>
            <w:tcW w:w="3300" w:type="pct"/>
            <w:shd w:val="clear" w:color="auto" w:fill="CFF0FC"/>
            <w:tcMar>
              <w:top w:w="15" w:type="dxa"/>
              <w:right w:w="15" w:type="dxa"/>
            </w:tcMar>
          </w:tcPr>
          <w:p w14:paraId="3973F5DB" w14:textId="77777777" w:rsidR="007B027D" w:rsidRDefault="008E0125">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Expenses</w:t>
            </w:r>
          </w:p>
        </w:tc>
        <w:tc>
          <w:tcPr>
            <w:tcW w:w="72" w:type="pct"/>
            <w:shd w:val="clear" w:color="auto" w:fill="CFF0FC"/>
            <w:tcMar>
              <w:top w:w="15" w:type="dxa"/>
              <w:right w:w="15" w:type="dxa"/>
            </w:tcMar>
            <w:vAlign w:val="bottom"/>
          </w:tcPr>
          <w:p w14:paraId="3973F5D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D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15,813</w:t>
            </w:r>
          </w:p>
        </w:tc>
        <w:tc>
          <w:tcPr>
            <w:tcW w:w="50" w:type="pct"/>
            <w:shd w:val="clear" w:color="auto" w:fill="CFF0FC"/>
            <w:noWrap/>
            <w:tcMar>
              <w:top w:w="15" w:type="dxa"/>
              <w:right w:w="15" w:type="dxa"/>
            </w:tcMar>
            <w:vAlign w:val="bottom"/>
          </w:tcPr>
          <w:p w14:paraId="3973F5D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E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E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14,658</w:t>
            </w:r>
          </w:p>
        </w:tc>
        <w:tc>
          <w:tcPr>
            <w:tcW w:w="50" w:type="pct"/>
            <w:shd w:val="clear" w:color="auto" w:fill="CFF0FC"/>
            <w:noWrap/>
            <w:tcMar>
              <w:top w:w="15" w:type="dxa"/>
              <w:right w:w="15" w:type="dxa"/>
            </w:tcMar>
            <w:vAlign w:val="bottom"/>
          </w:tcPr>
          <w:p w14:paraId="3973F5E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5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3973F5E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CFF0FC"/>
            <w:noWrap/>
            <w:tcMar>
              <w:top w:w="15" w:type="dxa"/>
              <w:right w:w="15" w:type="dxa"/>
            </w:tcMar>
            <w:vAlign w:val="bottom"/>
          </w:tcPr>
          <w:p w14:paraId="3973F5E6"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15,158</w:t>
            </w:r>
          </w:p>
        </w:tc>
        <w:tc>
          <w:tcPr>
            <w:tcW w:w="50" w:type="pct"/>
            <w:shd w:val="clear" w:color="auto" w:fill="CFF0FC"/>
            <w:noWrap/>
            <w:tcMar>
              <w:top w:w="15" w:type="dxa"/>
              <w:right w:w="15" w:type="dxa"/>
            </w:tcMar>
            <w:vAlign w:val="bottom"/>
          </w:tcPr>
          <w:p w14:paraId="3973F5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5F6" w14:textId="77777777">
        <w:tc>
          <w:tcPr>
            <w:tcW w:w="3300" w:type="pct"/>
            <w:shd w:val="clear" w:color="auto" w:fill="FFFFFF"/>
            <w:tcMar>
              <w:top w:w="15" w:type="dxa"/>
              <w:right w:w="15" w:type="dxa"/>
            </w:tcMar>
          </w:tcPr>
          <w:p w14:paraId="3973F5E9" w14:textId="77777777" w:rsidR="007B027D" w:rsidRDefault="008E0125">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2" w:type="pct"/>
            <w:shd w:val="clear" w:color="auto" w:fill="FFFFFF"/>
            <w:tcMar>
              <w:top w:w="15" w:type="dxa"/>
              <w:right w:w="15" w:type="dxa"/>
            </w:tcMar>
            <w:vAlign w:val="bottom"/>
          </w:tcPr>
          <w:p w14:paraId="3973F5E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5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5E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26,627</w:t>
            </w:r>
          </w:p>
        </w:tc>
        <w:tc>
          <w:tcPr>
            <w:tcW w:w="50" w:type="pct"/>
            <w:shd w:val="clear" w:color="auto" w:fill="FFFFFF"/>
            <w:noWrap/>
            <w:tcMar>
              <w:top w:w="15" w:type="dxa"/>
              <w:right w:w="15" w:type="dxa"/>
            </w:tcMar>
            <w:vAlign w:val="bottom"/>
          </w:tcPr>
          <w:p w14:paraId="3973F5E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5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5F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25,823</w:t>
            </w:r>
          </w:p>
        </w:tc>
        <w:tc>
          <w:tcPr>
            <w:tcW w:w="50" w:type="pct"/>
            <w:shd w:val="clear" w:color="auto" w:fill="FFFFFF"/>
            <w:noWrap/>
            <w:tcMar>
              <w:top w:w="15" w:type="dxa"/>
              <w:right w:w="15" w:type="dxa"/>
            </w:tcMar>
            <w:vAlign w:val="bottom"/>
          </w:tcPr>
          <w:p w14:paraId="3973F5F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5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5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5F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23,914</w:t>
            </w:r>
          </w:p>
        </w:tc>
        <w:tc>
          <w:tcPr>
            <w:tcW w:w="50" w:type="pct"/>
            <w:shd w:val="clear" w:color="auto" w:fill="FFFFFF"/>
            <w:noWrap/>
            <w:tcMar>
              <w:top w:w="15" w:type="dxa"/>
              <w:right w:w="15" w:type="dxa"/>
            </w:tcMar>
            <w:vAlign w:val="bottom"/>
          </w:tcPr>
          <w:p w14:paraId="3973F5F5"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5F7" w14:textId="77777777" w:rsidR="007B027D" w:rsidRDefault="008E0125">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5FA" w14:textId="77777777">
        <w:tc>
          <w:tcPr>
            <w:tcW w:w="192" w:type="pct"/>
            <w:shd w:val="clear" w:color="auto" w:fill="auto"/>
            <w:noWrap/>
          </w:tcPr>
          <w:p w14:paraId="3973F5F8"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F5F9"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Cloud and license revenues and total revenues presented for management reporting for fiscal 2021 and fiscal 2020 included revenues related to cloud and license obligations that would have otherwise been </w:t>
            </w:r>
            <w:r>
              <w:rPr>
                <w:rFonts w:ascii="Calibri" w:hAnsi="Calibri" w:cs="Calibri"/>
                <w:color w:val="000000"/>
                <w:sz w:val="15"/>
                <w:szCs w:val="15"/>
              </w:rPr>
              <w:t xml:space="preserve">recorded by the acquired businesses as independent entities but were not recognized in our consolidated statements of operations due to business combination accounting rules that were applicable to acquisitions closed prior to fiscal 2022. The table below </w:t>
            </w:r>
            <w:r>
              <w:rPr>
                <w:rFonts w:ascii="Calibri" w:hAnsi="Calibri" w:cs="Calibri"/>
                <w:color w:val="000000"/>
                <w:sz w:val="15"/>
                <w:szCs w:val="15"/>
              </w:rPr>
              <w:t>provides a reconciliation of our total operating segment revenues to our total revenues as reported in our consolidated statements of operations for all periods presented</w:t>
            </w:r>
            <w:r>
              <w:rPr>
                <w:rFonts w:ascii="Calibri" w:hAnsi="Calibri" w:cs="Calibri"/>
                <w:sz w:val="15"/>
                <w:szCs w:val="15"/>
              </w:rPr>
              <w:t>.</w:t>
            </w:r>
          </w:p>
        </w:tc>
      </w:tr>
    </w:tbl>
    <w:p w14:paraId="3973F5FB"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103</w:t>
      </w:r>
    </w:p>
    <w:p w14:paraId="3973F5FC" w14:textId="77777777" w:rsidR="007B027D" w:rsidRDefault="008E0125">
      <w:r>
        <w:rPr>
          <w:rFonts w:ascii="Calibri" w:hAnsi="Calibri" w:cs="Calibri"/>
          <w:sz w:val="20"/>
          <w:szCs w:val="20"/>
        </w:rPr>
        <w:pict w14:anchorId="397400A2">
          <v:rect id="_x0000_i1129" style="width:415.3pt;height:1.5pt" o:hralign="center" o:hrstd="t" o:hr="t" fillcolor="#a0a0a0" stroked="f"/>
        </w:pict>
      </w:r>
    </w:p>
    <w:p w14:paraId="3973F5FD" w14:textId="77777777" w:rsidR="007B027D" w:rsidRDefault="008E0125">
      <w:pPr>
        <w:pStyle w:val="a3"/>
        <w:spacing w:beforeAutospacing="0" w:after="120" w:afterAutospacing="0"/>
        <w:rPr>
          <w:rFonts w:ascii="Calibri" w:hAnsi="Calibri" w:cs="Calibri"/>
          <w:sz w:val="18"/>
          <w:szCs w:val="18"/>
        </w:rPr>
      </w:pPr>
      <w:hyperlink r:id="rId242" w:anchor="TABLE_OF_CONTENTS" w:history="1">
        <w:r>
          <w:rPr>
            <w:rStyle w:val="a5"/>
            <w:rFonts w:ascii="Calibri" w:hAnsi="Calibri" w:cs="Calibri"/>
            <w:sz w:val="18"/>
            <w:szCs w:val="18"/>
          </w:rPr>
          <w:t>Table of Contents</w:t>
        </w:r>
      </w:hyperlink>
    </w:p>
    <w:p w14:paraId="3973F5FE" w14:textId="77777777" w:rsidR="007B027D" w:rsidRDefault="008E0125">
      <w:pPr>
        <w:pStyle w:val="a3"/>
        <w:spacing w:beforeAutospacing="0" w:afterAutospacing="0"/>
        <w:rPr>
          <w:rFonts w:ascii="Calibri" w:hAnsi="Calibri" w:cs="Calibri"/>
          <w:sz w:val="18"/>
          <w:szCs w:val="18"/>
        </w:rPr>
      </w:pPr>
      <w:hyperlink r:id="rId243" w:anchor="ITEM_15_EXHIBITS_FINANCIAL_STATEMENT_SCH" w:history="1">
        <w:r>
          <w:rPr>
            <w:rStyle w:val="a5"/>
            <w:rFonts w:ascii="Calibri" w:hAnsi="Calibri" w:cs="Calibri"/>
            <w:sz w:val="18"/>
            <w:szCs w:val="18"/>
          </w:rPr>
          <w:t>Index to Financial Statements</w:t>
        </w:r>
      </w:hyperlink>
    </w:p>
    <w:p w14:paraId="3973F5FF"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600"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601"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602"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605" w14:textId="77777777">
        <w:tc>
          <w:tcPr>
            <w:tcW w:w="192" w:type="pct"/>
            <w:shd w:val="clear" w:color="auto" w:fill="auto"/>
            <w:noWrap/>
          </w:tcPr>
          <w:p w14:paraId="3973F603"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3973F604" w14:textId="77777777" w:rsidR="007B027D" w:rsidRDefault="008E0125">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each </w:t>
            </w:r>
            <w:r>
              <w:rPr>
                <w:rFonts w:ascii="Calibri" w:hAnsi="Calibri" w:cs="Calibri"/>
                <w:sz w:val="15"/>
                <w:szCs w:val="15"/>
              </w:rPr>
              <w:t>line of business and do not include allocations of research and development, general and administrative and certain other allocable expenses, net. Additionally, the margins reported above do not reflect amortization of intangible assets, acquisition relate</w:t>
            </w:r>
            <w:r>
              <w:rPr>
                <w:rFonts w:ascii="Calibri" w:hAnsi="Calibri" w:cs="Calibri"/>
                <w:sz w:val="15"/>
                <w:szCs w:val="15"/>
              </w:rPr>
              <w:t>d and other expenses, restructuring expenses, stock-based compensation, interest expense or certain other non-operating expenses or income, net. Refer to the table below for a reconciliation of our total margin for operating segments to our income before i</w:t>
            </w:r>
            <w:r>
              <w:rPr>
                <w:rFonts w:ascii="Calibri" w:hAnsi="Calibri" w:cs="Calibri"/>
                <w:sz w:val="15"/>
                <w:szCs w:val="15"/>
              </w:rPr>
              <w:t>ncome taxes as reported per our consolidated statements of operations.</w:t>
            </w:r>
          </w:p>
        </w:tc>
      </w:tr>
    </w:tbl>
    <w:p w14:paraId="3973F606" w14:textId="77777777" w:rsidR="007B027D" w:rsidRDefault="008E0125">
      <w:pPr>
        <w:pStyle w:val="a3"/>
        <w:spacing w:beforeAutospacing="0" w:afterAutospacing="0"/>
        <w:ind w:hanging="471"/>
        <w:jc w:val="both"/>
        <w:rPr>
          <w:rFonts w:ascii="Times New Roman" w:hAnsi="Times New Roman"/>
          <w:sz w:val="15"/>
          <w:szCs w:val="15"/>
        </w:rPr>
      </w:pPr>
      <w:r>
        <w:rPr>
          <w:rFonts w:ascii="Times New Roman" w:hAnsi="Times New Roman"/>
          <w:sz w:val="15"/>
          <w:szCs w:val="15"/>
        </w:rPr>
        <w:t> </w:t>
      </w:r>
    </w:p>
    <w:p w14:paraId="3973F607" w14:textId="77777777" w:rsidR="007B027D" w:rsidRDefault="008E0125">
      <w:pPr>
        <w:pStyle w:val="a3"/>
        <w:spacing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income taxes:</w:t>
      </w:r>
    </w:p>
    <w:p w14:paraId="3973F608" w14:textId="77777777" w:rsidR="007B027D" w:rsidRDefault="008E012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87"/>
        <w:gridCol w:w="113"/>
        <w:gridCol w:w="107"/>
        <w:gridCol w:w="647"/>
        <w:gridCol w:w="76"/>
        <w:gridCol w:w="113"/>
        <w:gridCol w:w="107"/>
        <w:gridCol w:w="647"/>
        <w:gridCol w:w="76"/>
        <w:gridCol w:w="113"/>
        <w:gridCol w:w="107"/>
        <w:gridCol w:w="652"/>
        <w:gridCol w:w="76"/>
      </w:tblGrid>
      <w:tr w:rsidR="007B027D" w14:paraId="3973F60D" w14:textId="77777777">
        <w:tc>
          <w:tcPr>
            <w:tcW w:w="3300" w:type="pct"/>
            <w:shd w:val="clear" w:color="auto" w:fill="FFFFFF"/>
            <w:tcMar>
              <w:top w:w="15" w:type="dxa"/>
              <w:right w:w="15" w:type="dxa"/>
            </w:tcMar>
            <w:vAlign w:val="bottom"/>
          </w:tcPr>
          <w:p w14:paraId="3973F609" w14:textId="77777777" w:rsidR="007B027D" w:rsidRDefault="008E012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2" w:type="pct"/>
            <w:shd w:val="clear" w:color="auto" w:fill="FFFFFF"/>
            <w:tcMar>
              <w:top w:w="15" w:type="dxa"/>
              <w:right w:w="15" w:type="dxa"/>
            </w:tcMar>
            <w:vAlign w:val="bottom"/>
          </w:tcPr>
          <w:p w14:paraId="3973F60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10"/>
            <w:tcBorders>
              <w:bottom w:val="single" w:sz="6" w:space="0" w:color="000000"/>
            </w:tcBorders>
            <w:shd w:val="clear" w:color="auto" w:fill="FFFFFF"/>
            <w:tcMar>
              <w:top w:w="15" w:type="dxa"/>
              <w:right w:w="15" w:type="dxa"/>
            </w:tcMar>
            <w:vAlign w:val="bottom"/>
          </w:tcPr>
          <w:p w14:paraId="3973F60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60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618" w14:textId="77777777">
        <w:tc>
          <w:tcPr>
            <w:tcW w:w="3300" w:type="pct"/>
            <w:tcBorders>
              <w:bottom w:val="single" w:sz="6" w:space="0" w:color="000000"/>
            </w:tcBorders>
            <w:shd w:val="clear" w:color="auto" w:fill="FFFFFF"/>
            <w:tcMar>
              <w:top w:w="15" w:type="dxa"/>
              <w:right w:w="15" w:type="dxa"/>
            </w:tcMar>
            <w:vAlign w:val="bottom"/>
          </w:tcPr>
          <w:p w14:paraId="3973F60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3973F60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61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61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61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61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61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61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61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61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626" w14:textId="77777777">
        <w:tc>
          <w:tcPr>
            <w:tcW w:w="3300" w:type="pct"/>
            <w:tcBorders>
              <w:top w:val="single" w:sz="6" w:space="0" w:color="000000"/>
            </w:tcBorders>
            <w:shd w:val="clear" w:color="auto" w:fill="CFF0FC"/>
            <w:tcMar>
              <w:top w:w="15" w:type="dxa"/>
              <w:right w:w="15" w:type="dxa"/>
            </w:tcMar>
            <w:vAlign w:val="bottom"/>
          </w:tcPr>
          <w:p w14:paraId="3973F61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Total revenues for operating segments</w:t>
            </w:r>
          </w:p>
        </w:tc>
        <w:tc>
          <w:tcPr>
            <w:tcW w:w="72" w:type="pct"/>
            <w:shd w:val="clear" w:color="auto" w:fill="CFF0FC"/>
            <w:tcMar>
              <w:top w:w="15" w:type="dxa"/>
              <w:right w:w="15" w:type="dxa"/>
            </w:tcMar>
            <w:vAlign w:val="bottom"/>
          </w:tcPr>
          <w:p w14:paraId="3973F6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6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61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CFF0FC"/>
            <w:noWrap/>
            <w:tcMar>
              <w:top w:w="15" w:type="dxa"/>
              <w:right w:w="15" w:type="dxa"/>
            </w:tcMar>
            <w:vAlign w:val="bottom"/>
          </w:tcPr>
          <w:p w14:paraId="3973F61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1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6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62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40,481</w:t>
            </w:r>
          </w:p>
        </w:tc>
        <w:tc>
          <w:tcPr>
            <w:tcW w:w="50" w:type="pct"/>
            <w:shd w:val="clear" w:color="auto" w:fill="CFF0FC"/>
            <w:noWrap/>
            <w:tcMar>
              <w:top w:w="15" w:type="dxa"/>
              <w:right w:w="15" w:type="dxa"/>
            </w:tcMar>
            <w:vAlign w:val="bottom"/>
          </w:tcPr>
          <w:p w14:paraId="3973F62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6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62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39,072</w:t>
            </w:r>
          </w:p>
        </w:tc>
        <w:tc>
          <w:tcPr>
            <w:tcW w:w="50" w:type="pct"/>
            <w:shd w:val="clear" w:color="auto" w:fill="CFF0FC"/>
            <w:noWrap/>
            <w:tcMar>
              <w:top w:w="15" w:type="dxa"/>
              <w:right w:w="15" w:type="dxa"/>
            </w:tcMar>
            <w:vAlign w:val="bottom"/>
          </w:tcPr>
          <w:p w14:paraId="3973F62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634" w14:textId="77777777">
        <w:tc>
          <w:tcPr>
            <w:tcW w:w="3300" w:type="pct"/>
            <w:shd w:val="clear" w:color="auto" w:fill="FFFFFF"/>
            <w:tcMar>
              <w:top w:w="15" w:type="dxa"/>
              <w:right w:w="15" w:type="dxa"/>
            </w:tcMar>
            <w:vAlign w:val="bottom"/>
          </w:tcPr>
          <w:p w14:paraId="3973F6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rPr>
              <w:t>(1)</w:t>
            </w:r>
          </w:p>
        </w:tc>
        <w:tc>
          <w:tcPr>
            <w:tcW w:w="72" w:type="pct"/>
            <w:shd w:val="clear" w:color="auto" w:fill="FFFFFF"/>
            <w:tcMar>
              <w:top w:w="15" w:type="dxa"/>
              <w:right w:w="15" w:type="dxa"/>
            </w:tcMar>
            <w:vAlign w:val="bottom"/>
          </w:tcPr>
          <w:p w14:paraId="3973F62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62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2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3973F6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62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62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2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3973F62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63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3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3973F63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42" w14:textId="77777777">
        <w:tc>
          <w:tcPr>
            <w:tcW w:w="3300" w:type="pct"/>
            <w:shd w:val="clear" w:color="auto" w:fill="CFF0FC"/>
            <w:tcMar>
              <w:top w:w="15" w:type="dxa"/>
              <w:right w:w="15" w:type="dxa"/>
            </w:tcMar>
            <w:vAlign w:val="bottom"/>
          </w:tcPr>
          <w:p w14:paraId="3973F63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72" w:type="pct"/>
            <w:shd w:val="clear" w:color="auto" w:fill="CFF0FC"/>
            <w:tcMar>
              <w:top w:w="15" w:type="dxa"/>
              <w:right w:w="15" w:type="dxa"/>
            </w:tcMar>
            <w:vAlign w:val="bottom"/>
          </w:tcPr>
          <w:p w14:paraId="3973F63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3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3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50" w:type="pct"/>
            <w:shd w:val="clear" w:color="auto" w:fill="CFF0FC"/>
            <w:noWrap/>
            <w:tcMar>
              <w:top w:w="15" w:type="dxa"/>
              <w:right w:w="15" w:type="dxa"/>
            </w:tcMar>
            <w:vAlign w:val="bottom"/>
          </w:tcPr>
          <w:p w14:paraId="3973F6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3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3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3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40,479</w:t>
            </w:r>
          </w:p>
        </w:tc>
        <w:tc>
          <w:tcPr>
            <w:tcW w:w="50" w:type="pct"/>
            <w:shd w:val="clear" w:color="auto" w:fill="CFF0FC"/>
            <w:noWrap/>
            <w:tcMar>
              <w:top w:w="15" w:type="dxa"/>
              <w:right w:w="15" w:type="dxa"/>
            </w:tcMar>
            <w:vAlign w:val="bottom"/>
          </w:tcPr>
          <w:p w14:paraId="3973F6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3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3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4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CFF0FC"/>
            <w:noWrap/>
            <w:tcMar>
              <w:top w:w="15" w:type="dxa"/>
              <w:right w:w="15" w:type="dxa"/>
            </w:tcMar>
            <w:vAlign w:val="bottom"/>
          </w:tcPr>
          <w:p w14:paraId="3973F64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643" w14:textId="77777777" w:rsidR="007B027D" w:rsidRDefault="008E0125">
      <w:pPr>
        <w:pStyle w:val="a3"/>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5490"/>
        <w:gridCol w:w="113"/>
        <w:gridCol w:w="107"/>
        <w:gridCol w:w="647"/>
        <w:gridCol w:w="76"/>
        <w:gridCol w:w="113"/>
        <w:gridCol w:w="107"/>
        <w:gridCol w:w="647"/>
        <w:gridCol w:w="76"/>
        <w:gridCol w:w="113"/>
        <w:gridCol w:w="107"/>
        <w:gridCol w:w="648"/>
        <w:gridCol w:w="77"/>
      </w:tblGrid>
      <w:tr w:rsidR="007B027D" w14:paraId="3973F651" w14:textId="77777777">
        <w:tc>
          <w:tcPr>
            <w:tcW w:w="3300" w:type="pct"/>
            <w:shd w:val="clear" w:color="auto" w:fill="FFFFFF"/>
            <w:tcMar>
              <w:top w:w="15" w:type="dxa"/>
              <w:right w:w="15" w:type="dxa"/>
            </w:tcMar>
            <w:vAlign w:val="bottom"/>
          </w:tcPr>
          <w:p w14:paraId="3973F6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Total margin for </w:t>
            </w:r>
            <w:r>
              <w:rPr>
                <w:rFonts w:ascii="Calibri" w:hAnsi="Calibri" w:cs="Calibri"/>
                <w:color w:val="000000"/>
                <w:sz w:val="18"/>
                <w:szCs w:val="18"/>
              </w:rPr>
              <w:t>operating segments</w:t>
            </w:r>
          </w:p>
        </w:tc>
        <w:tc>
          <w:tcPr>
            <w:tcW w:w="72" w:type="pct"/>
            <w:shd w:val="clear" w:color="auto" w:fill="FFFFFF"/>
            <w:tcMar>
              <w:top w:w="15" w:type="dxa"/>
              <w:right w:w="15" w:type="dxa"/>
            </w:tcMar>
            <w:vAlign w:val="bottom"/>
          </w:tcPr>
          <w:p w14:paraId="3973F64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6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64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26,627</w:t>
            </w:r>
          </w:p>
        </w:tc>
        <w:tc>
          <w:tcPr>
            <w:tcW w:w="50" w:type="pct"/>
            <w:shd w:val="clear" w:color="auto" w:fill="FFFFFF"/>
            <w:noWrap/>
            <w:tcMar>
              <w:top w:w="15" w:type="dxa"/>
              <w:right w:w="15" w:type="dxa"/>
            </w:tcMar>
            <w:vAlign w:val="bottom"/>
          </w:tcPr>
          <w:p w14:paraId="3973F64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64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4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64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25,823</w:t>
            </w:r>
          </w:p>
        </w:tc>
        <w:tc>
          <w:tcPr>
            <w:tcW w:w="50" w:type="pct"/>
            <w:shd w:val="clear" w:color="auto" w:fill="FFFFFF"/>
            <w:noWrap/>
            <w:tcMar>
              <w:top w:w="15" w:type="dxa"/>
              <w:right w:w="15" w:type="dxa"/>
            </w:tcMar>
            <w:vAlign w:val="bottom"/>
          </w:tcPr>
          <w:p w14:paraId="3973F64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64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shd w:val="clear" w:color="auto" w:fill="FFFFFF"/>
            <w:noWrap/>
            <w:tcMar>
              <w:top w:w="15" w:type="dxa"/>
              <w:right w:w="15" w:type="dxa"/>
            </w:tcMar>
            <w:vAlign w:val="bottom"/>
          </w:tcPr>
          <w:p w14:paraId="3973F64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23,914</w:t>
            </w:r>
          </w:p>
        </w:tc>
        <w:tc>
          <w:tcPr>
            <w:tcW w:w="50" w:type="pct"/>
            <w:shd w:val="clear" w:color="auto" w:fill="FFFFFF"/>
            <w:noWrap/>
            <w:tcMar>
              <w:top w:w="15" w:type="dxa"/>
              <w:right w:w="15" w:type="dxa"/>
            </w:tcMar>
            <w:vAlign w:val="bottom"/>
          </w:tcPr>
          <w:p w14:paraId="3973F6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65F" w14:textId="77777777">
        <w:tc>
          <w:tcPr>
            <w:tcW w:w="3300" w:type="pct"/>
            <w:shd w:val="clear" w:color="auto" w:fill="CFF0FC"/>
            <w:tcMar>
              <w:top w:w="15" w:type="dxa"/>
              <w:right w:w="15" w:type="dxa"/>
            </w:tcMar>
            <w:vAlign w:val="bottom"/>
          </w:tcPr>
          <w:p w14:paraId="3973F6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rPr>
              <w:t>(1)</w:t>
            </w:r>
          </w:p>
        </w:tc>
        <w:tc>
          <w:tcPr>
            <w:tcW w:w="72" w:type="pct"/>
            <w:shd w:val="clear" w:color="auto" w:fill="CFF0FC"/>
            <w:tcMar>
              <w:top w:w="15" w:type="dxa"/>
              <w:right w:w="15" w:type="dxa"/>
            </w:tcMar>
            <w:vAlign w:val="bottom"/>
          </w:tcPr>
          <w:p w14:paraId="3973F65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6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5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3973F6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5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3973F6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5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3973F6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6D" w14:textId="77777777">
        <w:tc>
          <w:tcPr>
            <w:tcW w:w="3300" w:type="pct"/>
            <w:shd w:val="clear" w:color="auto" w:fill="FFFFFF"/>
            <w:tcMar>
              <w:top w:w="15" w:type="dxa"/>
              <w:right w:w="15" w:type="dxa"/>
            </w:tcMar>
            <w:vAlign w:val="bottom"/>
          </w:tcPr>
          <w:p w14:paraId="3973F6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Research and development</w:t>
            </w:r>
          </w:p>
        </w:tc>
        <w:tc>
          <w:tcPr>
            <w:tcW w:w="72" w:type="pct"/>
            <w:shd w:val="clear" w:color="auto" w:fill="FFFFFF"/>
            <w:tcMar>
              <w:top w:w="15" w:type="dxa"/>
              <w:right w:w="15" w:type="dxa"/>
            </w:tcMar>
            <w:vAlign w:val="bottom"/>
          </w:tcPr>
          <w:p w14:paraId="3973F66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6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6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(7,219</w:t>
            </w:r>
          </w:p>
        </w:tc>
        <w:tc>
          <w:tcPr>
            <w:tcW w:w="50" w:type="pct"/>
            <w:shd w:val="clear" w:color="auto" w:fill="FFFFFF"/>
            <w:noWrap/>
            <w:tcMar>
              <w:top w:w="15" w:type="dxa"/>
              <w:right w:w="15" w:type="dxa"/>
            </w:tcMar>
            <w:vAlign w:val="bottom"/>
          </w:tcPr>
          <w:p w14:paraId="3973F66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6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6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(6,527</w:t>
            </w:r>
          </w:p>
        </w:tc>
        <w:tc>
          <w:tcPr>
            <w:tcW w:w="50" w:type="pct"/>
            <w:shd w:val="clear" w:color="auto" w:fill="FFFFFF"/>
            <w:noWrap/>
            <w:tcMar>
              <w:top w:w="15" w:type="dxa"/>
              <w:right w:w="15" w:type="dxa"/>
            </w:tcMar>
            <w:vAlign w:val="bottom"/>
          </w:tcPr>
          <w:p w14:paraId="3973F66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6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6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(6,067</w:t>
            </w:r>
          </w:p>
        </w:tc>
        <w:tc>
          <w:tcPr>
            <w:tcW w:w="50" w:type="pct"/>
            <w:shd w:val="clear" w:color="auto" w:fill="FFFFFF"/>
            <w:noWrap/>
            <w:tcMar>
              <w:top w:w="15" w:type="dxa"/>
              <w:right w:w="15" w:type="dxa"/>
            </w:tcMar>
            <w:vAlign w:val="bottom"/>
          </w:tcPr>
          <w:p w14:paraId="3973F6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7B" w14:textId="77777777">
        <w:tc>
          <w:tcPr>
            <w:tcW w:w="3300" w:type="pct"/>
            <w:shd w:val="clear" w:color="auto" w:fill="CFF0FC"/>
            <w:tcMar>
              <w:top w:w="15" w:type="dxa"/>
              <w:right w:w="15" w:type="dxa"/>
            </w:tcMar>
            <w:vAlign w:val="bottom"/>
          </w:tcPr>
          <w:p w14:paraId="3973F66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General and administrative</w:t>
            </w:r>
          </w:p>
        </w:tc>
        <w:tc>
          <w:tcPr>
            <w:tcW w:w="72" w:type="pct"/>
            <w:shd w:val="clear" w:color="auto" w:fill="CFF0FC"/>
            <w:tcMar>
              <w:top w:w="15" w:type="dxa"/>
              <w:right w:w="15" w:type="dxa"/>
            </w:tcMar>
            <w:vAlign w:val="bottom"/>
          </w:tcPr>
          <w:p w14:paraId="3973F66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6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7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(1,317</w:t>
            </w:r>
          </w:p>
        </w:tc>
        <w:tc>
          <w:tcPr>
            <w:tcW w:w="50" w:type="pct"/>
            <w:shd w:val="clear" w:color="auto" w:fill="CFF0FC"/>
            <w:noWrap/>
            <w:tcMar>
              <w:top w:w="15" w:type="dxa"/>
              <w:right w:w="15" w:type="dxa"/>
            </w:tcMar>
            <w:vAlign w:val="bottom"/>
          </w:tcPr>
          <w:p w14:paraId="3973F67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7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7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(1,254</w:t>
            </w:r>
          </w:p>
        </w:tc>
        <w:tc>
          <w:tcPr>
            <w:tcW w:w="50" w:type="pct"/>
            <w:shd w:val="clear" w:color="auto" w:fill="CFF0FC"/>
            <w:noWrap/>
            <w:tcMar>
              <w:top w:w="15" w:type="dxa"/>
              <w:right w:w="15" w:type="dxa"/>
            </w:tcMar>
            <w:vAlign w:val="bottom"/>
          </w:tcPr>
          <w:p w14:paraId="3973F67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7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7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(1,181</w:t>
            </w:r>
          </w:p>
        </w:tc>
        <w:tc>
          <w:tcPr>
            <w:tcW w:w="50" w:type="pct"/>
            <w:shd w:val="clear" w:color="auto" w:fill="CFF0FC"/>
            <w:noWrap/>
            <w:tcMar>
              <w:top w:w="15" w:type="dxa"/>
              <w:right w:w="15" w:type="dxa"/>
            </w:tcMar>
            <w:vAlign w:val="bottom"/>
          </w:tcPr>
          <w:p w14:paraId="3973F6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89" w14:textId="77777777">
        <w:tc>
          <w:tcPr>
            <w:tcW w:w="3300" w:type="pct"/>
            <w:shd w:val="clear" w:color="auto" w:fill="FFFFFF"/>
            <w:tcMar>
              <w:top w:w="15" w:type="dxa"/>
              <w:right w:w="15" w:type="dxa"/>
            </w:tcMar>
            <w:vAlign w:val="bottom"/>
          </w:tcPr>
          <w:p w14:paraId="3973F67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Amortization of intangible assets</w:t>
            </w:r>
          </w:p>
        </w:tc>
        <w:tc>
          <w:tcPr>
            <w:tcW w:w="72" w:type="pct"/>
            <w:shd w:val="clear" w:color="auto" w:fill="FFFFFF"/>
            <w:tcMar>
              <w:top w:w="15" w:type="dxa"/>
              <w:right w:w="15" w:type="dxa"/>
            </w:tcMar>
            <w:vAlign w:val="bottom"/>
          </w:tcPr>
          <w:p w14:paraId="3973F67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6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7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(1,150</w:t>
            </w:r>
          </w:p>
        </w:tc>
        <w:tc>
          <w:tcPr>
            <w:tcW w:w="50" w:type="pct"/>
            <w:shd w:val="clear" w:color="auto" w:fill="FFFFFF"/>
            <w:noWrap/>
            <w:tcMar>
              <w:top w:w="15" w:type="dxa"/>
              <w:right w:w="15" w:type="dxa"/>
            </w:tcMar>
            <w:vAlign w:val="bottom"/>
          </w:tcPr>
          <w:p w14:paraId="3973F68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8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8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8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(1,379</w:t>
            </w:r>
          </w:p>
        </w:tc>
        <w:tc>
          <w:tcPr>
            <w:tcW w:w="50" w:type="pct"/>
            <w:shd w:val="clear" w:color="auto" w:fill="FFFFFF"/>
            <w:noWrap/>
            <w:tcMar>
              <w:top w:w="15" w:type="dxa"/>
              <w:right w:w="15" w:type="dxa"/>
            </w:tcMar>
            <w:vAlign w:val="bottom"/>
          </w:tcPr>
          <w:p w14:paraId="3973F68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8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8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8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(1,586</w:t>
            </w:r>
          </w:p>
        </w:tc>
        <w:tc>
          <w:tcPr>
            <w:tcW w:w="50" w:type="pct"/>
            <w:shd w:val="clear" w:color="auto" w:fill="FFFFFF"/>
            <w:noWrap/>
            <w:tcMar>
              <w:top w:w="15" w:type="dxa"/>
              <w:right w:w="15" w:type="dxa"/>
            </w:tcMar>
            <w:vAlign w:val="bottom"/>
          </w:tcPr>
          <w:p w14:paraId="3973F68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97" w14:textId="77777777">
        <w:tc>
          <w:tcPr>
            <w:tcW w:w="3300" w:type="pct"/>
            <w:shd w:val="clear" w:color="auto" w:fill="CFF0FC"/>
            <w:tcMar>
              <w:top w:w="15" w:type="dxa"/>
              <w:right w:w="15" w:type="dxa"/>
            </w:tcMar>
            <w:vAlign w:val="bottom"/>
          </w:tcPr>
          <w:p w14:paraId="3973F68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Acquisition related and other</w:t>
            </w:r>
          </w:p>
        </w:tc>
        <w:tc>
          <w:tcPr>
            <w:tcW w:w="72" w:type="pct"/>
            <w:shd w:val="clear" w:color="auto" w:fill="CFF0FC"/>
            <w:tcMar>
              <w:top w:w="15" w:type="dxa"/>
              <w:right w:w="15" w:type="dxa"/>
            </w:tcMar>
            <w:vAlign w:val="bottom"/>
          </w:tcPr>
          <w:p w14:paraId="3973F68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68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8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(4,713</w:t>
            </w:r>
          </w:p>
        </w:tc>
        <w:tc>
          <w:tcPr>
            <w:tcW w:w="50" w:type="pct"/>
            <w:shd w:val="clear" w:color="auto" w:fill="CFF0FC"/>
            <w:noWrap/>
            <w:tcMar>
              <w:top w:w="15" w:type="dxa"/>
              <w:right w:w="15" w:type="dxa"/>
            </w:tcMar>
            <w:vAlign w:val="bottom"/>
          </w:tcPr>
          <w:p w14:paraId="3973F68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8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9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9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w:t>
            </w:r>
          </w:p>
        </w:tc>
        <w:tc>
          <w:tcPr>
            <w:tcW w:w="50" w:type="pct"/>
            <w:shd w:val="clear" w:color="auto" w:fill="CFF0FC"/>
            <w:noWrap/>
            <w:tcMar>
              <w:top w:w="15" w:type="dxa"/>
              <w:right w:w="15" w:type="dxa"/>
            </w:tcMar>
            <w:vAlign w:val="bottom"/>
          </w:tcPr>
          <w:p w14:paraId="3973F69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9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9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9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3973F69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A5" w14:textId="77777777">
        <w:tc>
          <w:tcPr>
            <w:tcW w:w="3300" w:type="pct"/>
            <w:shd w:val="clear" w:color="auto" w:fill="FFFFFF"/>
            <w:tcMar>
              <w:top w:w="15" w:type="dxa"/>
              <w:right w:w="15" w:type="dxa"/>
            </w:tcMar>
            <w:vAlign w:val="bottom"/>
          </w:tcPr>
          <w:p w14:paraId="3973F69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Restructuring</w:t>
            </w:r>
          </w:p>
        </w:tc>
        <w:tc>
          <w:tcPr>
            <w:tcW w:w="72" w:type="pct"/>
            <w:shd w:val="clear" w:color="auto" w:fill="FFFFFF"/>
            <w:tcMar>
              <w:top w:w="15" w:type="dxa"/>
              <w:right w:w="15" w:type="dxa"/>
            </w:tcMar>
            <w:vAlign w:val="bottom"/>
          </w:tcPr>
          <w:p w14:paraId="3973F69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69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9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w:t>
            </w:r>
          </w:p>
        </w:tc>
        <w:tc>
          <w:tcPr>
            <w:tcW w:w="50" w:type="pct"/>
            <w:shd w:val="clear" w:color="auto" w:fill="FFFFFF"/>
            <w:noWrap/>
            <w:tcMar>
              <w:top w:w="15" w:type="dxa"/>
              <w:right w:w="15" w:type="dxa"/>
            </w:tcMar>
            <w:vAlign w:val="bottom"/>
          </w:tcPr>
          <w:p w14:paraId="3973F69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9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9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9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(431</w:t>
            </w:r>
          </w:p>
        </w:tc>
        <w:tc>
          <w:tcPr>
            <w:tcW w:w="50" w:type="pct"/>
            <w:shd w:val="clear" w:color="auto" w:fill="FFFFFF"/>
            <w:noWrap/>
            <w:tcMar>
              <w:top w:w="15" w:type="dxa"/>
              <w:right w:w="15" w:type="dxa"/>
            </w:tcMar>
            <w:vAlign w:val="bottom"/>
          </w:tcPr>
          <w:p w14:paraId="3973F6A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A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A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A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w:t>
            </w:r>
          </w:p>
        </w:tc>
        <w:tc>
          <w:tcPr>
            <w:tcW w:w="50" w:type="pct"/>
            <w:shd w:val="clear" w:color="auto" w:fill="FFFFFF"/>
            <w:noWrap/>
            <w:tcMar>
              <w:top w:w="15" w:type="dxa"/>
              <w:right w:w="15" w:type="dxa"/>
            </w:tcMar>
            <w:vAlign w:val="bottom"/>
          </w:tcPr>
          <w:p w14:paraId="3973F6A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B3" w14:textId="77777777">
        <w:tc>
          <w:tcPr>
            <w:tcW w:w="3300" w:type="pct"/>
            <w:shd w:val="clear" w:color="auto" w:fill="CFF0FC"/>
            <w:tcMar>
              <w:top w:w="15" w:type="dxa"/>
              <w:right w:w="15" w:type="dxa"/>
            </w:tcMar>
            <w:vAlign w:val="bottom"/>
          </w:tcPr>
          <w:p w14:paraId="3973F6A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compensation for operating segments</w:t>
            </w:r>
          </w:p>
        </w:tc>
        <w:tc>
          <w:tcPr>
            <w:tcW w:w="72" w:type="pct"/>
            <w:shd w:val="clear" w:color="auto" w:fill="CFF0FC"/>
            <w:tcMar>
              <w:top w:w="15" w:type="dxa"/>
              <w:right w:w="15" w:type="dxa"/>
            </w:tcMar>
            <w:vAlign w:val="bottom"/>
          </w:tcPr>
          <w:p w14:paraId="3973F6A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6A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A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(735</w:t>
            </w:r>
          </w:p>
        </w:tc>
        <w:tc>
          <w:tcPr>
            <w:tcW w:w="50" w:type="pct"/>
            <w:shd w:val="clear" w:color="auto" w:fill="CFF0FC"/>
            <w:noWrap/>
            <w:tcMar>
              <w:top w:w="15" w:type="dxa"/>
              <w:right w:w="15" w:type="dxa"/>
            </w:tcMar>
            <w:vAlign w:val="bottom"/>
          </w:tcPr>
          <w:p w14:paraId="3973F6A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A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A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A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(513</w:t>
            </w:r>
          </w:p>
        </w:tc>
        <w:tc>
          <w:tcPr>
            <w:tcW w:w="50" w:type="pct"/>
            <w:shd w:val="clear" w:color="auto" w:fill="CFF0FC"/>
            <w:noWrap/>
            <w:tcMar>
              <w:top w:w="15" w:type="dxa"/>
              <w:right w:w="15" w:type="dxa"/>
            </w:tcMar>
            <w:vAlign w:val="bottom"/>
          </w:tcPr>
          <w:p w14:paraId="3973F6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A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B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(436</w:t>
            </w:r>
          </w:p>
        </w:tc>
        <w:tc>
          <w:tcPr>
            <w:tcW w:w="50" w:type="pct"/>
            <w:shd w:val="clear" w:color="auto" w:fill="CFF0FC"/>
            <w:noWrap/>
            <w:tcMar>
              <w:top w:w="15" w:type="dxa"/>
              <w:right w:w="15" w:type="dxa"/>
            </w:tcMar>
            <w:vAlign w:val="bottom"/>
          </w:tcPr>
          <w:p w14:paraId="3973F6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C1" w14:textId="77777777">
        <w:tc>
          <w:tcPr>
            <w:tcW w:w="3300" w:type="pct"/>
            <w:shd w:val="clear" w:color="auto" w:fill="FFFFFF"/>
            <w:tcMar>
              <w:top w:w="15" w:type="dxa"/>
              <w:right w:w="15" w:type="dxa"/>
            </w:tcMar>
            <w:vAlign w:val="bottom"/>
          </w:tcPr>
          <w:p w14:paraId="3973F6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Expense allocations and other, net</w:t>
            </w:r>
          </w:p>
        </w:tc>
        <w:tc>
          <w:tcPr>
            <w:tcW w:w="72" w:type="pct"/>
            <w:shd w:val="clear" w:color="auto" w:fill="FFFFFF"/>
            <w:tcMar>
              <w:top w:w="15" w:type="dxa"/>
              <w:right w:w="15" w:type="dxa"/>
            </w:tcMar>
            <w:vAlign w:val="bottom"/>
          </w:tcPr>
          <w:p w14:paraId="3973F6B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6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B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(376</w:t>
            </w:r>
          </w:p>
        </w:tc>
        <w:tc>
          <w:tcPr>
            <w:tcW w:w="50" w:type="pct"/>
            <w:shd w:val="clear" w:color="auto" w:fill="FFFFFF"/>
            <w:noWrap/>
            <w:tcMar>
              <w:top w:w="15" w:type="dxa"/>
              <w:right w:w="15" w:type="dxa"/>
            </w:tcMar>
            <w:vAlign w:val="bottom"/>
          </w:tcPr>
          <w:p w14:paraId="3973F6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B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B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(366</w:t>
            </w:r>
          </w:p>
        </w:tc>
        <w:tc>
          <w:tcPr>
            <w:tcW w:w="50" w:type="pct"/>
            <w:shd w:val="clear" w:color="auto" w:fill="FFFFFF"/>
            <w:noWrap/>
            <w:tcMar>
              <w:top w:w="15" w:type="dxa"/>
              <w:right w:w="15" w:type="dxa"/>
            </w:tcMar>
            <w:vAlign w:val="bottom"/>
          </w:tcPr>
          <w:p w14:paraId="3973F6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B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3973F6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FFFFFF"/>
            <w:noWrap/>
            <w:tcMar>
              <w:top w:w="15" w:type="dxa"/>
              <w:right w:w="15" w:type="dxa"/>
            </w:tcMar>
            <w:vAlign w:val="bottom"/>
          </w:tcPr>
          <w:p w14:paraId="3973F6B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(438</w:t>
            </w:r>
          </w:p>
        </w:tc>
        <w:tc>
          <w:tcPr>
            <w:tcW w:w="50" w:type="pct"/>
            <w:shd w:val="clear" w:color="auto" w:fill="FFFFFF"/>
            <w:noWrap/>
            <w:tcMar>
              <w:top w:w="15" w:type="dxa"/>
              <w:right w:w="15" w:type="dxa"/>
            </w:tcMar>
            <w:vAlign w:val="bottom"/>
          </w:tcPr>
          <w:p w14:paraId="3973F6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CF" w14:textId="77777777">
        <w:tc>
          <w:tcPr>
            <w:tcW w:w="3300" w:type="pct"/>
            <w:shd w:val="clear" w:color="auto" w:fill="CFF0FC"/>
            <w:tcMar>
              <w:top w:w="15" w:type="dxa"/>
              <w:right w:w="15" w:type="dxa"/>
            </w:tcMar>
            <w:vAlign w:val="bottom"/>
          </w:tcPr>
          <w:p w14:paraId="3973F6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72" w:type="pct"/>
            <w:shd w:val="clear" w:color="auto" w:fill="CFF0FC"/>
            <w:tcMar>
              <w:top w:w="15" w:type="dxa"/>
              <w:right w:w="15" w:type="dxa"/>
            </w:tcMar>
            <w:vAlign w:val="bottom"/>
          </w:tcPr>
          <w:p w14:paraId="3973F6C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6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C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(2,755</w:t>
            </w:r>
          </w:p>
        </w:tc>
        <w:tc>
          <w:tcPr>
            <w:tcW w:w="50" w:type="pct"/>
            <w:shd w:val="clear" w:color="auto" w:fill="CFF0FC"/>
            <w:noWrap/>
            <w:tcMar>
              <w:top w:w="15" w:type="dxa"/>
              <w:right w:w="15" w:type="dxa"/>
            </w:tcMar>
            <w:vAlign w:val="bottom"/>
          </w:tcPr>
          <w:p w14:paraId="3973F6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C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C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(2,496</w:t>
            </w:r>
          </w:p>
        </w:tc>
        <w:tc>
          <w:tcPr>
            <w:tcW w:w="50" w:type="pct"/>
            <w:shd w:val="clear" w:color="auto" w:fill="CFF0FC"/>
            <w:noWrap/>
            <w:tcMar>
              <w:top w:w="15" w:type="dxa"/>
              <w:right w:w="15" w:type="dxa"/>
            </w:tcMar>
            <w:vAlign w:val="bottom"/>
          </w:tcPr>
          <w:p w14:paraId="3973F6C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CFF0FC"/>
            <w:tcMar>
              <w:top w:w="15" w:type="dxa"/>
              <w:right w:w="15" w:type="dxa"/>
            </w:tcMar>
            <w:vAlign w:val="bottom"/>
          </w:tcPr>
          <w:p w14:paraId="3973F6C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3973F6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shd w:val="clear" w:color="auto" w:fill="CFF0FC"/>
            <w:noWrap/>
            <w:tcMar>
              <w:top w:w="15" w:type="dxa"/>
              <w:right w:w="15" w:type="dxa"/>
            </w:tcMar>
            <w:vAlign w:val="bottom"/>
          </w:tcPr>
          <w:p w14:paraId="3973F6C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(1,995</w:t>
            </w:r>
          </w:p>
        </w:tc>
        <w:tc>
          <w:tcPr>
            <w:tcW w:w="50" w:type="pct"/>
            <w:shd w:val="clear" w:color="auto" w:fill="CFF0FC"/>
            <w:noWrap/>
            <w:tcMar>
              <w:top w:w="15" w:type="dxa"/>
              <w:right w:w="15" w:type="dxa"/>
            </w:tcMar>
            <w:vAlign w:val="bottom"/>
          </w:tcPr>
          <w:p w14:paraId="3973F6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7B027D" w14:paraId="3973F6DD" w14:textId="77777777">
        <w:tc>
          <w:tcPr>
            <w:tcW w:w="3300" w:type="pct"/>
            <w:shd w:val="clear" w:color="auto" w:fill="FFFFFF"/>
            <w:tcMar>
              <w:top w:w="15" w:type="dxa"/>
              <w:right w:w="15" w:type="dxa"/>
            </w:tcMar>
            <w:vAlign w:val="bottom"/>
          </w:tcPr>
          <w:p w14:paraId="3973F6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72" w:type="pct"/>
            <w:shd w:val="clear" w:color="auto" w:fill="FFFFFF"/>
            <w:tcMar>
              <w:top w:w="15" w:type="dxa"/>
              <w:right w:w="15" w:type="dxa"/>
            </w:tcMar>
            <w:vAlign w:val="bottom"/>
          </w:tcPr>
          <w:p w14:paraId="3973F6D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6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D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(522</w:t>
            </w:r>
          </w:p>
        </w:tc>
        <w:tc>
          <w:tcPr>
            <w:tcW w:w="50" w:type="pct"/>
            <w:shd w:val="clear" w:color="auto" w:fill="FFFFFF"/>
            <w:noWrap/>
            <w:tcMar>
              <w:top w:w="15" w:type="dxa"/>
              <w:right w:w="15" w:type="dxa"/>
            </w:tcMar>
            <w:vAlign w:val="bottom"/>
          </w:tcPr>
          <w:p w14:paraId="3973F6D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2" w:type="pct"/>
            <w:shd w:val="clear" w:color="auto" w:fill="FFFFFF"/>
            <w:tcMar>
              <w:top w:w="15" w:type="dxa"/>
              <w:right w:w="15" w:type="dxa"/>
            </w:tcMar>
            <w:vAlign w:val="bottom"/>
          </w:tcPr>
          <w:p w14:paraId="3973F6D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6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D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282</w:t>
            </w:r>
          </w:p>
        </w:tc>
        <w:tc>
          <w:tcPr>
            <w:tcW w:w="50" w:type="pct"/>
            <w:shd w:val="clear" w:color="auto" w:fill="FFFFFF"/>
            <w:noWrap/>
            <w:tcMar>
              <w:top w:w="15" w:type="dxa"/>
              <w:right w:w="15" w:type="dxa"/>
            </w:tcMar>
            <w:vAlign w:val="bottom"/>
          </w:tcPr>
          <w:p w14:paraId="3973F6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6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6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6D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w:t>
            </w:r>
          </w:p>
        </w:tc>
        <w:tc>
          <w:tcPr>
            <w:tcW w:w="50" w:type="pct"/>
            <w:shd w:val="clear" w:color="auto" w:fill="FFFFFF"/>
            <w:noWrap/>
            <w:tcMar>
              <w:top w:w="15" w:type="dxa"/>
              <w:right w:w="15" w:type="dxa"/>
            </w:tcMar>
            <w:vAlign w:val="bottom"/>
          </w:tcPr>
          <w:p w14:paraId="3973F6D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6EB" w14:textId="77777777">
        <w:tc>
          <w:tcPr>
            <w:tcW w:w="3300" w:type="pct"/>
            <w:shd w:val="clear" w:color="auto" w:fill="CFF0FC"/>
            <w:tcMar>
              <w:top w:w="15" w:type="dxa"/>
              <w:right w:w="15" w:type="dxa"/>
            </w:tcMar>
            <w:vAlign w:val="bottom"/>
          </w:tcPr>
          <w:p w14:paraId="3973F6DE"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Income before income taxes</w:t>
            </w:r>
          </w:p>
        </w:tc>
        <w:tc>
          <w:tcPr>
            <w:tcW w:w="72" w:type="pct"/>
            <w:shd w:val="clear" w:color="auto" w:fill="CFF0FC"/>
            <w:tcMar>
              <w:top w:w="15" w:type="dxa"/>
              <w:right w:w="15" w:type="dxa"/>
            </w:tcMar>
            <w:vAlign w:val="bottom"/>
          </w:tcPr>
          <w:p w14:paraId="3973F6D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E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7,649</w:t>
            </w:r>
          </w:p>
        </w:tc>
        <w:tc>
          <w:tcPr>
            <w:tcW w:w="50" w:type="pct"/>
            <w:shd w:val="clear" w:color="auto" w:fill="CFF0FC"/>
            <w:noWrap/>
            <w:tcMar>
              <w:top w:w="15" w:type="dxa"/>
              <w:right w:w="15" w:type="dxa"/>
            </w:tcMar>
            <w:vAlign w:val="bottom"/>
          </w:tcPr>
          <w:p w14:paraId="3973F6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E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E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12,999</w:t>
            </w:r>
          </w:p>
        </w:tc>
        <w:tc>
          <w:tcPr>
            <w:tcW w:w="50" w:type="pct"/>
            <w:shd w:val="clear" w:color="auto" w:fill="CFF0FC"/>
            <w:noWrap/>
            <w:tcMar>
              <w:top w:w="15" w:type="dxa"/>
              <w:right w:w="15" w:type="dxa"/>
            </w:tcMar>
            <w:vAlign w:val="bottom"/>
          </w:tcPr>
          <w:p w14:paraId="3973F6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6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6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6E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12,063</w:t>
            </w:r>
          </w:p>
        </w:tc>
        <w:tc>
          <w:tcPr>
            <w:tcW w:w="50" w:type="pct"/>
            <w:shd w:val="clear" w:color="auto" w:fill="CFF0FC"/>
            <w:noWrap/>
            <w:tcMar>
              <w:top w:w="15" w:type="dxa"/>
              <w:right w:w="15" w:type="dxa"/>
            </w:tcMar>
            <w:vAlign w:val="bottom"/>
          </w:tcPr>
          <w:p w14:paraId="3973F6EA"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6EC" w14:textId="77777777" w:rsidR="007B027D" w:rsidRDefault="008E012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6EF" w14:textId="77777777">
        <w:tc>
          <w:tcPr>
            <w:tcW w:w="192" w:type="pct"/>
            <w:shd w:val="clear" w:color="auto" w:fill="auto"/>
            <w:noWrap/>
          </w:tcPr>
          <w:p w14:paraId="3973F6ED"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F6EE"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Cloud and license revenues presented for management reporting for fiscal 2021 and fiscal 2020 included revenues related to cloud and license obligations that would have otherwise been recorded by the acquired </w:t>
            </w:r>
            <w:r>
              <w:rPr>
                <w:rFonts w:ascii="Calibri" w:hAnsi="Calibri" w:cs="Calibri"/>
                <w:color w:val="000000"/>
                <w:sz w:val="15"/>
                <w:szCs w:val="15"/>
              </w:rPr>
              <w:t>businesses as independent entities but were not recognized in our consolidated statements of operations due to business combination accounting rules that were applicable to acquisitions closed prior to fiscal 2022. This table includes a reconciliation of o</w:t>
            </w:r>
            <w:r>
              <w:rPr>
                <w:rFonts w:ascii="Calibri" w:hAnsi="Calibri" w:cs="Calibri"/>
                <w:color w:val="000000"/>
                <w:sz w:val="15"/>
                <w:szCs w:val="15"/>
              </w:rPr>
              <w:t>ur total operating segment revenues to our total revenues as reported in our consolidated statements of operations for all periods presented.</w:t>
            </w:r>
            <w:r>
              <w:rPr>
                <w:rFonts w:ascii="Calibri" w:hAnsi="Calibri" w:cs="Calibri"/>
                <w:sz w:val="15"/>
                <w:szCs w:val="15"/>
              </w:rPr>
              <w:t xml:space="preserve"> </w:t>
            </w:r>
          </w:p>
        </w:tc>
      </w:tr>
    </w:tbl>
    <w:p w14:paraId="3973F6F0" w14:textId="77777777" w:rsidR="007B027D" w:rsidRDefault="008E0125">
      <w:pPr>
        <w:pStyle w:val="a3"/>
        <w:spacing w:before="240" w:beforeAutospacing="0" w:after="120" w:afterAutospacing="0"/>
        <w:jc w:val="both"/>
        <w:rPr>
          <w:rFonts w:ascii="Calibri" w:hAnsi="Calibri" w:cs="Calibri"/>
          <w:b/>
          <w:bCs/>
          <w:color w:val="000000"/>
          <w:sz w:val="20"/>
          <w:szCs w:val="20"/>
        </w:rPr>
      </w:pPr>
      <w:r>
        <w:rPr>
          <w:rFonts w:ascii="Calibri" w:hAnsi="Calibri" w:cs="Calibri"/>
          <w:b/>
          <w:bCs/>
          <w:color w:val="000000"/>
          <w:sz w:val="20"/>
          <w:szCs w:val="20"/>
        </w:rPr>
        <w:t>Disaggregation of Revenues</w:t>
      </w:r>
    </w:p>
    <w:p w14:paraId="3973F6F1" w14:textId="77777777" w:rsidR="007B027D" w:rsidRDefault="008E0125">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 xml:space="preserve">We have considered information that is regularly reviewed by our CODMs in evaluating </w:t>
      </w:r>
      <w:r>
        <w:rPr>
          <w:rFonts w:ascii="Calibri" w:hAnsi="Calibri" w:cs="Calibri"/>
          <w:color w:val="000000"/>
          <w:sz w:val="20"/>
          <w:szCs w:val="20"/>
        </w:rPr>
        <w:t>financial performance, and disclosures presented outside of our financial statements in our earnings releases and used in investor presentations to disaggregate revenues to depict how the nature, amount, timing and uncertainty of revenues and cash flows ar</w:t>
      </w:r>
      <w:r>
        <w:rPr>
          <w:rFonts w:ascii="Calibri" w:hAnsi="Calibri" w:cs="Calibri"/>
          <w:color w:val="000000"/>
          <w:sz w:val="20"/>
          <w:szCs w:val="20"/>
        </w:rPr>
        <w:t>e affected by economic factors. The principal category we use to disaggregate revenues is the nature of our products and services as presented in our consolidated statements of operations, the total of which is reconciled to revenues from our reportable se</w:t>
      </w:r>
      <w:r>
        <w:rPr>
          <w:rFonts w:ascii="Calibri" w:hAnsi="Calibri" w:cs="Calibri"/>
          <w:color w:val="000000"/>
          <w:sz w:val="20"/>
          <w:szCs w:val="20"/>
        </w:rPr>
        <w:t>gments as per the preceding tables of this footnote.</w:t>
      </w:r>
    </w:p>
    <w:p w14:paraId="3973F6F2" w14:textId="77777777" w:rsidR="007B027D" w:rsidRDefault="008E0125">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The following table is a summary of our total revenues by geographic region:</w:t>
      </w:r>
    </w:p>
    <w:tbl>
      <w:tblPr>
        <w:tblW w:w="5000" w:type="pct"/>
        <w:tblCellMar>
          <w:left w:w="0" w:type="dxa"/>
          <w:right w:w="0" w:type="dxa"/>
        </w:tblCellMar>
        <w:tblLook w:val="04A0" w:firstRow="1" w:lastRow="0" w:firstColumn="1" w:lastColumn="0" w:noHBand="0" w:noVBand="1"/>
      </w:tblPr>
      <w:tblGrid>
        <w:gridCol w:w="5484"/>
        <w:gridCol w:w="110"/>
        <w:gridCol w:w="117"/>
        <w:gridCol w:w="644"/>
        <w:gridCol w:w="73"/>
        <w:gridCol w:w="110"/>
        <w:gridCol w:w="117"/>
        <w:gridCol w:w="644"/>
        <w:gridCol w:w="73"/>
        <w:gridCol w:w="110"/>
        <w:gridCol w:w="117"/>
        <w:gridCol w:w="649"/>
        <w:gridCol w:w="73"/>
      </w:tblGrid>
      <w:tr w:rsidR="007B027D" w14:paraId="3973F6F7" w14:textId="77777777">
        <w:tc>
          <w:tcPr>
            <w:tcW w:w="3300" w:type="pct"/>
            <w:shd w:val="clear" w:color="auto" w:fill="FFFFFF"/>
            <w:tcMar>
              <w:top w:w="15" w:type="dxa"/>
              <w:right w:w="15" w:type="dxa"/>
            </w:tcMar>
            <w:vAlign w:val="bottom"/>
          </w:tcPr>
          <w:p w14:paraId="3973F6F3"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3973F6F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10"/>
            <w:tcBorders>
              <w:bottom w:val="single" w:sz="6" w:space="0" w:color="000000"/>
            </w:tcBorders>
            <w:shd w:val="clear" w:color="auto" w:fill="FFFFFF"/>
            <w:tcMar>
              <w:top w:w="15" w:type="dxa"/>
              <w:right w:w="15" w:type="dxa"/>
            </w:tcMar>
            <w:vAlign w:val="bottom"/>
          </w:tcPr>
          <w:p w14:paraId="3973F6F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6F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02" w14:textId="77777777">
        <w:tc>
          <w:tcPr>
            <w:tcW w:w="3300" w:type="pct"/>
            <w:tcBorders>
              <w:bottom w:val="single" w:sz="6" w:space="0" w:color="000000"/>
            </w:tcBorders>
            <w:shd w:val="clear" w:color="auto" w:fill="FFFFFF"/>
            <w:tcMar>
              <w:top w:w="15" w:type="dxa"/>
              <w:right w:w="15" w:type="dxa"/>
            </w:tcMar>
            <w:vAlign w:val="bottom"/>
          </w:tcPr>
          <w:p w14:paraId="3973F6F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3973F6F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6F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6F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6F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6F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6F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6FF" w14:textId="77777777" w:rsidR="007B027D" w:rsidRDefault="008E012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70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70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10" w14:textId="77777777">
        <w:tc>
          <w:tcPr>
            <w:tcW w:w="3300" w:type="pct"/>
            <w:tcBorders>
              <w:top w:val="single" w:sz="6" w:space="0" w:color="000000"/>
            </w:tcBorders>
            <w:shd w:val="clear" w:color="auto" w:fill="CFF0FC"/>
            <w:tcMar>
              <w:top w:w="15" w:type="dxa"/>
              <w:right w:w="15" w:type="dxa"/>
            </w:tcMar>
          </w:tcPr>
          <w:p w14:paraId="3973F70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72" w:type="pct"/>
            <w:shd w:val="clear" w:color="auto" w:fill="CFF0FC"/>
            <w:tcMar>
              <w:top w:w="15" w:type="dxa"/>
              <w:right w:w="15" w:type="dxa"/>
            </w:tcMar>
            <w:vAlign w:val="bottom"/>
          </w:tcPr>
          <w:p w14:paraId="3973F704"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3973F7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70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23,679</w:t>
            </w:r>
          </w:p>
        </w:tc>
        <w:tc>
          <w:tcPr>
            <w:tcW w:w="50" w:type="pct"/>
            <w:shd w:val="clear" w:color="auto" w:fill="CFF0FC"/>
            <w:noWrap/>
            <w:tcMar>
              <w:top w:w="15" w:type="dxa"/>
              <w:right w:w="15" w:type="dxa"/>
            </w:tcMar>
            <w:vAlign w:val="bottom"/>
          </w:tcPr>
          <w:p w14:paraId="3973F7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70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70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70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21,828</w:t>
            </w:r>
          </w:p>
        </w:tc>
        <w:tc>
          <w:tcPr>
            <w:tcW w:w="50" w:type="pct"/>
            <w:shd w:val="clear" w:color="auto" w:fill="CFF0FC"/>
            <w:noWrap/>
            <w:tcMar>
              <w:top w:w="15" w:type="dxa"/>
              <w:right w:w="15" w:type="dxa"/>
            </w:tcMar>
            <w:vAlign w:val="bottom"/>
          </w:tcPr>
          <w:p w14:paraId="3973F70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70C"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70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3973F70E"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21,563</w:t>
            </w:r>
          </w:p>
        </w:tc>
        <w:tc>
          <w:tcPr>
            <w:tcW w:w="50" w:type="pct"/>
            <w:shd w:val="clear" w:color="auto" w:fill="CFF0FC"/>
            <w:noWrap/>
            <w:tcMar>
              <w:top w:w="15" w:type="dxa"/>
              <w:right w:w="15" w:type="dxa"/>
            </w:tcMar>
            <w:vAlign w:val="bottom"/>
          </w:tcPr>
          <w:p w14:paraId="3973F70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71E" w14:textId="77777777">
        <w:tc>
          <w:tcPr>
            <w:tcW w:w="3300" w:type="pct"/>
            <w:shd w:val="clear" w:color="auto" w:fill="FFFFFF"/>
            <w:tcMar>
              <w:top w:w="15" w:type="dxa"/>
              <w:right w:w="15" w:type="dxa"/>
            </w:tcMar>
          </w:tcPr>
          <w:p w14:paraId="3973F71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72" w:type="pct"/>
            <w:shd w:val="clear" w:color="auto" w:fill="FFFFFF"/>
            <w:tcMar>
              <w:top w:w="15" w:type="dxa"/>
              <w:right w:w="15" w:type="dxa"/>
            </w:tcMar>
            <w:vAlign w:val="bottom"/>
          </w:tcPr>
          <w:p w14:paraId="3973F712"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7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71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12,011</w:t>
            </w:r>
          </w:p>
        </w:tc>
        <w:tc>
          <w:tcPr>
            <w:tcW w:w="50" w:type="pct"/>
            <w:shd w:val="clear" w:color="auto" w:fill="FFFFFF"/>
            <w:noWrap/>
            <w:tcMar>
              <w:top w:w="15" w:type="dxa"/>
              <w:right w:w="15" w:type="dxa"/>
            </w:tcMar>
            <w:vAlign w:val="bottom"/>
          </w:tcPr>
          <w:p w14:paraId="3973F7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71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7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71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11,894</w:t>
            </w:r>
          </w:p>
        </w:tc>
        <w:tc>
          <w:tcPr>
            <w:tcW w:w="50" w:type="pct"/>
            <w:shd w:val="clear" w:color="auto" w:fill="FFFFFF"/>
            <w:noWrap/>
            <w:tcMar>
              <w:top w:w="15" w:type="dxa"/>
              <w:right w:w="15" w:type="dxa"/>
            </w:tcMar>
            <w:vAlign w:val="bottom"/>
          </w:tcPr>
          <w:p w14:paraId="3973F71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71A"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3973F71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shd w:val="clear" w:color="auto" w:fill="FFFFFF"/>
            <w:noWrap/>
            <w:tcMar>
              <w:top w:w="15" w:type="dxa"/>
              <w:right w:w="15" w:type="dxa"/>
            </w:tcMar>
            <w:vAlign w:val="bottom"/>
          </w:tcPr>
          <w:p w14:paraId="3973F71C"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11,035</w:t>
            </w:r>
          </w:p>
        </w:tc>
        <w:tc>
          <w:tcPr>
            <w:tcW w:w="50" w:type="pct"/>
            <w:shd w:val="clear" w:color="auto" w:fill="FFFFFF"/>
            <w:noWrap/>
            <w:tcMar>
              <w:top w:w="15" w:type="dxa"/>
              <w:right w:w="15" w:type="dxa"/>
            </w:tcMar>
            <w:vAlign w:val="bottom"/>
          </w:tcPr>
          <w:p w14:paraId="3973F71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72C" w14:textId="77777777">
        <w:tc>
          <w:tcPr>
            <w:tcW w:w="3300" w:type="pct"/>
            <w:shd w:val="clear" w:color="auto" w:fill="CFF0FC"/>
            <w:tcMar>
              <w:top w:w="15" w:type="dxa"/>
              <w:right w:w="15" w:type="dxa"/>
            </w:tcMar>
          </w:tcPr>
          <w:p w14:paraId="3973F71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72" w:type="pct"/>
            <w:shd w:val="clear" w:color="auto" w:fill="CFF0FC"/>
            <w:tcMar>
              <w:top w:w="15" w:type="dxa"/>
              <w:right w:w="15" w:type="dxa"/>
            </w:tcMar>
            <w:vAlign w:val="bottom"/>
          </w:tcPr>
          <w:p w14:paraId="3973F720"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F7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722"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6,750</w:t>
            </w:r>
          </w:p>
        </w:tc>
        <w:tc>
          <w:tcPr>
            <w:tcW w:w="50" w:type="pct"/>
            <w:shd w:val="clear" w:color="auto" w:fill="CFF0FC"/>
            <w:noWrap/>
            <w:tcMar>
              <w:top w:w="15" w:type="dxa"/>
              <w:right w:w="15" w:type="dxa"/>
            </w:tcMar>
            <w:vAlign w:val="bottom"/>
          </w:tcPr>
          <w:p w14:paraId="3973F7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72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72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726"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6,757</w:t>
            </w:r>
          </w:p>
        </w:tc>
        <w:tc>
          <w:tcPr>
            <w:tcW w:w="50" w:type="pct"/>
            <w:shd w:val="clear" w:color="auto" w:fill="CFF0FC"/>
            <w:noWrap/>
            <w:tcMar>
              <w:top w:w="15" w:type="dxa"/>
              <w:right w:w="15" w:type="dxa"/>
            </w:tcMar>
            <w:vAlign w:val="bottom"/>
          </w:tcPr>
          <w:p w14:paraId="3973F72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3973F728"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72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CFF0FC"/>
            <w:noWrap/>
            <w:tcMar>
              <w:top w:w="15" w:type="dxa"/>
              <w:right w:w="15" w:type="dxa"/>
            </w:tcMar>
            <w:vAlign w:val="bottom"/>
          </w:tcPr>
          <w:p w14:paraId="3973F72A"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6,470</w:t>
            </w:r>
          </w:p>
        </w:tc>
        <w:tc>
          <w:tcPr>
            <w:tcW w:w="50" w:type="pct"/>
            <w:shd w:val="clear" w:color="auto" w:fill="CFF0FC"/>
            <w:noWrap/>
            <w:tcMar>
              <w:top w:w="15" w:type="dxa"/>
              <w:right w:w="15" w:type="dxa"/>
            </w:tcMar>
            <w:vAlign w:val="bottom"/>
          </w:tcPr>
          <w:p w14:paraId="3973F72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73A" w14:textId="77777777">
        <w:tc>
          <w:tcPr>
            <w:tcW w:w="3300" w:type="pct"/>
            <w:shd w:val="clear" w:color="auto" w:fill="FFFFFF"/>
            <w:tcMar>
              <w:top w:w="15" w:type="dxa"/>
              <w:right w:w="15" w:type="dxa"/>
            </w:tcMar>
          </w:tcPr>
          <w:p w14:paraId="3973F72D" w14:textId="77777777" w:rsidR="007B027D" w:rsidRDefault="008E012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2" w:type="pct"/>
            <w:shd w:val="clear" w:color="auto" w:fill="FFFFFF"/>
            <w:tcMar>
              <w:top w:w="15" w:type="dxa"/>
              <w:right w:w="15" w:type="dxa"/>
            </w:tcMar>
            <w:vAlign w:val="bottom"/>
          </w:tcPr>
          <w:p w14:paraId="3973F72E"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7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730"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42,440</w:t>
            </w:r>
          </w:p>
        </w:tc>
        <w:tc>
          <w:tcPr>
            <w:tcW w:w="50" w:type="pct"/>
            <w:shd w:val="clear" w:color="auto" w:fill="FFFFFF"/>
            <w:noWrap/>
            <w:tcMar>
              <w:top w:w="15" w:type="dxa"/>
              <w:right w:w="15" w:type="dxa"/>
            </w:tcMar>
            <w:vAlign w:val="bottom"/>
          </w:tcPr>
          <w:p w14:paraId="3973F7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73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73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734"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40,479</w:t>
            </w:r>
          </w:p>
        </w:tc>
        <w:tc>
          <w:tcPr>
            <w:tcW w:w="50" w:type="pct"/>
            <w:shd w:val="clear" w:color="auto" w:fill="FFFFFF"/>
            <w:noWrap/>
            <w:tcMar>
              <w:top w:w="15" w:type="dxa"/>
              <w:right w:w="15" w:type="dxa"/>
            </w:tcMar>
            <w:vAlign w:val="bottom"/>
          </w:tcPr>
          <w:p w14:paraId="3973F73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3973F736" w14:textId="77777777" w:rsidR="007B027D" w:rsidRDefault="008E012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73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FFFFFF"/>
            <w:noWrap/>
            <w:tcMar>
              <w:top w:w="15" w:type="dxa"/>
              <w:right w:w="15" w:type="dxa"/>
            </w:tcMar>
            <w:vAlign w:val="bottom"/>
          </w:tcPr>
          <w:p w14:paraId="3973F738"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39,068</w:t>
            </w:r>
          </w:p>
        </w:tc>
        <w:tc>
          <w:tcPr>
            <w:tcW w:w="50" w:type="pct"/>
            <w:shd w:val="clear" w:color="auto" w:fill="FFFFFF"/>
            <w:noWrap/>
            <w:tcMar>
              <w:top w:w="15" w:type="dxa"/>
              <w:right w:w="15" w:type="dxa"/>
            </w:tcMar>
            <w:vAlign w:val="bottom"/>
          </w:tcPr>
          <w:p w14:paraId="3973F739"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73B" w14:textId="77777777" w:rsidR="007B027D" w:rsidRDefault="008E0125">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73E" w14:textId="77777777">
        <w:tc>
          <w:tcPr>
            <w:tcW w:w="192" w:type="pct"/>
            <w:shd w:val="clear" w:color="auto" w:fill="auto"/>
            <w:noWrap/>
          </w:tcPr>
          <w:p w14:paraId="3973F73C"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F73D"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Comprised of Europe, the Middle East and Africa</w:t>
            </w:r>
            <w:r>
              <w:rPr>
                <w:rFonts w:ascii="Calibri" w:hAnsi="Calibri" w:cs="Calibri"/>
                <w:sz w:val="15"/>
                <w:szCs w:val="15"/>
              </w:rPr>
              <w:t>  </w:t>
            </w:r>
          </w:p>
        </w:tc>
      </w:tr>
    </w:tbl>
    <w:p w14:paraId="3973F73F"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104</w:t>
      </w:r>
    </w:p>
    <w:p w14:paraId="3973F740" w14:textId="77777777" w:rsidR="007B027D" w:rsidRDefault="008E0125">
      <w:r>
        <w:rPr>
          <w:rFonts w:ascii="Calibri" w:hAnsi="Calibri" w:cs="Calibri"/>
          <w:sz w:val="20"/>
          <w:szCs w:val="20"/>
        </w:rPr>
        <w:pict w14:anchorId="397400A3">
          <v:rect id="_x0000_i1130" style="width:415.3pt;height:1.5pt" o:hralign="center" o:hrstd="t" o:hr="t" fillcolor="#a0a0a0" stroked="f"/>
        </w:pict>
      </w:r>
    </w:p>
    <w:p w14:paraId="3973F741" w14:textId="77777777" w:rsidR="007B027D" w:rsidRDefault="008E0125">
      <w:pPr>
        <w:pStyle w:val="a3"/>
        <w:spacing w:beforeAutospacing="0" w:after="120" w:afterAutospacing="0"/>
        <w:rPr>
          <w:rFonts w:ascii="Calibri" w:hAnsi="Calibri" w:cs="Calibri"/>
          <w:sz w:val="18"/>
          <w:szCs w:val="18"/>
        </w:rPr>
      </w:pPr>
      <w:hyperlink r:id="rId244" w:anchor="TABLE_OF_CONTENTS" w:history="1">
        <w:r>
          <w:rPr>
            <w:rStyle w:val="a5"/>
            <w:rFonts w:ascii="Calibri" w:hAnsi="Calibri" w:cs="Calibri"/>
            <w:sz w:val="18"/>
            <w:szCs w:val="18"/>
          </w:rPr>
          <w:t>Table of Contents</w:t>
        </w:r>
      </w:hyperlink>
    </w:p>
    <w:p w14:paraId="3973F742" w14:textId="77777777" w:rsidR="007B027D" w:rsidRDefault="008E0125">
      <w:pPr>
        <w:pStyle w:val="a3"/>
        <w:spacing w:beforeAutospacing="0" w:afterAutospacing="0"/>
        <w:rPr>
          <w:rFonts w:ascii="Calibri" w:hAnsi="Calibri" w:cs="Calibri"/>
          <w:sz w:val="18"/>
          <w:szCs w:val="18"/>
        </w:rPr>
      </w:pPr>
      <w:hyperlink r:id="rId245" w:anchor="ITEM_15_EXHIBITS_FINANCIAL_STATEMENT_SCH" w:history="1">
        <w:r>
          <w:rPr>
            <w:rStyle w:val="a5"/>
            <w:rFonts w:ascii="Calibri" w:hAnsi="Calibri" w:cs="Calibri"/>
            <w:sz w:val="18"/>
            <w:szCs w:val="18"/>
          </w:rPr>
          <w:t>Index to Financial Statements</w:t>
        </w:r>
      </w:hyperlink>
    </w:p>
    <w:p w14:paraId="3973F743"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744"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745"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746"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747"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748" w14:textId="77777777" w:rsidR="007B027D" w:rsidRDefault="008E0125">
      <w:pPr>
        <w:pStyle w:val="a3"/>
        <w:spacing w:before="120" w:beforeAutospacing="0" w:afterAutospacing="0"/>
        <w:jc w:val="both"/>
        <w:rPr>
          <w:rFonts w:ascii="Calibri" w:hAnsi="Calibri" w:cs="Calibri"/>
          <w:color w:val="212529"/>
          <w:sz w:val="20"/>
          <w:szCs w:val="20"/>
        </w:rPr>
      </w:pPr>
      <w:r>
        <w:rPr>
          <w:rFonts w:ascii="Calibri" w:hAnsi="Calibri" w:cs="Calibri"/>
          <w:color w:val="212529"/>
          <w:sz w:val="20"/>
          <w:szCs w:val="20"/>
          <w:shd w:val="clear" w:color="auto" w:fill="FFFFFF"/>
        </w:rPr>
        <w:t xml:space="preserve">The following table presents our cloud services and license support </w:t>
      </w:r>
      <w:r>
        <w:rPr>
          <w:rFonts w:ascii="Calibri" w:hAnsi="Calibri" w:cs="Calibri"/>
          <w:color w:val="212529"/>
          <w:sz w:val="20"/>
          <w:szCs w:val="20"/>
          <w:shd w:val="clear" w:color="auto" w:fill="FFFFFF"/>
        </w:rPr>
        <w:t>revenues by applications and infrastructure ecosystems:</w:t>
      </w:r>
    </w:p>
    <w:tbl>
      <w:tblPr>
        <w:tblW w:w="5000" w:type="pct"/>
        <w:tblCellMar>
          <w:left w:w="0" w:type="dxa"/>
          <w:right w:w="0" w:type="dxa"/>
        </w:tblCellMar>
        <w:tblLook w:val="04A0" w:firstRow="1" w:lastRow="0" w:firstColumn="1" w:lastColumn="0" w:noHBand="0" w:noVBand="1"/>
      </w:tblPr>
      <w:tblGrid>
        <w:gridCol w:w="5487"/>
        <w:gridCol w:w="113"/>
        <w:gridCol w:w="107"/>
        <w:gridCol w:w="647"/>
        <w:gridCol w:w="76"/>
        <w:gridCol w:w="113"/>
        <w:gridCol w:w="107"/>
        <w:gridCol w:w="647"/>
        <w:gridCol w:w="76"/>
        <w:gridCol w:w="113"/>
        <w:gridCol w:w="107"/>
        <w:gridCol w:w="652"/>
        <w:gridCol w:w="76"/>
      </w:tblGrid>
      <w:tr w:rsidR="007B027D" w14:paraId="3973F74D" w14:textId="77777777">
        <w:tc>
          <w:tcPr>
            <w:tcW w:w="3300" w:type="pct"/>
            <w:shd w:val="clear" w:color="auto" w:fill="FFFFFF"/>
            <w:tcMar>
              <w:top w:w="15" w:type="dxa"/>
              <w:right w:w="15" w:type="dxa"/>
            </w:tcMar>
            <w:vAlign w:val="bottom"/>
          </w:tcPr>
          <w:p w14:paraId="3973F749"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3973F74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10"/>
            <w:tcBorders>
              <w:bottom w:val="single" w:sz="6" w:space="0" w:color="000000"/>
            </w:tcBorders>
            <w:shd w:val="clear" w:color="auto" w:fill="FFFFFF"/>
            <w:tcMar>
              <w:top w:w="15" w:type="dxa"/>
              <w:right w:w="15" w:type="dxa"/>
            </w:tcMar>
            <w:vAlign w:val="bottom"/>
          </w:tcPr>
          <w:p w14:paraId="3973F74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74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58" w14:textId="77777777">
        <w:tc>
          <w:tcPr>
            <w:tcW w:w="3300" w:type="pct"/>
            <w:tcBorders>
              <w:bottom w:val="single" w:sz="6" w:space="0" w:color="000000"/>
            </w:tcBorders>
            <w:shd w:val="clear" w:color="auto" w:fill="FFFFFF"/>
            <w:tcMar>
              <w:top w:w="15" w:type="dxa"/>
              <w:right w:w="15" w:type="dxa"/>
            </w:tcMar>
            <w:vAlign w:val="bottom"/>
          </w:tcPr>
          <w:p w14:paraId="3973F74E"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3973F74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75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75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75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75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75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3973F75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3973F756"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75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66" w14:textId="77777777">
        <w:tc>
          <w:tcPr>
            <w:tcW w:w="3300" w:type="pct"/>
            <w:tcBorders>
              <w:top w:val="single" w:sz="6" w:space="0" w:color="000000"/>
            </w:tcBorders>
            <w:shd w:val="clear" w:color="auto" w:fill="CFF0FC"/>
            <w:tcMar>
              <w:top w:w="15" w:type="dxa"/>
              <w:right w:w="15" w:type="dxa"/>
            </w:tcMar>
            <w:vAlign w:val="bottom"/>
          </w:tcPr>
          <w:p w14:paraId="3973F75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Applications cloud services and license support</w:t>
            </w:r>
          </w:p>
        </w:tc>
        <w:tc>
          <w:tcPr>
            <w:tcW w:w="72" w:type="pct"/>
            <w:shd w:val="clear" w:color="auto" w:fill="CFF0FC"/>
            <w:tcMar>
              <w:top w:w="15" w:type="dxa"/>
              <w:right w:w="15" w:type="dxa"/>
            </w:tcMar>
            <w:vAlign w:val="bottom"/>
          </w:tcPr>
          <w:p w14:paraId="3973F75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3973F7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75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12,612</w:t>
            </w:r>
          </w:p>
        </w:tc>
        <w:tc>
          <w:tcPr>
            <w:tcW w:w="50" w:type="pct"/>
            <w:shd w:val="clear" w:color="auto" w:fill="CFF0FC"/>
            <w:noWrap/>
            <w:tcMar>
              <w:top w:w="15" w:type="dxa"/>
              <w:right w:w="15" w:type="dxa"/>
            </w:tcMar>
            <w:vAlign w:val="bottom"/>
          </w:tcPr>
          <w:p w14:paraId="3973F75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7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7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76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11,712</w:t>
            </w:r>
          </w:p>
        </w:tc>
        <w:tc>
          <w:tcPr>
            <w:tcW w:w="50" w:type="pct"/>
            <w:shd w:val="clear" w:color="auto" w:fill="CFF0FC"/>
            <w:noWrap/>
            <w:tcMar>
              <w:top w:w="15" w:type="dxa"/>
              <w:right w:w="15" w:type="dxa"/>
            </w:tcMar>
            <w:vAlign w:val="bottom"/>
          </w:tcPr>
          <w:p w14:paraId="3973F76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76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3973F76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tcBorders>
            <w:shd w:val="clear" w:color="auto" w:fill="CFF0FC"/>
            <w:noWrap/>
            <w:tcMar>
              <w:top w:w="15" w:type="dxa"/>
              <w:right w:w="15" w:type="dxa"/>
            </w:tcMar>
            <w:vAlign w:val="bottom"/>
          </w:tcPr>
          <w:p w14:paraId="3973F764"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11,015</w:t>
            </w:r>
          </w:p>
        </w:tc>
        <w:tc>
          <w:tcPr>
            <w:tcW w:w="50" w:type="pct"/>
            <w:shd w:val="clear" w:color="auto" w:fill="CFF0FC"/>
            <w:noWrap/>
            <w:tcMar>
              <w:top w:w="15" w:type="dxa"/>
              <w:right w:w="15" w:type="dxa"/>
            </w:tcMar>
            <w:vAlign w:val="bottom"/>
          </w:tcPr>
          <w:p w14:paraId="3973F76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774" w14:textId="77777777">
        <w:tc>
          <w:tcPr>
            <w:tcW w:w="3300" w:type="pct"/>
            <w:shd w:val="clear" w:color="auto" w:fill="FFFFFF"/>
            <w:tcMar>
              <w:top w:w="15" w:type="dxa"/>
              <w:right w:w="15" w:type="dxa"/>
            </w:tcMar>
            <w:vAlign w:val="bottom"/>
          </w:tcPr>
          <w:p w14:paraId="3973F76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Infrastructure cloud services and </w:t>
            </w:r>
            <w:r>
              <w:rPr>
                <w:rFonts w:ascii="Calibri" w:hAnsi="Calibri" w:cs="Calibri"/>
                <w:color w:val="000000"/>
                <w:sz w:val="18"/>
                <w:szCs w:val="18"/>
              </w:rPr>
              <w:t>license support</w:t>
            </w:r>
          </w:p>
        </w:tc>
        <w:tc>
          <w:tcPr>
            <w:tcW w:w="72" w:type="pct"/>
            <w:shd w:val="clear" w:color="auto" w:fill="FFFFFF"/>
            <w:tcMar>
              <w:top w:w="15" w:type="dxa"/>
              <w:right w:w="15" w:type="dxa"/>
            </w:tcMar>
            <w:vAlign w:val="bottom"/>
          </w:tcPr>
          <w:p w14:paraId="3973F76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3973F76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76A"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17,562</w:t>
            </w:r>
          </w:p>
        </w:tc>
        <w:tc>
          <w:tcPr>
            <w:tcW w:w="50" w:type="pct"/>
            <w:shd w:val="clear" w:color="auto" w:fill="FFFFFF"/>
            <w:noWrap/>
            <w:tcMar>
              <w:top w:w="15" w:type="dxa"/>
              <w:right w:w="15" w:type="dxa"/>
            </w:tcMar>
            <w:vAlign w:val="bottom"/>
          </w:tcPr>
          <w:p w14:paraId="3973F76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76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76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76E"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16,988</w:t>
            </w:r>
          </w:p>
        </w:tc>
        <w:tc>
          <w:tcPr>
            <w:tcW w:w="50" w:type="pct"/>
            <w:shd w:val="clear" w:color="auto" w:fill="FFFFFF"/>
            <w:noWrap/>
            <w:tcMar>
              <w:top w:w="15" w:type="dxa"/>
              <w:right w:w="15" w:type="dxa"/>
            </w:tcMar>
            <w:vAlign w:val="bottom"/>
          </w:tcPr>
          <w:p w14:paraId="3973F76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FFFFFF"/>
            <w:tcMar>
              <w:top w:w="15" w:type="dxa"/>
              <w:right w:w="15" w:type="dxa"/>
            </w:tcMar>
            <w:vAlign w:val="bottom"/>
          </w:tcPr>
          <w:p w14:paraId="3973F77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3973F77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3" w:type="pct"/>
            <w:tcBorders>
              <w:bottom w:val="single" w:sz="6" w:space="0" w:color="000000"/>
            </w:tcBorders>
            <w:shd w:val="clear" w:color="auto" w:fill="FFFFFF"/>
            <w:noWrap/>
            <w:tcMar>
              <w:top w:w="15" w:type="dxa"/>
              <w:right w:w="15" w:type="dxa"/>
            </w:tcMar>
            <w:vAlign w:val="bottom"/>
          </w:tcPr>
          <w:p w14:paraId="3973F772"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16,377</w:t>
            </w:r>
          </w:p>
        </w:tc>
        <w:tc>
          <w:tcPr>
            <w:tcW w:w="50" w:type="pct"/>
            <w:shd w:val="clear" w:color="auto" w:fill="FFFFFF"/>
            <w:noWrap/>
            <w:tcMar>
              <w:top w:w="15" w:type="dxa"/>
              <w:right w:w="15" w:type="dxa"/>
            </w:tcMar>
            <w:vAlign w:val="bottom"/>
          </w:tcPr>
          <w:p w14:paraId="3973F77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782" w14:textId="77777777">
        <w:tc>
          <w:tcPr>
            <w:tcW w:w="3300" w:type="pct"/>
            <w:shd w:val="clear" w:color="auto" w:fill="CFF0FC"/>
            <w:tcMar>
              <w:top w:w="15" w:type="dxa"/>
              <w:right w:w="15" w:type="dxa"/>
            </w:tcMar>
            <w:vAlign w:val="bottom"/>
          </w:tcPr>
          <w:p w14:paraId="3973F775" w14:textId="77777777" w:rsidR="007B027D" w:rsidRDefault="008E012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cloud services and license support revenues</w:t>
            </w:r>
          </w:p>
        </w:tc>
        <w:tc>
          <w:tcPr>
            <w:tcW w:w="72" w:type="pct"/>
            <w:shd w:val="clear" w:color="auto" w:fill="CFF0FC"/>
            <w:tcMar>
              <w:top w:w="15" w:type="dxa"/>
              <w:right w:w="15" w:type="dxa"/>
            </w:tcMar>
            <w:vAlign w:val="bottom"/>
          </w:tcPr>
          <w:p w14:paraId="3973F77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77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778"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30,174</w:t>
            </w:r>
          </w:p>
        </w:tc>
        <w:tc>
          <w:tcPr>
            <w:tcW w:w="50" w:type="pct"/>
            <w:shd w:val="clear" w:color="auto" w:fill="CFF0FC"/>
            <w:noWrap/>
            <w:tcMar>
              <w:top w:w="15" w:type="dxa"/>
              <w:right w:w="15" w:type="dxa"/>
            </w:tcMar>
            <w:vAlign w:val="bottom"/>
          </w:tcPr>
          <w:p w14:paraId="3973F77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77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77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77C"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28,700</w:t>
            </w:r>
          </w:p>
        </w:tc>
        <w:tc>
          <w:tcPr>
            <w:tcW w:w="50" w:type="pct"/>
            <w:shd w:val="clear" w:color="auto" w:fill="CFF0FC"/>
            <w:noWrap/>
            <w:tcMar>
              <w:top w:w="15" w:type="dxa"/>
              <w:right w:w="15" w:type="dxa"/>
            </w:tcMar>
            <w:vAlign w:val="bottom"/>
          </w:tcPr>
          <w:p w14:paraId="3973F77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 w:type="pct"/>
            <w:shd w:val="clear" w:color="auto" w:fill="CFF0FC"/>
            <w:tcMar>
              <w:top w:w="15" w:type="dxa"/>
              <w:right w:w="15" w:type="dxa"/>
            </w:tcMar>
            <w:vAlign w:val="bottom"/>
          </w:tcPr>
          <w:p w14:paraId="3973F77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77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3973F780"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27,392</w:t>
            </w:r>
          </w:p>
        </w:tc>
        <w:tc>
          <w:tcPr>
            <w:tcW w:w="50" w:type="pct"/>
            <w:shd w:val="clear" w:color="auto" w:fill="CFF0FC"/>
            <w:noWrap/>
            <w:tcMar>
              <w:top w:w="15" w:type="dxa"/>
              <w:right w:w="15" w:type="dxa"/>
            </w:tcMar>
            <w:vAlign w:val="bottom"/>
          </w:tcPr>
          <w:p w14:paraId="3973F781"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783" w14:textId="77777777" w:rsidR="007B027D" w:rsidRDefault="008E0125">
      <w:pPr>
        <w:pStyle w:val="a3"/>
        <w:spacing w:beforeAutospacing="0" w:afterAutospacing="0"/>
        <w:jc w:val="both"/>
        <w:rPr>
          <w:rFonts w:ascii="Times New Roman" w:hAnsi="Times New Roman"/>
          <w:b/>
          <w:bCs/>
        </w:rPr>
      </w:pPr>
      <w:r>
        <w:rPr>
          <w:rFonts w:ascii="Times New Roman" w:hAnsi="Times New Roman"/>
          <w:b/>
          <w:bCs/>
        </w:rPr>
        <w:t> </w:t>
      </w:r>
    </w:p>
    <w:p w14:paraId="3973F784" w14:textId="77777777" w:rsidR="007B027D" w:rsidRDefault="008E0125">
      <w:pPr>
        <w:pStyle w:val="a3"/>
        <w:spacing w:beforeAutospacing="0" w:afterAutospacing="0"/>
        <w:jc w:val="both"/>
        <w:rPr>
          <w:rFonts w:ascii="Calibri" w:hAnsi="Calibri" w:cs="Calibri"/>
          <w:b/>
          <w:bCs/>
          <w:sz w:val="20"/>
          <w:szCs w:val="20"/>
        </w:rPr>
      </w:pPr>
      <w:r>
        <w:rPr>
          <w:rFonts w:ascii="Calibri" w:hAnsi="Calibri" w:cs="Calibri"/>
          <w:b/>
          <w:bCs/>
          <w:sz w:val="20"/>
          <w:szCs w:val="20"/>
        </w:rPr>
        <w:t>Geographic Information</w:t>
      </w:r>
    </w:p>
    <w:p w14:paraId="3973F78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Disclosed in the table below is geographic information for each country that </w:t>
      </w:r>
      <w:r>
        <w:rPr>
          <w:rFonts w:ascii="Calibri" w:hAnsi="Calibri" w:cs="Calibri"/>
          <w:sz w:val="20"/>
          <w:szCs w:val="20"/>
        </w:rPr>
        <w:t>comprised greater than three percent of our total revenues for any of fiscal 2022, 2021 or 2020:</w:t>
      </w:r>
    </w:p>
    <w:p w14:paraId="3973F786" w14:textId="77777777" w:rsidR="007B027D" w:rsidRDefault="008E0125">
      <w:pPr>
        <w:pStyle w:val="a3"/>
        <w:spacing w:beforeAutospacing="0" w:afterAutospacing="0"/>
        <w:ind w:firstLine="941"/>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761"/>
        <w:gridCol w:w="115"/>
        <w:gridCol w:w="107"/>
        <w:gridCol w:w="649"/>
        <w:gridCol w:w="69"/>
        <w:gridCol w:w="69"/>
        <w:gridCol w:w="108"/>
        <w:gridCol w:w="716"/>
        <w:gridCol w:w="71"/>
        <w:gridCol w:w="67"/>
        <w:gridCol w:w="107"/>
        <w:gridCol w:w="649"/>
        <w:gridCol w:w="69"/>
        <w:gridCol w:w="69"/>
        <w:gridCol w:w="108"/>
        <w:gridCol w:w="718"/>
        <w:gridCol w:w="71"/>
        <w:gridCol w:w="68"/>
        <w:gridCol w:w="107"/>
        <w:gridCol w:w="642"/>
        <w:gridCol w:w="70"/>
        <w:gridCol w:w="70"/>
        <w:gridCol w:w="108"/>
        <w:gridCol w:w="662"/>
        <w:gridCol w:w="71"/>
      </w:tblGrid>
      <w:tr w:rsidR="007B027D" w14:paraId="3973F78B" w14:textId="77777777">
        <w:tc>
          <w:tcPr>
            <w:tcW w:w="1664" w:type="pct"/>
            <w:shd w:val="clear" w:color="auto" w:fill="FFFFFF"/>
            <w:tcMar>
              <w:top w:w="15" w:type="dxa"/>
              <w:right w:w="15" w:type="dxa"/>
            </w:tcMar>
            <w:vAlign w:val="bottom"/>
          </w:tcPr>
          <w:p w14:paraId="3973F787" w14:textId="77777777" w:rsidR="007B027D" w:rsidRDefault="008E012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4" w:type="pct"/>
            <w:shd w:val="clear" w:color="auto" w:fill="FFFFFF"/>
            <w:tcMar>
              <w:top w:w="15" w:type="dxa"/>
              <w:right w:w="15" w:type="dxa"/>
            </w:tcMar>
            <w:vAlign w:val="bottom"/>
          </w:tcPr>
          <w:p w14:paraId="3973F78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51" w:type="pct"/>
            <w:gridSpan w:val="22"/>
            <w:tcBorders>
              <w:bottom w:val="single" w:sz="6" w:space="0" w:color="000000"/>
            </w:tcBorders>
            <w:shd w:val="clear" w:color="auto" w:fill="FFFFFF"/>
            <w:tcMar>
              <w:top w:w="15" w:type="dxa"/>
              <w:right w:w="15" w:type="dxa"/>
            </w:tcMar>
            <w:vAlign w:val="bottom"/>
          </w:tcPr>
          <w:p w14:paraId="3973F78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 of and for the Year Ended May 31,</w:t>
            </w:r>
          </w:p>
        </w:tc>
        <w:tc>
          <w:tcPr>
            <w:tcW w:w="11" w:type="pct"/>
            <w:shd w:val="clear" w:color="auto" w:fill="FFFFFF"/>
            <w:noWrap/>
            <w:tcMar>
              <w:top w:w="15" w:type="dxa"/>
              <w:right w:w="15" w:type="dxa"/>
            </w:tcMar>
            <w:vAlign w:val="bottom"/>
          </w:tcPr>
          <w:p w14:paraId="3973F78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96" w14:textId="77777777">
        <w:tc>
          <w:tcPr>
            <w:tcW w:w="1664" w:type="pct"/>
            <w:shd w:val="clear" w:color="auto" w:fill="FFFFFF"/>
            <w:tcMar>
              <w:top w:w="15" w:type="dxa"/>
              <w:right w:w="15" w:type="dxa"/>
            </w:tcMar>
            <w:vAlign w:val="bottom"/>
          </w:tcPr>
          <w:p w14:paraId="3973F78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right w:w="15" w:type="dxa"/>
            </w:tcMar>
            <w:vAlign w:val="bottom"/>
          </w:tcPr>
          <w:p w14:paraId="3973F78D"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36" w:type="pct"/>
            <w:gridSpan w:val="6"/>
            <w:tcBorders>
              <w:top w:val="single" w:sz="6" w:space="0" w:color="000000"/>
              <w:bottom w:val="single" w:sz="6" w:space="0" w:color="000000"/>
            </w:tcBorders>
            <w:shd w:val="clear" w:color="auto" w:fill="FFFFFF"/>
            <w:tcMar>
              <w:top w:w="15" w:type="dxa"/>
              <w:right w:w="15" w:type="dxa"/>
            </w:tcMar>
            <w:vAlign w:val="bottom"/>
          </w:tcPr>
          <w:p w14:paraId="3973F78E"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46" w:type="pct"/>
            <w:shd w:val="clear" w:color="auto" w:fill="FFFFFF"/>
            <w:noWrap/>
            <w:tcMar>
              <w:top w:w="15" w:type="dxa"/>
              <w:right w:w="15" w:type="dxa"/>
            </w:tcMar>
            <w:vAlign w:val="bottom"/>
          </w:tcPr>
          <w:p w14:paraId="3973F78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3973F79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35" w:type="pct"/>
            <w:gridSpan w:val="6"/>
            <w:tcBorders>
              <w:top w:val="single" w:sz="6" w:space="0" w:color="000000"/>
              <w:bottom w:val="single" w:sz="6" w:space="0" w:color="000000"/>
            </w:tcBorders>
            <w:shd w:val="clear" w:color="auto" w:fill="FFFFFF"/>
            <w:tcMar>
              <w:top w:w="15" w:type="dxa"/>
              <w:right w:w="15" w:type="dxa"/>
            </w:tcMar>
            <w:vAlign w:val="bottom"/>
          </w:tcPr>
          <w:p w14:paraId="3973F791"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46" w:type="pct"/>
            <w:shd w:val="clear" w:color="auto" w:fill="FFFFFF"/>
            <w:noWrap/>
            <w:tcMar>
              <w:top w:w="15" w:type="dxa"/>
              <w:right w:w="15" w:type="dxa"/>
            </w:tcMar>
            <w:vAlign w:val="bottom"/>
          </w:tcPr>
          <w:p w14:paraId="3973F79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3973F79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992" w:type="pct"/>
            <w:gridSpan w:val="6"/>
            <w:tcBorders>
              <w:top w:val="single" w:sz="6" w:space="0" w:color="000000"/>
              <w:bottom w:val="single" w:sz="6" w:space="0" w:color="000000"/>
            </w:tcBorders>
            <w:shd w:val="clear" w:color="auto" w:fill="FFFFFF"/>
            <w:tcMar>
              <w:top w:w="15" w:type="dxa"/>
              <w:right w:w="15" w:type="dxa"/>
            </w:tcMar>
            <w:vAlign w:val="bottom"/>
          </w:tcPr>
          <w:p w14:paraId="3973F79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11" w:type="pct"/>
            <w:shd w:val="clear" w:color="auto" w:fill="FFFFFF"/>
            <w:noWrap/>
            <w:tcMar>
              <w:top w:w="15" w:type="dxa"/>
              <w:right w:w="15" w:type="dxa"/>
            </w:tcMar>
            <w:vAlign w:val="bottom"/>
          </w:tcPr>
          <w:p w14:paraId="3973F795"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7AD" w14:textId="77777777">
        <w:tc>
          <w:tcPr>
            <w:tcW w:w="1664" w:type="pct"/>
            <w:tcBorders>
              <w:bottom w:val="single" w:sz="6" w:space="0" w:color="000000"/>
            </w:tcBorders>
            <w:shd w:val="clear" w:color="auto" w:fill="FFFFFF"/>
            <w:tcMar>
              <w:top w:w="15" w:type="dxa"/>
              <w:right w:w="15" w:type="dxa"/>
            </w:tcMar>
            <w:vAlign w:val="bottom"/>
          </w:tcPr>
          <w:p w14:paraId="3973F79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4" w:type="pct"/>
            <w:shd w:val="clear" w:color="auto" w:fill="FFFFFF"/>
            <w:tcMar>
              <w:top w:w="15" w:type="dxa"/>
              <w:right w:w="15" w:type="dxa"/>
            </w:tcMar>
            <w:vAlign w:val="bottom"/>
          </w:tcPr>
          <w:p w14:paraId="3973F79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3973F799"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46" w:type="pct"/>
            <w:shd w:val="clear" w:color="auto" w:fill="FFFFFF"/>
            <w:noWrap/>
            <w:tcMar>
              <w:top w:w="15" w:type="dxa"/>
              <w:right w:w="15" w:type="dxa"/>
            </w:tcMar>
            <w:vAlign w:val="bottom"/>
          </w:tcPr>
          <w:p w14:paraId="3973F79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3973F79B"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0" w:type="pct"/>
            <w:gridSpan w:val="2"/>
            <w:tcBorders>
              <w:top w:val="single" w:sz="6" w:space="0" w:color="000000"/>
              <w:bottom w:val="single" w:sz="6" w:space="0" w:color="000000"/>
            </w:tcBorders>
            <w:shd w:val="clear" w:color="auto" w:fill="FFFFFF"/>
            <w:tcMar>
              <w:top w:w="15" w:type="dxa"/>
              <w:right w:w="15" w:type="dxa"/>
            </w:tcMar>
            <w:vAlign w:val="bottom"/>
          </w:tcPr>
          <w:p w14:paraId="3973F79C"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3973F79D"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46" w:type="pct"/>
            <w:shd w:val="clear" w:color="auto" w:fill="FFFFFF"/>
            <w:noWrap/>
            <w:tcMar>
              <w:top w:w="15" w:type="dxa"/>
              <w:right w:w="15" w:type="dxa"/>
            </w:tcMar>
            <w:vAlign w:val="bottom"/>
          </w:tcPr>
          <w:p w14:paraId="3973F79E" w14:textId="77777777" w:rsidR="007B027D" w:rsidRDefault="008E012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46" w:type="pct"/>
            <w:shd w:val="clear" w:color="auto" w:fill="FFFFFF"/>
            <w:tcMar>
              <w:top w:w="15" w:type="dxa"/>
              <w:right w:w="15" w:type="dxa"/>
            </w:tcMar>
            <w:vAlign w:val="bottom"/>
          </w:tcPr>
          <w:p w14:paraId="3973F79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3973F7A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46" w:type="pct"/>
            <w:shd w:val="clear" w:color="auto" w:fill="FFFFFF"/>
            <w:noWrap/>
            <w:tcMar>
              <w:top w:w="15" w:type="dxa"/>
              <w:right w:w="15" w:type="dxa"/>
            </w:tcMar>
            <w:vAlign w:val="bottom"/>
          </w:tcPr>
          <w:p w14:paraId="3973F7A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3973F7A2"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9" w:type="pct"/>
            <w:gridSpan w:val="2"/>
            <w:tcBorders>
              <w:top w:val="single" w:sz="6" w:space="0" w:color="000000"/>
              <w:bottom w:val="single" w:sz="6" w:space="0" w:color="000000"/>
            </w:tcBorders>
            <w:shd w:val="clear" w:color="auto" w:fill="FFFFFF"/>
            <w:tcMar>
              <w:top w:w="15" w:type="dxa"/>
              <w:right w:w="15" w:type="dxa"/>
            </w:tcMar>
            <w:vAlign w:val="bottom"/>
          </w:tcPr>
          <w:p w14:paraId="3973F7A3"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3973F7A4"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46" w:type="pct"/>
            <w:shd w:val="clear" w:color="auto" w:fill="FFFFFF"/>
            <w:noWrap/>
            <w:tcMar>
              <w:top w:w="15" w:type="dxa"/>
              <w:right w:w="15" w:type="dxa"/>
            </w:tcMar>
            <w:vAlign w:val="bottom"/>
          </w:tcPr>
          <w:p w14:paraId="3973F7A5" w14:textId="77777777" w:rsidR="007B027D" w:rsidRDefault="008E012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46" w:type="pct"/>
            <w:shd w:val="clear" w:color="auto" w:fill="FFFFFF"/>
            <w:tcMar>
              <w:top w:w="15" w:type="dxa"/>
              <w:right w:w="15" w:type="dxa"/>
            </w:tcMar>
            <w:vAlign w:val="bottom"/>
          </w:tcPr>
          <w:p w14:paraId="3973F7A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3973F7A7"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46" w:type="pct"/>
            <w:shd w:val="clear" w:color="auto" w:fill="FFFFFF"/>
            <w:noWrap/>
            <w:tcMar>
              <w:top w:w="15" w:type="dxa"/>
              <w:right w:w="15" w:type="dxa"/>
            </w:tcMar>
            <w:vAlign w:val="bottom"/>
          </w:tcPr>
          <w:p w14:paraId="3973F7A8"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tcBorders>
              <w:top w:val="single" w:sz="6" w:space="0" w:color="000000"/>
            </w:tcBorders>
            <w:shd w:val="clear" w:color="auto" w:fill="FFFFFF"/>
            <w:tcMar>
              <w:top w:w="15" w:type="dxa"/>
              <w:right w:w="15" w:type="dxa"/>
            </w:tcMar>
            <w:vAlign w:val="bottom"/>
          </w:tcPr>
          <w:p w14:paraId="3973F7A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3973F7AA"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3973F7A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11" w:type="pct"/>
            <w:shd w:val="clear" w:color="auto" w:fill="FFFFFF"/>
            <w:noWrap/>
            <w:tcMar>
              <w:top w:w="15" w:type="dxa"/>
              <w:right w:w="15" w:type="dxa"/>
            </w:tcMar>
            <w:vAlign w:val="bottom"/>
          </w:tcPr>
          <w:p w14:paraId="3973F7AC" w14:textId="77777777" w:rsidR="007B027D" w:rsidRDefault="008E012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r>
      <w:tr w:rsidR="007B027D" w14:paraId="3973F7C7" w14:textId="77777777">
        <w:tc>
          <w:tcPr>
            <w:tcW w:w="1664" w:type="pct"/>
            <w:tcBorders>
              <w:top w:val="single" w:sz="6" w:space="0" w:color="000000"/>
            </w:tcBorders>
            <w:shd w:val="clear" w:color="auto" w:fill="CFF0FC"/>
            <w:tcMar>
              <w:top w:w="15" w:type="dxa"/>
              <w:right w:w="15" w:type="dxa"/>
            </w:tcMar>
          </w:tcPr>
          <w:p w14:paraId="3973F7A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United States</w:t>
            </w:r>
          </w:p>
        </w:tc>
        <w:tc>
          <w:tcPr>
            <w:tcW w:w="74" w:type="pct"/>
            <w:shd w:val="clear" w:color="auto" w:fill="CFF0FC"/>
            <w:tcMar>
              <w:top w:w="15" w:type="dxa"/>
              <w:right w:w="15" w:type="dxa"/>
            </w:tcMar>
            <w:vAlign w:val="bottom"/>
          </w:tcPr>
          <w:p w14:paraId="3973F7A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tcBorders>
              <w:top w:val="single" w:sz="6" w:space="0" w:color="000000"/>
            </w:tcBorders>
            <w:shd w:val="clear" w:color="auto" w:fill="CFF0FC"/>
            <w:noWrap/>
            <w:tcMar>
              <w:top w:w="15" w:type="dxa"/>
              <w:right w:w="15" w:type="dxa"/>
            </w:tcMar>
            <w:vAlign w:val="bottom"/>
          </w:tcPr>
          <w:p w14:paraId="3973F7B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3973F7B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20,246 </w:t>
            </w:r>
          </w:p>
        </w:tc>
        <w:tc>
          <w:tcPr>
            <w:tcW w:w="46" w:type="pct"/>
            <w:shd w:val="clear" w:color="auto" w:fill="CFF0FC"/>
            <w:noWrap/>
            <w:tcMar>
              <w:top w:w="15" w:type="dxa"/>
              <w:right w:w="15" w:type="dxa"/>
            </w:tcMar>
            <w:vAlign w:val="bottom"/>
          </w:tcPr>
          <w:p w14:paraId="3973F7B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B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tcBorders>
            <w:shd w:val="clear" w:color="auto" w:fill="CFF0FC"/>
            <w:noWrap/>
            <w:tcMar>
              <w:top w:w="15" w:type="dxa"/>
              <w:right w:w="15" w:type="dxa"/>
            </w:tcMar>
            <w:vAlign w:val="bottom"/>
          </w:tcPr>
          <w:p w14:paraId="3973F7B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right w:w="15" w:type="dxa"/>
            </w:tcMar>
            <w:vAlign w:val="bottom"/>
          </w:tcPr>
          <w:p w14:paraId="3973F7B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10,300 </w:t>
            </w:r>
          </w:p>
        </w:tc>
        <w:tc>
          <w:tcPr>
            <w:tcW w:w="46" w:type="pct"/>
            <w:shd w:val="clear" w:color="auto" w:fill="CFF0FC"/>
            <w:noWrap/>
            <w:tcMar>
              <w:top w:w="15" w:type="dxa"/>
              <w:right w:w="15" w:type="dxa"/>
            </w:tcMar>
            <w:vAlign w:val="bottom"/>
          </w:tcPr>
          <w:p w14:paraId="3973F7B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B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tcBorders>
            <w:shd w:val="clear" w:color="auto" w:fill="CFF0FC"/>
            <w:noWrap/>
            <w:tcMar>
              <w:top w:w="15" w:type="dxa"/>
              <w:right w:w="15" w:type="dxa"/>
            </w:tcMar>
            <w:vAlign w:val="bottom"/>
          </w:tcPr>
          <w:p w14:paraId="3973F7B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3973F7B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18,734</w:t>
            </w:r>
          </w:p>
        </w:tc>
        <w:tc>
          <w:tcPr>
            <w:tcW w:w="46" w:type="pct"/>
            <w:shd w:val="clear" w:color="auto" w:fill="CFF0FC"/>
            <w:noWrap/>
            <w:tcMar>
              <w:top w:w="15" w:type="dxa"/>
              <w:right w:w="15" w:type="dxa"/>
            </w:tcMar>
            <w:vAlign w:val="bottom"/>
          </w:tcPr>
          <w:p w14:paraId="3973F7B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B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tcBorders>
            <w:shd w:val="clear" w:color="auto" w:fill="CFF0FC"/>
            <w:noWrap/>
            <w:tcMar>
              <w:top w:w="15" w:type="dxa"/>
              <w:right w:w="15" w:type="dxa"/>
            </w:tcMar>
            <w:vAlign w:val="bottom"/>
          </w:tcPr>
          <w:p w14:paraId="3973F7B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right w:w="15" w:type="dxa"/>
            </w:tcMar>
            <w:vAlign w:val="bottom"/>
          </w:tcPr>
          <w:p w14:paraId="3973F7B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6,826</w:t>
            </w:r>
          </w:p>
        </w:tc>
        <w:tc>
          <w:tcPr>
            <w:tcW w:w="46" w:type="pct"/>
            <w:shd w:val="clear" w:color="auto" w:fill="CFF0FC"/>
            <w:noWrap/>
            <w:tcMar>
              <w:top w:w="15" w:type="dxa"/>
              <w:right w:w="15" w:type="dxa"/>
            </w:tcMar>
            <w:vAlign w:val="bottom"/>
          </w:tcPr>
          <w:p w14:paraId="3973F7B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B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tcBorders>
            <w:shd w:val="clear" w:color="auto" w:fill="CFF0FC"/>
            <w:noWrap/>
            <w:tcMar>
              <w:top w:w="15" w:type="dxa"/>
              <w:right w:w="15" w:type="dxa"/>
            </w:tcMar>
            <w:vAlign w:val="bottom"/>
          </w:tcPr>
          <w:p w14:paraId="3973F7C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0" w:type="pct"/>
            <w:tcBorders>
              <w:top w:val="single" w:sz="6" w:space="0" w:color="000000"/>
            </w:tcBorders>
            <w:shd w:val="clear" w:color="auto" w:fill="CFF0FC"/>
            <w:noWrap/>
            <w:tcMar>
              <w:top w:w="15" w:type="dxa"/>
              <w:right w:w="15" w:type="dxa"/>
            </w:tcMar>
            <w:vAlign w:val="bottom"/>
          </w:tcPr>
          <w:p w14:paraId="3973F7C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18,428</w:t>
            </w:r>
          </w:p>
        </w:tc>
        <w:tc>
          <w:tcPr>
            <w:tcW w:w="46" w:type="pct"/>
            <w:shd w:val="clear" w:color="auto" w:fill="CFF0FC"/>
            <w:noWrap/>
            <w:tcMar>
              <w:top w:w="15" w:type="dxa"/>
              <w:right w:w="15" w:type="dxa"/>
            </w:tcMar>
            <w:vAlign w:val="bottom"/>
          </w:tcPr>
          <w:p w14:paraId="3973F7C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C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tcBorders>
            <w:shd w:val="clear" w:color="auto" w:fill="CFF0FC"/>
            <w:noWrap/>
            <w:tcMar>
              <w:top w:w="15" w:type="dxa"/>
              <w:right w:w="15" w:type="dxa"/>
            </w:tcMar>
            <w:vAlign w:val="bottom"/>
          </w:tcPr>
          <w:p w14:paraId="3973F7C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4" w:type="pct"/>
            <w:tcBorders>
              <w:top w:val="single" w:sz="6" w:space="0" w:color="000000"/>
            </w:tcBorders>
            <w:shd w:val="clear" w:color="auto" w:fill="CFF0FC"/>
            <w:noWrap/>
            <w:tcMar>
              <w:top w:w="15" w:type="dxa"/>
              <w:right w:w="15" w:type="dxa"/>
            </w:tcMar>
            <w:vAlign w:val="bottom"/>
          </w:tcPr>
          <w:p w14:paraId="3973F7C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6,012</w:t>
            </w:r>
          </w:p>
        </w:tc>
        <w:tc>
          <w:tcPr>
            <w:tcW w:w="11" w:type="pct"/>
            <w:shd w:val="clear" w:color="auto" w:fill="CFF0FC"/>
            <w:noWrap/>
            <w:tcMar>
              <w:top w:w="15" w:type="dxa"/>
              <w:right w:w="15" w:type="dxa"/>
            </w:tcMar>
            <w:vAlign w:val="bottom"/>
          </w:tcPr>
          <w:p w14:paraId="3973F7C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7E1" w14:textId="77777777">
        <w:tc>
          <w:tcPr>
            <w:tcW w:w="1664" w:type="pct"/>
            <w:shd w:val="clear" w:color="auto" w:fill="FFFFFF"/>
            <w:tcMar>
              <w:top w:w="15" w:type="dxa"/>
              <w:right w:w="15" w:type="dxa"/>
            </w:tcMar>
          </w:tcPr>
          <w:p w14:paraId="3973F7C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United Kingdom</w:t>
            </w:r>
          </w:p>
        </w:tc>
        <w:tc>
          <w:tcPr>
            <w:tcW w:w="74" w:type="pct"/>
            <w:shd w:val="clear" w:color="auto" w:fill="FFFFFF"/>
            <w:tcMar>
              <w:top w:w="15" w:type="dxa"/>
              <w:right w:w="15" w:type="dxa"/>
            </w:tcMar>
            <w:vAlign w:val="bottom"/>
          </w:tcPr>
          <w:p w14:paraId="3973F7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noWrap/>
            <w:tcMar>
              <w:top w:w="15" w:type="dxa"/>
              <w:right w:w="15" w:type="dxa"/>
            </w:tcMar>
            <w:vAlign w:val="bottom"/>
          </w:tcPr>
          <w:p w14:paraId="3973F7C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3973F7C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2,335 </w:t>
            </w:r>
          </w:p>
        </w:tc>
        <w:tc>
          <w:tcPr>
            <w:tcW w:w="46" w:type="pct"/>
            <w:shd w:val="clear" w:color="auto" w:fill="FFFFFF"/>
            <w:noWrap/>
            <w:tcMar>
              <w:top w:w="15" w:type="dxa"/>
              <w:right w:w="15" w:type="dxa"/>
            </w:tcMar>
            <w:vAlign w:val="bottom"/>
          </w:tcPr>
          <w:p w14:paraId="3973F7C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7C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3973F7C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3973F7C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805 </w:t>
            </w:r>
          </w:p>
        </w:tc>
        <w:tc>
          <w:tcPr>
            <w:tcW w:w="46" w:type="pct"/>
            <w:shd w:val="clear" w:color="auto" w:fill="FFFFFF"/>
            <w:noWrap/>
            <w:tcMar>
              <w:top w:w="15" w:type="dxa"/>
              <w:right w:w="15" w:type="dxa"/>
            </w:tcMar>
            <w:vAlign w:val="bottom"/>
          </w:tcPr>
          <w:p w14:paraId="3973F7D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7D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7D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3973F7D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2,110</w:t>
            </w:r>
          </w:p>
        </w:tc>
        <w:tc>
          <w:tcPr>
            <w:tcW w:w="46" w:type="pct"/>
            <w:shd w:val="clear" w:color="auto" w:fill="FFFFFF"/>
            <w:noWrap/>
            <w:tcMar>
              <w:top w:w="15" w:type="dxa"/>
              <w:right w:w="15" w:type="dxa"/>
            </w:tcMar>
            <w:vAlign w:val="bottom"/>
          </w:tcPr>
          <w:p w14:paraId="3973F7D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7D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7D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3973F7D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685</w:t>
            </w:r>
          </w:p>
        </w:tc>
        <w:tc>
          <w:tcPr>
            <w:tcW w:w="46" w:type="pct"/>
            <w:shd w:val="clear" w:color="auto" w:fill="FFFFFF"/>
            <w:noWrap/>
            <w:tcMar>
              <w:top w:w="15" w:type="dxa"/>
              <w:right w:w="15" w:type="dxa"/>
            </w:tcMar>
            <w:vAlign w:val="bottom"/>
          </w:tcPr>
          <w:p w14:paraId="3973F7D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7D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7D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FFFFFF"/>
            <w:noWrap/>
            <w:tcMar>
              <w:top w:w="15" w:type="dxa"/>
              <w:right w:w="15" w:type="dxa"/>
            </w:tcMar>
            <w:vAlign w:val="bottom"/>
          </w:tcPr>
          <w:p w14:paraId="3973F7D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1,904</w:t>
            </w:r>
          </w:p>
        </w:tc>
        <w:tc>
          <w:tcPr>
            <w:tcW w:w="46" w:type="pct"/>
            <w:shd w:val="clear" w:color="auto" w:fill="FFFFFF"/>
            <w:noWrap/>
            <w:tcMar>
              <w:top w:w="15" w:type="dxa"/>
              <w:right w:w="15" w:type="dxa"/>
            </w:tcMar>
            <w:vAlign w:val="bottom"/>
          </w:tcPr>
          <w:p w14:paraId="3973F7D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7D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7D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4" w:type="pct"/>
            <w:shd w:val="clear" w:color="auto" w:fill="FFFFFF"/>
            <w:noWrap/>
            <w:tcMar>
              <w:top w:w="15" w:type="dxa"/>
              <w:right w:w="15" w:type="dxa"/>
            </w:tcMar>
            <w:vAlign w:val="bottom"/>
          </w:tcPr>
          <w:p w14:paraId="3973F7D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472</w:t>
            </w:r>
          </w:p>
        </w:tc>
        <w:tc>
          <w:tcPr>
            <w:tcW w:w="11" w:type="pct"/>
            <w:shd w:val="clear" w:color="auto" w:fill="FFFFFF"/>
            <w:noWrap/>
            <w:tcMar>
              <w:top w:w="15" w:type="dxa"/>
              <w:right w:w="15" w:type="dxa"/>
            </w:tcMar>
            <w:vAlign w:val="bottom"/>
          </w:tcPr>
          <w:p w14:paraId="3973F7E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7FB" w14:textId="77777777">
        <w:tc>
          <w:tcPr>
            <w:tcW w:w="1664" w:type="pct"/>
            <w:shd w:val="clear" w:color="auto" w:fill="CFF0FC"/>
            <w:tcMar>
              <w:top w:w="15" w:type="dxa"/>
              <w:right w:w="15" w:type="dxa"/>
            </w:tcMar>
          </w:tcPr>
          <w:p w14:paraId="3973F7E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Japan</w:t>
            </w:r>
          </w:p>
        </w:tc>
        <w:tc>
          <w:tcPr>
            <w:tcW w:w="74" w:type="pct"/>
            <w:shd w:val="clear" w:color="auto" w:fill="CFF0FC"/>
            <w:tcMar>
              <w:top w:w="15" w:type="dxa"/>
              <w:right w:w="15" w:type="dxa"/>
            </w:tcMar>
            <w:vAlign w:val="bottom"/>
          </w:tcPr>
          <w:p w14:paraId="3973F7E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noWrap/>
            <w:tcMar>
              <w:top w:w="15" w:type="dxa"/>
              <w:right w:w="15" w:type="dxa"/>
            </w:tcMar>
            <w:vAlign w:val="bottom"/>
          </w:tcPr>
          <w:p w14:paraId="3973F7E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3973F7E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1,847 </w:t>
            </w:r>
          </w:p>
        </w:tc>
        <w:tc>
          <w:tcPr>
            <w:tcW w:w="46" w:type="pct"/>
            <w:shd w:val="clear" w:color="auto" w:fill="CFF0FC"/>
            <w:noWrap/>
            <w:tcMar>
              <w:top w:w="15" w:type="dxa"/>
              <w:right w:w="15" w:type="dxa"/>
            </w:tcMar>
            <w:vAlign w:val="bottom"/>
          </w:tcPr>
          <w:p w14:paraId="3973F7E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E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3973F7E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3973F7E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788 </w:t>
            </w:r>
          </w:p>
        </w:tc>
        <w:tc>
          <w:tcPr>
            <w:tcW w:w="46" w:type="pct"/>
            <w:shd w:val="clear" w:color="auto" w:fill="CFF0FC"/>
            <w:noWrap/>
            <w:tcMar>
              <w:top w:w="15" w:type="dxa"/>
              <w:right w:w="15" w:type="dxa"/>
            </w:tcMar>
            <w:vAlign w:val="bottom"/>
          </w:tcPr>
          <w:p w14:paraId="3973F7E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E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7E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3973F7E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1,988</w:t>
            </w:r>
          </w:p>
        </w:tc>
        <w:tc>
          <w:tcPr>
            <w:tcW w:w="46" w:type="pct"/>
            <w:shd w:val="clear" w:color="auto" w:fill="CFF0FC"/>
            <w:noWrap/>
            <w:tcMar>
              <w:top w:w="15" w:type="dxa"/>
              <w:right w:w="15" w:type="dxa"/>
            </w:tcMar>
            <w:vAlign w:val="bottom"/>
          </w:tcPr>
          <w:p w14:paraId="3973F7E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E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7F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3973F7F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650</w:t>
            </w:r>
          </w:p>
        </w:tc>
        <w:tc>
          <w:tcPr>
            <w:tcW w:w="46" w:type="pct"/>
            <w:shd w:val="clear" w:color="auto" w:fill="CFF0FC"/>
            <w:noWrap/>
            <w:tcMar>
              <w:top w:w="15" w:type="dxa"/>
              <w:right w:w="15" w:type="dxa"/>
            </w:tcMar>
            <w:vAlign w:val="bottom"/>
          </w:tcPr>
          <w:p w14:paraId="3973F7F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F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7F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CFF0FC"/>
            <w:noWrap/>
            <w:tcMar>
              <w:top w:w="15" w:type="dxa"/>
              <w:right w:w="15" w:type="dxa"/>
            </w:tcMar>
            <w:vAlign w:val="bottom"/>
          </w:tcPr>
          <w:p w14:paraId="3973F7F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1,977</w:t>
            </w:r>
          </w:p>
        </w:tc>
        <w:tc>
          <w:tcPr>
            <w:tcW w:w="46" w:type="pct"/>
            <w:shd w:val="clear" w:color="auto" w:fill="CFF0FC"/>
            <w:noWrap/>
            <w:tcMar>
              <w:top w:w="15" w:type="dxa"/>
              <w:right w:w="15" w:type="dxa"/>
            </w:tcMar>
            <w:vAlign w:val="bottom"/>
          </w:tcPr>
          <w:p w14:paraId="3973F7F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7F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7F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4" w:type="pct"/>
            <w:shd w:val="clear" w:color="auto" w:fill="CFF0FC"/>
            <w:noWrap/>
            <w:tcMar>
              <w:top w:w="15" w:type="dxa"/>
              <w:right w:w="15" w:type="dxa"/>
            </w:tcMar>
            <w:vAlign w:val="bottom"/>
          </w:tcPr>
          <w:p w14:paraId="3973F7F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655</w:t>
            </w:r>
          </w:p>
        </w:tc>
        <w:tc>
          <w:tcPr>
            <w:tcW w:w="11" w:type="pct"/>
            <w:shd w:val="clear" w:color="auto" w:fill="CFF0FC"/>
            <w:noWrap/>
            <w:tcMar>
              <w:top w:w="15" w:type="dxa"/>
              <w:right w:w="15" w:type="dxa"/>
            </w:tcMar>
            <w:vAlign w:val="bottom"/>
          </w:tcPr>
          <w:p w14:paraId="3973F7F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815" w14:textId="77777777">
        <w:tc>
          <w:tcPr>
            <w:tcW w:w="1664" w:type="pct"/>
            <w:shd w:val="clear" w:color="auto" w:fill="FFFFFF"/>
            <w:tcMar>
              <w:top w:w="15" w:type="dxa"/>
              <w:right w:w="15" w:type="dxa"/>
            </w:tcMar>
          </w:tcPr>
          <w:p w14:paraId="3973F7F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Germany</w:t>
            </w:r>
          </w:p>
        </w:tc>
        <w:tc>
          <w:tcPr>
            <w:tcW w:w="74" w:type="pct"/>
            <w:shd w:val="clear" w:color="auto" w:fill="FFFFFF"/>
            <w:tcMar>
              <w:top w:w="15" w:type="dxa"/>
              <w:right w:w="15" w:type="dxa"/>
            </w:tcMar>
            <w:vAlign w:val="bottom"/>
          </w:tcPr>
          <w:p w14:paraId="3973F7F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noWrap/>
            <w:tcMar>
              <w:top w:w="15" w:type="dxa"/>
              <w:right w:w="15" w:type="dxa"/>
            </w:tcMar>
            <w:vAlign w:val="bottom"/>
          </w:tcPr>
          <w:p w14:paraId="3973F7F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3973F7F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1,799 </w:t>
            </w:r>
          </w:p>
        </w:tc>
        <w:tc>
          <w:tcPr>
            <w:tcW w:w="46" w:type="pct"/>
            <w:shd w:val="clear" w:color="auto" w:fill="FFFFFF"/>
            <w:noWrap/>
            <w:tcMar>
              <w:top w:w="15" w:type="dxa"/>
              <w:right w:w="15" w:type="dxa"/>
            </w:tcMar>
            <w:vAlign w:val="bottom"/>
          </w:tcPr>
          <w:p w14:paraId="3973F80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0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3973F80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3973F80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813 </w:t>
            </w:r>
          </w:p>
        </w:tc>
        <w:tc>
          <w:tcPr>
            <w:tcW w:w="46" w:type="pct"/>
            <w:shd w:val="clear" w:color="auto" w:fill="FFFFFF"/>
            <w:noWrap/>
            <w:tcMar>
              <w:top w:w="15" w:type="dxa"/>
              <w:right w:w="15" w:type="dxa"/>
            </w:tcMar>
            <w:vAlign w:val="bottom"/>
          </w:tcPr>
          <w:p w14:paraId="3973F80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0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80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3973F80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1,744</w:t>
            </w:r>
          </w:p>
        </w:tc>
        <w:tc>
          <w:tcPr>
            <w:tcW w:w="46" w:type="pct"/>
            <w:shd w:val="clear" w:color="auto" w:fill="FFFFFF"/>
            <w:noWrap/>
            <w:tcMar>
              <w:top w:w="15" w:type="dxa"/>
              <w:right w:w="15" w:type="dxa"/>
            </w:tcMar>
            <w:vAlign w:val="bottom"/>
          </w:tcPr>
          <w:p w14:paraId="3973F80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0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80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3973F80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46" w:type="pct"/>
            <w:shd w:val="clear" w:color="auto" w:fill="FFFFFF"/>
            <w:noWrap/>
            <w:tcMar>
              <w:top w:w="15" w:type="dxa"/>
              <w:right w:w="15" w:type="dxa"/>
            </w:tcMar>
            <w:vAlign w:val="bottom"/>
          </w:tcPr>
          <w:p w14:paraId="3973F80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0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80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FFFFFF"/>
            <w:noWrap/>
            <w:tcMar>
              <w:top w:w="15" w:type="dxa"/>
              <w:right w:w="15" w:type="dxa"/>
            </w:tcMar>
            <w:vAlign w:val="bottom"/>
          </w:tcPr>
          <w:p w14:paraId="3973F80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1,510</w:t>
            </w:r>
          </w:p>
        </w:tc>
        <w:tc>
          <w:tcPr>
            <w:tcW w:w="46" w:type="pct"/>
            <w:shd w:val="clear" w:color="auto" w:fill="FFFFFF"/>
            <w:noWrap/>
            <w:tcMar>
              <w:top w:w="15" w:type="dxa"/>
              <w:right w:w="15" w:type="dxa"/>
            </w:tcMar>
            <w:vAlign w:val="bottom"/>
          </w:tcPr>
          <w:p w14:paraId="3973F81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1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3973F81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4" w:type="pct"/>
            <w:shd w:val="clear" w:color="auto" w:fill="FFFFFF"/>
            <w:noWrap/>
            <w:tcMar>
              <w:top w:w="15" w:type="dxa"/>
              <w:right w:w="15" w:type="dxa"/>
            </w:tcMar>
            <w:vAlign w:val="bottom"/>
          </w:tcPr>
          <w:p w14:paraId="3973F81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11" w:type="pct"/>
            <w:shd w:val="clear" w:color="auto" w:fill="FFFFFF"/>
            <w:noWrap/>
            <w:tcMar>
              <w:top w:w="15" w:type="dxa"/>
              <w:right w:w="15" w:type="dxa"/>
            </w:tcMar>
            <w:vAlign w:val="bottom"/>
          </w:tcPr>
          <w:p w14:paraId="3973F81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82F" w14:textId="77777777">
        <w:tc>
          <w:tcPr>
            <w:tcW w:w="1664" w:type="pct"/>
            <w:shd w:val="clear" w:color="auto" w:fill="CFF0FC"/>
            <w:tcMar>
              <w:top w:w="15" w:type="dxa"/>
              <w:right w:w="15" w:type="dxa"/>
            </w:tcMar>
          </w:tcPr>
          <w:p w14:paraId="3973F81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Canada</w:t>
            </w:r>
          </w:p>
        </w:tc>
        <w:tc>
          <w:tcPr>
            <w:tcW w:w="74" w:type="pct"/>
            <w:shd w:val="clear" w:color="auto" w:fill="CFF0FC"/>
            <w:tcMar>
              <w:top w:w="15" w:type="dxa"/>
              <w:right w:w="15" w:type="dxa"/>
            </w:tcMar>
            <w:vAlign w:val="bottom"/>
          </w:tcPr>
          <w:p w14:paraId="3973F81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noWrap/>
            <w:tcMar>
              <w:top w:w="15" w:type="dxa"/>
              <w:right w:w="15" w:type="dxa"/>
            </w:tcMar>
            <w:vAlign w:val="bottom"/>
          </w:tcPr>
          <w:p w14:paraId="3973F81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3973F81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1,347 </w:t>
            </w:r>
          </w:p>
        </w:tc>
        <w:tc>
          <w:tcPr>
            <w:tcW w:w="46" w:type="pct"/>
            <w:shd w:val="clear" w:color="auto" w:fill="CFF0FC"/>
            <w:noWrap/>
            <w:tcMar>
              <w:top w:w="15" w:type="dxa"/>
              <w:right w:w="15" w:type="dxa"/>
            </w:tcMar>
            <w:vAlign w:val="bottom"/>
          </w:tcPr>
          <w:p w14:paraId="3973F81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1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3973F81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3973F81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xml:space="preserve">298 </w:t>
            </w:r>
          </w:p>
        </w:tc>
        <w:tc>
          <w:tcPr>
            <w:tcW w:w="46" w:type="pct"/>
            <w:shd w:val="clear" w:color="auto" w:fill="CFF0FC"/>
            <w:noWrap/>
            <w:tcMar>
              <w:top w:w="15" w:type="dxa"/>
              <w:right w:w="15" w:type="dxa"/>
            </w:tcMar>
            <w:vAlign w:val="bottom"/>
          </w:tcPr>
          <w:p w14:paraId="3973F81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1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82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3973F82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1,281</w:t>
            </w:r>
          </w:p>
        </w:tc>
        <w:tc>
          <w:tcPr>
            <w:tcW w:w="46" w:type="pct"/>
            <w:shd w:val="clear" w:color="auto" w:fill="CFF0FC"/>
            <w:noWrap/>
            <w:tcMar>
              <w:top w:w="15" w:type="dxa"/>
              <w:right w:w="15" w:type="dxa"/>
            </w:tcMar>
            <w:vAlign w:val="bottom"/>
          </w:tcPr>
          <w:p w14:paraId="3973F82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2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82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3973F82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w:t>
            </w:r>
          </w:p>
        </w:tc>
        <w:tc>
          <w:tcPr>
            <w:tcW w:w="46" w:type="pct"/>
            <w:shd w:val="clear" w:color="auto" w:fill="CFF0FC"/>
            <w:noWrap/>
            <w:tcMar>
              <w:top w:w="15" w:type="dxa"/>
              <w:right w:w="15" w:type="dxa"/>
            </w:tcMar>
            <w:vAlign w:val="bottom"/>
          </w:tcPr>
          <w:p w14:paraId="3973F82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2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82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CFF0FC"/>
            <w:noWrap/>
            <w:tcMar>
              <w:top w:w="15" w:type="dxa"/>
              <w:right w:w="15" w:type="dxa"/>
            </w:tcMar>
            <w:vAlign w:val="bottom"/>
          </w:tcPr>
          <w:p w14:paraId="3973F82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1,162</w:t>
            </w:r>
          </w:p>
        </w:tc>
        <w:tc>
          <w:tcPr>
            <w:tcW w:w="46" w:type="pct"/>
            <w:shd w:val="clear" w:color="auto" w:fill="CFF0FC"/>
            <w:noWrap/>
            <w:tcMar>
              <w:top w:w="15" w:type="dxa"/>
              <w:right w:w="15" w:type="dxa"/>
            </w:tcMar>
            <w:vAlign w:val="bottom"/>
          </w:tcPr>
          <w:p w14:paraId="3973F82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2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3973F82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4" w:type="pct"/>
            <w:shd w:val="clear" w:color="auto" w:fill="CFF0FC"/>
            <w:noWrap/>
            <w:tcMar>
              <w:top w:w="15" w:type="dxa"/>
              <w:right w:w="15" w:type="dxa"/>
            </w:tcMar>
            <w:vAlign w:val="bottom"/>
          </w:tcPr>
          <w:p w14:paraId="3973F82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w:t>
            </w:r>
          </w:p>
        </w:tc>
        <w:tc>
          <w:tcPr>
            <w:tcW w:w="11" w:type="pct"/>
            <w:shd w:val="clear" w:color="auto" w:fill="CFF0FC"/>
            <w:noWrap/>
            <w:tcMar>
              <w:top w:w="15" w:type="dxa"/>
              <w:right w:w="15" w:type="dxa"/>
            </w:tcMar>
            <w:vAlign w:val="bottom"/>
          </w:tcPr>
          <w:p w14:paraId="3973F82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849" w14:textId="77777777">
        <w:tc>
          <w:tcPr>
            <w:tcW w:w="1664" w:type="pct"/>
            <w:shd w:val="clear" w:color="auto" w:fill="FFFFFF"/>
            <w:tcMar>
              <w:top w:w="15" w:type="dxa"/>
              <w:right w:w="15" w:type="dxa"/>
            </w:tcMar>
          </w:tcPr>
          <w:p w14:paraId="3973F83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countries</w:t>
            </w:r>
          </w:p>
        </w:tc>
        <w:tc>
          <w:tcPr>
            <w:tcW w:w="74" w:type="pct"/>
            <w:shd w:val="clear" w:color="auto" w:fill="FFFFFF"/>
            <w:tcMar>
              <w:top w:w="15" w:type="dxa"/>
              <w:right w:w="15" w:type="dxa"/>
            </w:tcMar>
            <w:vAlign w:val="bottom"/>
          </w:tcPr>
          <w:p w14:paraId="3973F8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tcBorders>
              <w:bottom w:val="single" w:sz="6" w:space="0" w:color="000000"/>
            </w:tcBorders>
            <w:shd w:val="clear" w:color="auto" w:fill="FFFFFF"/>
            <w:noWrap/>
            <w:tcMar>
              <w:top w:w="15" w:type="dxa"/>
              <w:right w:w="15" w:type="dxa"/>
            </w:tcMar>
            <w:vAlign w:val="bottom"/>
          </w:tcPr>
          <w:p w14:paraId="3973F83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3973F83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14,866</w:t>
            </w:r>
          </w:p>
        </w:tc>
        <w:tc>
          <w:tcPr>
            <w:tcW w:w="46" w:type="pct"/>
            <w:shd w:val="clear" w:color="auto" w:fill="FFFFFF"/>
            <w:noWrap/>
            <w:tcMar>
              <w:top w:w="15" w:type="dxa"/>
              <w:right w:w="15" w:type="dxa"/>
            </w:tcMar>
            <w:vAlign w:val="bottom"/>
          </w:tcPr>
          <w:p w14:paraId="3973F83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3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FFFFFF"/>
            <w:noWrap/>
            <w:tcMar>
              <w:top w:w="15" w:type="dxa"/>
              <w:right w:w="15" w:type="dxa"/>
            </w:tcMar>
            <w:vAlign w:val="bottom"/>
          </w:tcPr>
          <w:p w14:paraId="3973F83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right w:w="15" w:type="dxa"/>
            </w:tcMar>
            <w:vAlign w:val="bottom"/>
          </w:tcPr>
          <w:p w14:paraId="3973F83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3,140</w:t>
            </w:r>
          </w:p>
        </w:tc>
        <w:tc>
          <w:tcPr>
            <w:tcW w:w="46" w:type="pct"/>
            <w:shd w:val="clear" w:color="auto" w:fill="FFFFFF"/>
            <w:noWrap/>
            <w:tcMar>
              <w:top w:w="15" w:type="dxa"/>
              <w:right w:w="15" w:type="dxa"/>
            </w:tcMar>
            <w:vAlign w:val="bottom"/>
          </w:tcPr>
          <w:p w14:paraId="3973F83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39"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bottom w:val="single" w:sz="6" w:space="0" w:color="000000"/>
            </w:tcBorders>
            <w:shd w:val="clear" w:color="auto" w:fill="FFFFFF"/>
            <w:noWrap/>
            <w:tcMar>
              <w:top w:w="15" w:type="dxa"/>
              <w:right w:w="15" w:type="dxa"/>
            </w:tcMar>
            <w:vAlign w:val="bottom"/>
          </w:tcPr>
          <w:p w14:paraId="3973F83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3973F83B"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14,622</w:t>
            </w:r>
          </w:p>
        </w:tc>
        <w:tc>
          <w:tcPr>
            <w:tcW w:w="46" w:type="pct"/>
            <w:shd w:val="clear" w:color="auto" w:fill="FFFFFF"/>
            <w:noWrap/>
            <w:tcMar>
              <w:top w:w="15" w:type="dxa"/>
              <w:right w:w="15" w:type="dxa"/>
            </w:tcMar>
            <w:vAlign w:val="bottom"/>
          </w:tcPr>
          <w:p w14:paraId="3973F83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3D"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bottom w:val="single" w:sz="6" w:space="0" w:color="000000"/>
            </w:tcBorders>
            <w:shd w:val="clear" w:color="auto" w:fill="FFFFFF"/>
            <w:noWrap/>
            <w:tcMar>
              <w:top w:w="15" w:type="dxa"/>
              <w:right w:w="15" w:type="dxa"/>
            </w:tcMar>
            <w:vAlign w:val="bottom"/>
          </w:tcPr>
          <w:p w14:paraId="3973F83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right w:w="15" w:type="dxa"/>
            </w:tcMar>
            <w:vAlign w:val="bottom"/>
          </w:tcPr>
          <w:p w14:paraId="3973F83F"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2,464</w:t>
            </w:r>
          </w:p>
        </w:tc>
        <w:tc>
          <w:tcPr>
            <w:tcW w:w="46" w:type="pct"/>
            <w:shd w:val="clear" w:color="auto" w:fill="FFFFFF"/>
            <w:noWrap/>
            <w:tcMar>
              <w:top w:w="15" w:type="dxa"/>
              <w:right w:w="15" w:type="dxa"/>
            </w:tcMar>
            <w:vAlign w:val="bottom"/>
          </w:tcPr>
          <w:p w14:paraId="3973F84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41"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bottom w:val="single" w:sz="6" w:space="0" w:color="000000"/>
            </w:tcBorders>
            <w:shd w:val="clear" w:color="auto" w:fill="FFFFFF"/>
            <w:noWrap/>
            <w:tcMar>
              <w:top w:w="15" w:type="dxa"/>
              <w:right w:w="15" w:type="dxa"/>
            </w:tcMar>
            <w:vAlign w:val="bottom"/>
          </w:tcPr>
          <w:p w14:paraId="3973F84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tcBorders>
              <w:bottom w:val="single" w:sz="6" w:space="0" w:color="000000"/>
            </w:tcBorders>
            <w:shd w:val="clear" w:color="auto" w:fill="FFFFFF"/>
            <w:noWrap/>
            <w:tcMar>
              <w:top w:w="15" w:type="dxa"/>
              <w:right w:w="15" w:type="dxa"/>
            </w:tcMar>
            <w:vAlign w:val="bottom"/>
          </w:tcPr>
          <w:p w14:paraId="3973F843"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14,087</w:t>
            </w:r>
          </w:p>
        </w:tc>
        <w:tc>
          <w:tcPr>
            <w:tcW w:w="46" w:type="pct"/>
            <w:shd w:val="clear" w:color="auto" w:fill="FFFFFF"/>
            <w:noWrap/>
            <w:tcMar>
              <w:top w:w="15" w:type="dxa"/>
              <w:right w:w="15" w:type="dxa"/>
            </w:tcMar>
            <w:vAlign w:val="bottom"/>
          </w:tcPr>
          <w:p w14:paraId="3973F84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FFFFFF"/>
            <w:tcMar>
              <w:top w:w="15" w:type="dxa"/>
              <w:right w:w="15" w:type="dxa"/>
            </w:tcMar>
            <w:vAlign w:val="bottom"/>
          </w:tcPr>
          <w:p w14:paraId="3973F845"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bottom w:val="single" w:sz="6" w:space="0" w:color="000000"/>
            </w:tcBorders>
            <w:shd w:val="clear" w:color="auto" w:fill="FFFFFF"/>
            <w:noWrap/>
            <w:tcMar>
              <w:top w:w="15" w:type="dxa"/>
              <w:right w:w="15" w:type="dxa"/>
            </w:tcMar>
            <w:vAlign w:val="bottom"/>
          </w:tcPr>
          <w:p w14:paraId="3973F84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4" w:type="pct"/>
            <w:tcBorders>
              <w:bottom w:val="single" w:sz="6" w:space="0" w:color="000000"/>
            </w:tcBorders>
            <w:shd w:val="clear" w:color="auto" w:fill="FFFFFF"/>
            <w:noWrap/>
            <w:tcMar>
              <w:top w:w="15" w:type="dxa"/>
              <w:right w:w="15" w:type="dxa"/>
            </w:tcMar>
            <w:vAlign w:val="bottom"/>
          </w:tcPr>
          <w:p w14:paraId="3973F847"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1,977</w:t>
            </w:r>
          </w:p>
        </w:tc>
        <w:tc>
          <w:tcPr>
            <w:tcW w:w="11" w:type="pct"/>
            <w:shd w:val="clear" w:color="auto" w:fill="FFFFFF"/>
            <w:noWrap/>
            <w:tcMar>
              <w:top w:w="15" w:type="dxa"/>
              <w:right w:w="15" w:type="dxa"/>
            </w:tcMar>
            <w:vAlign w:val="bottom"/>
          </w:tcPr>
          <w:p w14:paraId="3973F84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7B027D" w14:paraId="3973F863" w14:textId="77777777">
        <w:tc>
          <w:tcPr>
            <w:tcW w:w="1664" w:type="pct"/>
            <w:shd w:val="clear" w:color="auto" w:fill="CFF0FC"/>
            <w:tcMar>
              <w:top w:w="15" w:type="dxa"/>
              <w:right w:w="15" w:type="dxa"/>
            </w:tcMar>
          </w:tcPr>
          <w:p w14:paraId="3973F84A" w14:textId="77777777" w:rsidR="007B027D" w:rsidRDefault="008E012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Total</w:t>
            </w:r>
          </w:p>
        </w:tc>
        <w:tc>
          <w:tcPr>
            <w:tcW w:w="74" w:type="pct"/>
            <w:shd w:val="clear" w:color="auto" w:fill="CFF0FC"/>
            <w:tcMar>
              <w:top w:w="15" w:type="dxa"/>
              <w:right w:w="15" w:type="dxa"/>
            </w:tcMar>
            <w:vAlign w:val="bottom"/>
          </w:tcPr>
          <w:p w14:paraId="3973F84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7" w:type="pct"/>
            <w:tcBorders>
              <w:top w:val="single" w:sz="6" w:space="0" w:color="000000"/>
              <w:bottom w:val="double" w:sz="6" w:space="0" w:color="000000"/>
            </w:tcBorders>
            <w:shd w:val="clear" w:color="auto" w:fill="CFF0FC"/>
            <w:noWrap/>
            <w:tcMar>
              <w:top w:w="15" w:type="dxa"/>
              <w:right w:w="15" w:type="dxa"/>
            </w:tcMar>
            <w:vAlign w:val="bottom"/>
          </w:tcPr>
          <w:p w14:paraId="3973F84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84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42,440</w:t>
            </w:r>
          </w:p>
        </w:tc>
        <w:tc>
          <w:tcPr>
            <w:tcW w:w="46" w:type="pct"/>
            <w:shd w:val="clear" w:color="auto" w:fill="CFF0FC"/>
            <w:noWrap/>
            <w:tcMar>
              <w:top w:w="15" w:type="dxa"/>
              <w:right w:w="15" w:type="dxa"/>
            </w:tcMar>
            <w:vAlign w:val="bottom"/>
          </w:tcPr>
          <w:p w14:paraId="3973F84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4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CFF0FC"/>
            <w:noWrap/>
            <w:tcMar>
              <w:top w:w="15" w:type="dxa"/>
              <w:right w:w="15" w:type="dxa"/>
            </w:tcMar>
            <w:vAlign w:val="bottom"/>
          </w:tcPr>
          <w:p w14:paraId="3973F85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right w:w="15" w:type="dxa"/>
            </w:tcMar>
            <w:vAlign w:val="bottom"/>
          </w:tcPr>
          <w:p w14:paraId="3973F85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16,144</w:t>
            </w:r>
          </w:p>
        </w:tc>
        <w:tc>
          <w:tcPr>
            <w:tcW w:w="46" w:type="pct"/>
            <w:shd w:val="clear" w:color="auto" w:fill="CFF0FC"/>
            <w:noWrap/>
            <w:tcMar>
              <w:top w:w="15" w:type="dxa"/>
              <w:right w:w="15" w:type="dxa"/>
            </w:tcMar>
            <w:vAlign w:val="bottom"/>
          </w:tcPr>
          <w:p w14:paraId="3973F852"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53"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bottom w:val="double" w:sz="6" w:space="0" w:color="000000"/>
            </w:tcBorders>
            <w:shd w:val="clear" w:color="auto" w:fill="CFF0FC"/>
            <w:noWrap/>
            <w:tcMar>
              <w:top w:w="15" w:type="dxa"/>
              <w:right w:w="15" w:type="dxa"/>
            </w:tcMar>
            <w:vAlign w:val="bottom"/>
          </w:tcPr>
          <w:p w14:paraId="3973F854"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3973F855"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40,479</w:t>
            </w:r>
          </w:p>
        </w:tc>
        <w:tc>
          <w:tcPr>
            <w:tcW w:w="46" w:type="pct"/>
            <w:shd w:val="clear" w:color="auto" w:fill="CFF0FC"/>
            <w:noWrap/>
            <w:tcMar>
              <w:top w:w="15" w:type="dxa"/>
              <w:right w:w="15" w:type="dxa"/>
            </w:tcMar>
            <w:vAlign w:val="bottom"/>
          </w:tcPr>
          <w:p w14:paraId="3973F856"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57"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bottom w:val="double" w:sz="6" w:space="0" w:color="000000"/>
            </w:tcBorders>
            <w:shd w:val="clear" w:color="auto" w:fill="CFF0FC"/>
            <w:noWrap/>
            <w:tcMar>
              <w:top w:w="15" w:type="dxa"/>
              <w:right w:w="15" w:type="dxa"/>
            </w:tcMar>
            <w:vAlign w:val="bottom"/>
          </w:tcPr>
          <w:p w14:paraId="3973F858"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right w:w="15" w:type="dxa"/>
            </w:tcMar>
            <w:vAlign w:val="bottom"/>
          </w:tcPr>
          <w:p w14:paraId="3973F859"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11,385</w:t>
            </w:r>
          </w:p>
        </w:tc>
        <w:tc>
          <w:tcPr>
            <w:tcW w:w="46" w:type="pct"/>
            <w:shd w:val="clear" w:color="auto" w:fill="CFF0FC"/>
            <w:noWrap/>
            <w:tcMar>
              <w:top w:w="15" w:type="dxa"/>
              <w:right w:w="15" w:type="dxa"/>
            </w:tcMar>
            <w:vAlign w:val="bottom"/>
          </w:tcPr>
          <w:p w14:paraId="3973F85A"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5B"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bottom w:val="double" w:sz="6" w:space="0" w:color="000000"/>
            </w:tcBorders>
            <w:shd w:val="clear" w:color="auto" w:fill="CFF0FC"/>
            <w:noWrap/>
            <w:tcMar>
              <w:top w:w="15" w:type="dxa"/>
              <w:right w:w="15" w:type="dxa"/>
            </w:tcMar>
            <w:vAlign w:val="bottom"/>
          </w:tcPr>
          <w:p w14:paraId="3973F85C"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0" w:type="pct"/>
            <w:tcBorders>
              <w:top w:val="single" w:sz="6" w:space="0" w:color="000000"/>
              <w:bottom w:val="double" w:sz="6" w:space="0" w:color="000000"/>
            </w:tcBorders>
            <w:shd w:val="clear" w:color="auto" w:fill="CFF0FC"/>
            <w:noWrap/>
            <w:tcMar>
              <w:top w:w="15" w:type="dxa"/>
              <w:right w:w="15" w:type="dxa"/>
            </w:tcMar>
            <w:vAlign w:val="bottom"/>
          </w:tcPr>
          <w:p w14:paraId="3973F85D"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46" w:type="pct"/>
            <w:shd w:val="clear" w:color="auto" w:fill="CFF0FC"/>
            <w:noWrap/>
            <w:tcMar>
              <w:top w:w="15" w:type="dxa"/>
              <w:right w:w="15" w:type="dxa"/>
            </w:tcMar>
            <w:vAlign w:val="bottom"/>
          </w:tcPr>
          <w:p w14:paraId="3973F85E"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 w:type="pct"/>
            <w:shd w:val="clear" w:color="auto" w:fill="CFF0FC"/>
            <w:tcMar>
              <w:top w:w="15" w:type="dxa"/>
              <w:right w:w="15" w:type="dxa"/>
            </w:tcMar>
            <w:vAlign w:val="bottom"/>
          </w:tcPr>
          <w:p w14:paraId="3973F85F"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bottom w:val="double" w:sz="6" w:space="0" w:color="000000"/>
            </w:tcBorders>
            <w:shd w:val="clear" w:color="auto" w:fill="CFF0FC"/>
            <w:noWrap/>
            <w:tcMar>
              <w:top w:w="15" w:type="dxa"/>
              <w:right w:w="15" w:type="dxa"/>
            </w:tcMar>
            <w:vAlign w:val="bottom"/>
          </w:tcPr>
          <w:p w14:paraId="3973F860" w14:textId="77777777" w:rsidR="007B027D" w:rsidRDefault="008E012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4" w:type="pct"/>
            <w:tcBorders>
              <w:top w:val="single" w:sz="6" w:space="0" w:color="000000"/>
              <w:bottom w:val="double" w:sz="6" w:space="0" w:color="000000"/>
            </w:tcBorders>
            <w:shd w:val="clear" w:color="auto" w:fill="CFF0FC"/>
            <w:noWrap/>
            <w:tcMar>
              <w:top w:w="15" w:type="dxa"/>
              <w:right w:w="15" w:type="dxa"/>
            </w:tcMar>
            <w:vAlign w:val="bottom"/>
          </w:tcPr>
          <w:p w14:paraId="3973F861" w14:textId="77777777" w:rsidR="007B027D" w:rsidRDefault="008E012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9,703</w:t>
            </w:r>
          </w:p>
        </w:tc>
        <w:tc>
          <w:tcPr>
            <w:tcW w:w="11" w:type="pct"/>
            <w:shd w:val="clear" w:color="auto" w:fill="CFF0FC"/>
            <w:noWrap/>
            <w:tcMar>
              <w:top w:w="15" w:type="dxa"/>
              <w:right w:w="15" w:type="dxa"/>
            </w:tcMar>
            <w:vAlign w:val="bottom"/>
          </w:tcPr>
          <w:p w14:paraId="3973F862"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864" w14:textId="77777777" w:rsidR="007B027D" w:rsidRDefault="008E0125">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867" w14:textId="77777777">
        <w:tc>
          <w:tcPr>
            <w:tcW w:w="192" w:type="pct"/>
            <w:shd w:val="clear" w:color="auto" w:fill="auto"/>
            <w:noWrap/>
          </w:tcPr>
          <w:p w14:paraId="3973F865"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F866"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5"/>
                <w:szCs w:val="15"/>
              </w:rPr>
              <w:t>Long-lived assets exclude goodwill, intangible assets, equity investments and deferred taxes, whic</w:t>
            </w:r>
            <w:r>
              <w:rPr>
                <w:rFonts w:ascii="Calibri" w:hAnsi="Calibri" w:cs="Calibri"/>
                <w:sz w:val="15"/>
                <w:szCs w:val="15"/>
              </w:rPr>
              <w:t>h are not allocated to specific geographic locations as it is impracticable to do so.</w:t>
            </w:r>
          </w:p>
        </w:tc>
      </w:tr>
    </w:tbl>
    <w:p w14:paraId="3973F868"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7871"/>
      </w:tblGrid>
      <w:tr w:rsidR="007B027D" w14:paraId="3973F86B" w14:textId="77777777">
        <w:tc>
          <w:tcPr>
            <w:tcW w:w="262" w:type="pct"/>
            <w:shd w:val="clear" w:color="auto" w:fill="auto"/>
            <w:noWrap/>
          </w:tcPr>
          <w:p w14:paraId="3973F869"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15.</w:t>
            </w:r>
          </w:p>
        </w:tc>
        <w:tc>
          <w:tcPr>
            <w:tcW w:w="0" w:type="auto"/>
            <w:shd w:val="clear" w:color="auto" w:fill="auto"/>
          </w:tcPr>
          <w:p w14:paraId="3973F86A"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3973F86C"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Basic earnings per share is computed by dividing net income for the period by the weighted-average number of common shares </w:t>
      </w:r>
      <w:r>
        <w:rPr>
          <w:rFonts w:ascii="Calibri" w:hAnsi="Calibri" w:cs="Calibri"/>
          <w:sz w:val="20"/>
          <w:szCs w:val="20"/>
        </w:rPr>
        <w:t>outstanding during the period. Diluted earnings per share is computed by dividing net income for the period by the weighted-average number of common shares outstanding during the period, plus the dilutive effect of outstanding restricted stock-based awards</w:t>
      </w:r>
      <w:r>
        <w:rPr>
          <w:rFonts w:ascii="Calibri" w:hAnsi="Calibri" w:cs="Calibri"/>
          <w:sz w:val="20"/>
          <w:szCs w:val="20"/>
        </w:rPr>
        <w:t>, stock options, and shares issuable under the employee stock purchase plan as applicable pursuant to the treasury stock method. The following table sets forth the computation of basic and diluted earnings per share</w:t>
      </w:r>
      <w:r>
        <w:rPr>
          <w:rFonts w:ascii="Calibri" w:hAnsi="Calibri" w:cs="Calibri"/>
          <w:spacing w:val="-2"/>
          <w:sz w:val="20"/>
          <w:szCs w:val="20"/>
        </w:rPr>
        <w:t>:</w:t>
      </w:r>
    </w:p>
    <w:p w14:paraId="3973F86D" w14:textId="77777777" w:rsidR="007B027D" w:rsidRDefault="008E0125">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884"/>
        <w:gridCol w:w="79"/>
        <w:gridCol w:w="117"/>
        <w:gridCol w:w="515"/>
        <w:gridCol w:w="62"/>
        <w:gridCol w:w="80"/>
        <w:gridCol w:w="117"/>
        <w:gridCol w:w="572"/>
        <w:gridCol w:w="63"/>
        <w:gridCol w:w="80"/>
        <w:gridCol w:w="117"/>
        <w:gridCol w:w="572"/>
        <w:gridCol w:w="63"/>
      </w:tblGrid>
      <w:tr w:rsidR="007B027D" w14:paraId="3973F872" w14:textId="77777777">
        <w:tc>
          <w:tcPr>
            <w:tcW w:w="3545" w:type="pct"/>
            <w:shd w:val="clear" w:color="auto" w:fill="FFFFFF"/>
            <w:tcMar>
              <w:top w:w="15" w:type="dxa"/>
              <w:right w:w="15" w:type="dxa"/>
            </w:tcMar>
            <w:vAlign w:val="bottom"/>
          </w:tcPr>
          <w:p w14:paraId="3973F86E" w14:textId="77777777" w:rsidR="007B027D" w:rsidRDefault="008E0125">
            <w:pPr>
              <w:pStyle w:val="a3"/>
              <w:spacing w:beforeAutospacing="0" w:afterAutospacing="0"/>
              <w:jc w:val="center"/>
              <w:rPr>
                <w:rFonts w:ascii="Calibri" w:hAnsi="Calibri" w:cs="Calibri"/>
                <w:sz w:val="15"/>
                <w:szCs w:val="15"/>
              </w:rPr>
            </w:pPr>
            <w:r>
              <w:rPr>
                <w:rFonts w:ascii="Calibri" w:hAnsi="Calibri" w:cs="Calibri"/>
                <w:sz w:val="15"/>
                <w:szCs w:val="15"/>
              </w:rPr>
              <w:t> </w:t>
            </w:r>
          </w:p>
        </w:tc>
        <w:tc>
          <w:tcPr>
            <w:tcW w:w="60" w:type="pct"/>
            <w:shd w:val="clear" w:color="auto" w:fill="FFFFFF"/>
            <w:tcMar>
              <w:top w:w="15" w:type="dxa"/>
              <w:right w:w="15" w:type="dxa"/>
            </w:tcMar>
            <w:vAlign w:val="bottom"/>
          </w:tcPr>
          <w:p w14:paraId="3973F86F"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41" w:type="pct"/>
            <w:gridSpan w:val="10"/>
            <w:tcBorders>
              <w:bottom w:val="single" w:sz="6" w:space="0" w:color="000000"/>
            </w:tcBorders>
            <w:shd w:val="clear" w:color="auto" w:fill="FFFFFF"/>
            <w:tcMar>
              <w:top w:w="15" w:type="dxa"/>
              <w:right w:w="15" w:type="dxa"/>
            </w:tcMar>
            <w:vAlign w:val="bottom"/>
          </w:tcPr>
          <w:p w14:paraId="3973F870"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3973F871"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87D" w14:textId="77777777">
        <w:tc>
          <w:tcPr>
            <w:tcW w:w="3545" w:type="pct"/>
            <w:tcBorders>
              <w:bottom w:val="single" w:sz="6" w:space="0" w:color="000000"/>
            </w:tcBorders>
            <w:shd w:val="clear" w:color="auto" w:fill="FFFFFF"/>
            <w:tcMar>
              <w:top w:w="15" w:type="dxa"/>
              <w:right w:w="15" w:type="dxa"/>
            </w:tcMar>
            <w:vAlign w:val="bottom"/>
          </w:tcPr>
          <w:p w14:paraId="3973F873" w14:textId="77777777" w:rsidR="007B027D" w:rsidRDefault="008E0125">
            <w:pPr>
              <w:pStyle w:val="a3"/>
              <w:spacing w:beforeAutospacing="0" w:afterAutospacing="0"/>
              <w:ind w:left="144" w:hanging="144"/>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 except per share data)</w:t>
            </w:r>
          </w:p>
        </w:tc>
        <w:tc>
          <w:tcPr>
            <w:tcW w:w="60" w:type="pct"/>
            <w:shd w:val="clear" w:color="auto" w:fill="FFFFFF"/>
            <w:tcMar>
              <w:top w:w="15" w:type="dxa"/>
              <w:right w:w="15" w:type="dxa"/>
            </w:tcMar>
            <w:vAlign w:val="bottom"/>
          </w:tcPr>
          <w:p w14:paraId="3973F874"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2" w:type="pct"/>
            <w:gridSpan w:val="2"/>
            <w:tcBorders>
              <w:top w:val="single" w:sz="6" w:space="0" w:color="000000"/>
              <w:bottom w:val="single" w:sz="6" w:space="0" w:color="000000"/>
            </w:tcBorders>
            <w:shd w:val="clear" w:color="auto" w:fill="FFFFFF"/>
            <w:tcMar>
              <w:top w:w="15" w:type="dxa"/>
              <w:right w:w="15" w:type="dxa"/>
            </w:tcMar>
            <w:vAlign w:val="bottom"/>
          </w:tcPr>
          <w:p w14:paraId="3973F875"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3973F876"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3973F877"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2" w:type="pct"/>
            <w:gridSpan w:val="2"/>
            <w:tcBorders>
              <w:top w:val="single" w:sz="6" w:space="0" w:color="000000"/>
              <w:bottom w:val="single" w:sz="6" w:space="0" w:color="000000"/>
            </w:tcBorders>
            <w:shd w:val="clear" w:color="auto" w:fill="FFFFFF"/>
            <w:tcMar>
              <w:top w:w="15" w:type="dxa"/>
              <w:right w:w="15" w:type="dxa"/>
            </w:tcMar>
            <w:vAlign w:val="bottom"/>
          </w:tcPr>
          <w:p w14:paraId="3973F878"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3973F879"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3973F87A"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2" w:type="pct"/>
            <w:gridSpan w:val="2"/>
            <w:tcBorders>
              <w:top w:val="single" w:sz="6" w:space="0" w:color="000000"/>
              <w:bottom w:val="single" w:sz="6" w:space="0" w:color="000000"/>
            </w:tcBorders>
            <w:shd w:val="clear" w:color="auto" w:fill="FFFFFF"/>
            <w:tcMar>
              <w:top w:w="15" w:type="dxa"/>
              <w:right w:w="15" w:type="dxa"/>
            </w:tcMar>
            <w:vAlign w:val="bottom"/>
          </w:tcPr>
          <w:p w14:paraId="3973F87B" w14:textId="77777777" w:rsidR="007B027D" w:rsidRDefault="008E012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3973F87C" w14:textId="77777777" w:rsidR="007B027D" w:rsidRDefault="008E012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7B027D" w14:paraId="3973F88B" w14:textId="77777777">
        <w:tc>
          <w:tcPr>
            <w:tcW w:w="3545" w:type="pct"/>
            <w:tcBorders>
              <w:top w:val="single" w:sz="6" w:space="0" w:color="000000"/>
            </w:tcBorders>
            <w:shd w:val="clear" w:color="auto" w:fill="CFF0FC"/>
            <w:tcMar>
              <w:top w:w="15" w:type="dxa"/>
              <w:right w:w="15" w:type="dxa"/>
            </w:tcMar>
          </w:tcPr>
          <w:p w14:paraId="3973F87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60" w:type="pct"/>
            <w:shd w:val="clear" w:color="auto" w:fill="CFF0FC"/>
            <w:tcMar>
              <w:top w:w="15" w:type="dxa"/>
              <w:right w:w="15" w:type="dxa"/>
            </w:tcMar>
            <w:vAlign w:val="bottom"/>
          </w:tcPr>
          <w:p w14:paraId="3973F87F"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8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single" w:sz="6" w:space="0" w:color="000000"/>
              <w:bottom w:val="double" w:sz="6" w:space="0" w:color="000000"/>
            </w:tcBorders>
            <w:shd w:val="clear" w:color="auto" w:fill="CFF0FC"/>
            <w:noWrap/>
            <w:tcMar>
              <w:top w:w="15" w:type="dxa"/>
              <w:right w:w="15" w:type="dxa"/>
            </w:tcMar>
            <w:vAlign w:val="bottom"/>
          </w:tcPr>
          <w:p w14:paraId="3973F88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6,717</w:t>
            </w:r>
          </w:p>
        </w:tc>
        <w:tc>
          <w:tcPr>
            <w:tcW w:w="50" w:type="pct"/>
            <w:shd w:val="clear" w:color="auto" w:fill="CFF0FC"/>
            <w:noWrap/>
            <w:tcMar>
              <w:top w:w="15" w:type="dxa"/>
              <w:right w:w="15" w:type="dxa"/>
            </w:tcMar>
            <w:vAlign w:val="bottom"/>
          </w:tcPr>
          <w:p w14:paraId="3973F8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8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88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single" w:sz="6" w:space="0" w:color="000000"/>
              <w:bottom w:val="double" w:sz="6" w:space="0" w:color="000000"/>
            </w:tcBorders>
            <w:shd w:val="clear" w:color="auto" w:fill="CFF0FC"/>
            <w:noWrap/>
            <w:tcMar>
              <w:top w:w="15" w:type="dxa"/>
              <w:right w:w="15" w:type="dxa"/>
            </w:tcMar>
            <w:vAlign w:val="bottom"/>
          </w:tcPr>
          <w:p w14:paraId="3973F88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13,746</w:t>
            </w:r>
          </w:p>
        </w:tc>
        <w:tc>
          <w:tcPr>
            <w:tcW w:w="50" w:type="pct"/>
            <w:shd w:val="clear" w:color="auto" w:fill="CFF0FC"/>
            <w:noWrap/>
            <w:tcMar>
              <w:top w:w="15" w:type="dxa"/>
              <w:right w:w="15" w:type="dxa"/>
            </w:tcMar>
            <w:vAlign w:val="bottom"/>
          </w:tcPr>
          <w:p w14:paraId="3973F88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8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3973F88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single" w:sz="6" w:space="0" w:color="000000"/>
              <w:bottom w:val="double" w:sz="6" w:space="0" w:color="000000"/>
            </w:tcBorders>
            <w:shd w:val="clear" w:color="auto" w:fill="CFF0FC"/>
            <w:noWrap/>
            <w:tcMar>
              <w:top w:w="15" w:type="dxa"/>
              <w:right w:w="15" w:type="dxa"/>
            </w:tcMar>
            <w:vAlign w:val="bottom"/>
          </w:tcPr>
          <w:p w14:paraId="3973F88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10,135</w:t>
            </w:r>
          </w:p>
        </w:tc>
        <w:tc>
          <w:tcPr>
            <w:tcW w:w="50" w:type="pct"/>
            <w:shd w:val="clear" w:color="auto" w:fill="CFF0FC"/>
            <w:noWrap/>
            <w:tcMar>
              <w:top w:w="15" w:type="dxa"/>
              <w:right w:w="15" w:type="dxa"/>
            </w:tcMar>
            <w:vAlign w:val="bottom"/>
          </w:tcPr>
          <w:p w14:paraId="3973F88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99" w14:textId="77777777">
        <w:tc>
          <w:tcPr>
            <w:tcW w:w="3545" w:type="pct"/>
            <w:shd w:val="clear" w:color="auto" w:fill="FFFFFF"/>
            <w:tcMar>
              <w:top w:w="15" w:type="dxa"/>
              <w:right w:w="15" w:type="dxa"/>
            </w:tcMar>
          </w:tcPr>
          <w:p w14:paraId="3973F88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0" w:type="pct"/>
            <w:shd w:val="clear" w:color="auto" w:fill="FFFFFF"/>
            <w:tcMar>
              <w:top w:w="15" w:type="dxa"/>
              <w:right w:w="15" w:type="dxa"/>
            </w:tcMar>
            <w:vAlign w:val="bottom"/>
          </w:tcPr>
          <w:p w14:paraId="3973F88D"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3973F8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double" w:sz="6" w:space="0" w:color="000000"/>
            </w:tcBorders>
            <w:shd w:val="clear" w:color="auto" w:fill="FFFFFF"/>
            <w:noWrap/>
            <w:tcMar>
              <w:top w:w="15" w:type="dxa"/>
              <w:right w:w="15" w:type="dxa"/>
            </w:tcMar>
            <w:vAlign w:val="bottom"/>
          </w:tcPr>
          <w:p w14:paraId="3973F88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2,700</w:t>
            </w:r>
          </w:p>
        </w:tc>
        <w:tc>
          <w:tcPr>
            <w:tcW w:w="50" w:type="pct"/>
            <w:shd w:val="clear" w:color="auto" w:fill="FFFFFF"/>
            <w:noWrap/>
            <w:tcMar>
              <w:top w:w="15" w:type="dxa"/>
              <w:right w:w="15" w:type="dxa"/>
            </w:tcMar>
            <w:vAlign w:val="bottom"/>
          </w:tcPr>
          <w:p w14:paraId="3973F8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9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3973F89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double" w:sz="6" w:space="0" w:color="000000"/>
            </w:tcBorders>
            <w:shd w:val="clear" w:color="auto" w:fill="FFFFFF"/>
            <w:noWrap/>
            <w:tcMar>
              <w:top w:w="15" w:type="dxa"/>
              <w:right w:w="15" w:type="dxa"/>
            </w:tcMar>
            <w:vAlign w:val="bottom"/>
          </w:tcPr>
          <w:p w14:paraId="3973F89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2,945</w:t>
            </w:r>
          </w:p>
        </w:tc>
        <w:tc>
          <w:tcPr>
            <w:tcW w:w="50" w:type="pct"/>
            <w:shd w:val="clear" w:color="auto" w:fill="FFFFFF"/>
            <w:noWrap/>
            <w:tcMar>
              <w:top w:w="15" w:type="dxa"/>
              <w:right w:w="15" w:type="dxa"/>
            </w:tcMar>
            <w:vAlign w:val="bottom"/>
          </w:tcPr>
          <w:p w14:paraId="3973F89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3973F89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double" w:sz="6" w:space="0" w:color="000000"/>
            </w:tcBorders>
            <w:shd w:val="clear" w:color="auto" w:fill="FFFFFF"/>
            <w:noWrap/>
            <w:tcMar>
              <w:top w:w="15" w:type="dxa"/>
              <w:right w:w="15" w:type="dxa"/>
            </w:tcMar>
            <w:vAlign w:val="bottom"/>
          </w:tcPr>
          <w:p w14:paraId="3973F89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3,211</w:t>
            </w:r>
          </w:p>
        </w:tc>
        <w:tc>
          <w:tcPr>
            <w:tcW w:w="50" w:type="pct"/>
            <w:shd w:val="clear" w:color="auto" w:fill="FFFFFF"/>
            <w:noWrap/>
            <w:tcMar>
              <w:top w:w="15" w:type="dxa"/>
              <w:right w:w="15" w:type="dxa"/>
            </w:tcMar>
            <w:vAlign w:val="bottom"/>
          </w:tcPr>
          <w:p w14:paraId="3973F89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A7" w14:textId="77777777">
        <w:tc>
          <w:tcPr>
            <w:tcW w:w="3545" w:type="pct"/>
            <w:shd w:val="clear" w:color="auto" w:fill="CFF0FC"/>
            <w:tcMar>
              <w:top w:w="15" w:type="dxa"/>
              <w:right w:w="15" w:type="dxa"/>
            </w:tcMar>
          </w:tcPr>
          <w:p w14:paraId="3973F89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0" w:type="pct"/>
            <w:shd w:val="clear" w:color="auto" w:fill="CFF0FC"/>
            <w:tcMar>
              <w:top w:w="15" w:type="dxa"/>
              <w:right w:w="15" w:type="dxa"/>
            </w:tcMar>
            <w:vAlign w:val="bottom"/>
          </w:tcPr>
          <w:p w14:paraId="3973F89B"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3973F89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bottom w:val="single" w:sz="6" w:space="0" w:color="000000"/>
            </w:tcBorders>
            <w:shd w:val="clear" w:color="auto" w:fill="CFF0FC"/>
            <w:noWrap/>
            <w:tcMar>
              <w:top w:w="15" w:type="dxa"/>
              <w:right w:w="15" w:type="dxa"/>
            </w:tcMar>
            <w:vAlign w:val="bottom"/>
          </w:tcPr>
          <w:p w14:paraId="3973F89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3973F8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9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8A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bottom w:val="single" w:sz="6" w:space="0" w:color="000000"/>
            </w:tcBorders>
            <w:shd w:val="clear" w:color="auto" w:fill="CFF0FC"/>
            <w:noWrap/>
            <w:tcMar>
              <w:top w:w="15" w:type="dxa"/>
              <w:right w:w="15" w:type="dxa"/>
            </w:tcMar>
            <w:vAlign w:val="bottom"/>
          </w:tcPr>
          <w:p w14:paraId="3973F8A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CFF0FC"/>
            <w:noWrap/>
            <w:tcMar>
              <w:top w:w="15" w:type="dxa"/>
              <w:right w:w="15" w:type="dxa"/>
            </w:tcMar>
            <w:vAlign w:val="bottom"/>
          </w:tcPr>
          <w:p w14:paraId="3973F8A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A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3973F8A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bottom w:val="single" w:sz="6" w:space="0" w:color="000000"/>
            </w:tcBorders>
            <w:shd w:val="clear" w:color="auto" w:fill="CFF0FC"/>
            <w:noWrap/>
            <w:tcMar>
              <w:top w:w="15" w:type="dxa"/>
              <w:right w:w="15" w:type="dxa"/>
            </w:tcMar>
            <w:vAlign w:val="bottom"/>
          </w:tcPr>
          <w:p w14:paraId="3973F8A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CFF0FC"/>
            <w:noWrap/>
            <w:tcMar>
              <w:top w:w="15" w:type="dxa"/>
              <w:right w:w="15" w:type="dxa"/>
            </w:tcMar>
            <w:vAlign w:val="bottom"/>
          </w:tcPr>
          <w:p w14:paraId="3973F8A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B5" w14:textId="77777777">
        <w:tc>
          <w:tcPr>
            <w:tcW w:w="3545" w:type="pct"/>
            <w:shd w:val="clear" w:color="auto" w:fill="FFFFFF"/>
            <w:tcMar>
              <w:top w:w="15" w:type="dxa"/>
              <w:right w:w="15" w:type="dxa"/>
            </w:tcMar>
          </w:tcPr>
          <w:p w14:paraId="3973F8A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0" w:type="pct"/>
            <w:shd w:val="clear" w:color="auto" w:fill="FFFFFF"/>
            <w:tcMar>
              <w:top w:w="15" w:type="dxa"/>
              <w:right w:w="15" w:type="dxa"/>
            </w:tcMar>
            <w:vAlign w:val="bottom"/>
          </w:tcPr>
          <w:p w14:paraId="3973F8A9"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8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single" w:sz="6" w:space="0" w:color="000000"/>
              <w:bottom w:val="double" w:sz="6" w:space="0" w:color="000000"/>
            </w:tcBorders>
            <w:shd w:val="clear" w:color="auto" w:fill="FFFFFF"/>
            <w:noWrap/>
            <w:tcMar>
              <w:top w:w="15" w:type="dxa"/>
              <w:right w:w="15" w:type="dxa"/>
            </w:tcMar>
            <w:vAlign w:val="bottom"/>
          </w:tcPr>
          <w:p w14:paraId="3973F8A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2,786</w:t>
            </w:r>
          </w:p>
        </w:tc>
        <w:tc>
          <w:tcPr>
            <w:tcW w:w="50" w:type="pct"/>
            <w:shd w:val="clear" w:color="auto" w:fill="FFFFFF"/>
            <w:noWrap/>
            <w:tcMar>
              <w:top w:w="15" w:type="dxa"/>
              <w:right w:w="15" w:type="dxa"/>
            </w:tcMar>
            <w:vAlign w:val="bottom"/>
          </w:tcPr>
          <w:p w14:paraId="3973F8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A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8A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single" w:sz="6" w:space="0" w:color="000000"/>
              <w:bottom w:val="double" w:sz="6" w:space="0" w:color="000000"/>
            </w:tcBorders>
            <w:shd w:val="clear" w:color="auto" w:fill="FFFFFF"/>
            <w:noWrap/>
            <w:tcMar>
              <w:top w:w="15" w:type="dxa"/>
              <w:right w:w="15" w:type="dxa"/>
            </w:tcMar>
            <w:vAlign w:val="bottom"/>
          </w:tcPr>
          <w:p w14:paraId="3973F8A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3,022</w:t>
            </w:r>
          </w:p>
        </w:tc>
        <w:tc>
          <w:tcPr>
            <w:tcW w:w="50" w:type="pct"/>
            <w:shd w:val="clear" w:color="auto" w:fill="FFFFFF"/>
            <w:noWrap/>
            <w:tcMar>
              <w:top w:w="15" w:type="dxa"/>
              <w:right w:w="15" w:type="dxa"/>
            </w:tcMar>
            <w:vAlign w:val="bottom"/>
          </w:tcPr>
          <w:p w14:paraId="3973F8B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3973F8B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tcBorders>
              <w:top w:val="single" w:sz="6" w:space="0" w:color="000000"/>
              <w:bottom w:val="double" w:sz="6" w:space="0" w:color="000000"/>
            </w:tcBorders>
            <w:shd w:val="clear" w:color="auto" w:fill="FFFFFF"/>
            <w:noWrap/>
            <w:tcMar>
              <w:top w:w="15" w:type="dxa"/>
              <w:right w:w="15" w:type="dxa"/>
            </w:tcMar>
            <w:vAlign w:val="bottom"/>
          </w:tcPr>
          <w:p w14:paraId="3973F8B3"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3,294</w:t>
            </w:r>
          </w:p>
        </w:tc>
        <w:tc>
          <w:tcPr>
            <w:tcW w:w="50" w:type="pct"/>
            <w:shd w:val="clear" w:color="auto" w:fill="FFFFFF"/>
            <w:noWrap/>
            <w:tcMar>
              <w:top w:w="15" w:type="dxa"/>
              <w:right w:w="15" w:type="dxa"/>
            </w:tcMar>
            <w:vAlign w:val="bottom"/>
          </w:tcPr>
          <w:p w14:paraId="3973F8B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C3" w14:textId="77777777">
        <w:tc>
          <w:tcPr>
            <w:tcW w:w="3545" w:type="pct"/>
            <w:shd w:val="clear" w:color="auto" w:fill="CFF0FC"/>
            <w:tcMar>
              <w:top w:w="15" w:type="dxa"/>
              <w:right w:w="15" w:type="dxa"/>
            </w:tcMar>
          </w:tcPr>
          <w:p w14:paraId="3973F8B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60" w:type="pct"/>
            <w:shd w:val="clear" w:color="auto" w:fill="CFF0FC"/>
            <w:tcMar>
              <w:top w:w="15" w:type="dxa"/>
              <w:right w:w="15" w:type="dxa"/>
            </w:tcMar>
            <w:vAlign w:val="bottom"/>
          </w:tcPr>
          <w:p w14:paraId="3973F8B7"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3973F8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double" w:sz="6" w:space="0" w:color="000000"/>
            </w:tcBorders>
            <w:shd w:val="clear" w:color="auto" w:fill="CFF0FC"/>
            <w:noWrap/>
            <w:tcMar>
              <w:top w:w="15" w:type="dxa"/>
              <w:right w:w="15" w:type="dxa"/>
            </w:tcMar>
            <w:vAlign w:val="bottom"/>
          </w:tcPr>
          <w:p w14:paraId="3973F8B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3973F8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B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3973F8B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double" w:sz="6" w:space="0" w:color="000000"/>
            </w:tcBorders>
            <w:shd w:val="clear" w:color="auto" w:fill="CFF0FC"/>
            <w:noWrap/>
            <w:tcMar>
              <w:top w:w="15" w:type="dxa"/>
              <w:right w:w="15" w:type="dxa"/>
            </w:tcMar>
            <w:vAlign w:val="bottom"/>
          </w:tcPr>
          <w:p w14:paraId="3973F8B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4.67</w:t>
            </w:r>
          </w:p>
        </w:tc>
        <w:tc>
          <w:tcPr>
            <w:tcW w:w="50" w:type="pct"/>
            <w:shd w:val="clear" w:color="auto" w:fill="CFF0FC"/>
            <w:noWrap/>
            <w:tcMar>
              <w:top w:w="15" w:type="dxa"/>
              <w:right w:w="15" w:type="dxa"/>
            </w:tcMar>
            <w:vAlign w:val="bottom"/>
          </w:tcPr>
          <w:p w14:paraId="3973F8B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3973F8C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tcBorders>
              <w:top w:val="double" w:sz="6" w:space="0" w:color="000000"/>
            </w:tcBorders>
            <w:shd w:val="clear" w:color="auto" w:fill="CFF0FC"/>
            <w:noWrap/>
            <w:tcMar>
              <w:top w:w="15" w:type="dxa"/>
              <w:right w:w="15" w:type="dxa"/>
            </w:tcMar>
            <w:vAlign w:val="bottom"/>
          </w:tcPr>
          <w:p w14:paraId="3973F8C1"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3.16</w:t>
            </w:r>
          </w:p>
        </w:tc>
        <w:tc>
          <w:tcPr>
            <w:tcW w:w="50" w:type="pct"/>
            <w:shd w:val="clear" w:color="auto" w:fill="CFF0FC"/>
            <w:noWrap/>
            <w:tcMar>
              <w:top w:w="15" w:type="dxa"/>
              <w:right w:w="15" w:type="dxa"/>
            </w:tcMar>
            <w:vAlign w:val="bottom"/>
          </w:tcPr>
          <w:p w14:paraId="3973F8C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D1" w14:textId="77777777">
        <w:tc>
          <w:tcPr>
            <w:tcW w:w="3545" w:type="pct"/>
            <w:shd w:val="clear" w:color="auto" w:fill="FFFFFF"/>
            <w:tcMar>
              <w:top w:w="15" w:type="dxa"/>
              <w:right w:w="15" w:type="dxa"/>
            </w:tcMar>
          </w:tcPr>
          <w:p w14:paraId="3973F8C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60" w:type="pct"/>
            <w:shd w:val="clear" w:color="auto" w:fill="FFFFFF"/>
            <w:tcMar>
              <w:top w:w="15" w:type="dxa"/>
              <w:right w:w="15" w:type="dxa"/>
            </w:tcMar>
            <w:vAlign w:val="bottom"/>
          </w:tcPr>
          <w:p w14:paraId="3973F8C5"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3973F8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shd w:val="clear" w:color="auto" w:fill="FFFFFF"/>
            <w:noWrap/>
            <w:tcMar>
              <w:top w:w="15" w:type="dxa"/>
              <w:right w:w="15" w:type="dxa"/>
            </w:tcMar>
            <w:vAlign w:val="bottom"/>
          </w:tcPr>
          <w:p w14:paraId="3973F8C7"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FFFFFF"/>
            <w:noWrap/>
            <w:tcMar>
              <w:top w:w="15" w:type="dxa"/>
              <w:right w:w="15" w:type="dxa"/>
            </w:tcMar>
            <w:vAlign w:val="bottom"/>
          </w:tcPr>
          <w:p w14:paraId="3973F8C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C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8C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shd w:val="clear" w:color="auto" w:fill="FFFFFF"/>
            <w:noWrap/>
            <w:tcMar>
              <w:top w:w="15" w:type="dxa"/>
              <w:right w:w="15" w:type="dxa"/>
            </w:tcMar>
            <w:vAlign w:val="bottom"/>
          </w:tcPr>
          <w:p w14:paraId="3973F8CB"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4.55</w:t>
            </w:r>
          </w:p>
        </w:tc>
        <w:tc>
          <w:tcPr>
            <w:tcW w:w="50" w:type="pct"/>
            <w:shd w:val="clear" w:color="auto" w:fill="FFFFFF"/>
            <w:noWrap/>
            <w:tcMar>
              <w:top w:w="15" w:type="dxa"/>
              <w:right w:w="15" w:type="dxa"/>
            </w:tcMar>
            <w:vAlign w:val="bottom"/>
          </w:tcPr>
          <w:p w14:paraId="3973F8C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3973F8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3973F8C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2" w:type="pct"/>
            <w:shd w:val="clear" w:color="auto" w:fill="FFFFFF"/>
            <w:noWrap/>
            <w:tcMar>
              <w:top w:w="15" w:type="dxa"/>
              <w:right w:w="15" w:type="dxa"/>
            </w:tcMar>
            <w:vAlign w:val="bottom"/>
          </w:tcPr>
          <w:p w14:paraId="3973F8CF"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w:t>
            </w:r>
          </w:p>
        </w:tc>
        <w:tc>
          <w:tcPr>
            <w:tcW w:w="50" w:type="pct"/>
            <w:shd w:val="clear" w:color="auto" w:fill="FFFFFF"/>
            <w:noWrap/>
            <w:tcMar>
              <w:top w:w="15" w:type="dxa"/>
              <w:right w:w="15" w:type="dxa"/>
            </w:tcMar>
            <w:vAlign w:val="bottom"/>
          </w:tcPr>
          <w:p w14:paraId="3973F8D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7B027D" w14:paraId="3973F8DF" w14:textId="77777777">
        <w:tc>
          <w:tcPr>
            <w:tcW w:w="3545" w:type="pct"/>
            <w:shd w:val="clear" w:color="auto" w:fill="CFF0FC"/>
            <w:tcMar>
              <w:top w:w="15" w:type="dxa"/>
              <w:right w:w="15" w:type="dxa"/>
            </w:tcMar>
          </w:tcPr>
          <w:p w14:paraId="3973F8D2" w14:textId="77777777" w:rsidR="007B027D" w:rsidRDefault="008E0125">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 xml:space="preserve">Shares subject to </w:t>
            </w:r>
            <w:r>
              <w:rPr>
                <w:rFonts w:ascii="Calibri" w:hAnsi="Calibri" w:cs="Calibri"/>
                <w:color w:val="000000"/>
                <w:sz w:val="20"/>
                <w:szCs w:val="20"/>
              </w:rPr>
              <w:t>anti-dilutive restricted stock-based awards and stock options excluded from calculation</w:t>
            </w:r>
            <w:r>
              <w:rPr>
                <w:rFonts w:ascii="Calibri" w:hAnsi="Calibri" w:cs="Calibri"/>
                <w:color w:val="000000"/>
                <w:sz w:val="17"/>
                <w:szCs w:val="17"/>
              </w:rPr>
              <w:t>(1)</w:t>
            </w:r>
          </w:p>
        </w:tc>
        <w:tc>
          <w:tcPr>
            <w:tcW w:w="60" w:type="pct"/>
            <w:shd w:val="clear" w:color="auto" w:fill="CFF0FC"/>
            <w:tcMar>
              <w:top w:w="15" w:type="dxa"/>
              <w:right w:w="15" w:type="dxa"/>
            </w:tcMar>
            <w:vAlign w:val="bottom"/>
          </w:tcPr>
          <w:p w14:paraId="3973F8D3" w14:textId="77777777" w:rsidR="007B027D" w:rsidRDefault="008E012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3973F8D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shd w:val="clear" w:color="auto" w:fill="CFF0FC"/>
            <w:noWrap/>
            <w:tcMar>
              <w:top w:w="15" w:type="dxa"/>
              <w:right w:w="15" w:type="dxa"/>
            </w:tcMar>
            <w:vAlign w:val="bottom"/>
          </w:tcPr>
          <w:p w14:paraId="3973F8D5"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CFF0FC"/>
            <w:noWrap/>
            <w:tcMar>
              <w:top w:w="15" w:type="dxa"/>
              <w:right w:w="15" w:type="dxa"/>
            </w:tcMar>
            <w:vAlign w:val="bottom"/>
          </w:tcPr>
          <w:p w14:paraId="3973F8D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D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8D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shd w:val="clear" w:color="auto" w:fill="CFF0FC"/>
            <w:noWrap/>
            <w:tcMar>
              <w:top w:w="15" w:type="dxa"/>
              <w:right w:w="15" w:type="dxa"/>
            </w:tcMar>
            <w:vAlign w:val="bottom"/>
          </w:tcPr>
          <w:p w14:paraId="3973F8D9"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3973F8D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3973F8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3973F8D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2" w:type="pct"/>
            <w:shd w:val="clear" w:color="auto" w:fill="CFF0FC"/>
            <w:noWrap/>
            <w:tcMar>
              <w:top w:w="15" w:type="dxa"/>
              <w:right w:w="15" w:type="dxa"/>
            </w:tcMar>
            <w:vAlign w:val="bottom"/>
          </w:tcPr>
          <w:p w14:paraId="3973F8DD" w14:textId="77777777" w:rsidR="007B027D" w:rsidRDefault="008E012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right w:w="15" w:type="dxa"/>
            </w:tcMar>
            <w:vAlign w:val="bottom"/>
          </w:tcPr>
          <w:p w14:paraId="3973F8DE" w14:textId="77777777" w:rsidR="007B027D" w:rsidRDefault="008E012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3973F8E0" w14:textId="77777777" w:rsidR="007B027D" w:rsidRDefault="008E012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8E3" w14:textId="77777777">
        <w:tc>
          <w:tcPr>
            <w:tcW w:w="192" w:type="pct"/>
            <w:shd w:val="clear" w:color="auto" w:fill="auto"/>
            <w:noWrap/>
          </w:tcPr>
          <w:p w14:paraId="3973F8E1" w14:textId="77777777" w:rsidR="007B027D" w:rsidRDefault="008E012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3973F8E2" w14:textId="77777777" w:rsidR="007B027D" w:rsidRDefault="008E0125">
            <w:pPr>
              <w:pStyle w:val="a3"/>
              <w:spacing w:before="40" w:beforeAutospacing="0" w:afterAutospacing="0"/>
              <w:jc w:val="both"/>
              <w:rPr>
                <w:rFonts w:ascii="Calibri" w:hAnsi="Calibri" w:cs="Calibri"/>
                <w:sz w:val="20"/>
                <w:szCs w:val="20"/>
              </w:rPr>
            </w:pPr>
            <w:r>
              <w:rPr>
                <w:rFonts w:ascii="Calibri" w:hAnsi="Calibri" w:cs="Calibri"/>
                <w:sz w:val="15"/>
                <w:szCs w:val="15"/>
              </w:rPr>
              <w:t xml:space="preserve">Substantially all of these weighted shares related to contingently issuable shares pursuant to PSO arrangements that could be </w:t>
            </w:r>
            <w:r>
              <w:rPr>
                <w:rFonts w:ascii="Calibri" w:hAnsi="Calibri" w:cs="Calibri"/>
                <w:sz w:val="15"/>
                <w:szCs w:val="15"/>
              </w:rPr>
              <w:t>dilutive in the future. See Note 12 for information regarding the exercise prices of our outstanding, unexercised stock options.</w:t>
            </w:r>
          </w:p>
        </w:tc>
      </w:tr>
    </w:tbl>
    <w:p w14:paraId="3973F8E4" w14:textId="77777777" w:rsidR="007B027D" w:rsidRDefault="008E0125">
      <w:pPr>
        <w:pStyle w:val="a3"/>
        <w:spacing w:before="40" w:beforeAutospacing="0" w:afterAutospacing="0"/>
        <w:ind w:hanging="471"/>
        <w:jc w:val="both"/>
        <w:rPr>
          <w:rFonts w:ascii="Times New Roman" w:hAnsi="Times New Roman"/>
          <w:sz w:val="15"/>
          <w:szCs w:val="15"/>
        </w:rPr>
      </w:pPr>
      <w:r>
        <w:rPr>
          <w:rFonts w:ascii="Times New Roman" w:hAnsi="Times New Roman"/>
          <w:sz w:val="15"/>
          <w:szCs w:val="15"/>
        </w:rPr>
        <w:t> </w:t>
      </w:r>
    </w:p>
    <w:p w14:paraId="3973F8E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105</w:t>
      </w:r>
    </w:p>
    <w:p w14:paraId="3973F8E6" w14:textId="77777777" w:rsidR="007B027D" w:rsidRDefault="008E0125">
      <w:r>
        <w:rPr>
          <w:rFonts w:ascii="Calibri" w:hAnsi="Calibri" w:cs="Calibri"/>
          <w:sz w:val="20"/>
          <w:szCs w:val="20"/>
        </w:rPr>
        <w:pict w14:anchorId="397400A4">
          <v:rect id="_x0000_i1131" style="width:415.3pt;height:1.5pt" o:hralign="center" o:hrstd="t" o:hr="t" fillcolor="#a0a0a0" stroked="f"/>
        </w:pict>
      </w:r>
    </w:p>
    <w:p w14:paraId="3973F8E7" w14:textId="77777777" w:rsidR="007B027D" w:rsidRDefault="008E0125">
      <w:pPr>
        <w:pStyle w:val="a3"/>
        <w:spacing w:beforeAutospacing="0" w:after="120" w:afterAutospacing="0"/>
        <w:rPr>
          <w:rFonts w:ascii="Calibri" w:hAnsi="Calibri" w:cs="Calibri"/>
          <w:sz w:val="18"/>
          <w:szCs w:val="18"/>
        </w:rPr>
      </w:pPr>
      <w:hyperlink r:id="rId246" w:anchor="TABLE_OF_CONTENTS" w:history="1">
        <w:r>
          <w:rPr>
            <w:rStyle w:val="a5"/>
            <w:rFonts w:ascii="Calibri" w:hAnsi="Calibri" w:cs="Calibri"/>
            <w:sz w:val="18"/>
            <w:szCs w:val="18"/>
          </w:rPr>
          <w:t>Table of Contents</w:t>
        </w:r>
      </w:hyperlink>
    </w:p>
    <w:p w14:paraId="3973F8E8" w14:textId="77777777" w:rsidR="007B027D" w:rsidRDefault="008E0125">
      <w:pPr>
        <w:pStyle w:val="a3"/>
        <w:spacing w:beforeAutospacing="0" w:afterAutospacing="0"/>
        <w:rPr>
          <w:rFonts w:ascii="Calibri" w:hAnsi="Calibri" w:cs="Calibri"/>
          <w:sz w:val="18"/>
          <w:szCs w:val="18"/>
        </w:rPr>
      </w:pPr>
      <w:hyperlink r:id="rId247" w:anchor="ITEM_15_EXHIBITS_FINANCIAL_STATEMENT_SCH" w:history="1">
        <w:r>
          <w:rPr>
            <w:rStyle w:val="a5"/>
            <w:rFonts w:ascii="Calibri" w:hAnsi="Calibri" w:cs="Calibri"/>
            <w:sz w:val="18"/>
            <w:szCs w:val="18"/>
          </w:rPr>
          <w:t>Index to Financial Statements</w:t>
        </w:r>
      </w:hyperlink>
    </w:p>
    <w:p w14:paraId="3973F8E9"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8EA"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CONSOLIDATED FINANCIAL STATEMENTS—(Continued)</w:t>
      </w:r>
    </w:p>
    <w:p w14:paraId="3973F8EB"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8EC"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8ED"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F8F0" w14:textId="77777777">
        <w:tc>
          <w:tcPr>
            <w:tcW w:w="262" w:type="pct"/>
            <w:shd w:val="clear" w:color="auto" w:fill="auto"/>
            <w:noWrap/>
          </w:tcPr>
          <w:p w14:paraId="3973F8EE"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16.</w:t>
            </w:r>
          </w:p>
        </w:tc>
        <w:tc>
          <w:tcPr>
            <w:tcW w:w="0" w:type="auto"/>
            <w:shd w:val="clear" w:color="auto" w:fill="auto"/>
          </w:tcPr>
          <w:p w14:paraId="3973F8EF"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LEGAL PROCEEDINGS </w:t>
            </w:r>
          </w:p>
        </w:tc>
      </w:tr>
    </w:tbl>
    <w:p w14:paraId="3973F8F1"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Hewlett-Packard Company Litigation</w:t>
      </w:r>
    </w:p>
    <w:p w14:paraId="3973F8F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w:t>
      </w:r>
      <w:r>
        <w:rPr>
          <w:rFonts w:ascii="Calibri" w:hAnsi="Calibri" w:cs="Calibri"/>
          <w:sz w:val="20"/>
          <w:szCs w:val="20"/>
        </w:rPr>
        <w:t>Superior Court, County of Santa Clara against Oracle Corporation alleging numerous causes of action including breach of contract, breach of the covenant of good faith and fair dealing, defamation, intentional interference with prospective economic advantag</w:t>
      </w:r>
      <w:r>
        <w:rPr>
          <w:rFonts w:ascii="Calibri" w:hAnsi="Calibri" w:cs="Calibri"/>
          <w:sz w:val="20"/>
          <w:szCs w:val="20"/>
        </w:rPr>
        <w:t>e and violation of the California Unfair Business Practices Act. The complaint alleged that when Oracle announced on March 22 and 23, 2011 that it would no longer develop future versions of its software to run on HP’s Itanium-based servers, it breached a s</w:t>
      </w:r>
      <w:r>
        <w:rPr>
          <w:rFonts w:ascii="Calibri" w:hAnsi="Calibri" w:cs="Calibri"/>
          <w:sz w:val="20"/>
          <w:szCs w:val="20"/>
        </w:rPr>
        <w:t>ettlement agreement signed on September 20, 2010 (the HP Settlement Agreement), resolving litigation between HP and one of Oracle’s former CEOs who had previously acted as HP’s chief executive officer and chairman of HP’s board of directors. HP sought a ju</w:t>
      </w:r>
      <w:r>
        <w:rPr>
          <w:rFonts w:ascii="Calibri" w:hAnsi="Calibri" w:cs="Calibri"/>
          <w:sz w:val="20"/>
          <w:szCs w:val="20"/>
        </w:rPr>
        <w:t>dicial declaration of the parties’ rights and obligations under the HP Settlement Agreement and other equitable and monetary relief. Oracle answered the complaint and filed cross-claims.</w:t>
      </w:r>
    </w:p>
    <w:p w14:paraId="3973F8F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After a bench trial on the meaning of the HP Settlement Agreement, th</w:t>
      </w:r>
      <w:r>
        <w:rPr>
          <w:rFonts w:ascii="Calibri" w:hAnsi="Calibri" w:cs="Calibri"/>
          <w:sz w:val="20"/>
          <w:szCs w:val="20"/>
        </w:rPr>
        <w:t>e court found that the HP Settlement Agreement required Oracle to continue to develop certain of its software products for use on HP’s Itanium-based servers at no cost to HP. The case proceeded to a jury trial in May 2016. On June 30, 2016, the jury return</w:t>
      </w:r>
      <w:r>
        <w:rPr>
          <w:rFonts w:ascii="Calibri" w:hAnsi="Calibri" w:cs="Calibri"/>
          <w:sz w:val="20"/>
          <w:szCs w:val="20"/>
        </w:rPr>
        <w:t>ed a verdict in favor of HP on its claims for breach of contract and breach of the implied covenant of good faith and fair dealing and against Oracle on its cross-claims. The jury awarded HP $3.0 billion in damages. Under the court’s rulings, HP is entitle</w:t>
      </w:r>
      <w:r>
        <w:rPr>
          <w:rFonts w:ascii="Calibri" w:hAnsi="Calibri" w:cs="Calibri"/>
          <w:sz w:val="20"/>
          <w:szCs w:val="20"/>
        </w:rPr>
        <w:t>d to post-judgment interest, but not pre-judgment interest, on this award.</w:t>
      </w:r>
    </w:p>
    <w:p w14:paraId="3973F8F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w:t>
      </w:r>
      <w:r>
        <w:rPr>
          <w:rFonts w:ascii="Calibri" w:hAnsi="Calibri" w:cs="Calibri"/>
          <w:sz w:val="20"/>
          <w:szCs w:val="20"/>
        </w:rPr>
        <w:t>t’s denial of pre-judgment interest. Oral argument was held on May 27, 2021. On June 14, 2021, the Court of Appeal affirmed both the judgment against Oracle noted above, and the denial of pre-judgment interest. On June 29, 2021, Oracle filed a Petition for</w:t>
      </w:r>
      <w:r>
        <w:rPr>
          <w:rFonts w:ascii="Calibri" w:hAnsi="Calibri" w:cs="Calibri"/>
          <w:sz w:val="20"/>
          <w:szCs w:val="20"/>
        </w:rPr>
        <w:t xml:space="preserve"> Rehearing with the Court of Appeal, which was denied on July 8, 2021. On July 26, 2021, Oracle filed a Petition for Review with the California Supreme Court, which was denied on September 29, 2021.</w:t>
      </w:r>
    </w:p>
    <w:p w14:paraId="3973F8F5"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 Oracle remitted the entirety of the $</w:t>
      </w:r>
      <w:r>
        <w:rPr>
          <w:rFonts w:ascii="Calibri" w:hAnsi="Calibri" w:cs="Calibri"/>
          <w:sz w:val="20"/>
          <w:szCs w:val="20"/>
        </w:rPr>
        <w:t xml:space="preserve">3.0 billion judgment and related $1.7 billion of accrued post-judgment interest and awarded costs and recorded such amounts as acquisition related and other expenses as presented per our consolidated statements of operations. </w:t>
      </w:r>
    </w:p>
    <w:p w14:paraId="3973F8F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On January 27, 2022, Oracle f</w:t>
      </w:r>
      <w:r>
        <w:rPr>
          <w:rFonts w:ascii="Calibri" w:hAnsi="Calibri" w:cs="Calibri"/>
          <w:sz w:val="20"/>
          <w:szCs w:val="20"/>
        </w:rPr>
        <w:t>iled a Petition for a Writ of Certiorari with the U.S. Supreme Court, which was denied on May 16, 2022. This matter is now concluded.</w:t>
      </w:r>
    </w:p>
    <w:p w14:paraId="3973F8F7"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3973F8F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3 and July 18, 2017, two alleged stockholders filed </w:t>
      </w:r>
      <w:r>
        <w:rPr>
          <w:rFonts w:ascii="Calibri" w:hAnsi="Calibri" w:cs="Calibri"/>
          <w:sz w:val="20"/>
          <w:szCs w:val="20"/>
        </w:rPr>
        <w:t>separate derivative lawsuits in the Court of Chancery of the State of Delaware, purportedly on Oracle’s behalf. Thereafter, the court consolidated the two derivative cases and designated the July 18, 2017 complaint as the operative complaint. The consolida</w:t>
      </w:r>
      <w:r>
        <w:rPr>
          <w:rFonts w:ascii="Calibri" w:hAnsi="Calibri" w:cs="Calibri"/>
          <w:sz w:val="20"/>
          <w:szCs w:val="20"/>
        </w:rPr>
        <w:t>ted lawsuit was brought against all the then-current members and one former member of our Board of Directors, and Oracle as a nominal defendant. Plaintiff alleged that the defendants breached their fiduciary duties by causing Oracle to agree to purchase Ne</w:t>
      </w:r>
      <w:r>
        <w:rPr>
          <w:rFonts w:ascii="Calibri" w:hAnsi="Calibri" w:cs="Calibri"/>
          <w:sz w:val="20"/>
          <w:szCs w:val="20"/>
        </w:rPr>
        <w:t>tSuite Inc. (NetSuite) at an excessive price. The complaint sought (and the operative complaint continues to seek) declaratory relief, unspecified monetary damages (including interest), and attorneys’ fees and costs. The defendants filed a motion to dismis</w:t>
      </w:r>
      <w:r>
        <w:rPr>
          <w:rFonts w:ascii="Calibri" w:hAnsi="Calibri" w:cs="Calibri"/>
          <w:sz w:val="20"/>
          <w:szCs w:val="20"/>
        </w:rPr>
        <w:t>s, which the court denied on March 19, 2018.</w:t>
      </w:r>
    </w:p>
    <w:p w14:paraId="3973F8F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On May 4, 2018, our Board of Directors established a Special Litigation Committee (the SLC) to investigate the allegations in this derivative action. Three non-employee directors served on the SLC. On August 15,</w:t>
      </w:r>
      <w:r>
        <w:rPr>
          <w:rFonts w:ascii="Calibri" w:hAnsi="Calibri" w:cs="Calibri"/>
          <w:sz w:val="20"/>
          <w:szCs w:val="20"/>
        </w:rPr>
        <w:t xml:space="preserve"> 2019, the SLC filed a letter with the court, stating that the SLC believed that plaintiff should be allowed to proceed with the derivative litigation on behalf of Oracle. After the SLC advised the Board that it had fulfilled its duties and obligations, th</w:t>
      </w:r>
      <w:r>
        <w:rPr>
          <w:rFonts w:ascii="Calibri" w:hAnsi="Calibri" w:cs="Calibri"/>
          <w:sz w:val="20"/>
          <w:szCs w:val="20"/>
        </w:rPr>
        <w:t>e Board withdrew the SLC’s authority, except that the SLC maintained certain authority to respond to discovery requests in the litigation.</w:t>
      </w:r>
    </w:p>
    <w:p w14:paraId="3973F8FA"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106</w:t>
      </w:r>
    </w:p>
    <w:p w14:paraId="3973F8FB" w14:textId="77777777" w:rsidR="007B027D" w:rsidRDefault="008E0125">
      <w:r>
        <w:rPr>
          <w:rFonts w:ascii="Calibri" w:hAnsi="Calibri" w:cs="Calibri"/>
          <w:sz w:val="20"/>
          <w:szCs w:val="20"/>
        </w:rPr>
        <w:pict w14:anchorId="397400A5">
          <v:rect id="_x0000_i1132" style="width:415.3pt;height:1.5pt" o:hralign="center" o:hrstd="t" o:hr="t" fillcolor="#a0a0a0" stroked="f"/>
        </w:pict>
      </w:r>
    </w:p>
    <w:p w14:paraId="3973F8FC" w14:textId="77777777" w:rsidR="007B027D" w:rsidRDefault="008E0125">
      <w:pPr>
        <w:pStyle w:val="a3"/>
        <w:spacing w:beforeAutospacing="0" w:after="120" w:afterAutospacing="0"/>
        <w:rPr>
          <w:rFonts w:ascii="Calibri" w:hAnsi="Calibri" w:cs="Calibri"/>
          <w:sz w:val="18"/>
          <w:szCs w:val="18"/>
        </w:rPr>
      </w:pPr>
      <w:hyperlink r:id="rId248" w:anchor="TABLE_OF_CONTENTS" w:history="1">
        <w:r>
          <w:rPr>
            <w:rStyle w:val="a5"/>
            <w:rFonts w:ascii="Calibri" w:hAnsi="Calibri" w:cs="Calibri"/>
            <w:sz w:val="18"/>
            <w:szCs w:val="18"/>
          </w:rPr>
          <w:t>Table of Contents</w:t>
        </w:r>
      </w:hyperlink>
    </w:p>
    <w:p w14:paraId="3973F8FD" w14:textId="77777777" w:rsidR="007B027D" w:rsidRDefault="008E0125">
      <w:pPr>
        <w:pStyle w:val="a3"/>
        <w:spacing w:beforeAutospacing="0" w:afterAutospacing="0"/>
        <w:rPr>
          <w:rFonts w:ascii="Calibri" w:hAnsi="Calibri" w:cs="Calibri"/>
          <w:sz w:val="18"/>
          <w:szCs w:val="18"/>
        </w:rPr>
      </w:pPr>
      <w:hyperlink r:id="rId249" w:anchor="ITEM_15_EXHIBITS_FINANCIAL_STATEMENT_SCH" w:history="1">
        <w:r>
          <w:rPr>
            <w:rStyle w:val="a5"/>
            <w:rFonts w:ascii="Calibri" w:hAnsi="Calibri" w:cs="Calibri"/>
            <w:sz w:val="18"/>
            <w:szCs w:val="18"/>
          </w:rPr>
          <w:t>Index to Financial Statements</w:t>
        </w:r>
      </w:hyperlink>
    </w:p>
    <w:p w14:paraId="3973F8FE"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ORACLE </w:t>
      </w:r>
      <w:r>
        <w:rPr>
          <w:rFonts w:ascii="Calibri" w:hAnsi="Calibri" w:cs="Calibri"/>
          <w:b/>
          <w:bCs/>
          <w:color w:val="000000"/>
          <w:sz w:val="20"/>
          <w:szCs w:val="20"/>
          <w:shd w:val="clear" w:color="auto" w:fill="FFFFFF"/>
        </w:rPr>
        <w:t>CORPORATION</w:t>
      </w:r>
    </w:p>
    <w:p w14:paraId="3973F8FF"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900"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901"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90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additional plaintiff joined the case. Plaintiffs filed several amended complaints, and filed their most recent amended c</w:t>
      </w:r>
      <w:r>
        <w:rPr>
          <w:rFonts w:ascii="Calibri" w:hAnsi="Calibri" w:cs="Calibri"/>
          <w:sz w:val="20"/>
          <w:szCs w:val="20"/>
        </w:rPr>
        <w:t>omplaint on December 11, 2020. The operative complaint asserts claims for breach of fiduciary duty against our Chief Executive Officer, our Chief Technology Officer, the estate of Mark Hurd (our former Chief Executive Officer who passed away on October 18,</w:t>
      </w:r>
      <w:r>
        <w:rPr>
          <w:rFonts w:ascii="Calibri" w:hAnsi="Calibri" w:cs="Calibri"/>
          <w:sz w:val="20"/>
          <w:szCs w:val="20"/>
        </w:rPr>
        <w:t xml:space="preserve"> 2019), and two other members of our Board of Directors. Oracle is named as a nominal defendant. On December 11, 2020, the estate of Mark Hurd and the two other members of our Board of Directors moved to dismiss this complaint, and a hearing on this motion</w:t>
      </w:r>
      <w:r>
        <w:rPr>
          <w:rFonts w:ascii="Calibri" w:hAnsi="Calibri" w:cs="Calibri"/>
          <w:sz w:val="20"/>
          <w:szCs w:val="20"/>
        </w:rPr>
        <w:t xml:space="preserve"> was held on February 16, 2021. On June 21, 2021, the court granted this motion as to the estate of Mark Hurd and one Board member and denied the motion as to the other Board member, who filed an answer to the complaint on August 9, 2021. On December 28, 2</w:t>
      </w:r>
      <w:r>
        <w:rPr>
          <w:rFonts w:ascii="Calibri" w:hAnsi="Calibri" w:cs="Calibri"/>
          <w:sz w:val="20"/>
          <w:szCs w:val="20"/>
        </w:rPr>
        <w:t>020, our Chief Executive Officer, our Chief Technology Officer, and Oracle as a nominal defendant filed answers to the operative complaint.</w:t>
      </w:r>
    </w:p>
    <w:p w14:paraId="3973F903"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Expert discovery has concluded. On December 23, 2021, the Board member defendant brought a motion for summary judgme</w:t>
      </w:r>
      <w:r>
        <w:rPr>
          <w:rFonts w:ascii="Calibri" w:hAnsi="Calibri" w:cs="Calibri"/>
          <w:sz w:val="20"/>
          <w:szCs w:val="20"/>
        </w:rPr>
        <w:t>nt, and on May 20, 2022, the court granted this motion in part and denied this motion in part.  This Board member remains a defendant in this case. Trial is scheduled to commence on July 18, 2022.</w:t>
      </w:r>
    </w:p>
    <w:p w14:paraId="3973F90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w:t>
      </w:r>
      <w:r>
        <w:rPr>
          <w:rFonts w:ascii="Calibri" w:hAnsi="Calibri" w:cs="Calibri"/>
          <w:sz w:val="20"/>
          <w:szCs w:val="20"/>
        </w:rPr>
        <w:t>believe this litigation will have a material impact on our financial position or results of operations.</w:t>
      </w:r>
    </w:p>
    <w:p w14:paraId="3973F90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3973F906"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August 10, 2018, a putative class action, brought by an alleged </w:t>
      </w:r>
      <w:r>
        <w:rPr>
          <w:rFonts w:ascii="Calibri" w:hAnsi="Calibri" w:cs="Calibri"/>
          <w:sz w:val="20"/>
          <w:szCs w:val="20"/>
        </w:rPr>
        <w:t>stockholder of Oracle, was filed in the U.S. District Court for the Northern District of California against us, our Chief Technology Officer, our then-two Chief Executive Officers, two other Oracle executives, and one former Oracle executive. As noted abov</w:t>
      </w:r>
      <w:r>
        <w:rPr>
          <w:rFonts w:ascii="Calibri" w:hAnsi="Calibri" w:cs="Calibri"/>
          <w:sz w:val="20"/>
          <w:szCs w:val="20"/>
        </w:rPr>
        <w:t xml:space="preserve">e, Mr. Hurd, one of our then-two Chief Executive Officers, passed away on October 18, 2019. On March 8, 2019, plaintiff filed an amended complaint. Plaintiff alleges that the defendants made or are responsible for false and misleading statements regarding </w:t>
      </w:r>
      <w:r>
        <w:rPr>
          <w:rFonts w:ascii="Calibri" w:hAnsi="Calibri" w:cs="Calibri"/>
          <w:sz w:val="20"/>
          <w:szCs w:val="20"/>
        </w:rPr>
        <w:t>Oracle’s cloud business. Plaintiff further alleges that the former Oracle executive engaged in insider trading. Plaintiff seeks a ruling that this case may proceed as a class action, and seeks damages, attorneys’ fees and costs, and unspecified declaratory</w:t>
      </w:r>
      <w:r>
        <w:rPr>
          <w:rFonts w:ascii="Calibri" w:hAnsi="Calibri" w:cs="Calibri"/>
          <w:sz w:val="20"/>
          <w:szCs w:val="20"/>
        </w:rPr>
        <w:t>/injunctive relief. On April 19, 2019, defendants moved to dismiss plaintiff’s amended complaint. On December 17, 2019, the court granted this motion, giving plaintiffs an opportunity to file an amended complaint, which plaintiff filed on February 17, 2020</w:t>
      </w:r>
      <w:r>
        <w:rPr>
          <w:rFonts w:ascii="Calibri" w:hAnsi="Calibri" w:cs="Calibri"/>
          <w:sz w:val="20"/>
          <w:szCs w:val="20"/>
        </w:rPr>
        <w:t>. On April 23, 2020, defendants filed a motion to dismiss, and the court held a hearing on this motion on September 24, 2020. On March 22, 2021, the court granted in part and denied in part this motion. The court dismissed the action as to one Oracle execu</w:t>
      </w:r>
      <w:r>
        <w:rPr>
          <w:rFonts w:ascii="Calibri" w:hAnsi="Calibri" w:cs="Calibri"/>
          <w:sz w:val="20"/>
          <w:szCs w:val="20"/>
        </w:rPr>
        <w:t>tive and the former Oracle executive. The court permitted plaintiff to proceed with only a narrow omissions theory against the remaining defendants. On April 21, 2021, defendants filed an answer to the complaint. On October 8, 2021, plaintiffs filed a moti</w:t>
      </w:r>
      <w:r>
        <w:rPr>
          <w:rFonts w:ascii="Calibri" w:hAnsi="Calibri" w:cs="Calibri"/>
          <w:sz w:val="20"/>
          <w:szCs w:val="20"/>
        </w:rPr>
        <w:t>on for class certification, which the court granted on May 9, 2022. On May 23, 2022, defendants filed a petition in the Ninth Circuit Court of Appeals for permission to appeal the court’s order granting class certification, and plaintiffs filed an oppositi</w:t>
      </w:r>
      <w:r>
        <w:rPr>
          <w:rFonts w:ascii="Calibri" w:hAnsi="Calibri" w:cs="Calibri"/>
          <w:sz w:val="20"/>
          <w:szCs w:val="20"/>
        </w:rPr>
        <w:t>on on June 2, 2022. On June 3, 2022, the court “So Ordered” a stipulation by the parties, which vacated all dates in this case because the parties had reached an agreement to settle this action, subject to the court’s approval. On June 8, 2022, the Ninth C</w:t>
      </w:r>
      <w:r>
        <w:rPr>
          <w:rFonts w:ascii="Calibri" w:hAnsi="Calibri" w:cs="Calibri"/>
          <w:sz w:val="20"/>
          <w:szCs w:val="20"/>
        </w:rPr>
        <w:t>ircuit Court of Appeals granted defendants’ unopposed motion to stay the petition for permission to appeal in light of the proposed settlement.</w:t>
      </w:r>
    </w:p>
    <w:p w14:paraId="3973F907"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and May 8, 2019, two stockholder derivative lawsuits were filed in the United States District Cou</w:t>
      </w:r>
      <w:r>
        <w:rPr>
          <w:rFonts w:ascii="Calibri" w:hAnsi="Calibri" w:cs="Calibri"/>
          <w:sz w:val="20"/>
          <w:szCs w:val="20"/>
        </w:rPr>
        <w:t>rt for the Northern District of California. The cases were consolidated, and on July 8, 2019, a single plaintiff filed a consolidated complaint. The consolidated complaint brought various claims relating to the 10b-5 class action described immediately abov</w:t>
      </w:r>
      <w:r>
        <w:rPr>
          <w:rFonts w:ascii="Calibri" w:hAnsi="Calibri" w:cs="Calibri"/>
          <w:sz w:val="20"/>
          <w:szCs w:val="20"/>
        </w:rPr>
        <w:t>e. The parties agreed to stay the derivative case pending resolution of defendants’ motion to dismiss the securities case, which the court granted in part and denied in part on March 22, 2021.</w:t>
      </w:r>
    </w:p>
    <w:p w14:paraId="3973F908"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Plaintiff filed an amended complaint on June 4, 2021. The deriv</w:t>
      </w:r>
      <w:r>
        <w:rPr>
          <w:rFonts w:ascii="Calibri" w:hAnsi="Calibri" w:cs="Calibri"/>
          <w:sz w:val="20"/>
          <w:szCs w:val="20"/>
        </w:rPr>
        <w:t>ative suit is brought by an alleged stockholder of Oracle, purportedly on Oracle’s behalf, against our Chief Technology Officer, our Chief Executive Officer, and the estate of Mark Hurd. Plaintiff claims that the alleged actions described in the class acti</w:t>
      </w:r>
      <w:r>
        <w:rPr>
          <w:rFonts w:ascii="Calibri" w:hAnsi="Calibri" w:cs="Calibri"/>
          <w:sz w:val="20"/>
          <w:szCs w:val="20"/>
        </w:rPr>
        <w:t xml:space="preserve">on discussed above caused harm to Oracle, and that defendants violated their fiduciary duties of candor, good faith, loyalty, and due care by </w:t>
      </w:r>
    </w:p>
    <w:p w14:paraId="3973F909"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107</w:t>
      </w:r>
    </w:p>
    <w:p w14:paraId="3973F90A" w14:textId="77777777" w:rsidR="007B027D" w:rsidRDefault="008E0125">
      <w:r>
        <w:rPr>
          <w:rFonts w:ascii="Calibri" w:hAnsi="Calibri" w:cs="Calibri"/>
          <w:sz w:val="20"/>
          <w:szCs w:val="20"/>
        </w:rPr>
        <w:pict w14:anchorId="397400A6">
          <v:rect id="_x0000_i1133" style="width:415.3pt;height:1.5pt" o:hralign="center" o:hrstd="t" o:hr="t" fillcolor="#a0a0a0" stroked="f"/>
        </w:pict>
      </w:r>
    </w:p>
    <w:p w14:paraId="3973F90B" w14:textId="77777777" w:rsidR="007B027D" w:rsidRDefault="008E0125">
      <w:pPr>
        <w:pStyle w:val="a3"/>
        <w:spacing w:beforeAutospacing="0" w:after="120" w:afterAutospacing="0"/>
        <w:rPr>
          <w:rFonts w:ascii="Calibri" w:hAnsi="Calibri" w:cs="Calibri"/>
          <w:sz w:val="18"/>
          <w:szCs w:val="18"/>
        </w:rPr>
      </w:pPr>
      <w:hyperlink r:id="rId250" w:anchor="TABLE_OF_CONTENTS" w:history="1">
        <w:r>
          <w:rPr>
            <w:rStyle w:val="a5"/>
            <w:rFonts w:ascii="Calibri" w:hAnsi="Calibri" w:cs="Calibri"/>
            <w:sz w:val="18"/>
            <w:szCs w:val="18"/>
          </w:rPr>
          <w:t>Table of Contents</w:t>
        </w:r>
      </w:hyperlink>
    </w:p>
    <w:p w14:paraId="3973F90C" w14:textId="77777777" w:rsidR="007B027D" w:rsidRDefault="008E0125">
      <w:pPr>
        <w:pStyle w:val="a3"/>
        <w:spacing w:beforeAutospacing="0" w:afterAutospacing="0"/>
        <w:rPr>
          <w:rFonts w:ascii="Calibri" w:hAnsi="Calibri" w:cs="Calibri"/>
          <w:sz w:val="18"/>
          <w:szCs w:val="18"/>
        </w:rPr>
      </w:pPr>
      <w:hyperlink r:id="rId251" w:anchor="ITEM_15_EXHIBITS_FINANCIAL_STATEMENT_SCH" w:history="1">
        <w:r>
          <w:rPr>
            <w:rStyle w:val="a5"/>
            <w:rFonts w:ascii="Calibri" w:hAnsi="Calibri" w:cs="Calibri"/>
            <w:sz w:val="18"/>
            <w:szCs w:val="18"/>
          </w:rPr>
          <w:t>Index to Financial Statements</w:t>
        </w:r>
      </w:hyperlink>
    </w:p>
    <w:p w14:paraId="3973F90D"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3973F90E" w14:textId="77777777" w:rsidR="007B027D" w:rsidRDefault="008E012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3973F90F" w14:textId="77777777" w:rsidR="007B027D" w:rsidRDefault="008E012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2022</w:t>
      </w:r>
    </w:p>
    <w:p w14:paraId="3973F910"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911"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failing to prevent this alleged harm. Plaintiff also brings derivative </w:t>
      </w:r>
      <w:r>
        <w:rPr>
          <w:rFonts w:ascii="Calibri" w:hAnsi="Calibri" w:cs="Calibri"/>
          <w:sz w:val="20"/>
          <w:szCs w:val="20"/>
        </w:rPr>
        <w:t>claims for violations of federal securities laws. Plaintiffs seek a ruling that this case may proceed as a derivative action, a finding that defendants are liable for breaching their fiduciary duties, damages, an order directing defendants to enact corpora</w:t>
      </w:r>
      <w:r>
        <w:rPr>
          <w:rFonts w:ascii="Calibri" w:hAnsi="Calibri" w:cs="Calibri"/>
          <w:sz w:val="20"/>
          <w:szCs w:val="20"/>
        </w:rPr>
        <w:t>te reforms, attorneys’ fees and costs, and unspecified relief. On June 14, 2021, the court “so ordered” a stipulation from the parties, staying this case pending resolution of the 10b-5 action.</w:t>
      </w:r>
    </w:p>
    <w:p w14:paraId="3973F912"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w:t>
      </w:r>
      <w:r>
        <w:rPr>
          <w:rFonts w:ascii="Calibri" w:hAnsi="Calibri" w:cs="Calibri"/>
          <w:sz w:val="20"/>
          <w:szCs w:val="20"/>
        </w:rPr>
        <w:t>ieve these matters will have a material impact on our financial position or results of operations.</w:t>
      </w:r>
    </w:p>
    <w:p w14:paraId="3973F913"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3973F914"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course of </w:t>
      </w:r>
      <w:r>
        <w:rPr>
          <w:rFonts w:ascii="Calibri" w:hAnsi="Calibri" w:cs="Calibri"/>
          <w:sz w:val="20"/>
          <w:szCs w:val="20"/>
        </w:rPr>
        <w:t>business, including proceedings and claims that relate to acquisitions we have completed or to companies we have acquired or are attempting to acquire. While the outcome of these matters cannot be predicted with certainty, we do not believe that the outcom</w:t>
      </w:r>
      <w:r>
        <w:rPr>
          <w:rFonts w:ascii="Calibri" w:hAnsi="Calibri" w:cs="Calibri"/>
          <w:sz w:val="20"/>
          <w:szCs w:val="20"/>
        </w:rPr>
        <w:t>e of any of these matters, individually or in the aggregate, will result in losses that are materially in excess of amounts already recognized, if any.</w:t>
      </w:r>
    </w:p>
    <w:tbl>
      <w:tblPr>
        <w:tblW w:w="5000" w:type="pct"/>
        <w:tblCellMar>
          <w:left w:w="0" w:type="dxa"/>
          <w:right w:w="0" w:type="dxa"/>
        </w:tblCellMar>
        <w:tblLook w:val="04A0" w:firstRow="1" w:lastRow="0" w:firstColumn="1" w:lastColumn="0" w:noHBand="0" w:noVBand="1"/>
      </w:tblPr>
      <w:tblGrid>
        <w:gridCol w:w="435"/>
        <w:gridCol w:w="7871"/>
      </w:tblGrid>
      <w:tr w:rsidR="007B027D" w14:paraId="3973F917" w14:textId="77777777">
        <w:tc>
          <w:tcPr>
            <w:tcW w:w="262" w:type="pct"/>
            <w:shd w:val="clear" w:color="auto" w:fill="auto"/>
            <w:noWrap/>
          </w:tcPr>
          <w:p w14:paraId="3973F915"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17.</w:t>
            </w:r>
          </w:p>
        </w:tc>
        <w:tc>
          <w:tcPr>
            <w:tcW w:w="0" w:type="auto"/>
            <w:shd w:val="clear" w:color="auto" w:fill="auto"/>
          </w:tcPr>
          <w:p w14:paraId="3973F916" w14:textId="77777777" w:rsidR="007B027D" w:rsidRDefault="008E012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SUBSEQUENT EVENTS </w:t>
            </w:r>
          </w:p>
        </w:tc>
      </w:tr>
    </w:tbl>
    <w:p w14:paraId="3973F918" w14:textId="77777777" w:rsidR="007B027D" w:rsidRDefault="008E012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 of Cerner Corporation and Related Borrowings</w:t>
      </w:r>
    </w:p>
    <w:p w14:paraId="3973F919"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On June 8, 2022, pursua</w:t>
      </w:r>
      <w:r>
        <w:rPr>
          <w:rFonts w:ascii="Calibri" w:hAnsi="Calibri" w:cs="Calibri"/>
          <w:sz w:val="20"/>
          <w:szCs w:val="20"/>
        </w:rPr>
        <w:t>nt to the terms of the tender offer and applicable Delaware law, we acquired all of the outstanding shares of Cerner’s common stock and effectuated the merger of Cerner with and into a wholly-owned subsidiary of Oracle, and Cerner became an indirect, wholl</w:t>
      </w:r>
      <w:r>
        <w:rPr>
          <w:rFonts w:ascii="Calibri" w:hAnsi="Calibri" w:cs="Calibri"/>
          <w:sz w:val="20"/>
          <w:szCs w:val="20"/>
        </w:rPr>
        <w:t>y-owned subsidiary of Oracle. The initial purchase accounting for this transaction has not yet been completed given the short period of time between the acquisition date and issuance of these consolidated financial statements and the financial results of C</w:t>
      </w:r>
      <w:r>
        <w:rPr>
          <w:rFonts w:ascii="Calibri" w:hAnsi="Calibri" w:cs="Calibri"/>
          <w:sz w:val="20"/>
          <w:szCs w:val="20"/>
        </w:rPr>
        <w:t>erner will be included in our consolidated financial statements from the date of the acquisition. Refer to Note 2 above for more information about our acquisition of Cerner.</w:t>
      </w:r>
    </w:p>
    <w:p w14:paraId="3973F91A" w14:textId="77777777" w:rsidR="007B027D" w:rsidRDefault="008E0125">
      <w:pPr>
        <w:pStyle w:val="a3"/>
        <w:spacing w:before="120" w:beforeAutospacing="0" w:afterAutospacing="0"/>
        <w:jc w:val="both"/>
        <w:rPr>
          <w:rFonts w:ascii="Calibri" w:hAnsi="Calibri" w:cs="Calibri"/>
          <w:sz w:val="20"/>
          <w:szCs w:val="20"/>
        </w:rPr>
      </w:pPr>
      <w:r>
        <w:rPr>
          <w:rFonts w:ascii="Calibri" w:hAnsi="Calibri" w:cs="Calibri"/>
          <w:sz w:val="20"/>
          <w:szCs w:val="20"/>
        </w:rPr>
        <w:t>In connection with the acquisition of Cerner:</w:t>
      </w: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F91E" w14:textId="77777777">
        <w:tc>
          <w:tcPr>
            <w:tcW w:w="262" w:type="pct"/>
            <w:shd w:val="clear" w:color="auto" w:fill="auto"/>
            <w:noWrap/>
          </w:tcPr>
          <w:p w14:paraId="3973F91B"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F91C"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F91D"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we borrowed $15.7 billion on Jun</w:t>
            </w:r>
            <w:r>
              <w:rPr>
                <w:rFonts w:ascii="Calibri" w:hAnsi="Calibri" w:cs="Calibri"/>
                <w:color w:val="000000"/>
                <w:sz w:val="20"/>
                <w:szCs w:val="20"/>
              </w:rPr>
              <w:t>e 8, 2022 pursuant to the Bridge Credit Agreement. The amount is due and payable in full on March 7, 2023 unless settled earlier pursuant to the terms of the Bridge Credit Agreement. Additional information with respect to the Bridge Credit Agreement is inc</w:t>
            </w:r>
            <w:r>
              <w:rPr>
                <w:rFonts w:ascii="Calibri" w:hAnsi="Calibri" w:cs="Calibri"/>
                <w:color w:val="000000"/>
                <w:sz w:val="20"/>
                <w:szCs w:val="20"/>
              </w:rPr>
              <w:t>luded in Note 7 above; and</w:t>
            </w:r>
          </w:p>
        </w:tc>
      </w:tr>
    </w:tbl>
    <w:p w14:paraId="3973F91F"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B027D" w14:paraId="3973F923" w14:textId="77777777">
        <w:tc>
          <w:tcPr>
            <w:tcW w:w="262" w:type="pct"/>
            <w:shd w:val="clear" w:color="auto" w:fill="auto"/>
            <w:noWrap/>
          </w:tcPr>
          <w:p w14:paraId="3973F920"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3973F921" w14:textId="77777777" w:rsidR="007B027D" w:rsidRDefault="008E012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3973F922" w14:textId="77777777" w:rsidR="007B027D" w:rsidRDefault="008E012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we assumed $1.6 billion of senior notes and other borrowings, of which $1.5 billion were paid</w:t>
            </w:r>
            <w:r>
              <w:rPr>
                <w:rFonts w:ascii="Times New Roman" w:hAnsi="Times New Roman"/>
                <w:sz w:val="20"/>
                <w:szCs w:val="20"/>
              </w:rPr>
              <w:t xml:space="preserve"> on June 8, 2022.</w:t>
            </w:r>
          </w:p>
        </w:tc>
      </w:tr>
    </w:tbl>
    <w:p w14:paraId="3973F924" w14:textId="77777777" w:rsidR="007B027D" w:rsidRDefault="008E0125">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3973F925"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108</w:t>
      </w:r>
    </w:p>
    <w:p w14:paraId="3973F926" w14:textId="77777777" w:rsidR="007B027D" w:rsidRDefault="008E0125">
      <w:r>
        <w:rPr>
          <w:rFonts w:ascii="Calibri" w:hAnsi="Calibri" w:cs="Calibri"/>
          <w:sz w:val="20"/>
          <w:szCs w:val="20"/>
        </w:rPr>
        <w:pict w14:anchorId="397400A7">
          <v:rect id="_x0000_i1134" style="width:415.3pt;height:1.5pt" o:hralign="center" o:hrstd="t" o:hr="t" fillcolor="#a0a0a0" stroked="f"/>
        </w:pict>
      </w:r>
    </w:p>
    <w:p w14:paraId="3973F927" w14:textId="77777777" w:rsidR="007B027D" w:rsidRDefault="008E0125">
      <w:pPr>
        <w:pStyle w:val="a3"/>
        <w:spacing w:beforeAutospacing="0" w:after="120" w:afterAutospacing="0"/>
        <w:rPr>
          <w:rFonts w:ascii="Calibri" w:hAnsi="Calibri" w:cs="Calibri"/>
          <w:sz w:val="18"/>
          <w:szCs w:val="18"/>
        </w:rPr>
      </w:pPr>
      <w:hyperlink r:id="rId252"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928" w14:textId="77777777" w:rsidR="007B027D" w:rsidRDefault="008E0125">
      <w:pPr>
        <w:pStyle w:val="a3"/>
        <w:spacing w:beforeAutospacing="0" w:afterAutospacing="0"/>
        <w:rPr>
          <w:rFonts w:ascii="Calibri" w:hAnsi="Calibri" w:cs="Calibri"/>
          <w:sz w:val="18"/>
          <w:szCs w:val="18"/>
        </w:rPr>
      </w:pPr>
      <w:hyperlink r:id="rId253" w:anchor="ITEM_15_EXHIBITS_FINANCIAL_STATEMENT_SCH" w:history="1">
        <w:r>
          <w:rPr>
            <w:rStyle w:val="a5"/>
            <w:rFonts w:ascii="Calibri" w:hAnsi="Calibri" w:cs="Calibri"/>
            <w:sz w:val="18"/>
            <w:szCs w:val="18"/>
          </w:rPr>
          <w:t>Index to Financial Statements</w:t>
        </w:r>
      </w:hyperlink>
    </w:p>
    <w:p w14:paraId="3973F929"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F92A"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57"/>
        <w:gridCol w:w="7549"/>
      </w:tblGrid>
      <w:tr w:rsidR="007B027D" w14:paraId="3973F92D" w14:textId="77777777">
        <w:tc>
          <w:tcPr>
            <w:tcW w:w="213" w:type="pct"/>
            <w:shd w:val="clear" w:color="auto" w:fill="auto"/>
            <w:noWrap/>
          </w:tcPr>
          <w:p w14:paraId="3973F92B" w14:textId="77777777" w:rsidR="007B027D" w:rsidRDefault="008E0125">
            <w:pPr>
              <w:pStyle w:val="a3"/>
              <w:spacing w:beforeAutospacing="0" w:afterAutospacing="0"/>
              <w:rPr>
                <w:rFonts w:ascii="Calibri" w:hAnsi="Calibri" w:cs="Calibri"/>
                <w:b/>
                <w:bCs/>
                <w:sz w:val="22"/>
                <w:szCs w:val="22"/>
              </w:rPr>
            </w:pPr>
            <w:r>
              <w:rPr>
                <w:rFonts w:ascii="Calibri" w:hAnsi="Calibri" w:cs="Calibri"/>
                <w:b/>
                <w:bCs/>
                <w:sz w:val="22"/>
                <w:szCs w:val="22"/>
              </w:rPr>
              <w:t>Item 16.</w:t>
            </w:r>
          </w:p>
        </w:tc>
        <w:tc>
          <w:tcPr>
            <w:tcW w:w="0" w:type="auto"/>
            <w:shd w:val="clear" w:color="auto" w:fill="auto"/>
          </w:tcPr>
          <w:p w14:paraId="3973F92C" w14:textId="77777777" w:rsidR="007B027D" w:rsidRDefault="008E0125">
            <w:pPr>
              <w:pStyle w:val="a3"/>
              <w:spacing w:beforeAutospacing="0" w:afterAutospacing="0"/>
              <w:rPr>
                <w:rFonts w:ascii="Calibri" w:hAnsi="Calibri" w:cs="Calibri"/>
                <w:b/>
                <w:bCs/>
                <w:sz w:val="22"/>
                <w:szCs w:val="22"/>
              </w:rPr>
            </w:pPr>
            <w:r>
              <w:rPr>
                <w:rFonts w:ascii="Calibri" w:hAnsi="Calibri" w:cs="Calibri"/>
                <w:b/>
                <w:bCs/>
                <w:sz w:val="22"/>
                <w:szCs w:val="22"/>
              </w:rPr>
              <w:t>Form 10-K Summary</w:t>
            </w:r>
          </w:p>
        </w:tc>
      </w:tr>
    </w:tbl>
    <w:p w14:paraId="3973F92E"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F92F"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None.</w:t>
      </w:r>
    </w:p>
    <w:p w14:paraId="3973F930"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109</w:t>
      </w:r>
    </w:p>
    <w:p w14:paraId="3973F931" w14:textId="77777777" w:rsidR="007B027D" w:rsidRDefault="008E0125">
      <w:r>
        <w:rPr>
          <w:rFonts w:ascii="Calibri" w:hAnsi="Calibri" w:cs="Calibri"/>
          <w:sz w:val="20"/>
          <w:szCs w:val="20"/>
        </w:rPr>
        <w:pict w14:anchorId="397400A8">
          <v:rect id="_x0000_i1135" style="width:415.3pt;height:1.5pt" o:hralign="center" o:hrstd="t" o:hr="t" fillcolor="#a0a0a0" stroked="f"/>
        </w:pict>
      </w:r>
    </w:p>
    <w:p w14:paraId="3973F932" w14:textId="77777777" w:rsidR="007B027D" w:rsidRDefault="008E0125">
      <w:pPr>
        <w:pStyle w:val="a3"/>
        <w:spacing w:beforeAutospacing="0" w:after="120" w:afterAutospacing="0"/>
        <w:rPr>
          <w:rFonts w:ascii="Calibri" w:hAnsi="Calibri" w:cs="Calibri"/>
          <w:sz w:val="18"/>
          <w:szCs w:val="18"/>
        </w:rPr>
      </w:pPr>
      <w:hyperlink r:id="rId254"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933" w14:textId="77777777" w:rsidR="007B027D" w:rsidRDefault="008E0125">
      <w:pPr>
        <w:pStyle w:val="a3"/>
        <w:spacing w:beforeAutospacing="0" w:afterAutospacing="0"/>
        <w:rPr>
          <w:rFonts w:ascii="Calibri" w:hAnsi="Calibri" w:cs="Calibri"/>
          <w:sz w:val="18"/>
          <w:szCs w:val="18"/>
        </w:rPr>
      </w:pPr>
      <w:hyperlink r:id="rId255" w:anchor="ITEM_15_EXHIBITS_FINANCIAL_STATEMENT_SCH" w:history="1">
        <w:r>
          <w:rPr>
            <w:rStyle w:val="a5"/>
            <w:rFonts w:ascii="Calibri" w:hAnsi="Calibri" w:cs="Calibri"/>
            <w:sz w:val="18"/>
            <w:szCs w:val="18"/>
          </w:rPr>
          <w:t>Index to Financial Statements</w:t>
        </w:r>
      </w:hyperlink>
    </w:p>
    <w:p w14:paraId="3973F934"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F935"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936"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ORACLE CORPORATION </w:t>
      </w:r>
    </w:p>
    <w:p w14:paraId="3973F937"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INDEX OF EXHIBITS</w:t>
      </w:r>
    </w:p>
    <w:p w14:paraId="3973F938" w14:textId="77777777" w:rsidR="007B027D" w:rsidRDefault="008E0125">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The following exhibits are filed or furnished herewith or are incorporated by reference to exhibits previously filed with the U.S. Securities and Exchange Commission. </w:t>
      </w:r>
    </w:p>
    <w:p w14:paraId="3973F939"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w:t>
      </w:r>
    </w:p>
    <w:tbl>
      <w:tblPr>
        <w:tblW w:w="5000" w:type="pct"/>
        <w:tblCellMar>
          <w:left w:w="0" w:type="dxa"/>
          <w:right w:w="0" w:type="dxa"/>
        </w:tblCellMar>
        <w:tblLook w:val="04A0" w:firstRow="1" w:lastRow="0" w:firstColumn="1" w:lastColumn="0" w:noHBand="0" w:noVBand="1"/>
      </w:tblPr>
      <w:tblGrid>
        <w:gridCol w:w="587"/>
        <w:gridCol w:w="75"/>
        <w:gridCol w:w="2642"/>
        <w:gridCol w:w="75"/>
        <w:gridCol w:w="718"/>
        <w:gridCol w:w="75"/>
        <w:gridCol w:w="989"/>
        <w:gridCol w:w="75"/>
        <w:gridCol w:w="587"/>
        <w:gridCol w:w="75"/>
        <w:gridCol w:w="778"/>
        <w:gridCol w:w="75"/>
        <w:gridCol w:w="1570"/>
      </w:tblGrid>
      <w:tr w:rsidR="007B027D" w14:paraId="3973F93F" w14:textId="77777777">
        <w:tc>
          <w:tcPr>
            <w:tcW w:w="358" w:type="pct"/>
            <w:shd w:val="clear" w:color="auto" w:fill="FFFFFF"/>
            <w:tcMar>
              <w:top w:w="15" w:type="dxa"/>
              <w:right w:w="15" w:type="dxa"/>
            </w:tcMar>
            <w:vAlign w:val="bottom"/>
          </w:tcPr>
          <w:p w14:paraId="3973F93A"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93B"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93C"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93D"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93E"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94D" w14:textId="77777777">
        <w:tc>
          <w:tcPr>
            <w:tcW w:w="358" w:type="pct"/>
            <w:tcBorders>
              <w:bottom w:val="single" w:sz="6" w:space="0" w:color="000000"/>
            </w:tcBorders>
            <w:shd w:val="clear" w:color="auto" w:fill="FFFFFF"/>
            <w:tcMar>
              <w:top w:w="15" w:type="dxa"/>
              <w:right w:w="15" w:type="dxa"/>
            </w:tcMar>
            <w:vAlign w:val="bottom"/>
          </w:tcPr>
          <w:p w14:paraId="3973F940"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941"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942"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3" w:type="pct"/>
            <w:shd w:val="clear" w:color="auto" w:fill="FFFFFF"/>
            <w:tcMar>
              <w:top w:w="15" w:type="dxa"/>
              <w:right w:w="15" w:type="dxa"/>
            </w:tcMar>
            <w:vAlign w:val="bottom"/>
          </w:tcPr>
          <w:p w14:paraId="3973F943"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944"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945"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946"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 xml:space="preserve">File </w:t>
            </w:r>
            <w:r>
              <w:rPr>
                <w:rFonts w:ascii="Calibri" w:hAnsi="Calibri" w:cs="Calibri"/>
                <w:b/>
                <w:bCs/>
                <w:color w:val="000000"/>
                <w:sz w:val="20"/>
                <w:szCs w:val="20"/>
              </w:rPr>
              <w:t>No.</w:t>
            </w:r>
          </w:p>
        </w:tc>
        <w:tc>
          <w:tcPr>
            <w:tcW w:w="33" w:type="pct"/>
            <w:tcBorders>
              <w:top w:val="single" w:sz="6" w:space="0" w:color="000000"/>
            </w:tcBorders>
            <w:shd w:val="clear" w:color="auto" w:fill="FFFFFF"/>
            <w:tcMar>
              <w:top w:w="15" w:type="dxa"/>
              <w:right w:w="15" w:type="dxa"/>
            </w:tcMar>
            <w:vAlign w:val="bottom"/>
          </w:tcPr>
          <w:p w14:paraId="3973F947"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948"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949"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94A"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94B"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94C"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95B" w14:textId="77777777">
        <w:tc>
          <w:tcPr>
            <w:tcW w:w="358" w:type="pct"/>
            <w:tcBorders>
              <w:top w:val="single" w:sz="6" w:space="0" w:color="000000"/>
            </w:tcBorders>
            <w:shd w:val="clear" w:color="auto" w:fill="FFFFFF"/>
            <w:tcMar>
              <w:top w:w="15" w:type="dxa"/>
              <w:right w:w="15" w:type="dxa"/>
            </w:tcMar>
          </w:tcPr>
          <w:p w14:paraId="3973F94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4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tcBorders>
              <w:top w:val="single" w:sz="6" w:space="0" w:color="000000"/>
            </w:tcBorders>
            <w:shd w:val="clear" w:color="auto" w:fill="FFFFFF"/>
            <w:tcMar>
              <w:top w:w="15" w:type="dxa"/>
              <w:right w:w="15" w:type="dxa"/>
            </w:tcMar>
            <w:vAlign w:val="bottom"/>
          </w:tcPr>
          <w:p w14:paraId="3973F95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5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tcBorders>
              <w:top w:val="single" w:sz="6" w:space="0" w:color="000000"/>
            </w:tcBorders>
            <w:shd w:val="clear" w:color="auto" w:fill="FFFFFF"/>
            <w:tcMar>
              <w:top w:w="15" w:type="dxa"/>
              <w:right w:w="15" w:type="dxa"/>
            </w:tcMar>
          </w:tcPr>
          <w:p w14:paraId="3973F95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5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tcBorders>
              <w:top w:val="single" w:sz="6" w:space="0" w:color="000000"/>
            </w:tcBorders>
            <w:shd w:val="clear" w:color="auto" w:fill="FFFFFF"/>
            <w:tcMar>
              <w:top w:w="15" w:type="dxa"/>
              <w:right w:w="15" w:type="dxa"/>
            </w:tcMar>
          </w:tcPr>
          <w:p w14:paraId="3973F95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5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tcBorders>
              <w:top w:val="single" w:sz="6" w:space="0" w:color="000000"/>
            </w:tcBorders>
            <w:shd w:val="clear" w:color="auto" w:fill="FFFFFF"/>
            <w:tcMar>
              <w:top w:w="15" w:type="dxa"/>
              <w:right w:w="15" w:type="dxa"/>
            </w:tcMar>
          </w:tcPr>
          <w:p w14:paraId="3973F95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5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tcBorders>
              <w:top w:val="single" w:sz="6" w:space="0" w:color="000000"/>
            </w:tcBorders>
            <w:shd w:val="clear" w:color="auto" w:fill="FFFFFF"/>
            <w:tcMar>
              <w:top w:w="15" w:type="dxa"/>
              <w:right w:w="15" w:type="dxa"/>
            </w:tcMar>
          </w:tcPr>
          <w:p w14:paraId="3973F95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5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tcBorders>
              <w:top w:val="single" w:sz="6" w:space="0" w:color="000000"/>
            </w:tcBorders>
            <w:shd w:val="clear" w:color="auto" w:fill="FFFFFF"/>
            <w:tcMar>
              <w:top w:w="15" w:type="dxa"/>
              <w:right w:w="15" w:type="dxa"/>
            </w:tcMar>
          </w:tcPr>
          <w:p w14:paraId="3973F95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69" w14:textId="77777777">
        <w:tc>
          <w:tcPr>
            <w:tcW w:w="358" w:type="pct"/>
            <w:shd w:val="clear" w:color="auto" w:fill="FFFFFF"/>
            <w:tcMar>
              <w:top w:w="15" w:type="dxa"/>
              <w:right w:w="15" w:type="dxa"/>
            </w:tcMar>
          </w:tcPr>
          <w:p w14:paraId="3973F95C"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2.01§</w:t>
            </w:r>
          </w:p>
        </w:tc>
        <w:tc>
          <w:tcPr>
            <w:tcW w:w="27" w:type="pct"/>
            <w:shd w:val="clear" w:color="auto" w:fill="FFFFFF"/>
            <w:tcMar>
              <w:top w:w="15" w:type="dxa"/>
              <w:right w:w="15" w:type="dxa"/>
            </w:tcMar>
          </w:tcPr>
          <w:p w14:paraId="3973F95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tcPr>
          <w:p w14:paraId="3973F95E" w14:textId="77777777" w:rsidR="007B027D" w:rsidRDefault="008E0125">
            <w:pPr>
              <w:pStyle w:val="a3"/>
              <w:spacing w:beforeAutospacing="0" w:afterAutospacing="0"/>
              <w:jc w:val="both"/>
              <w:rPr>
                <w:rFonts w:ascii="Calibri" w:hAnsi="Calibri" w:cs="Calibri"/>
                <w:sz w:val="20"/>
                <w:szCs w:val="20"/>
              </w:rPr>
            </w:pPr>
            <w:hyperlink r:id="rId256" w:history="1">
              <w:r>
                <w:rPr>
                  <w:rStyle w:val="a5"/>
                  <w:rFonts w:ascii="Calibri" w:hAnsi="Calibri" w:cs="Calibri"/>
                  <w:sz w:val="20"/>
                  <w:szCs w:val="20"/>
                </w:rPr>
                <w:t xml:space="preserve">Agreement and Plan of Merger, dated December 20, 2021, among Oracle Corporation, Cerner </w:t>
              </w:r>
              <w:r>
                <w:rPr>
                  <w:rStyle w:val="a5"/>
                  <w:rFonts w:ascii="Calibri" w:hAnsi="Calibri" w:cs="Calibri"/>
                  <w:sz w:val="20"/>
                  <w:szCs w:val="20"/>
                </w:rPr>
                <w:t>Corporation, OC Acquisition LLC and Cedar Acquisition Corporation</w:t>
              </w:r>
            </w:hyperlink>
          </w:p>
        </w:tc>
        <w:tc>
          <w:tcPr>
            <w:tcW w:w="33" w:type="pct"/>
            <w:shd w:val="clear" w:color="auto" w:fill="FFFFFF"/>
            <w:tcMar>
              <w:top w:w="15" w:type="dxa"/>
              <w:right w:w="15" w:type="dxa"/>
            </w:tcMar>
            <w:vAlign w:val="bottom"/>
          </w:tcPr>
          <w:p w14:paraId="3973F95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60"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33" w:type="pct"/>
            <w:shd w:val="clear" w:color="auto" w:fill="FFFFFF"/>
            <w:tcMar>
              <w:top w:w="15" w:type="dxa"/>
              <w:right w:w="15" w:type="dxa"/>
            </w:tcMar>
          </w:tcPr>
          <w:p w14:paraId="3973F96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62"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33" w:type="pct"/>
            <w:shd w:val="clear" w:color="auto" w:fill="FFFFFF"/>
            <w:tcMar>
              <w:top w:w="15" w:type="dxa"/>
              <w:right w:w="15" w:type="dxa"/>
            </w:tcMar>
          </w:tcPr>
          <w:p w14:paraId="3973F96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64"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2.1</w:t>
            </w:r>
          </w:p>
        </w:tc>
        <w:tc>
          <w:tcPr>
            <w:tcW w:w="33" w:type="pct"/>
            <w:shd w:val="clear" w:color="auto" w:fill="FFFFFF"/>
            <w:tcMar>
              <w:top w:w="15" w:type="dxa"/>
              <w:right w:w="15" w:type="dxa"/>
            </w:tcMar>
          </w:tcPr>
          <w:p w14:paraId="3973F96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66"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12/21/21</w:t>
            </w:r>
          </w:p>
        </w:tc>
        <w:tc>
          <w:tcPr>
            <w:tcW w:w="33" w:type="pct"/>
            <w:shd w:val="clear" w:color="auto" w:fill="FFFFFF"/>
            <w:tcMar>
              <w:top w:w="15" w:type="dxa"/>
              <w:right w:w="15" w:type="dxa"/>
            </w:tcMar>
          </w:tcPr>
          <w:p w14:paraId="3973F96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68"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7B027D" w14:paraId="3973F977" w14:textId="77777777">
        <w:tc>
          <w:tcPr>
            <w:tcW w:w="358" w:type="pct"/>
            <w:shd w:val="clear" w:color="auto" w:fill="FFFFFF"/>
            <w:tcMar>
              <w:top w:w="15" w:type="dxa"/>
              <w:right w:w="15" w:type="dxa"/>
            </w:tcMar>
          </w:tcPr>
          <w:p w14:paraId="3973F96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6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6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6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6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6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7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7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7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7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7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7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7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85" w14:textId="77777777">
        <w:tc>
          <w:tcPr>
            <w:tcW w:w="358" w:type="pct"/>
            <w:shd w:val="clear" w:color="auto" w:fill="FFFFFF"/>
            <w:tcMar>
              <w:top w:w="15" w:type="dxa"/>
              <w:right w:w="15" w:type="dxa"/>
            </w:tcMar>
          </w:tcPr>
          <w:p w14:paraId="3973F97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3.01</w:t>
            </w:r>
          </w:p>
        </w:tc>
        <w:tc>
          <w:tcPr>
            <w:tcW w:w="27" w:type="pct"/>
            <w:shd w:val="clear" w:color="auto" w:fill="FFFFFF"/>
            <w:tcMar>
              <w:top w:w="15" w:type="dxa"/>
              <w:right w:w="15" w:type="dxa"/>
            </w:tcMar>
            <w:vAlign w:val="bottom"/>
          </w:tcPr>
          <w:p w14:paraId="3973F97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97A" w14:textId="77777777" w:rsidR="007B027D" w:rsidRDefault="008E0125">
            <w:pPr>
              <w:pStyle w:val="a3"/>
              <w:spacing w:beforeAutospacing="0" w:afterAutospacing="0"/>
              <w:jc w:val="both"/>
              <w:rPr>
                <w:rFonts w:ascii="Calibri" w:hAnsi="Calibri" w:cs="Calibri"/>
                <w:sz w:val="20"/>
                <w:szCs w:val="20"/>
              </w:rPr>
            </w:pPr>
            <w:hyperlink r:id="rId257" w:history="1">
              <w:r>
                <w:rPr>
                  <w:rStyle w:val="a5"/>
                  <w:rFonts w:ascii="Calibri" w:hAnsi="Calibri" w:cs="Calibri"/>
                  <w:sz w:val="20"/>
                  <w:szCs w:val="20"/>
                </w:rPr>
                <w:t>Amended and Restated Certificate of Incorporation of Oracle Corporation and Certificate of Amendment of Amended and Restated Certificate of Incorporation of Oracle Cor</w:t>
              </w:r>
              <w:r>
                <w:rPr>
                  <w:rStyle w:val="a5"/>
                  <w:rFonts w:ascii="Calibri" w:hAnsi="Calibri" w:cs="Calibri"/>
                  <w:sz w:val="20"/>
                  <w:szCs w:val="20"/>
                </w:rPr>
                <w:t>poration</w:t>
              </w:r>
            </w:hyperlink>
          </w:p>
        </w:tc>
        <w:tc>
          <w:tcPr>
            <w:tcW w:w="33" w:type="pct"/>
            <w:shd w:val="clear" w:color="auto" w:fill="FFFFFF"/>
            <w:tcMar>
              <w:top w:w="15" w:type="dxa"/>
              <w:right w:w="15" w:type="dxa"/>
            </w:tcMar>
            <w:vAlign w:val="bottom"/>
          </w:tcPr>
          <w:p w14:paraId="3973F97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97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 12G3</w:t>
            </w:r>
          </w:p>
        </w:tc>
        <w:tc>
          <w:tcPr>
            <w:tcW w:w="33" w:type="pct"/>
            <w:shd w:val="clear" w:color="auto" w:fill="FFFFFF"/>
            <w:tcMar>
              <w:top w:w="15" w:type="dxa"/>
              <w:right w:w="15" w:type="dxa"/>
            </w:tcMar>
            <w:vAlign w:val="bottom"/>
          </w:tcPr>
          <w:p w14:paraId="3973F97D"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97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97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8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3.01</w:t>
            </w:r>
          </w:p>
        </w:tc>
        <w:tc>
          <w:tcPr>
            <w:tcW w:w="33" w:type="pct"/>
            <w:shd w:val="clear" w:color="auto" w:fill="FFFFFF"/>
            <w:tcMar>
              <w:top w:w="15" w:type="dxa"/>
              <w:right w:w="15" w:type="dxa"/>
            </w:tcMar>
          </w:tcPr>
          <w:p w14:paraId="3973F98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8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2/6/06</w:t>
            </w:r>
          </w:p>
        </w:tc>
        <w:tc>
          <w:tcPr>
            <w:tcW w:w="33" w:type="pct"/>
            <w:shd w:val="clear" w:color="auto" w:fill="FFFFFF"/>
            <w:tcMar>
              <w:top w:w="15" w:type="dxa"/>
              <w:right w:w="15" w:type="dxa"/>
            </w:tcMar>
          </w:tcPr>
          <w:p w14:paraId="3973F98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8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993" w14:textId="77777777">
        <w:tc>
          <w:tcPr>
            <w:tcW w:w="358" w:type="pct"/>
            <w:shd w:val="clear" w:color="auto" w:fill="FFFFFF"/>
            <w:tcMar>
              <w:top w:w="15" w:type="dxa"/>
              <w:right w:w="15" w:type="dxa"/>
            </w:tcMar>
          </w:tcPr>
          <w:p w14:paraId="3973F98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8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8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8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8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8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8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8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8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8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9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9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9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A1" w14:textId="77777777">
        <w:tc>
          <w:tcPr>
            <w:tcW w:w="358" w:type="pct"/>
            <w:shd w:val="clear" w:color="auto" w:fill="FFFFFF"/>
            <w:tcMar>
              <w:top w:w="15" w:type="dxa"/>
              <w:right w:w="15" w:type="dxa"/>
            </w:tcMar>
          </w:tcPr>
          <w:p w14:paraId="3973F99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3.02</w:t>
            </w:r>
          </w:p>
        </w:tc>
        <w:tc>
          <w:tcPr>
            <w:tcW w:w="27" w:type="pct"/>
            <w:shd w:val="clear" w:color="auto" w:fill="FFFFFF"/>
            <w:tcMar>
              <w:top w:w="15" w:type="dxa"/>
              <w:right w:w="15" w:type="dxa"/>
            </w:tcMar>
            <w:vAlign w:val="bottom"/>
          </w:tcPr>
          <w:p w14:paraId="3973F99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996" w14:textId="77777777" w:rsidR="007B027D" w:rsidRDefault="008E0125">
            <w:pPr>
              <w:pStyle w:val="a3"/>
              <w:spacing w:beforeAutospacing="0" w:afterAutospacing="0"/>
              <w:jc w:val="both"/>
              <w:rPr>
                <w:rFonts w:ascii="Calibri" w:hAnsi="Calibri" w:cs="Calibri"/>
                <w:sz w:val="20"/>
                <w:szCs w:val="20"/>
              </w:rPr>
            </w:pPr>
            <w:hyperlink r:id="rId258" w:history="1">
              <w:r>
                <w:rPr>
                  <w:rStyle w:val="a5"/>
                  <w:rFonts w:ascii="Calibri" w:hAnsi="Calibri" w:cs="Calibri"/>
                  <w:sz w:val="20"/>
                  <w:szCs w:val="20"/>
                </w:rPr>
                <w:t>Amended and Restated Bylaws of Oracle Corporation</w:t>
              </w:r>
            </w:hyperlink>
          </w:p>
        </w:tc>
        <w:tc>
          <w:tcPr>
            <w:tcW w:w="33" w:type="pct"/>
            <w:shd w:val="clear" w:color="auto" w:fill="FFFFFF"/>
            <w:tcMar>
              <w:top w:w="15" w:type="dxa"/>
              <w:right w:w="15" w:type="dxa"/>
            </w:tcMar>
            <w:vAlign w:val="bottom"/>
          </w:tcPr>
          <w:p w14:paraId="3973F99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99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999"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99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99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9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3.02</w:t>
            </w:r>
          </w:p>
        </w:tc>
        <w:tc>
          <w:tcPr>
            <w:tcW w:w="33" w:type="pct"/>
            <w:shd w:val="clear" w:color="auto" w:fill="FFFFFF"/>
            <w:tcMar>
              <w:top w:w="15" w:type="dxa"/>
              <w:right w:w="15" w:type="dxa"/>
            </w:tcMar>
          </w:tcPr>
          <w:p w14:paraId="3973F99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9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6/16/16</w:t>
            </w:r>
          </w:p>
        </w:tc>
        <w:tc>
          <w:tcPr>
            <w:tcW w:w="33" w:type="pct"/>
            <w:shd w:val="clear" w:color="auto" w:fill="FFFFFF"/>
            <w:tcMar>
              <w:top w:w="15" w:type="dxa"/>
              <w:right w:w="15" w:type="dxa"/>
            </w:tcMar>
          </w:tcPr>
          <w:p w14:paraId="3973F99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A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9AF" w14:textId="77777777">
        <w:tc>
          <w:tcPr>
            <w:tcW w:w="358" w:type="pct"/>
            <w:shd w:val="clear" w:color="auto" w:fill="FFFFFF"/>
            <w:tcMar>
              <w:top w:w="15" w:type="dxa"/>
              <w:right w:w="15" w:type="dxa"/>
            </w:tcMar>
          </w:tcPr>
          <w:p w14:paraId="3973F9A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A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A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A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A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A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A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A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A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A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A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A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A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BD" w14:textId="77777777">
        <w:tc>
          <w:tcPr>
            <w:tcW w:w="358" w:type="pct"/>
            <w:shd w:val="clear" w:color="auto" w:fill="FFFFFF"/>
            <w:tcMar>
              <w:top w:w="15" w:type="dxa"/>
              <w:right w:w="15" w:type="dxa"/>
            </w:tcMar>
          </w:tcPr>
          <w:p w14:paraId="3973F9B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4.01</w:t>
            </w:r>
          </w:p>
        </w:tc>
        <w:tc>
          <w:tcPr>
            <w:tcW w:w="27" w:type="pct"/>
            <w:shd w:val="clear" w:color="auto" w:fill="FFFFFF"/>
            <w:tcMar>
              <w:top w:w="15" w:type="dxa"/>
              <w:right w:w="15" w:type="dxa"/>
            </w:tcMar>
            <w:vAlign w:val="bottom"/>
          </w:tcPr>
          <w:p w14:paraId="3973F9B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9B2" w14:textId="77777777" w:rsidR="007B027D" w:rsidRDefault="008E0125">
            <w:pPr>
              <w:pStyle w:val="a3"/>
              <w:spacing w:beforeAutospacing="0" w:afterAutospacing="0"/>
              <w:jc w:val="both"/>
              <w:rPr>
                <w:rFonts w:ascii="Calibri" w:hAnsi="Calibri" w:cs="Calibri"/>
                <w:sz w:val="20"/>
                <w:szCs w:val="20"/>
              </w:rPr>
            </w:pPr>
            <w:hyperlink r:id="rId259" w:history="1">
              <w:r>
                <w:rPr>
                  <w:rStyle w:val="a5"/>
                  <w:rFonts w:ascii="Calibri" w:hAnsi="Calibri" w:cs="Calibri"/>
                  <w:sz w:val="20"/>
                  <w:szCs w:val="20"/>
                </w:rPr>
                <w:t>Specimen Certificate of Oracle Corporation’s Common Stock</w:t>
              </w:r>
            </w:hyperlink>
          </w:p>
        </w:tc>
        <w:tc>
          <w:tcPr>
            <w:tcW w:w="33" w:type="pct"/>
            <w:shd w:val="clear" w:color="auto" w:fill="FFFFFF"/>
            <w:tcMar>
              <w:top w:w="15" w:type="dxa"/>
              <w:right w:w="15" w:type="dxa"/>
            </w:tcMar>
            <w:vAlign w:val="bottom"/>
          </w:tcPr>
          <w:p w14:paraId="3973F9B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9B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3" w:type="pct"/>
            <w:shd w:val="clear" w:color="auto" w:fill="FFFFFF"/>
            <w:tcMar>
              <w:top w:w="15" w:type="dxa"/>
              <w:right w:w="15" w:type="dxa"/>
            </w:tcMar>
            <w:vAlign w:val="bottom"/>
          </w:tcPr>
          <w:p w14:paraId="3973F9B5"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9B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333-166643</w:t>
            </w:r>
          </w:p>
        </w:tc>
        <w:tc>
          <w:tcPr>
            <w:tcW w:w="33" w:type="pct"/>
            <w:shd w:val="clear" w:color="auto" w:fill="FFFFFF"/>
            <w:tcMar>
              <w:top w:w="15" w:type="dxa"/>
              <w:right w:w="15" w:type="dxa"/>
            </w:tcMar>
          </w:tcPr>
          <w:p w14:paraId="3973F9B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B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4.04</w:t>
            </w:r>
          </w:p>
        </w:tc>
        <w:tc>
          <w:tcPr>
            <w:tcW w:w="33" w:type="pct"/>
            <w:shd w:val="clear" w:color="auto" w:fill="FFFFFF"/>
            <w:tcMar>
              <w:top w:w="15" w:type="dxa"/>
              <w:right w:w="15" w:type="dxa"/>
            </w:tcMar>
          </w:tcPr>
          <w:p w14:paraId="3973F9B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B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5/7/10</w:t>
            </w:r>
          </w:p>
        </w:tc>
        <w:tc>
          <w:tcPr>
            <w:tcW w:w="33" w:type="pct"/>
            <w:shd w:val="clear" w:color="auto" w:fill="FFFFFF"/>
            <w:tcMar>
              <w:top w:w="15" w:type="dxa"/>
              <w:right w:w="15" w:type="dxa"/>
            </w:tcMar>
          </w:tcPr>
          <w:p w14:paraId="3973F9B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B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9CB" w14:textId="77777777">
        <w:tc>
          <w:tcPr>
            <w:tcW w:w="358" w:type="pct"/>
            <w:shd w:val="clear" w:color="auto" w:fill="FFFFFF"/>
            <w:tcMar>
              <w:top w:w="15" w:type="dxa"/>
              <w:right w:w="15" w:type="dxa"/>
            </w:tcMar>
          </w:tcPr>
          <w:p w14:paraId="3973F9B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B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C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C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C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C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C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C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C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C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C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C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C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D9" w14:textId="77777777">
        <w:tc>
          <w:tcPr>
            <w:tcW w:w="358" w:type="pct"/>
            <w:shd w:val="clear" w:color="auto" w:fill="FFFFFF"/>
            <w:tcMar>
              <w:top w:w="15" w:type="dxa"/>
              <w:right w:w="15" w:type="dxa"/>
            </w:tcMar>
          </w:tcPr>
          <w:p w14:paraId="3973F9C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4.02</w:t>
            </w:r>
          </w:p>
        </w:tc>
        <w:tc>
          <w:tcPr>
            <w:tcW w:w="27" w:type="pct"/>
            <w:shd w:val="clear" w:color="auto" w:fill="FFFFFF"/>
            <w:tcMar>
              <w:top w:w="15" w:type="dxa"/>
              <w:right w:w="15" w:type="dxa"/>
            </w:tcMar>
            <w:vAlign w:val="bottom"/>
          </w:tcPr>
          <w:p w14:paraId="3973F9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9CE" w14:textId="77777777" w:rsidR="007B027D" w:rsidRDefault="008E0125">
            <w:pPr>
              <w:pStyle w:val="a3"/>
              <w:spacing w:beforeAutospacing="0" w:afterAutospacing="0"/>
              <w:jc w:val="both"/>
              <w:rPr>
                <w:rFonts w:ascii="Calibri" w:hAnsi="Calibri" w:cs="Calibri"/>
                <w:sz w:val="20"/>
                <w:szCs w:val="20"/>
              </w:rPr>
            </w:pPr>
            <w:hyperlink r:id="rId260" w:history="1">
              <w:r>
                <w:rPr>
                  <w:rStyle w:val="a5"/>
                  <w:rFonts w:ascii="Calibri" w:hAnsi="Calibri" w:cs="Calibri"/>
                  <w:sz w:val="20"/>
                  <w:szCs w:val="20"/>
                </w:rPr>
                <w:t>Indenture dated January 13, 2006, among Ozark Holding Inc., Oracle Corporation and Citibank, N.A.</w:t>
              </w:r>
            </w:hyperlink>
          </w:p>
        </w:tc>
        <w:tc>
          <w:tcPr>
            <w:tcW w:w="33" w:type="pct"/>
            <w:shd w:val="clear" w:color="auto" w:fill="FFFFFF"/>
            <w:tcMar>
              <w:top w:w="15" w:type="dxa"/>
              <w:right w:w="15" w:type="dxa"/>
            </w:tcMar>
            <w:vAlign w:val="bottom"/>
          </w:tcPr>
          <w:p w14:paraId="3973F9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9D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9D1"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9D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000-14376</w:t>
            </w:r>
          </w:p>
        </w:tc>
        <w:tc>
          <w:tcPr>
            <w:tcW w:w="33" w:type="pct"/>
            <w:shd w:val="clear" w:color="auto" w:fill="FFFFFF"/>
            <w:tcMar>
              <w:top w:w="15" w:type="dxa"/>
              <w:right w:w="15" w:type="dxa"/>
            </w:tcMar>
          </w:tcPr>
          <w:p w14:paraId="3973F9D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D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10.34</w:t>
            </w:r>
          </w:p>
        </w:tc>
        <w:tc>
          <w:tcPr>
            <w:tcW w:w="33" w:type="pct"/>
            <w:shd w:val="clear" w:color="auto" w:fill="FFFFFF"/>
            <w:tcMar>
              <w:top w:w="15" w:type="dxa"/>
              <w:right w:w="15" w:type="dxa"/>
            </w:tcMar>
          </w:tcPr>
          <w:p w14:paraId="3973F9D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D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1/20/06</w:t>
            </w:r>
          </w:p>
        </w:tc>
        <w:tc>
          <w:tcPr>
            <w:tcW w:w="33" w:type="pct"/>
            <w:shd w:val="clear" w:color="auto" w:fill="FFFFFF"/>
            <w:tcMar>
              <w:top w:w="15" w:type="dxa"/>
              <w:right w:w="15" w:type="dxa"/>
            </w:tcMar>
          </w:tcPr>
          <w:p w14:paraId="3973F9D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D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Systems Corporation</w:t>
            </w:r>
          </w:p>
        </w:tc>
      </w:tr>
      <w:tr w:rsidR="007B027D" w14:paraId="3973F9E7" w14:textId="77777777">
        <w:tc>
          <w:tcPr>
            <w:tcW w:w="358" w:type="pct"/>
            <w:shd w:val="clear" w:color="auto" w:fill="FFFFFF"/>
            <w:tcMar>
              <w:top w:w="15" w:type="dxa"/>
              <w:right w:w="15" w:type="dxa"/>
            </w:tcMar>
          </w:tcPr>
          <w:p w14:paraId="3973F9D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D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D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D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D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D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E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E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E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E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E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E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E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9F5" w14:textId="77777777">
        <w:tc>
          <w:tcPr>
            <w:tcW w:w="358" w:type="pct"/>
            <w:shd w:val="clear" w:color="auto" w:fill="FFFFFF"/>
            <w:tcMar>
              <w:top w:w="15" w:type="dxa"/>
              <w:right w:w="15" w:type="dxa"/>
            </w:tcMar>
          </w:tcPr>
          <w:p w14:paraId="3973F9E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4.03</w:t>
            </w:r>
          </w:p>
        </w:tc>
        <w:tc>
          <w:tcPr>
            <w:tcW w:w="27" w:type="pct"/>
            <w:shd w:val="clear" w:color="auto" w:fill="FFFFFF"/>
            <w:tcMar>
              <w:top w:w="15" w:type="dxa"/>
              <w:right w:w="15" w:type="dxa"/>
            </w:tcMar>
            <w:vAlign w:val="bottom"/>
          </w:tcPr>
          <w:p w14:paraId="3973F9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9EA" w14:textId="77777777" w:rsidR="007B027D" w:rsidRDefault="008E0125">
            <w:pPr>
              <w:pStyle w:val="a3"/>
              <w:spacing w:beforeAutospacing="0" w:afterAutospacing="0"/>
              <w:jc w:val="both"/>
              <w:rPr>
                <w:rFonts w:ascii="Calibri" w:hAnsi="Calibri" w:cs="Calibri"/>
                <w:sz w:val="20"/>
                <w:szCs w:val="20"/>
              </w:rPr>
            </w:pPr>
            <w:hyperlink r:id="rId261" w:history="1">
              <w:r>
                <w:rPr>
                  <w:rStyle w:val="a5"/>
                  <w:rFonts w:ascii="Calibri" w:hAnsi="Calibri" w:cs="Calibri"/>
                  <w:sz w:val="20"/>
                  <w:szCs w:val="20"/>
                </w:rPr>
                <w:t xml:space="preserve">First Supplemental Indenture dated May 9, 2007 among Oracle Corporation, Citibank, N.A. and The Bank of </w:t>
              </w:r>
              <w:r>
                <w:rPr>
                  <w:rStyle w:val="a5"/>
                  <w:rFonts w:ascii="Calibri" w:hAnsi="Calibri" w:cs="Calibri"/>
                  <w:sz w:val="20"/>
                  <w:szCs w:val="20"/>
                </w:rPr>
                <w:t>New York Trust Company, N.A.</w:t>
              </w:r>
            </w:hyperlink>
          </w:p>
        </w:tc>
        <w:tc>
          <w:tcPr>
            <w:tcW w:w="33" w:type="pct"/>
            <w:shd w:val="clear" w:color="auto" w:fill="FFFFFF"/>
            <w:tcMar>
              <w:top w:w="15" w:type="dxa"/>
              <w:right w:w="15" w:type="dxa"/>
            </w:tcMar>
            <w:vAlign w:val="bottom"/>
          </w:tcPr>
          <w:p w14:paraId="3973F9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9E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3" w:type="pct"/>
            <w:shd w:val="clear" w:color="auto" w:fill="FFFFFF"/>
            <w:tcMar>
              <w:top w:w="15" w:type="dxa"/>
              <w:right w:w="15" w:type="dxa"/>
            </w:tcMar>
            <w:vAlign w:val="bottom"/>
          </w:tcPr>
          <w:p w14:paraId="3973F9ED"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9E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333-142796</w:t>
            </w:r>
          </w:p>
        </w:tc>
        <w:tc>
          <w:tcPr>
            <w:tcW w:w="33" w:type="pct"/>
            <w:shd w:val="clear" w:color="auto" w:fill="FFFFFF"/>
            <w:tcMar>
              <w:top w:w="15" w:type="dxa"/>
              <w:right w:w="15" w:type="dxa"/>
            </w:tcMar>
          </w:tcPr>
          <w:p w14:paraId="3973F9E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F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4.3</w:t>
            </w:r>
          </w:p>
        </w:tc>
        <w:tc>
          <w:tcPr>
            <w:tcW w:w="33" w:type="pct"/>
            <w:shd w:val="clear" w:color="auto" w:fill="FFFFFF"/>
            <w:tcMar>
              <w:top w:w="15" w:type="dxa"/>
              <w:right w:w="15" w:type="dxa"/>
            </w:tcMar>
          </w:tcPr>
          <w:p w14:paraId="3973F9F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9F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5/10/07</w:t>
            </w:r>
          </w:p>
        </w:tc>
        <w:tc>
          <w:tcPr>
            <w:tcW w:w="33" w:type="pct"/>
            <w:shd w:val="clear" w:color="auto" w:fill="FFFFFF"/>
            <w:tcMar>
              <w:top w:w="15" w:type="dxa"/>
              <w:right w:w="15" w:type="dxa"/>
            </w:tcMar>
          </w:tcPr>
          <w:p w14:paraId="3973F9F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9F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03" w14:textId="77777777">
        <w:tc>
          <w:tcPr>
            <w:tcW w:w="358" w:type="pct"/>
            <w:shd w:val="clear" w:color="auto" w:fill="FFFFFF"/>
            <w:tcMar>
              <w:top w:w="15" w:type="dxa"/>
              <w:right w:w="15" w:type="dxa"/>
            </w:tcMar>
          </w:tcPr>
          <w:p w14:paraId="3973F9F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9F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9F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F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9F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9F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9F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F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9F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9F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0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0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0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11" w14:textId="77777777">
        <w:tc>
          <w:tcPr>
            <w:tcW w:w="358" w:type="pct"/>
            <w:shd w:val="clear" w:color="auto" w:fill="FFFFFF"/>
            <w:tcMar>
              <w:top w:w="15" w:type="dxa"/>
              <w:right w:w="15" w:type="dxa"/>
            </w:tcMar>
          </w:tcPr>
          <w:p w14:paraId="3973FA0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4.04</w:t>
            </w:r>
          </w:p>
        </w:tc>
        <w:tc>
          <w:tcPr>
            <w:tcW w:w="27" w:type="pct"/>
            <w:shd w:val="clear" w:color="auto" w:fill="FFFFFF"/>
            <w:tcMar>
              <w:top w:w="15" w:type="dxa"/>
              <w:right w:w="15" w:type="dxa"/>
            </w:tcMar>
            <w:vAlign w:val="bottom"/>
          </w:tcPr>
          <w:p w14:paraId="3973FA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06" w14:textId="77777777" w:rsidR="007B027D" w:rsidRDefault="008E0125">
            <w:pPr>
              <w:pStyle w:val="a3"/>
              <w:spacing w:beforeAutospacing="0" w:afterAutospacing="0"/>
              <w:jc w:val="both"/>
              <w:rPr>
                <w:rFonts w:ascii="Calibri" w:hAnsi="Calibri" w:cs="Calibri"/>
                <w:sz w:val="20"/>
                <w:szCs w:val="20"/>
              </w:rPr>
            </w:pPr>
            <w:hyperlink r:id="rId262" w:history="1">
              <w:r>
                <w:rPr>
                  <w:rStyle w:val="a5"/>
                  <w:rFonts w:ascii="Calibri" w:hAnsi="Calibri" w:cs="Calibri"/>
                  <w:sz w:val="20"/>
                  <w:szCs w:val="20"/>
                </w:rPr>
                <w:t>Form of 6.50% Note due 2038, together with Officers’ Certificate issued April 9, 2008 setting forth the terms of the Note</w:t>
              </w:r>
            </w:hyperlink>
          </w:p>
        </w:tc>
        <w:tc>
          <w:tcPr>
            <w:tcW w:w="33" w:type="pct"/>
            <w:shd w:val="clear" w:color="auto" w:fill="FFFFFF"/>
            <w:tcMar>
              <w:top w:w="15" w:type="dxa"/>
              <w:right w:w="15" w:type="dxa"/>
            </w:tcMar>
            <w:vAlign w:val="bottom"/>
          </w:tcPr>
          <w:p w14:paraId="3973FA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0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09"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0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A0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0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4.09</w:t>
            </w:r>
          </w:p>
        </w:tc>
        <w:tc>
          <w:tcPr>
            <w:tcW w:w="33" w:type="pct"/>
            <w:shd w:val="clear" w:color="auto" w:fill="FFFFFF"/>
            <w:tcMar>
              <w:top w:w="15" w:type="dxa"/>
              <w:right w:w="15" w:type="dxa"/>
            </w:tcMar>
          </w:tcPr>
          <w:p w14:paraId="3973FA0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0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4/8/08</w:t>
            </w:r>
          </w:p>
        </w:tc>
        <w:tc>
          <w:tcPr>
            <w:tcW w:w="33" w:type="pct"/>
            <w:shd w:val="clear" w:color="auto" w:fill="FFFFFF"/>
            <w:tcMar>
              <w:top w:w="15" w:type="dxa"/>
              <w:right w:w="15" w:type="dxa"/>
            </w:tcMar>
          </w:tcPr>
          <w:p w14:paraId="3973FA0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1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1F" w14:textId="77777777">
        <w:tc>
          <w:tcPr>
            <w:tcW w:w="358" w:type="pct"/>
            <w:shd w:val="clear" w:color="auto" w:fill="FFFFFF"/>
            <w:tcMar>
              <w:top w:w="15" w:type="dxa"/>
              <w:right w:w="15" w:type="dxa"/>
            </w:tcMar>
          </w:tcPr>
          <w:p w14:paraId="3973FA1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1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1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1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1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1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1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1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1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1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1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1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1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2D" w14:textId="77777777">
        <w:tc>
          <w:tcPr>
            <w:tcW w:w="358" w:type="pct"/>
            <w:shd w:val="clear" w:color="auto" w:fill="FFFFFF"/>
            <w:tcMar>
              <w:top w:w="15" w:type="dxa"/>
              <w:right w:w="15" w:type="dxa"/>
            </w:tcMar>
          </w:tcPr>
          <w:p w14:paraId="3973FA2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4.05</w:t>
            </w:r>
          </w:p>
        </w:tc>
        <w:tc>
          <w:tcPr>
            <w:tcW w:w="27" w:type="pct"/>
            <w:shd w:val="clear" w:color="auto" w:fill="FFFFFF"/>
            <w:tcMar>
              <w:top w:w="15" w:type="dxa"/>
              <w:right w:w="15" w:type="dxa"/>
            </w:tcMar>
            <w:vAlign w:val="bottom"/>
          </w:tcPr>
          <w:p w14:paraId="3973FA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22" w14:textId="77777777" w:rsidR="007B027D" w:rsidRDefault="008E0125">
            <w:pPr>
              <w:pStyle w:val="a3"/>
              <w:spacing w:beforeAutospacing="0" w:afterAutospacing="0"/>
              <w:jc w:val="both"/>
              <w:rPr>
                <w:rFonts w:ascii="Calibri" w:hAnsi="Calibri" w:cs="Calibri"/>
                <w:sz w:val="20"/>
                <w:szCs w:val="20"/>
              </w:rPr>
            </w:pPr>
            <w:hyperlink r:id="rId263" w:history="1">
              <w:r>
                <w:rPr>
                  <w:rStyle w:val="a5"/>
                  <w:rFonts w:ascii="Calibri" w:hAnsi="Calibri" w:cs="Calibri"/>
                  <w:sz w:val="20"/>
                  <w:szCs w:val="20"/>
                </w:rPr>
                <w:t xml:space="preserve">Form of 6.125% Note due 2039,  together with Officers’ Certificate issued July 8, 2009 setting forth the </w:t>
              </w:r>
              <w:r>
                <w:rPr>
                  <w:rStyle w:val="a5"/>
                  <w:rFonts w:ascii="Calibri" w:hAnsi="Calibri" w:cs="Calibri"/>
                  <w:sz w:val="20"/>
                  <w:szCs w:val="20"/>
                </w:rPr>
                <w:t>terms of the Note</w:t>
              </w:r>
            </w:hyperlink>
          </w:p>
        </w:tc>
        <w:tc>
          <w:tcPr>
            <w:tcW w:w="33" w:type="pct"/>
            <w:shd w:val="clear" w:color="auto" w:fill="FFFFFF"/>
            <w:tcMar>
              <w:top w:w="15" w:type="dxa"/>
              <w:right w:w="15" w:type="dxa"/>
            </w:tcMar>
            <w:vAlign w:val="bottom"/>
          </w:tcPr>
          <w:p w14:paraId="3973FA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2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25"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2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A2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2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33" w:type="pct"/>
            <w:shd w:val="clear" w:color="auto" w:fill="FFFFFF"/>
            <w:tcMar>
              <w:top w:w="15" w:type="dxa"/>
              <w:right w:w="15" w:type="dxa"/>
            </w:tcMar>
          </w:tcPr>
          <w:p w14:paraId="3973FA2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2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7/8/09</w:t>
            </w:r>
          </w:p>
        </w:tc>
        <w:tc>
          <w:tcPr>
            <w:tcW w:w="33" w:type="pct"/>
            <w:shd w:val="clear" w:color="auto" w:fill="FFFFFF"/>
            <w:tcMar>
              <w:top w:w="15" w:type="dxa"/>
              <w:right w:w="15" w:type="dxa"/>
            </w:tcMar>
          </w:tcPr>
          <w:p w14:paraId="3973FA2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2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3B" w14:textId="77777777">
        <w:tc>
          <w:tcPr>
            <w:tcW w:w="358" w:type="pct"/>
            <w:shd w:val="clear" w:color="auto" w:fill="FFFFFF"/>
            <w:tcMar>
              <w:top w:w="15" w:type="dxa"/>
              <w:right w:w="15" w:type="dxa"/>
            </w:tcMar>
          </w:tcPr>
          <w:p w14:paraId="3973FA2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2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3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3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3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3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3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3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3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3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3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3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3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49" w14:textId="77777777">
        <w:tc>
          <w:tcPr>
            <w:tcW w:w="358" w:type="pct"/>
            <w:shd w:val="clear" w:color="auto" w:fill="FFFFFF"/>
            <w:tcMar>
              <w:top w:w="15" w:type="dxa"/>
              <w:right w:w="15" w:type="dxa"/>
            </w:tcMar>
          </w:tcPr>
          <w:p w14:paraId="3973FA3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4.06</w:t>
            </w:r>
          </w:p>
        </w:tc>
        <w:tc>
          <w:tcPr>
            <w:tcW w:w="27" w:type="pct"/>
            <w:shd w:val="clear" w:color="auto" w:fill="FFFFFF"/>
            <w:tcMar>
              <w:top w:w="15" w:type="dxa"/>
              <w:right w:w="15" w:type="dxa"/>
            </w:tcMar>
            <w:vAlign w:val="bottom"/>
          </w:tcPr>
          <w:p w14:paraId="3973FA3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3E" w14:textId="77777777" w:rsidR="007B027D" w:rsidRDefault="008E0125">
            <w:pPr>
              <w:pStyle w:val="a3"/>
              <w:spacing w:beforeAutospacing="0" w:afterAutospacing="0"/>
              <w:jc w:val="both"/>
              <w:rPr>
                <w:rFonts w:ascii="Calibri" w:hAnsi="Calibri" w:cs="Calibri"/>
                <w:sz w:val="20"/>
                <w:szCs w:val="20"/>
              </w:rPr>
            </w:pPr>
            <w:hyperlink r:id="rId264" w:history="1">
              <w:r>
                <w:rPr>
                  <w:rStyle w:val="a5"/>
                  <w:rFonts w:ascii="Calibri" w:hAnsi="Calibri" w:cs="Calibri"/>
                  <w:sz w:val="20"/>
                  <w:szCs w:val="20"/>
                </w:rPr>
                <w:t>Form of 2040 Note, together with Officers’ Certificate issued July 19, 2010 setting forth the terms of the Note</w:t>
              </w:r>
            </w:hyperlink>
          </w:p>
        </w:tc>
        <w:tc>
          <w:tcPr>
            <w:tcW w:w="33" w:type="pct"/>
            <w:shd w:val="clear" w:color="auto" w:fill="FFFFFF"/>
            <w:tcMar>
              <w:top w:w="15" w:type="dxa"/>
              <w:right w:w="15" w:type="dxa"/>
            </w:tcMar>
            <w:vAlign w:val="bottom"/>
          </w:tcPr>
          <w:p w14:paraId="3973FA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4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A41"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4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A4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4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33" w:type="pct"/>
            <w:shd w:val="clear" w:color="auto" w:fill="FFFFFF"/>
            <w:tcMar>
              <w:top w:w="15" w:type="dxa"/>
              <w:right w:w="15" w:type="dxa"/>
            </w:tcMar>
          </w:tcPr>
          <w:p w14:paraId="3973FA4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4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9/20/10</w:t>
            </w:r>
          </w:p>
        </w:tc>
        <w:tc>
          <w:tcPr>
            <w:tcW w:w="33" w:type="pct"/>
            <w:shd w:val="clear" w:color="auto" w:fill="FFFFFF"/>
            <w:tcMar>
              <w:top w:w="15" w:type="dxa"/>
              <w:right w:w="15" w:type="dxa"/>
            </w:tcMar>
          </w:tcPr>
          <w:p w14:paraId="3973FA4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4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w:t>
            </w:r>
            <w:r>
              <w:rPr>
                <w:rFonts w:ascii="Calibri" w:hAnsi="Calibri" w:cs="Calibri"/>
                <w:color w:val="000000"/>
                <w:sz w:val="20"/>
                <w:szCs w:val="20"/>
              </w:rPr>
              <w:t>ation</w:t>
            </w:r>
          </w:p>
        </w:tc>
      </w:tr>
    </w:tbl>
    <w:p w14:paraId="3973FA4A"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110</w:t>
      </w:r>
    </w:p>
    <w:p w14:paraId="3973FA4B" w14:textId="77777777" w:rsidR="007B027D" w:rsidRDefault="008E0125">
      <w:r>
        <w:rPr>
          <w:rFonts w:ascii="Calibri" w:hAnsi="Calibri" w:cs="Calibri"/>
          <w:sz w:val="20"/>
          <w:szCs w:val="20"/>
        </w:rPr>
        <w:pict w14:anchorId="397400A9">
          <v:rect id="_x0000_i1136" style="width:415.3pt;height:1.5pt" o:hralign="center" o:hrstd="t" o:hr="t" fillcolor="#a0a0a0" stroked="f"/>
        </w:pict>
      </w:r>
    </w:p>
    <w:p w14:paraId="3973FA4C" w14:textId="77777777" w:rsidR="007B027D" w:rsidRDefault="008E0125">
      <w:pPr>
        <w:pStyle w:val="a3"/>
        <w:spacing w:beforeAutospacing="0" w:after="120" w:afterAutospacing="0"/>
        <w:rPr>
          <w:rFonts w:ascii="Calibri" w:hAnsi="Calibri" w:cs="Calibri"/>
          <w:sz w:val="18"/>
          <w:szCs w:val="18"/>
        </w:rPr>
      </w:pPr>
      <w:hyperlink r:id="rId265"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A4D" w14:textId="77777777" w:rsidR="007B027D" w:rsidRDefault="008E0125">
      <w:pPr>
        <w:pStyle w:val="a3"/>
        <w:spacing w:beforeAutospacing="0" w:afterAutospacing="0"/>
        <w:rPr>
          <w:rFonts w:ascii="Calibri" w:hAnsi="Calibri" w:cs="Calibri"/>
          <w:sz w:val="18"/>
          <w:szCs w:val="18"/>
        </w:rPr>
      </w:pPr>
      <w:hyperlink r:id="rId266" w:anchor="ITEM_15_EXHIBITS_FINANCIAL_STATEMENT_SCH" w:history="1">
        <w:r>
          <w:rPr>
            <w:rStyle w:val="a5"/>
            <w:rFonts w:ascii="Calibri" w:hAnsi="Calibri" w:cs="Calibri"/>
            <w:sz w:val="18"/>
            <w:szCs w:val="18"/>
          </w:rPr>
          <w:t>Index to Financial Statements</w:t>
        </w:r>
      </w:hyperlink>
    </w:p>
    <w:p w14:paraId="3973FA4E" w14:textId="77777777" w:rsidR="007B027D" w:rsidRDefault="008E012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642"/>
        <w:gridCol w:w="75"/>
        <w:gridCol w:w="718"/>
        <w:gridCol w:w="75"/>
        <w:gridCol w:w="989"/>
        <w:gridCol w:w="75"/>
        <w:gridCol w:w="587"/>
        <w:gridCol w:w="75"/>
        <w:gridCol w:w="778"/>
        <w:gridCol w:w="75"/>
        <w:gridCol w:w="1570"/>
      </w:tblGrid>
      <w:tr w:rsidR="007B027D" w14:paraId="3973FA54" w14:textId="77777777">
        <w:tc>
          <w:tcPr>
            <w:tcW w:w="358" w:type="pct"/>
            <w:shd w:val="clear" w:color="auto" w:fill="FFFFFF"/>
            <w:tcMar>
              <w:top w:w="15" w:type="dxa"/>
              <w:right w:w="15" w:type="dxa"/>
            </w:tcMar>
            <w:vAlign w:val="bottom"/>
          </w:tcPr>
          <w:p w14:paraId="3973FA4F"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A50"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A51"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A52"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A53"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A62" w14:textId="77777777">
        <w:tc>
          <w:tcPr>
            <w:tcW w:w="358" w:type="pct"/>
            <w:tcBorders>
              <w:bottom w:val="single" w:sz="6" w:space="0" w:color="000000"/>
            </w:tcBorders>
            <w:shd w:val="clear" w:color="auto" w:fill="FFFFFF"/>
            <w:tcMar>
              <w:top w:w="15" w:type="dxa"/>
              <w:right w:w="15" w:type="dxa"/>
            </w:tcMar>
            <w:vAlign w:val="bottom"/>
          </w:tcPr>
          <w:p w14:paraId="3973FA55"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A56"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A57"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3" w:type="pct"/>
            <w:shd w:val="clear" w:color="auto" w:fill="FFFFFF"/>
            <w:tcMar>
              <w:top w:w="15" w:type="dxa"/>
              <w:right w:w="15" w:type="dxa"/>
            </w:tcMar>
            <w:vAlign w:val="bottom"/>
          </w:tcPr>
          <w:p w14:paraId="3973FA58"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A59"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A5A"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A5B"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3" w:type="pct"/>
            <w:tcBorders>
              <w:top w:val="single" w:sz="6" w:space="0" w:color="000000"/>
            </w:tcBorders>
            <w:shd w:val="clear" w:color="auto" w:fill="FFFFFF"/>
            <w:tcMar>
              <w:top w:w="15" w:type="dxa"/>
              <w:right w:w="15" w:type="dxa"/>
            </w:tcMar>
            <w:vAlign w:val="bottom"/>
          </w:tcPr>
          <w:p w14:paraId="3973FA5C"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A5D"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A5E"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A5F"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A60"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A61"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A70" w14:textId="77777777">
        <w:tc>
          <w:tcPr>
            <w:tcW w:w="358" w:type="pct"/>
            <w:shd w:val="clear" w:color="auto" w:fill="FFFFFF"/>
            <w:tcMar>
              <w:top w:w="15" w:type="dxa"/>
              <w:right w:w="15" w:type="dxa"/>
            </w:tcMar>
          </w:tcPr>
          <w:p w14:paraId="3973FA6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6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6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6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6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6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6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6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6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6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6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6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6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7E" w14:textId="77777777">
        <w:tc>
          <w:tcPr>
            <w:tcW w:w="358" w:type="pct"/>
            <w:shd w:val="clear" w:color="auto" w:fill="FFFFFF"/>
            <w:tcMar>
              <w:top w:w="15" w:type="dxa"/>
              <w:right w:w="15" w:type="dxa"/>
            </w:tcMar>
          </w:tcPr>
          <w:p w14:paraId="3973FA7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4.07</w:t>
            </w:r>
          </w:p>
        </w:tc>
        <w:tc>
          <w:tcPr>
            <w:tcW w:w="27" w:type="pct"/>
            <w:shd w:val="clear" w:color="auto" w:fill="FFFFFF"/>
            <w:tcMar>
              <w:top w:w="15" w:type="dxa"/>
              <w:right w:w="15" w:type="dxa"/>
            </w:tcMar>
            <w:vAlign w:val="bottom"/>
          </w:tcPr>
          <w:p w14:paraId="3973FA7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73" w14:textId="77777777" w:rsidR="007B027D" w:rsidRDefault="008E0125">
            <w:pPr>
              <w:pStyle w:val="a3"/>
              <w:spacing w:beforeAutospacing="0" w:afterAutospacing="0"/>
              <w:jc w:val="both"/>
              <w:rPr>
                <w:rFonts w:ascii="Calibri" w:hAnsi="Calibri" w:cs="Calibri"/>
                <w:sz w:val="20"/>
                <w:szCs w:val="20"/>
              </w:rPr>
            </w:pPr>
            <w:hyperlink r:id="rId267" w:history="1">
              <w:r>
                <w:rPr>
                  <w:rStyle w:val="a5"/>
                  <w:rFonts w:ascii="Calibri" w:hAnsi="Calibri" w:cs="Calibri"/>
                  <w:sz w:val="20"/>
                  <w:szCs w:val="20"/>
                </w:rPr>
                <w:t>Form of New 2040 Note</w:t>
              </w:r>
            </w:hyperlink>
          </w:p>
        </w:tc>
        <w:tc>
          <w:tcPr>
            <w:tcW w:w="33" w:type="pct"/>
            <w:shd w:val="clear" w:color="auto" w:fill="FFFFFF"/>
            <w:tcMar>
              <w:top w:w="15" w:type="dxa"/>
              <w:right w:w="15" w:type="dxa"/>
            </w:tcMar>
            <w:vAlign w:val="bottom"/>
          </w:tcPr>
          <w:p w14:paraId="3973FA7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7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S-4</w:t>
            </w:r>
          </w:p>
        </w:tc>
        <w:tc>
          <w:tcPr>
            <w:tcW w:w="33" w:type="pct"/>
            <w:shd w:val="clear" w:color="auto" w:fill="FFFFFF"/>
            <w:tcMar>
              <w:top w:w="15" w:type="dxa"/>
              <w:right w:w="15" w:type="dxa"/>
            </w:tcMar>
            <w:vAlign w:val="bottom"/>
          </w:tcPr>
          <w:p w14:paraId="3973FA76"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7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333-176405</w:t>
            </w:r>
          </w:p>
        </w:tc>
        <w:tc>
          <w:tcPr>
            <w:tcW w:w="33" w:type="pct"/>
            <w:shd w:val="clear" w:color="auto" w:fill="FFFFFF"/>
            <w:tcMar>
              <w:top w:w="15" w:type="dxa"/>
              <w:right w:w="15" w:type="dxa"/>
            </w:tcMar>
          </w:tcPr>
          <w:p w14:paraId="3973FA7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7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4.5</w:t>
            </w:r>
          </w:p>
        </w:tc>
        <w:tc>
          <w:tcPr>
            <w:tcW w:w="33" w:type="pct"/>
            <w:shd w:val="clear" w:color="auto" w:fill="FFFFFF"/>
            <w:tcMar>
              <w:top w:w="15" w:type="dxa"/>
              <w:right w:w="15" w:type="dxa"/>
            </w:tcMar>
          </w:tcPr>
          <w:p w14:paraId="3973FA7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7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8/19/11</w:t>
            </w:r>
          </w:p>
        </w:tc>
        <w:tc>
          <w:tcPr>
            <w:tcW w:w="33" w:type="pct"/>
            <w:shd w:val="clear" w:color="auto" w:fill="FFFFFF"/>
            <w:tcMar>
              <w:top w:w="15" w:type="dxa"/>
              <w:right w:w="15" w:type="dxa"/>
            </w:tcMar>
          </w:tcPr>
          <w:p w14:paraId="3973FA7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7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8C" w14:textId="77777777">
        <w:tc>
          <w:tcPr>
            <w:tcW w:w="358" w:type="pct"/>
            <w:shd w:val="clear" w:color="auto" w:fill="FFFFFF"/>
            <w:tcMar>
              <w:top w:w="15" w:type="dxa"/>
              <w:right w:w="15" w:type="dxa"/>
            </w:tcMar>
          </w:tcPr>
          <w:p w14:paraId="3973FA7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8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8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8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8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8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8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8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8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8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8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8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8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9A" w14:textId="77777777">
        <w:tc>
          <w:tcPr>
            <w:tcW w:w="358" w:type="pct"/>
            <w:shd w:val="clear" w:color="auto" w:fill="FFFFFF"/>
            <w:tcMar>
              <w:top w:w="15" w:type="dxa"/>
              <w:right w:w="15" w:type="dxa"/>
            </w:tcMar>
          </w:tcPr>
          <w:p w14:paraId="3973FA8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27" w:type="pct"/>
            <w:shd w:val="clear" w:color="auto" w:fill="FFFFFF"/>
            <w:tcMar>
              <w:top w:w="15" w:type="dxa"/>
              <w:right w:w="15" w:type="dxa"/>
            </w:tcMar>
            <w:vAlign w:val="bottom"/>
          </w:tcPr>
          <w:p w14:paraId="3973FA8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8F" w14:textId="77777777" w:rsidR="007B027D" w:rsidRDefault="008E0125">
            <w:pPr>
              <w:pStyle w:val="a3"/>
              <w:spacing w:beforeAutospacing="0" w:afterAutospacing="0"/>
              <w:jc w:val="both"/>
              <w:rPr>
                <w:rFonts w:ascii="Calibri" w:hAnsi="Calibri" w:cs="Calibri"/>
                <w:sz w:val="20"/>
                <w:szCs w:val="20"/>
              </w:rPr>
            </w:pPr>
            <w:hyperlink r:id="rId268" w:history="1">
              <w:r>
                <w:rPr>
                  <w:rStyle w:val="a5"/>
                  <w:rFonts w:ascii="Calibri" w:hAnsi="Calibri" w:cs="Calibri"/>
                  <w:sz w:val="20"/>
                  <w:szCs w:val="20"/>
                </w:rPr>
                <w:t>Form of 2.50% Note due 2022, together with Officers’ Certificate issued October 25, 2012 setting forth the terms of the Note</w:t>
              </w:r>
            </w:hyperlink>
          </w:p>
        </w:tc>
        <w:tc>
          <w:tcPr>
            <w:tcW w:w="33" w:type="pct"/>
            <w:shd w:val="clear" w:color="auto" w:fill="FFFFFF"/>
            <w:tcMar>
              <w:top w:w="15" w:type="dxa"/>
              <w:right w:w="15" w:type="dxa"/>
            </w:tcMar>
            <w:vAlign w:val="bottom"/>
          </w:tcPr>
          <w:p w14:paraId="3973FA9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9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92"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9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A9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9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4.10</w:t>
            </w:r>
          </w:p>
        </w:tc>
        <w:tc>
          <w:tcPr>
            <w:tcW w:w="33" w:type="pct"/>
            <w:shd w:val="clear" w:color="auto" w:fill="FFFFFF"/>
            <w:tcMar>
              <w:top w:w="15" w:type="dxa"/>
              <w:right w:w="15" w:type="dxa"/>
            </w:tcMar>
          </w:tcPr>
          <w:p w14:paraId="3973FA9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9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10/2</w:t>
            </w:r>
            <w:r>
              <w:rPr>
                <w:rFonts w:ascii="Calibri" w:hAnsi="Calibri" w:cs="Calibri"/>
                <w:color w:val="000000"/>
                <w:sz w:val="20"/>
                <w:szCs w:val="20"/>
              </w:rPr>
              <w:t>5/12</w:t>
            </w:r>
          </w:p>
        </w:tc>
        <w:tc>
          <w:tcPr>
            <w:tcW w:w="33" w:type="pct"/>
            <w:shd w:val="clear" w:color="auto" w:fill="FFFFFF"/>
            <w:tcMar>
              <w:top w:w="15" w:type="dxa"/>
              <w:right w:w="15" w:type="dxa"/>
            </w:tcMar>
          </w:tcPr>
          <w:p w14:paraId="3973FA9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9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A8" w14:textId="77777777">
        <w:tc>
          <w:tcPr>
            <w:tcW w:w="358" w:type="pct"/>
            <w:shd w:val="clear" w:color="auto" w:fill="FFFFFF"/>
            <w:tcMar>
              <w:top w:w="15" w:type="dxa"/>
              <w:right w:w="15" w:type="dxa"/>
            </w:tcMar>
          </w:tcPr>
          <w:p w14:paraId="3973FA9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9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9D"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9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9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A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A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A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A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A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A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A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A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B6" w14:textId="77777777">
        <w:tc>
          <w:tcPr>
            <w:tcW w:w="358" w:type="pct"/>
            <w:shd w:val="clear" w:color="auto" w:fill="FFFFFF"/>
            <w:tcMar>
              <w:top w:w="15" w:type="dxa"/>
              <w:right w:w="15" w:type="dxa"/>
            </w:tcMar>
          </w:tcPr>
          <w:p w14:paraId="3973FAA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4.09</w:t>
            </w:r>
          </w:p>
        </w:tc>
        <w:tc>
          <w:tcPr>
            <w:tcW w:w="27" w:type="pct"/>
            <w:shd w:val="clear" w:color="auto" w:fill="FFFFFF"/>
            <w:tcMar>
              <w:top w:w="15" w:type="dxa"/>
              <w:right w:w="15" w:type="dxa"/>
            </w:tcMar>
            <w:vAlign w:val="bottom"/>
          </w:tcPr>
          <w:p w14:paraId="3973FAA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AB" w14:textId="77777777" w:rsidR="007B027D" w:rsidRDefault="008E0125">
            <w:pPr>
              <w:pStyle w:val="a3"/>
              <w:spacing w:beforeAutospacing="0" w:afterAutospacing="0"/>
              <w:jc w:val="both"/>
              <w:rPr>
                <w:rFonts w:ascii="Calibri" w:hAnsi="Calibri" w:cs="Calibri"/>
                <w:sz w:val="20"/>
                <w:szCs w:val="20"/>
              </w:rPr>
            </w:pPr>
            <w:hyperlink r:id="rId269" w:history="1">
              <w:r>
                <w:rPr>
                  <w:rStyle w:val="a5"/>
                  <w:rFonts w:ascii="Calibri" w:hAnsi="Calibri" w:cs="Calibri"/>
                  <w:sz w:val="20"/>
                  <w:szCs w:val="20"/>
                </w:rPr>
                <w:t xml:space="preserve">Form of 3.125% Note due 2025, together with Officers’ Certificate issued July 10, 2013 </w:t>
              </w:r>
              <w:r>
                <w:rPr>
                  <w:rStyle w:val="a5"/>
                  <w:rFonts w:ascii="Calibri" w:hAnsi="Calibri" w:cs="Calibri"/>
                  <w:sz w:val="20"/>
                  <w:szCs w:val="20"/>
                </w:rPr>
                <w:t>setting forth the terms of the Note</w:t>
              </w:r>
            </w:hyperlink>
          </w:p>
        </w:tc>
        <w:tc>
          <w:tcPr>
            <w:tcW w:w="33" w:type="pct"/>
            <w:shd w:val="clear" w:color="auto" w:fill="FFFFFF"/>
            <w:tcMar>
              <w:top w:w="15" w:type="dxa"/>
              <w:right w:w="15" w:type="dxa"/>
            </w:tcMar>
            <w:vAlign w:val="bottom"/>
          </w:tcPr>
          <w:p w14:paraId="3973FAA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A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AE"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A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AB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B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4.11</w:t>
            </w:r>
          </w:p>
        </w:tc>
        <w:tc>
          <w:tcPr>
            <w:tcW w:w="33" w:type="pct"/>
            <w:shd w:val="clear" w:color="auto" w:fill="FFFFFF"/>
            <w:tcMar>
              <w:top w:w="15" w:type="dxa"/>
              <w:right w:w="15" w:type="dxa"/>
            </w:tcMar>
          </w:tcPr>
          <w:p w14:paraId="3973FAB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B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7/10/13</w:t>
            </w:r>
          </w:p>
        </w:tc>
        <w:tc>
          <w:tcPr>
            <w:tcW w:w="33" w:type="pct"/>
            <w:shd w:val="clear" w:color="auto" w:fill="FFFFFF"/>
            <w:tcMar>
              <w:top w:w="15" w:type="dxa"/>
              <w:right w:w="15" w:type="dxa"/>
            </w:tcMar>
          </w:tcPr>
          <w:p w14:paraId="3973FAB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B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C4" w14:textId="77777777">
        <w:tc>
          <w:tcPr>
            <w:tcW w:w="358" w:type="pct"/>
            <w:shd w:val="clear" w:color="auto" w:fill="FFFFFF"/>
            <w:tcMar>
              <w:top w:w="15" w:type="dxa"/>
              <w:right w:w="15" w:type="dxa"/>
            </w:tcMar>
          </w:tcPr>
          <w:p w14:paraId="3973FAB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B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B9"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B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B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B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B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B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B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C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C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C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C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D2" w14:textId="77777777">
        <w:tc>
          <w:tcPr>
            <w:tcW w:w="358" w:type="pct"/>
            <w:shd w:val="clear" w:color="auto" w:fill="FFFFFF"/>
            <w:tcMar>
              <w:top w:w="15" w:type="dxa"/>
              <w:right w:w="15" w:type="dxa"/>
            </w:tcMar>
          </w:tcPr>
          <w:p w14:paraId="3973FAC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4.10</w:t>
            </w:r>
          </w:p>
        </w:tc>
        <w:tc>
          <w:tcPr>
            <w:tcW w:w="27" w:type="pct"/>
            <w:shd w:val="clear" w:color="auto" w:fill="FFFFFF"/>
            <w:tcMar>
              <w:top w:w="15" w:type="dxa"/>
              <w:right w:w="15" w:type="dxa"/>
            </w:tcMar>
            <w:vAlign w:val="bottom"/>
          </w:tcPr>
          <w:p w14:paraId="3973FAC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C7" w14:textId="77777777" w:rsidR="007B027D" w:rsidRDefault="008E0125">
            <w:pPr>
              <w:pStyle w:val="a3"/>
              <w:spacing w:beforeAutospacing="0" w:afterAutospacing="0"/>
              <w:jc w:val="both"/>
              <w:rPr>
                <w:rFonts w:ascii="Calibri" w:hAnsi="Calibri" w:cs="Calibri"/>
                <w:sz w:val="20"/>
                <w:szCs w:val="20"/>
              </w:rPr>
            </w:pPr>
            <w:hyperlink r:id="rId270" w:history="1">
              <w:r>
                <w:rPr>
                  <w:rStyle w:val="a5"/>
                  <w:rFonts w:ascii="Calibri" w:hAnsi="Calibri" w:cs="Calibri"/>
                  <w:sz w:val="20"/>
                  <w:szCs w:val="20"/>
                </w:rPr>
                <w:t>Form of 3.625% Note due 2023, together with Officers’ Certificate issued July 16, 2013 setting forth the terms of the Note</w:t>
              </w:r>
            </w:hyperlink>
          </w:p>
        </w:tc>
        <w:tc>
          <w:tcPr>
            <w:tcW w:w="33" w:type="pct"/>
            <w:shd w:val="clear" w:color="auto" w:fill="FFFFFF"/>
            <w:tcMar>
              <w:top w:w="15" w:type="dxa"/>
              <w:right w:w="15" w:type="dxa"/>
            </w:tcMar>
            <w:vAlign w:val="bottom"/>
          </w:tcPr>
          <w:p w14:paraId="3973FAC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C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CA"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C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AC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C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w:t>
            </w:r>
          </w:p>
        </w:tc>
        <w:tc>
          <w:tcPr>
            <w:tcW w:w="33" w:type="pct"/>
            <w:shd w:val="clear" w:color="auto" w:fill="FFFFFF"/>
            <w:tcMar>
              <w:top w:w="15" w:type="dxa"/>
              <w:right w:w="15" w:type="dxa"/>
            </w:tcMar>
          </w:tcPr>
          <w:p w14:paraId="3973FAC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C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7/16/13</w:t>
            </w:r>
          </w:p>
        </w:tc>
        <w:tc>
          <w:tcPr>
            <w:tcW w:w="33" w:type="pct"/>
            <w:shd w:val="clear" w:color="auto" w:fill="FFFFFF"/>
            <w:tcMar>
              <w:top w:w="15" w:type="dxa"/>
              <w:right w:w="15" w:type="dxa"/>
            </w:tcMar>
          </w:tcPr>
          <w:p w14:paraId="3973FAD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D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E0" w14:textId="77777777">
        <w:tc>
          <w:tcPr>
            <w:tcW w:w="358" w:type="pct"/>
            <w:shd w:val="clear" w:color="auto" w:fill="FFFFFF"/>
            <w:tcMar>
              <w:top w:w="15" w:type="dxa"/>
              <w:right w:w="15" w:type="dxa"/>
            </w:tcMar>
          </w:tcPr>
          <w:p w14:paraId="3973FAD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D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D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D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D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D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D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D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D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D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D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D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D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AEE" w14:textId="77777777">
        <w:tc>
          <w:tcPr>
            <w:tcW w:w="358" w:type="pct"/>
            <w:shd w:val="clear" w:color="auto" w:fill="FFFFFF"/>
            <w:tcMar>
              <w:top w:w="15" w:type="dxa"/>
              <w:right w:w="15" w:type="dxa"/>
            </w:tcMar>
          </w:tcPr>
          <w:p w14:paraId="3973FAE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4.11</w:t>
            </w:r>
          </w:p>
        </w:tc>
        <w:tc>
          <w:tcPr>
            <w:tcW w:w="27" w:type="pct"/>
            <w:shd w:val="clear" w:color="auto" w:fill="FFFFFF"/>
            <w:tcMar>
              <w:top w:w="15" w:type="dxa"/>
              <w:right w:w="15" w:type="dxa"/>
            </w:tcMar>
            <w:vAlign w:val="bottom"/>
          </w:tcPr>
          <w:p w14:paraId="3973FAE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E3" w14:textId="77777777" w:rsidR="007B027D" w:rsidRDefault="008E0125">
            <w:pPr>
              <w:pStyle w:val="a3"/>
              <w:spacing w:beforeAutospacing="0" w:afterAutospacing="0"/>
              <w:jc w:val="both"/>
              <w:rPr>
                <w:rFonts w:ascii="Calibri" w:hAnsi="Calibri" w:cs="Calibri"/>
                <w:sz w:val="20"/>
                <w:szCs w:val="20"/>
              </w:rPr>
            </w:pPr>
            <w:hyperlink r:id="rId271" w:history="1">
              <w:r>
                <w:rPr>
                  <w:rStyle w:val="a5"/>
                  <w:rFonts w:ascii="Calibri" w:hAnsi="Calibri" w:cs="Calibri"/>
                  <w:sz w:val="20"/>
                  <w:szCs w:val="20"/>
                </w:rPr>
                <w:t>Forms of 3.40% Note due 2024, 4.30% Note due 2034 and 4.50% Note due 2044, together with Officers’ Certificate issued July 8, 2014 setting forth the terms of t</w:t>
              </w:r>
              <w:r>
                <w:rPr>
                  <w:rStyle w:val="a5"/>
                  <w:rFonts w:ascii="Calibri" w:hAnsi="Calibri" w:cs="Calibri"/>
                  <w:sz w:val="20"/>
                  <w:szCs w:val="20"/>
                </w:rPr>
                <w:t>he Notes</w:t>
              </w:r>
            </w:hyperlink>
          </w:p>
        </w:tc>
        <w:tc>
          <w:tcPr>
            <w:tcW w:w="33" w:type="pct"/>
            <w:shd w:val="clear" w:color="auto" w:fill="FFFFFF"/>
            <w:tcMar>
              <w:top w:w="15" w:type="dxa"/>
              <w:right w:w="15" w:type="dxa"/>
            </w:tcMar>
            <w:vAlign w:val="bottom"/>
          </w:tcPr>
          <w:p w14:paraId="3973FAE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AE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AE6"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AE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AE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E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33" w:type="pct"/>
            <w:shd w:val="clear" w:color="auto" w:fill="FFFFFF"/>
            <w:tcMar>
              <w:top w:w="15" w:type="dxa"/>
              <w:right w:w="15" w:type="dxa"/>
            </w:tcMar>
          </w:tcPr>
          <w:p w14:paraId="3973FAE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E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7/8/14</w:t>
            </w:r>
          </w:p>
        </w:tc>
        <w:tc>
          <w:tcPr>
            <w:tcW w:w="33" w:type="pct"/>
            <w:shd w:val="clear" w:color="auto" w:fill="FFFFFF"/>
            <w:tcMar>
              <w:top w:w="15" w:type="dxa"/>
              <w:right w:w="15" w:type="dxa"/>
            </w:tcMar>
          </w:tcPr>
          <w:p w14:paraId="3973FAE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E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AFC" w14:textId="77777777">
        <w:tc>
          <w:tcPr>
            <w:tcW w:w="358" w:type="pct"/>
            <w:shd w:val="clear" w:color="auto" w:fill="FFFFFF"/>
            <w:tcMar>
              <w:top w:w="15" w:type="dxa"/>
              <w:right w:w="15" w:type="dxa"/>
            </w:tcMar>
          </w:tcPr>
          <w:p w14:paraId="3973FAE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AF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AF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F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AF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AF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AF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F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AF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F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AF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AF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AF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0A" w14:textId="77777777">
        <w:tc>
          <w:tcPr>
            <w:tcW w:w="358" w:type="pct"/>
            <w:shd w:val="clear" w:color="auto" w:fill="FFFFFF"/>
            <w:tcMar>
              <w:top w:w="15" w:type="dxa"/>
              <w:right w:w="15" w:type="dxa"/>
            </w:tcMar>
          </w:tcPr>
          <w:p w14:paraId="3973FAF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w:t>
            </w:r>
          </w:p>
        </w:tc>
        <w:tc>
          <w:tcPr>
            <w:tcW w:w="27" w:type="pct"/>
            <w:shd w:val="clear" w:color="auto" w:fill="FFFFFF"/>
            <w:tcMar>
              <w:top w:w="15" w:type="dxa"/>
              <w:right w:w="15" w:type="dxa"/>
            </w:tcMar>
            <w:vAlign w:val="bottom"/>
          </w:tcPr>
          <w:p w14:paraId="3973FAF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AFF" w14:textId="77777777" w:rsidR="007B027D" w:rsidRDefault="008E0125">
            <w:pPr>
              <w:pStyle w:val="a3"/>
              <w:spacing w:beforeAutospacing="0" w:afterAutospacing="0"/>
              <w:jc w:val="both"/>
              <w:rPr>
                <w:rFonts w:ascii="Calibri" w:hAnsi="Calibri" w:cs="Calibri"/>
                <w:sz w:val="20"/>
                <w:szCs w:val="20"/>
              </w:rPr>
            </w:pPr>
            <w:hyperlink r:id="rId272" w:history="1">
              <w:r>
                <w:rPr>
                  <w:rStyle w:val="a5"/>
                  <w:rFonts w:ascii="Calibri" w:hAnsi="Calibri" w:cs="Calibri"/>
                  <w:sz w:val="20"/>
                  <w:szCs w:val="20"/>
                </w:rPr>
                <w:t>Forms of 2.50% Notes due 2022, 2.95% Notes due 2025, 3.25% Notes due 2030, 3.90% Notes due 2035, 4.125% Notes due 2045 and 4.375% Notes due 2055, together with</w:t>
              </w:r>
              <w:r>
                <w:rPr>
                  <w:rStyle w:val="a5"/>
                  <w:rFonts w:ascii="Calibri" w:hAnsi="Calibri" w:cs="Calibri"/>
                  <w:sz w:val="20"/>
                  <w:szCs w:val="20"/>
                </w:rPr>
                <w:t xml:space="preserve"> Officers’ Certificate issued May 5, 2015 setting forth the terms of the Notes</w:t>
              </w:r>
            </w:hyperlink>
          </w:p>
        </w:tc>
        <w:tc>
          <w:tcPr>
            <w:tcW w:w="33" w:type="pct"/>
            <w:shd w:val="clear" w:color="auto" w:fill="FFFFFF"/>
            <w:tcMar>
              <w:top w:w="15" w:type="dxa"/>
              <w:right w:w="15" w:type="dxa"/>
            </w:tcMar>
            <w:vAlign w:val="bottom"/>
          </w:tcPr>
          <w:p w14:paraId="3973FB0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B0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B02"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B0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0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0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33" w:type="pct"/>
            <w:shd w:val="clear" w:color="auto" w:fill="FFFFFF"/>
            <w:tcMar>
              <w:top w:w="15" w:type="dxa"/>
              <w:right w:w="15" w:type="dxa"/>
            </w:tcMar>
          </w:tcPr>
          <w:p w14:paraId="3973FB0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0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5/5/15</w:t>
            </w:r>
          </w:p>
        </w:tc>
        <w:tc>
          <w:tcPr>
            <w:tcW w:w="33" w:type="pct"/>
            <w:shd w:val="clear" w:color="auto" w:fill="FFFFFF"/>
            <w:tcMar>
              <w:top w:w="15" w:type="dxa"/>
              <w:right w:w="15" w:type="dxa"/>
            </w:tcMar>
          </w:tcPr>
          <w:p w14:paraId="3973FB0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0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18" w14:textId="77777777">
        <w:tc>
          <w:tcPr>
            <w:tcW w:w="358" w:type="pct"/>
            <w:shd w:val="clear" w:color="auto" w:fill="FFFFFF"/>
            <w:tcMar>
              <w:top w:w="15" w:type="dxa"/>
              <w:right w:w="15" w:type="dxa"/>
            </w:tcMar>
          </w:tcPr>
          <w:p w14:paraId="3973FB0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0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0D"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B0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0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1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1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1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1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1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1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1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1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26" w14:textId="77777777">
        <w:tc>
          <w:tcPr>
            <w:tcW w:w="358" w:type="pct"/>
            <w:shd w:val="clear" w:color="auto" w:fill="FFFFFF"/>
            <w:tcMar>
              <w:top w:w="15" w:type="dxa"/>
              <w:right w:w="15" w:type="dxa"/>
            </w:tcMar>
          </w:tcPr>
          <w:p w14:paraId="3973FB1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27" w:type="pct"/>
            <w:shd w:val="clear" w:color="auto" w:fill="FFFFFF"/>
            <w:tcMar>
              <w:top w:w="15" w:type="dxa"/>
              <w:right w:w="15" w:type="dxa"/>
            </w:tcMar>
            <w:vAlign w:val="bottom"/>
          </w:tcPr>
          <w:p w14:paraId="3973FB1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B1B" w14:textId="77777777" w:rsidR="007B027D" w:rsidRDefault="008E0125">
            <w:pPr>
              <w:pStyle w:val="a3"/>
              <w:spacing w:beforeAutospacing="0" w:afterAutospacing="0"/>
              <w:jc w:val="both"/>
              <w:rPr>
                <w:rFonts w:ascii="Calibri" w:hAnsi="Calibri" w:cs="Calibri"/>
                <w:sz w:val="20"/>
                <w:szCs w:val="20"/>
              </w:rPr>
            </w:pPr>
            <w:hyperlink r:id="rId273" w:history="1">
              <w:r>
                <w:rPr>
                  <w:rStyle w:val="a5"/>
                  <w:rFonts w:ascii="Calibri" w:hAnsi="Calibri" w:cs="Calibri"/>
                  <w:sz w:val="20"/>
                  <w:szCs w:val="20"/>
                </w:rPr>
                <w:t>Forms of 2.40% Notes due 2023, 2.65% Notes due 2026, 3.85% Notes due 2036 and 4.00% Notes due 2046, together with Officers’ Certificate issued July 7, 2016 s</w:t>
              </w:r>
              <w:r>
                <w:rPr>
                  <w:rStyle w:val="a5"/>
                  <w:rFonts w:ascii="Calibri" w:hAnsi="Calibri" w:cs="Calibri"/>
                  <w:sz w:val="20"/>
                  <w:szCs w:val="20"/>
                </w:rPr>
                <w:t>etting forth the terms of the Notes</w:t>
              </w:r>
            </w:hyperlink>
          </w:p>
        </w:tc>
        <w:tc>
          <w:tcPr>
            <w:tcW w:w="33" w:type="pct"/>
            <w:shd w:val="clear" w:color="auto" w:fill="FFFFFF"/>
            <w:tcMar>
              <w:top w:w="15" w:type="dxa"/>
              <w:right w:w="15" w:type="dxa"/>
            </w:tcMar>
            <w:vAlign w:val="bottom"/>
          </w:tcPr>
          <w:p w14:paraId="3973FB1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B1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B1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1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2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2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3" w:type="pct"/>
            <w:shd w:val="clear" w:color="auto" w:fill="FFFFFF"/>
            <w:tcMar>
              <w:top w:w="15" w:type="dxa"/>
              <w:right w:w="15" w:type="dxa"/>
            </w:tcMar>
          </w:tcPr>
          <w:p w14:paraId="3973FB2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2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7/7/16</w:t>
            </w:r>
          </w:p>
        </w:tc>
        <w:tc>
          <w:tcPr>
            <w:tcW w:w="33" w:type="pct"/>
            <w:shd w:val="clear" w:color="auto" w:fill="FFFFFF"/>
            <w:tcMar>
              <w:top w:w="15" w:type="dxa"/>
              <w:right w:w="15" w:type="dxa"/>
            </w:tcMar>
          </w:tcPr>
          <w:p w14:paraId="3973FB2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2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34" w14:textId="77777777">
        <w:tc>
          <w:tcPr>
            <w:tcW w:w="358" w:type="pct"/>
            <w:shd w:val="clear" w:color="auto" w:fill="FFFFFF"/>
            <w:tcMar>
              <w:top w:w="15" w:type="dxa"/>
              <w:right w:w="15" w:type="dxa"/>
            </w:tcMar>
          </w:tcPr>
          <w:p w14:paraId="3973FB2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2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29"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2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2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2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2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2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2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3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3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3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3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42" w14:textId="77777777">
        <w:trPr>
          <w:trHeight w:val="318"/>
        </w:trPr>
        <w:tc>
          <w:tcPr>
            <w:tcW w:w="358" w:type="pct"/>
            <w:shd w:val="clear" w:color="auto" w:fill="FFFFFF"/>
            <w:tcMar>
              <w:top w:w="15" w:type="dxa"/>
              <w:right w:w="15" w:type="dxa"/>
            </w:tcMar>
          </w:tcPr>
          <w:p w14:paraId="3973FB3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4.14</w:t>
            </w:r>
          </w:p>
        </w:tc>
        <w:tc>
          <w:tcPr>
            <w:tcW w:w="27" w:type="pct"/>
            <w:shd w:val="clear" w:color="auto" w:fill="FFFFFF"/>
            <w:tcMar>
              <w:top w:w="15" w:type="dxa"/>
              <w:right w:w="15" w:type="dxa"/>
            </w:tcMar>
            <w:vAlign w:val="bottom"/>
          </w:tcPr>
          <w:p w14:paraId="3973FB3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37" w14:textId="77777777" w:rsidR="007B027D" w:rsidRDefault="008E0125">
            <w:pPr>
              <w:pStyle w:val="a3"/>
              <w:spacing w:beforeAutospacing="0" w:afterAutospacing="0"/>
              <w:jc w:val="both"/>
              <w:rPr>
                <w:rFonts w:ascii="Calibri" w:hAnsi="Calibri" w:cs="Calibri"/>
                <w:sz w:val="20"/>
                <w:szCs w:val="20"/>
              </w:rPr>
            </w:pPr>
            <w:hyperlink r:id="rId274" w:history="1">
              <w:r>
                <w:rPr>
                  <w:rStyle w:val="a5"/>
                  <w:rFonts w:ascii="Calibri" w:hAnsi="Calibri" w:cs="Calibri"/>
                  <w:sz w:val="20"/>
                  <w:szCs w:val="20"/>
                </w:rPr>
                <w:t>Forms of 2.625% Notes due 2023, 2.950% Notes due 2024, 3.250% Notes due 2027, 3.800% Notes due 2037 and 4.000% Notes due 2047, together with Officers’ Certif</w:t>
              </w:r>
              <w:r>
                <w:rPr>
                  <w:rStyle w:val="a5"/>
                  <w:rFonts w:ascii="Calibri" w:hAnsi="Calibri" w:cs="Calibri"/>
                  <w:sz w:val="20"/>
                  <w:szCs w:val="20"/>
                </w:rPr>
                <w:t>icate issued November 9, 2017 setting forth the terms of the Notes</w:t>
              </w:r>
            </w:hyperlink>
          </w:p>
        </w:tc>
        <w:tc>
          <w:tcPr>
            <w:tcW w:w="33" w:type="pct"/>
            <w:shd w:val="clear" w:color="auto" w:fill="FFFFFF"/>
            <w:tcMar>
              <w:top w:w="15" w:type="dxa"/>
              <w:right w:w="15" w:type="dxa"/>
            </w:tcMar>
            <w:vAlign w:val="bottom"/>
          </w:tcPr>
          <w:p w14:paraId="3973FB3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3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B3A"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3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3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3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3" w:type="pct"/>
            <w:shd w:val="clear" w:color="auto" w:fill="FFFFFF"/>
            <w:tcMar>
              <w:top w:w="15" w:type="dxa"/>
              <w:right w:w="15" w:type="dxa"/>
            </w:tcMar>
          </w:tcPr>
          <w:p w14:paraId="3973FB3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3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11/9/17</w:t>
            </w:r>
          </w:p>
        </w:tc>
        <w:tc>
          <w:tcPr>
            <w:tcW w:w="33" w:type="pct"/>
            <w:shd w:val="clear" w:color="auto" w:fill="FFFFFF"/>
            <w:tcMar>
              <w:top w:w="15" w:type="dxa"/>
              <w:right w:w="15" w:type="dxa"/>
            </w:tcMar>
          </w:tcPr>
          <w:p w14:paraId="3973FB4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4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3973FB43"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111</w:t>
      </w:r>
    </w:p>
    <w:p w14:paraId="3973FB44" w14:textId="77777777" w:rsidR="007B027D" w:rsidRDefault="008E0125">
      <w:r>
        <w:rPr>
          <w:rFonts w:ascii="Calibri" w:hAnsi="Calibri" w:cs="Calibri"/>
          <w:sz w:val="20"/>
          <w:szCs w:val="20"/>
        </w:rPr>
        <w:pict w14:anchorId="397400AA">
          <v:rect id="_x0000_i1137" style="width:415.3pt;height:1.5pt" o:hralign="center" o:hrstd="t" o:hr="t" fillcolor="#a0a0a0" stroked="f"/>
        </w:pict>
      </w:r>
    </w:p>
    <w:p w14:paraId="3973FB45" w14:textId="77777777" w:rsidR="007B027D" w:rsidRDefault="008E0125">
      <w:pPr>
        <w:pStyle w:val="a3"/>
        <w:spacing w:beforeAutospacing="0" w:after="120" w:afterAutospacing="0"/>
        <w:rPr>
          <w:rFonts w:ascii="Calibri" w:hAnsi="Calibri" w:cs="Calibri"/>
          <w:sz w:val="18"/>
          <w:szCs w:val="18"/>
        </w:rPr>
      </w:pPr>
      <w:hyperlink r:id="rId275"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B46" w14:textId="77777777" w:rsidR="007B027D" w:rsidRDefault="008E0125">
      <w:pPr>
        <w:pStyle w:val="a3"/>
        <w:spacing w:beforeAutospacing="0" w:afterAutospacing="0"/>
        <w:rPr>
          <w:rFonts w:ascii="Calibri" w:hAnsi="Calibri" w:cs="Calibri"/>
          <w:sz w:val="18"/>
          <w:szCs w:val="18"/>
        </w:rPr>
      </w:pPr>
      <w:hyperlink r:id="rId276" w:anchor="ITEM_15_EXHIBITS_FINANCIAL_STATEMENT_SCH" w:history="1">
        <w:r>
          <w:rPr>
            <w:rStyle w:val="a5"/>
            <w:rFonts w:ascii="Calibri" w:hAnsi="Calibri" w:cs="Calibri"/>
            <w:sz w:val="18"/>
            <w:szCs w:val="18"/>
          </w:rPr>
          <w:t>Index to Financial Statements</w:t>
        </w:r>
      </w:hyperlink>
    </w:p>
    <w:p w14:paraId="3973FB47" w14:textId="77777777" w:rsidR="007B027D" w:rsidRDefault="008E012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671"/>
        <w:gridCol w:w="75"/>
        <w:gridCol w:w="2727"/>
        <w:gridCol w:w="75"/>
        <w:gridCol w:w="650"/>
        <w:gridCol w:w="75"/>
        <w:gridCol w:w="888"/>
        <w:gridCol w:w="75"/>
        <w:gridCol w:w="587"/>
        <w:gridCol w:w="75"/>
        <w:gridCol w:w="778"/>
        <w:gridCol w:w="75"/>
        <w:gridCol w:w="1570"/>
      </w:tblGrid>
      <w:tr w:rsidR="007B027D" w14:paraId="3973FB4D" w14:textId="77777777">
        <w:tc>
          <w:tcPr>
            <w:tcW w:w="358" w:type="pct"/>
            <w:shd w:val="clear" w:color="auto" w:fill="FFFFFF"/>
            <w:tcMar>
              <w:top w:w="15" w:type="dxa"/>
              <w:right w:w="15" w:type="dxa"/>
            </w:tcMar>
            <w:vAlign w:val="bottom"/>
          </w:tcPr>
          <w:p w14:paraId="3973FB48"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B49"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B4A"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B4B"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B4C"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B5B" w14:textId="77777777">
        <w:tc>
          <w:tcPr>
            <w:tcW w:w="358" w:type="pct"/>
            <w:tcBorders>
              <w:bottom w:val="single" w:sz="6" w:space="0" w:color="000000"/>
            </w:tcBorders>
            <w:shd w:val="clear" w:color="auto" w:fill="FFFFFF"/>
            <w:tcMar>
              <w:top w:w="15" w:type="dxa"/>
              <w:right w:w="15" w:type="dxa"/>
            </w:tcMar>
            <w:vAlign w:val="bottom"/>
          </w:tcPr>
          <w:p w14:paraId="3973FB4E"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B4F"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B50"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3" w:type="pct"/>
            <w:shd w:val="clear" w:color="auto" w:fill="FFFFFF"/>
            <w:tcMar>
              <w:top w:w="15" w:type="dxa"/>
              <w:right w:w="15" w:type="dxa"/>
            </w:tcMar>
            <w:vAlign w:val="bottom"/>
          </w:tcPr>
          <w:p w14:paraId="3973FB51"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B52"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B53"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B54"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3" w:type="pct"/>
            <w:tcBorders>
              <w:top w:val="single" w:sz="6" w:space="0" w:color="000000"/>
            </w:tcBorders>
            <w:shd w:val="clear" w:color="auto" w:fill="FFFFFF"/>
            <w:tcMar>
              <w:top w:w="15" w:type="dxa"/>
              <w:right w:w="15" w:type="dxa"/>
            </w:tcMar>
            <w:vAlign w:val="bottom"/>
          </w:tcPr>
          <w:p w14:paraId="3973FB55"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B56"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B57"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B58"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B59"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B5A"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B69" w14:textId="77777777">
        <w:tc>
          <w:tcPr>
            <w:tcW w:w="358" w:type="pct"/>
            <w:shd w:val="clear" w:color="auto" w:fill="FFFFFF"/>
            <w:tcMar>
              <w:top w:w="15" w:type="dxa"/>
              <w:right w:w="15" w:type="dxa"/>
            </w:tcMar>
          </w:tcPr>
          <w:p w14:paraId="3973FB5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5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5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5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6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6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6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6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6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6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6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6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6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77" w14:textId="77777777">
        <w:tc>
          <w:tcPr>
            <w:tcW w:w="358" w:type="pct"/>
            <w:shd w:val="clear" w:color="auto" w:fill="FFFFFF"/>
            <w:tcMar>
              <w:top w:w="15" w:type="dxa"/>
              <w:right w:w="15" w:type="dxa"/>
            </w:tcMar>
          </w:tcPr>
          <w:p w14:paraId="3973FB6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4.15</w:t>
            </w:r>
          </w:p>
        </w:tc>
        <w:tc>
          <w:tcPr>
            <w:tcW w:w="27" w:type="pct"/>
            <w:shd w:val="clear" w:color="auto" w:fill="FFFFFF"/>
            <w:tcMar>
              <w:top w:w="15" w:type="dxa"/>
              <w:right w:w="15" w:type="dxa"/>
            </w:tcMar>
            <w:vAlign w:val="bottom"/>
          </w:tcPr>
          <w:p w14:paraId="3973FB6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6C" w14:textId="77777777" w:rsidR="007B027D" w:rsidRDefault="008E0125">
            <w:pPr>
              <w:pStyle w:val="a3"/>
              <w:spacing w:beforeAutospacing="0" w:afterAutospacing="0"/>
              <w:jc w:val="both"/>
              <w:rPr>
                <w:rFonts w:ascii="Calibri" w:hAnsi="Calibri" w:cs="Calibri"/>
                <w:sz w:val="20"/>
                <w:szCs w:val="20"/>
              </w:rPr>
            </w:pPr>
            <w:hyperlink r:id="rId277" w:history="1">
              <w:r>
                <w:rPr>
                  <w:rStyle w:val="a5"/>
                  <w:rFonts w:ascii="Calibri" w:hAnsi="Calibri" w:cs="Calibri"/>
                  <w:sz w:val="20"/>
                  <w:szCs w:val="20"/>
                </w:rPr>
                <w:t xml:space="preserve">Forms of 2.500% Notes due 2025, 2.800% Notes due 2027, 2.950% Notes due 2030, 3.600% Notes due 2040, 3.600% </w:t>
              </w:r>
              <w:r>
                <w:rPr>
                  <w:rStyle w:val="a5"/>
                  <w:rFonts w:ascii="Calibri" w:hAnsi="Calibri" w:cs="Calibri"/>
                  <w:sz w:val="20"/>
                  <w:szCs w:val="20"/>
                </w:rPr>
                <w:t>Notes due 2050 and 3.850% Notes due 2060, together with Officers’ Certificate issued April 1, 2020 setting forth the terms of the Notes</w:t>
              </w:r>
            </w:hyperlink>
          </w:p>
        </w:tc>
        <w:tc>
          <w:tcPr>
            <w:tcW w:w="33" w:type="pct"/>
            <w:shd w:val="clear" w:color="auto" w:fill="FFFFFF"/>
            <w:tcMar>
              <w:top w:w="15" w:type="dxa"/>
              <w:right w:w="15" w:type="dxa"/>
            </w:tcMar>
            <w:vAlign w:val="bottom"/>
          </w:tcPr>
          <w:p w14:paraId="3973FB6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6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B6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7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7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7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3" w:type="pct"/>
            <w:shd w:val="clear" w:color="auto" w:fill="FFFFFF"/>
            <w:tcMar>
              <w:top w:w="15" w:type="dxa"/>
              <w:right w:w="15" w:type="dxa"/>
            </w:tcMar>
          </w:tcPr>
          <w:p w14:paraId="3973FB7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7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4/1/20</w:t>
            </w:r>
          </w:p>
        </w:tc>
        <w:tc>
          <w:tcPr>
            <w:tcW w:w="33" w:type="pct"/>
            <w:shd w:val="clear" w:color="auto" w:fill="FFFFFF"/>
            <w:tcMar>
              <w:top w:w="15" w:type="dxa"/>
              <w:right w:w="15" w:type="dxa"/>
            </w:tcMar>
          </w:tcPr>
          <w:p w14:paraId="3973FB7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7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85" w14:textId="77777777">
        <w:tc>
          <w:tcPr>
            <w:tcW w:w="358" w:type="pct"/>
            <w:shd w:val="clear" w:color="auto" w:fill="FFFFFF"/>
            <w:tcMar>
              <w:top w:w="15" w:type="dxa"/>
              <w:right w:w="15" w:type="dxa"/>
            </w:tcMar>
          </w:tcPr>
          <w:p w14:paraId="3973FB7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7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7A"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B7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7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7D"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7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7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8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8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8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8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8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93" w14:textId="77777777">
        <w:tc>
          <w:tcPr>
            <w:tcW w:w="358" w:type="pct"/>
            <w:shd w:val="clear" w:color="auto" w:fill="FFFFFF"/>
            <w:tcMar>
              <w:top w:w="15" w:type="dxa"/>
              <w:right w:w="15" w:type="dxa"/>
            </w:tcMar>
          </w:tcPr>
          <w:p w14:paraId="3973FB8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4.16</w:t>
            </w:r>
          </w:p>
        </w:tc>
        <w:tc>
          <w:tcPr>
            <w:tcW w:w="27" w:type="pct"/>
            <w:shd w:val="clear" w:color="auto" w:fill="FFFFFF"/>
            <w:tcMar>
              <w:top w:w="15" w:type="dxa"/>
              <w:right w:w="15" w:type="dxa"/>
            </w:tcMar>
            <w:vAlign w:val="bottom"/>
          </w:tcPr>
          <w:p w14:paraId="3973FB8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88" w14:textId="77777777" w:rsidR="007B027D" w:rsidRDefault="008E0125">
            <w:pPr>
              <w:pStyle w:val="a3"/>
              <w:spacing w:beforeAutospacing="0" w:afterAutospacing="0"/>
              <w:jc w:val="both"/>
              <w:rPr>
                <w:rFonts w:ascii="Calibri" w:hAnsi="Calibri" w:cs="Calibri"/>
                <w:sz w:val="20"/>
                <w:szCs w:val="20"/>
              </w:rPr>
            </w:pPr>
            <w:hyperlink r:id="rId278" w:history="1">
              <w:r>
                <w:rPr>
                  <w:rStyle w:val="a5"/>
                  <w:rFonts w:ascii="Calibri" w:hAnsi="Calibri" w:cs="Calibri"/>
                  <w:sz w:val="20"/>
                  <w:szCs w:val="20"/>
                </w:rPr>
                <w:t>Forms of 1.650% Notes due 2026, 2.300% Notes due 2028, 2.875% Notes due 2031, 3.650% Notes due 2041, 3.950% Notes due 2051 and 4.100% Notes due 2061, together w</w:t>
              </w:r>
              <w:r>
                <w:rPr>
                  <w:rStyle w:val="a5"/>
                  <w:rFonts w:ascii="Calibri" w:hAnsi="Calibri" w:cs="Calibri"/>
                  <w:sz w:val="20"/>
                  <w:szCs w:val="20"/>
                </w:rPr>
                <w:t>ith Officers’ Certificate issued March 24, 2021 setting forth the terms of the Notes</w:t>
              </w:r>
            </w:hyperlink>
          </w:p>
        </w:tc>
        <w:tc>
          <w:tcPr>
            <w:tcW w:w="33" w:type="pct"/>
            <w:shd w:val="clear" w:color="auto" w:fill="FFFFFF"/>
            <w:tcMar>
              <w:top w:w="15" w:type="dxa"/>
              <w:right w:w="15" w:type="dxa"/>
            </w:tcMar>
            <w:vAlign w:val="bottom"/>
          </w:tcPr>
          <w:p w14:paraId="3973FB8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8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B8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8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8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8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3" w:type="pct"/>
            <w:shd w:val="clear" w:color="auto" w:fill="FFFFFF"/>
            <w:tcMar>
              <w:top w:w="15" w:type="dxa"/>
              <w:right w:w="15" w:type="dxa"/>
            </w:tcMar>
          </w:tcPr>
          <w:p w14:paraId="3973FB8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9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3/24/21</w:t>
            </w:r>
          </w:p>
        </w:tc>
        <w:tc>
          <w:tcPr>
            <w:tcW w:w="33" w:type="pct"/>
            <w:shd w:val="clear" w:color="auto" w:fill="FFFFFF"/>
            <w:tcMar>
              <w:top w:w="15" w:type="dxa"/>
              <w:right w:w="15" w:type="dxa"/>
            </w:tcMar>
          </w:tcPr>
          <w:p w14:paraId="3973FB9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9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A1" w14:textId="77777777">
        <w:tc>
          <w:tcPr>
            <w:tcW w:w="358" w:type="pct"/>
            <w:shd w:val="clear" w:color="auto" w:fill="FFFFFF"/>
            <w:tcMar>
              <w:top w:w="15" w:type="dxa"/>
              <w:right w:w="15" w:type="dxa"/>
            </w:tcMar>
          </w:tcPr>
          <w:p w14:paraId="3973FB9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9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96"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B9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9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99"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9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9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9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9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9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9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A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AF" w14:textId="77777777">
        <w:tc>
          <w:tcPr>
            <w:tcW w:w="358" w:type="pct"/>
            <w:shd w:val="clear" w:color="auto" w:fill="FFFFFF"/>
            <w:tcMar>
              <w:top w:w="15" w:type="dxa"/>
              <w:right w:w="15" w:type="dxa"/>
            </w:tcMar>
          </w:tcPr>
          <w:p w14:paraId="3973FBA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4.17</w:t>
            </w:r>
          </w:p>
        </w:tc>
        <w:tc>
          <w:tcPr>
            <w:tcW w:w="27" w:type="pct"/>
            <w:shd w:val="clear" w:color="auto" w:fill="FFFFFF"/>
            <w:tcMar>
              <w:top w:w="15" w:type="dxa"/>
              <w:right w:w="15" w:type="dxa"/>
            </w:tcMar>
            <w:vAlign w:val="bottom"/>
          </w:tcPr>
          <w:p w14:paraId="3973FBA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A4" w14:textId="77777777" w:rsidR="007B027D" w:rsidRDefault="008E0125">
            <w:pPr>
              <w:pStyle w:val="a3"/>
              <w:spacing w:beforeAutospacing="0" w:afterAutospacing="0"/>
              <w:jc w:val="both"/>
              <w:rPr>
                <w:rFonts w:ascii="Calibri" w:hAnsi="Calibri" w:cs="Calibri"/>
                <w:sz w:val="20"/>
                <w:szCs w:val="20"/>
              </w:rPr>
            </w:pPr>
            <w:hyperlink r:id="rId279" w:history="1">
              <w:r>
                <w:rPr>
                  <w:rStyle w:val="a5"/>
                  <w:rFonts w:ascii="Calibri" w:hAnsi="Calibri" w:cs="Calibri"/>
                  <w:sz w:val="20"/>
                  <w:szCs w:val="20"/>
                </w:rPr>
                <w:t>Description of Oracle Corporation’s Securities Registered Under Section 12 of the Exchange Act</w:t>
              </w:r>
            </w:hyperlink>
          </w:p>
        </w:tc>
        <w:tc>
          <w:tcPr>
            <w:tcW w:w="33" w:type="pct"/>
            <w:shd w:val="clear" w:color="auto" w:fill="FFFFFF"/>
            <w:tcMar>
              <w:top w:w="15" w:type="dxa"/>
              <w:right w:w="15" w:type="dxa"/>
            </w:tcMar>
            <w:vAlign w:val="bottom"/>
          </w:tcPr>
          <w:p w14:paraId="3973FBA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A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3" w:type="pct"/>
            <w:shd w:val="clear" w:color="auto" w:fill="FFFFFF"/>
            <w:tcMar>
              <w:top w:w="15" w:type="dxa"/>
              <w:right w:w="15" w:type="dxa"/>
            </w:tcMar>
            <w:vAlign w:val="bottom"/>
          </w:tcPr>
          <w:p w14:paraId="3973FBA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A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A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A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4.15</w:t>
            </w:r>
          </w:p>
        </w:tc>
        <w:tc>
          <w:tcPr>
            <w:tcW w:w="33" w:type="pct"/>
            <w:shd w:val="clear" w:color="auto" w:fill="FFFFFF"/>
            <w:tcMar>
              <w:top w:w="15" w:type="dxa"/>
              <w:right w:w="15" w:type="dxa"/>
            </w:tcMar>
          </w:tcPr>
          <w:p w14:paraId="3973FBA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A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6/21/19</w:t>
            </w:r>
          </w:p>
        </w:tc>
        <w:tc>
          <w:tcPr>
            <w:tcW w:w="33" w:type="pct"/>
            <w:shd w:val="clear" w:color="auto" w:fill="FFFFFF"/>
            <w:tcMar>
              <w:top w:w="15" w:type="dxa"/>
              <w:right w:w="15" w:type="dxa"/>
            </w:tcMar>
          </w:tcPr>
          <w:p w14:paraId="3973FBA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A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BD" w14:textId="77777777">
        <w:tc>
          <w:tcPr>
            <w:tcW w:w="358" w:type="pct"/>
            <w:shd w:val="clear" w:color="auto" w:fill="FFFFFF"/>
            <w:tcMar>
              <w:top w:w="15" w:type="dxa"/>
              <w:right w:w="15" w:type="dxa"/>
            </w:tcMar>
          </w:tcPr>
          <w:p w14:paraId="3973FBB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B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B2"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BB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B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B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B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B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B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B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B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B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B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CB" w14:textId="77777777">
        <w:tc>
          <w:tcPr>
            <w:tcW w:w="358" w:type="pct"/>
            <w:shd w:val="clear" w:color="auto" w:fill="FFFFFF"/>
            <w:tcMar>
              <w:top w:w="15" w:type="dxa"/>
              <w:right w:w="15" w:type="dxa"/>
            </w:tcMar>
          </w:tcPr>
          <w:p w14:paraId="3973FBB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10.01*</w:t>
            </w:r>
          </w:p>
        </w:tc>
        <w:tc>
          <w:tcPr>
            <w:tcW w:w="27" w:type="pct"/>
            <w:shd w:val="clear" w:color="auto" w:fill="FFFFFF"/>
            <w:tcMar>
              <w:top w:w="15" w:type="dxa"/>
              <w:right w:w="15" w:type="dxa"/>
            </w:tcMar>
            <w:vAlign w:val="bottom"/>
          </w:tcPr>
          <w:p w14:paraId="3973FBB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BC0" w14:textId="77777777" w:rsidR="007B027D" w:rsidRDefault="008E0125">
            <w:pPr>
              <w:pStyle w:val="a3"/>
              <w:spacing w:beforeAutospacing="0" w:afterAutospacing="0"/>
              <w:jc w:val="both"/>
              <w:rPr>
                <w:rFonts w:ascii="Calibri" w:hAnsi="Calibri" w:cs="Calibri"/>
                <w:sz w:val="20"/>
                <w:szCs w:val="20"/>
              </w:rPr>
            </w:pPr>
            <w:hyperlink r:id="rId280" w:history="1">
              <w:r>
                <w:rPr>
                  <w:rStyle w:val="a5"/>
                  <w:rFonts w:ascii="Calibri" w:hAnsi="Calibri" w:cs="Calibri"/>
                  <w:sz w:val="20"/>
                  <w:szCs w:val="20"/>
                </w:rPr>
                <w:t>Oracle Corporation Deferred Compensation Plan, as amended and restated as of July 1, 2015</w:t>
              </w:r>
            </w:hyperlink>
          </w:p>
        </w:tc>
        <w:tc>
          <w:tcPr>
            <w:tcW w:w="33" w:type="pct"/>
            <w:shd w:val="clear" w:color="auto" w:fill="FFFFFF"/>
            <w:tcMar>
              <w:top w:w="15" w:type="dxa"/>
              <w:right w:w="15" w:type="dxa"/>
            </w:tcMar>
            <w:vAlign w:val="bottom"/>
          </w:tcPr>
          <w:p w14:paraId="3973FBC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BC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BC3"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BC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C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C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10.01</w:t>
            </w:r>
          </w:p>
        </w:tc>
        <w:tc>
          <w:tcPr>
            <w:tcW w:w="33" w:type="pct"/>
            <w:shd w:val="clear" w:color="auto" w:fill="FFFFFF"/>
            <w:tcMar>
              <w:top w:w="15" w:type="dxa"/>
              <w:right w:w="15" w:type="dxa"/>
            </w:tcMar>
          </w:tcPr>
          <w:p w14:paraId="3973FBC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C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3" w:type="pct"/>
            <w:shd w:val="clear" w:color="auto" w:fill="FFFFFF"/>
            <w:tcMar>
              <w:top w:w="15" w:type="dxa"/>
              <w:right w:w="15" w:type="dxa"/>
            </w:tcMar>
          </w:tcPr>
          <w:p w14:paraId="3973FBC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C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BD9" w14:textId="77777777">
        <w:tc>
          <w:tcPr>
            <w:tcW w:w="358" w:type="pct"/>
            <w:shd w:val="clear" w:color="auto" w:fill="FFFFFF"/>
            <w:tcMar>
              <w:top w:w="15" w:type="dxa"/>
              <w:right w:w="15" w:type="dxa"/>
            </w:tcMar>
          </w:tcPr>
          <w:p w14:paraId="3973FBC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C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C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C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D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D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D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D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D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D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D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D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D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E7" w14:textId="77777777">
        <w:tc>
          <w:tcPr>
            <w:tcW w:w="358" w:type="pct"/>
            <w:shd w:val="clear" w:color="auto" w:fill="FFFFFF"/>
            <w:tcMar>
              <w:top w:w="15" w:type="dxa"/>
              <w:right w:w="15" w:type="dxa"/>
            </w:tcMar>
          </w:tcPr>
          <w:p w14:paraId="3973FBD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10.02‡*</w:t>
            </w:r>
          </w:p>
        </w:tc>
        <w:tc>
          <w:tcPr>
            <w:tcW w:w="27" w:type="pct"/>
            <w:shd w:val="clear" w:color="auto" w:fill="FFFFFF"/>
            <w:tcMar>
              <w:top w:w="15" w:type="dxa"/>
              <w:right w:w="15" w:type="dxa"/>
            </w:tcMar>
            <w:vAlign w:val="bottom"/>
          </w:tcPr>
          <w:p w14:paraId="3973FBD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BDC" w14:textId="77777777" w:rsidR="007B027D" w:rsidRDefault="008E0125">
            <w:pPr>
              <w:pStyle w:val="a3"/>
              <w:spacing w:beforeAutospacing="0" w:afterAutospacing="0"/>
              <w:jc w:val="both"/>
              <w:rPr>
                <w:rFonts w:ascii="Calibri" w:hAnsi="Calibri" w:cs="Calibri"/>
                <w:sz w:val="20"/>
                <w:szCs w:val="20"/>
              </w:rPr>
            </w:pPr>
            <w:hyperlink r:id="rId281" w:history="1">
              <w:r>
                <w:rPr>
                  <w:rStyle w:val="a5"/>
                  <w:rFonts w:ascii="Calibri" w:hAnsi="Calibri" w:cs="Calibri"/>
                  <w:sz w:val="20"/>
                  <w:szCs w:val="20"/>
                </w:rPr>
                <w:t>Oracle Corporation Employee Stock Purchase Plan (1992), as amended and restated as of May 3, 2022</w:t>
              </w:r>
            </w:hyperlink>
          </w:p>
        </w:tc>
        <w:tc>
          <w:tcPr>
            <w:tcW w:w="33" w:type="pct"/>
            <w:shd w:val="clear" w:color="auto" w:fill="FFFFFF"/>
            <w:tcMar>
              <w:top w:w="15" w:type="dxa"/>
              <w:right w:w="15" w:type="dxa"/>
            </w:tcMar>
            <w:vAlign w:val="bottom"/>
          </w:tcPr>
          <w:p w14:paraId="3973FBD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BD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D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E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E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E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E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E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E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E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BF5" w14:textId="77777777">
        <w:tc>
          <w:tcPr>
            <w:tcW w:w="358" w:type="pct"/>
            <w:shd w:val="clear" w:color="auto" w:fill="FFFFFF"/>
            <w:tcMar>
              <w:top w:w="15" w:type="dxa"/>
              <w:right w:w="15" w:type="dxa"/>
            </w:tcMar>
          </w:tcPr>
          <w:p w14:paraId="3973FBE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BE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BEA"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E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BE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BED"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BE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E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F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F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BF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BF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BF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03" w14:textId="77777777">
        <w:tc>
          <w:tcPr>
            <w:tcW w:w="358" w:type="pct"/>
            <w:shd w:val="clear" w:color="auto" w:fill="FFFFFF"/>
            <w:tcMar>
              <w:top w:w="15" w:type="dxa"/>
              <w:right w:w="15" w:type="dxa"/>
            </w:tcMar>
          </w:tcPr>
          <w:p w14:paraId="3973FBF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10.03*</w:t>
            </w:r>
          </w:p>
        </w:tc>
        <w:tc>
          <w:tcPr>
            <w:tcW w:w="27" w:type="pct"/>
            <w:shd w:val="clear" w:color="auto" w:fill="FFFFFF"/>
            <w:tcMar>
              <w:top w:w="15" w:type="dxa"/>
              <w:right w:w="15" w:type="dxa"/>
            </w:tcMar>
            <w:vAlign w:val="bottom"/>
          </w:tcPr>
          <w:p w14:paraId="3973FBF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BF8" w14:textId="77777777" w:rsidR="007B027D" w:rsidRDefault="008E0125">
            <w:pPr>
              <w:pStyle w:val="a3"/>
              <w:spacing w:beforeAutospacing="0" w:afterAutospacing="0"/>
              <w:jc w:val="both"/>
              <w:rPr>
                <w:rFonts w:ascii="Calibri" w:hAnsi="Calibri" w:cs="Calibri"/>
                <w:sz w:val="20"/>
                <w:szCs w:val="20"/>
              </w:rPr>
            </w:pPr>
            <w:hyperlink r:id="rId282" w:history="1">
              <w:r>
                <w:rPr>
                  <w:rStyle w:val="a5"/>
                  <w:rFonts w:ascii="Calibri" w:hAnsi="Calibri" w:cs="Calibri"/>
                  <w:sz w:val="20"/>
                  <w:szCs w:val="20"/>
                </w:rPr>
                <w:t>Oracle Corporation Amended and Restated 1993 Directors’ Stock Plan, as amended and restated on April 29, 2016</w:t>
              </w:r>
            </w:hyperlink>
          </w:p>
        </w:tc>
        <w:tc>
          <w:tcPr>
            <w:tcW w:w="33" w:type="pct"/>
            <w:shd w:val="clear" w:color="auto" w:fill="FFFFFF"/>
            <w:tcMar>
              <w:top w:w="15" w:type="dxa"/>
              <w:right w:w="15" w:type="dxa"/>
            </w:tcMar>
            <w:vAlign w:val="bottom"/>
          </w:tcPr>
          <w:p w14:paraId="3973FBF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BF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3" w:type="pct"/>
            <w:shd w:val="clear" w:color="auto" w:fill="FFFFFF"/>
            <w:tcMar>
              <w:top w:w="15" w:type="dxa"/>
              <w:right w:w="15" w:type="dxa"/>
            </w:tcMar>
            <w:vAlign w:val="bottom"/>
          </w:tcPr>
          <w:p w14:paraId="3973FBFB"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BF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BF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BF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10.03</w:t>
            </w:r>
          </w:p>
        </w:tc>
        <w:tc>
          <w:tcPr>
            <w:tcW w:w="33" w:type="pct"/>
            <w:shd w:val="clear" w:color="auto" w:fill="FFFFFF"/>
            <w:tcMar>
              <w:top w:w="15" w:type="dxa"/>
              <w:right w:w="15" w:type="dxa"/>
            </w:tcMar>
          </w:tcPr>
          <w:p w14:paraId="3973FBF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0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6/22/16</w:t>
            </w:r>
          </w:p>
        </w:tc>
        <w:tc>
          <w:tcPr>
            <w:tcW w:w="33" w:type="pct"/>
            <w:shd w:val="clear" w:color="auto" w:fill="FFFFFF"/>
            <w:tcMar>
              <w:top w:w="15" w:type="dxa"/>
              <w:right w:w="15" w:type="dxa"/>
            </w:tcMar>
          </w:tcPr>
          <w:p w14:paraId="3973FC0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0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11" w14:textId="77777777">
        <w:tc>
          <w:tcPr>
            <w:tcW w:w="358" w:type="pct"/>
            <w:shd w:val="clear" w:color="auto" w:fill="FFFFFF"/>
            <w:tcMar>
              <w:top w:w="15" w:type="dxa"/>
              <w:right w:w="15" w:type="dxa"/>
            </w:tcMar>
          </w:tcPr>
          <w:p w14:paraId="3973FC0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0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0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0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0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09"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0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0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0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0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0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0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1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1F" w14:textId="77777777">
        <w:tc>
          <w:tcPr>
            <w:tcW w:w="358" w:type="pct"/>
            <w:shd w:val="clear" w:color="auto" w:fill="FFFFFF"/>
            <w:tcMar>
              <w:top w:w="15" w:type="dxa"/>
              <w:right w:w="15" w:type="dxa"/>
            </w:tcMar>
          </w:tcPr>
          <w:p w14:paraId="3973FC1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10.04*</w:t>
            </w:r>
          </w:p>
        </w:tc>
        <w:tc>
          <w:tcPr>
            <w:tcW w:w="27" w:type="pct"/>
            <w:shd w:val="clear" w:color="auto" w:fill="FFFFFF"/>
            <w:tcMar>
              <w:top w:w="15" w:type="dxa"/>
              <w:right w:w="15" w:type="dxa"/>
            </w:tcMar>
            <w:vAlign w:val="bottom"/>
          </w:tcPr>
          <w:p w14:paraId="3973FC1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14" w14:textId="77777777" w:rsidR="007B027D" w:rsidRDefault="008E0125">
            <w:pPr>
              <w:pStyle w:val="a3"/>
              <w:spacing w:beforeAutospacing="0" w:afterAutospacing="0"/>
              <w:jc w:val="both"/>
              <w:rPr>
                <w:rFonts w:ascii="Calibri" w:hAnsi="Calibri" w:cs="Calibri"/>
                <w:sz w:val="20"/>
                <w:szCs w:val="20"/>
              </w:rPr>
            </w:pPr>
            <w:hyperlink r:id="rId283" w:history="1">
              <w:r>
                <w:rPr>
                  <w:rStyle w:val="a5"/>
                  <w:rFonts w:ascii="Calibri" w:hAnsi="Calibri" w:cs="Calibri"/>
                  <w:sz w:val="20"/>
                  <w:szCs w:val="20"/>
                </w:rPr>
                <w:t>Amended and Restated 2000 Long-Term Equity Incentive Plan, as approved on November 15, 2017</w:t>
              </w:r>
            </w:hyperlink>
          </w:p>
        </w:tc>
        <w:tc>
          <w:tcPr>
            <w:tcW w:w="33" w:type="pct"/>
            <w:shd w:val="clear" w:color="auto" w:fill="FFFFFF"/>
            <w:tcMar>
              <w:top w:w="15" w:type="dxa"/>
              <w:right w:w="15" w:type="dxa"/>
            </w:tcMar>
            <w:vAlign w:val="bottom"/>
          </w:tcPr>
          <w:p w14:paraId="3973FC1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1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C17"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1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1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1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10.04</w:t>
            </w:r>
          </w:p>
        </w:tc>
        <w:tc>
          <w:tcPr>
            <w:tcW w:w="33" w:type="pct"/>
            <w:shd w:val="clear" w:color="auto" w:fill="FFFFFF"/>
            <w:tcMar>
              <w:top w:w="15" w:type="dxa"/>
              <w:right w:w="15" w:type="dxa"/>
            </w:tcMar>
          </w:tcPr>
          <w:p w14:paraId="3973FC1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1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11/17/17</w:t>
            </w:r>
          </w:p>
        </w:tc>
        <w:tc>
          <w:tcPr>
            <w:tcW w:w="33" w:type="pct"/>
            <w:shd w:val="clear" w:color="auto" w:fill="FFFFFF"/>
            <w:tcMar>
              <w:top w:w="15" w:type="dxa"/>
              <w:right w:w="15" w:type="dxa"/>
            </w:tcMar>
          </w:tcPr>
          <w:p w14:paraId="3973FC1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1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2D" w14:textId="77777777">
        <w:tc>
          <w:tcPr>
            <w:tcW w:w="358" w:type="pct"/>
            <w:shd w:val="clear" w:color="auto" w:fill="FFFFFF"/>
            <w:tcMar>
              <w:top w:w="15" w:type="dxa"/>
              <w:right w:w="15" w:type="dxa"/>
            </w:tcMar>
          </w:tcPr>
          <w:p w14:paraId="3973FC2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2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22"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2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2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2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2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2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2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2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2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2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2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3B" w14:textId="77777777">
        <w:tc>
          <w:tcPr>
            <w:tcW w:w="358" w:type="pct"/>
            <w:shd w:val="clear" w:color="auto" w:fill="FFFFFF"/>
            <w:tcMar>
              <w:top w:w="15" w:type="dxa"/>
              <w:right w:w="15" w:type="dxa"/>
            </w:tcMar>
          </w:tcPr>
          <w:p w14:paraId="3973FC2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10.05*</w:t>
            </w:r>
          </w:p>
        </w:tc>
        <w:tc>
          <w:tcPr>
            <w:tcW w:w="27" w:type="pct"/>
            <w:shd w:val="clear" w:color="auto" w:fill="FFFFFF"/>
            <w:tcMar>
              <w:top w:w="15" w:type="dxa"/>
              <w:right w:w="15" w:type="dxa"/>
            </w:tcMar>
            <w:vAlign w:val="bottom"/>
          </w:tcPr>
          <w:p w14:paraId="3973FC2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30" w14:textId="77777777" w:rsidR="007B027D" w:rsidRDefault="008E0125">
            <w:pPr>
              <w:pStyle w:val="a3"/>
              <w:spacing w:beforeAutospacing="0" w:afterAutospacing="0"/>
              <w:jc w:val="both"/>
              <w:rPr>
                <w:rFonts w:ascii="Calibri" w:hAnsi="Calibri" w:cs="Calibri"/>
                <w:sz w:val="20"/>
                <w:szCs w:val="20"/>
              </w:rPr>
            </w:pPr>
            <w:hyperlink r:id="rId284" w:history="1">
              <w:r>
                <w:rPr>
                  <w:rStyle w:val="a5"/>
                  <w:rFonts w:ascii="Calibri" w:hAnsi="Calibri" w:cs="Calibri"/>
                  <w:sz w:val="20"/>
                  <w:szCs w:val="20"/>
                </w:rPr>
                <w:t xml:space="preserve">Form of Stock Option Agreement under the Amended and Restated 2000 Long-Term Equity Incentive Plan for U.S. </w:t>
              </w:r>
              <w:r>
                <w:rPr>
                  <w:rStyle w:val="a5"/>
                  <w:rFonts w:ascii="Calibri" w:hAnsi="Calibri" w:cs="Calibri"/>
                  <w:sz w:val="20"/>
                  <w:szCs w:val="20"/>
                </w:rPr>
                <w:t>Executive Vice Presidents and Section 16 Officers</w:t>
              </w:r>
            </w:hyperlink>
          </w:p>
        </w:tc>
        <w:tc>
          <w:tcPr>
            <w:tcW w:w="33" w:type="pct"/>
            <w:shd w:val="clear" w:color="auto" w:fill="FFFFFF"/>
            <w:tcMar>
              <w:top w:w="15" w:type="dxa"/>
              <w:right w:w="15" w:type="dxa"/>
            </w:tcMar>
            <w:vAlign w:val="bottom"/>
          </w:tcPr>
          <w:p w14:paraId="3973FC3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3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C33"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3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3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3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10.05</w:t>
            </w:r>
          </w:p>
        </w:tc>
        <w:tc>
          <w:tcPr>
            <w:tcW w:w="33" w:type="pct"/>
            <w:shd w:val="clear" w:color="auto" w:fill="FFFFFF"/>
            <w:tcMar>
              <w:top w:w="15" w:type="dxa"/>
              <w:right w:w="15" w:type="dxa"/>
            </w:tcMar>
          </w:tcPr>
          <w:p w14:paraId="3973FC3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3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3" w:type="pct"/>
            <w:shd w:val="clear" w:color="auto" w:fill="FFFFFF"/>
            <w:tcMar>
              <w:top w:w="15" w:type="dxa"/>
              <w:right w:w="15" w:type="dxa"/>
            </w:tcMar>
          </w:tcPr>
          <w:p w14:paraId="3973FC3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3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49" w14:textId="77777777">
        <w:tc>
          <w:tcPr>
            <w:tcW w:w="358" w:type="pct"/>
            <w:shd w:val="clear" w:color="auto" w:fill="FFFFFF"/>
            <w:tcMar>
              <w:top w:w="15" w:type="dxa"/>
              <w:right w:w="15" w:type="dxa"/>
            </w:tcMar>
          </w:tcPr>
          <w:p w14:paraId="3973FC3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3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3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3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4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4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4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4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4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4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4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4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4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57" w14:textId="77777777">
        <w:tc>
          <w:tcPr>
            <w:tcW w:w="358" w:type="pct"/>
            <w:shd w:val="clear" w:color="auto" w:fill="FFFFFF"/>
            <w:tcMar>
              <w:top w:w="15" w:type="dxa"/>
              <w:right w:w="15" w:type="dxa"/>
            </w:tcMar>
          </w:tcPr>
          <w:p w14:paraId="3973FC4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10.06*</w:t>
            </w:r>
          </w:p>
        </w:tc>
        <w:tc>
          <w:tcPr>
            <w:tcW w:w="27" w:type="pct"/>
            <w:shd w:val="clear" w:color="auto" w:fill="FFFFFF"/>
            <w:tcMar>
              <w:top w:w="15" w:type="dxa"/>
              <w:right w:w="15" w:type="dxa"/>
            </w:tcMar>
            <w:vAlign w:val="bottom"/>
          </w:tcPr>
          <w:p w14:paraId="3973FC4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4C" w14:textId="77777777" w:rsidR="007B027D" w:rsidRDefault="008E0125">
            <w:pPr>
              <w:pStyle w:val="a3"/>
              <w:spacing w:beforeAutospacing="0" w:afterAutospacing="0"/>
              <w:jc w:val="both"/>
              <w:rPr>
                <w:rFonts w:ascii="Calibri" w:hAnsi="Calibri" w:cs="Calibri"/>
                <w:sz w:val="20"/>
                <w:szCs w:val="20"/>
              </w:rPr>
            </w:pPr>
            <w:hyperlink r:id="rId285" w:history="1">
              <w:r>
                <w:rPr>
                  <w:rStyle w:val="a5"/>
                  <w:rFonts w:ascii="Calibri" w:hAnsi="Calibri" w:cs="Calibri"/>
                  <w:sz w:val="20"/>
                  <w:szCs w:val="20"/>
                </w:rPr>
                <w:t>Form of Stock Option Agreement under the Oracle Corporation Amended and Restated 1993 Directors’ Stock Plan</w:t>
              </w:r>
            </w:hyperlink>
          </w:p>
        </w:tc>
        <w:tc>
          <w:tcPr>
            <w:tcW w:w="33" w:type="pct"/>
            <w:shd w:val="clear" w:color="auto" w:fill="FFFFFF"/>
            <w:tcMar>
              <w:top w:w="15" w:type="dxa"/>
              <w:right w:w="15" w:type="dxa"/>
            </w:tcMar>
            <w:vAlign w:val="bottom"/>
          </w:tcPr>
          <w:p w14:paraId="3973FC4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4E"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3" w:type="pct"/>
            <w:shd w:val="clear" w:color="auto" w:fill="FFFFFF"/>
            <w:tcMar>
              <w:top w:w="15" w:type="dxa"/>
              <w:right w:w="15" w:type="dxa"/>
            </w:tcMar>
            <w:vAlign w:val="bottom"/>
          </w:tcPr>
          <w:p w14:paraId="3973FC4F"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5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5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52"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10.06</w:t>
            </w:r>
          </w:p>
        </w:tc>
        <w:tc>
          <w:tcPr>
            <w:tcW w:w="33" w:type="pct"/>
            <w:shd w:val="clear" w:color="auto" w:fill="FFFFFF"/>
            <w:tcMar>
              <w:top w:w="15" w:type="dxa"/>
              <w:right w:w="15" w:type="dxa"/>
            </w:tcMar>
          </w:tcPr>
          <w:p w14:paraId="3973FC5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5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3" w:type="pct"/>
            <w:shd w:val="clear" w:color="auto" w:fill="FFFFFF"/>
            <w:tcMar>
              <w:top w:w="15" w:type="dxa"/>
              <w:right w:w="15" w:type="dxa"/>
            </w:tcMar>
          </w:tcPr>
          <w:p w14:paraId="3973FC5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56"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3973FC58"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112</w:t>
      </w:r>
    </w:p>
    <w:p w14:paraId="3973FC59" w14:textId="77777777" w:rsidR="007B027D" w:rsidRDefault="008E0125">
      <w:r>
        <w:rPr>
          <w:rFonts w:ascii="Calibri" w:hAnsi="Calibri" w:cs="Calibri"/>
          <w:sz w:val="20"/>
          <w:szCs w:val="20"/>
        </w:rPr>
        <w:pict w14:anchorId="397400AB">
          <v:rect id="_x0000_i1138" style="width:415.3pt;height:1.5pt" o:hralign="center" o:hrstd="t" o:hr="t" fillcolor="#a0a0a0" stroked="f"/>
        </w:pict>
      </w:r>
    </w:p>
    <w:p w14:paraId="3973FC5A" w14:textId="77777777" w:rsidR="007B027D" w:rsidRDefault="008E0125">
      <w:pPr>
        <w:pStyle w:val="a3"/>
        <w:spacing w:beforeAutospacing="0" w:after="120" w:afterAutospacing="0"/>
        <w:rPr>
          <w:rFonts w:ascii="Calibri" w:hAnsi="Calibri" w:cs="Calibri"/>
          <w:sz w:val="18"/>
          <w:szCs w:val="18"/>
        </w:rPr>
      </w:pPr>
      <w:hyperlink r:id="rId286"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C5B" w14:textId="77777777" w:rsidR="007B027D" w:rsidRDefault="008E0125">
      <w:pPr>
        <w:pStyle w:val="a3"/>
        <w:spacing w:beforeAutospacing="0" w:afterAutospacing="0"/>
        <w:rPr>
          <w:rFonts w:ascii="Calibri" w:hAnsi="Calibri" w:cs="Calibri"/>
          <w:sz w:val="18"/>
          <w:szCs w:val="18"/>
        </w:rPr>
      </w:pPr>
      <w:hyperlink r:id="rId287" w:anchor="ITEM_15_EXHIBITS_FINANCIAL_STATEMENT_SCH" w:history="1">
        <w:r>
          <w:rPr>
            <w:rStyle w:val="a5"/>
            <w:rFonts w:ascii="Calibri" w:hAnsi="Calibri" w:cs="Calibri"/>
            <w:sz w:val="18"/>
            <w:szCs w:val="18"/>
          </w:rPr>
          <w:t>Index to Financial Statements</w:t>
        </w:r>
      </w:hyperlink>
    </w:p>
    <w:p w14:paraId="3973FC5C" w14:textId="77777777" w:rsidR="007B027D" w:rsidRDefault="008E012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709"/>
        <w:gridCol w:w="75"/>
        <w:gridCol w:w="752"/>
        <w:gridCol w:w="75"/>
        <w:gridCol w:w="888"/>
        <w:gridCol w:w="75"/>
        <w:gridCol w:w="587"/>
        <w:gridCol w:w="75"/>
        <w:gridCol w:w="778"/>
        <w:gridCol w:w="75"/>
        <w:gridCol w:w="1570"/>
      </w:tblGrid>
      <w:tr w:rsidR="007B027D" w14:paraId="3973FC62" w14:textId="77777777">
        <w:tc>
          <w:tcPr>
            <w:tcW w:w="358" w:type="pct"/>
            <w:shd w:val="clear" w:color="auto" w:fill="FFFFFF"/>
            <w:tcMar>
              <w:top w:w="15" w:type="dxa"/>
              <w:right w:w="15" w:type="dxa"/>
            </w:tcMar>
            <w:vAlign w:val="bottom"/>
          </w:tcPr>
          <w:p w14:paraId="3973FC5D"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C5E"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C5F"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C60"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C61"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C70" w14:textId="77777777">
        <w:tc>
          <w:tcPr>
            <w:tcW w:w="358" w:type="pct"/>
            <w:tcBorders>
              <w:bottom w:val="single" w:sz="6" w:space="0" w:color="000000"/>
            </w:tcBorders>
            <w:shd w:val="clear" w:color="auto" w:fill="FFFFFF"/>
            <w:tcMar>
              <w:top w:w="15" w:type="dxa"/>
              <w:right w:w="15" w:type="dxa"/>
            </w:tcMar>
            <w:vAlign w:val="bottom"/>
          </w:tcPr>
          <w:p w14:paraId="3973FC63"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C64"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C65"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3" w:type="pct"/>
            <w:shd w:val="clear" w:color="auto" w:fill="FFFFFF"/>
            <w:tcMar>
              <w:top w:w="15" w:type="dxa"/>
              <w:right w:w="15" w:type="dxa"/>
            </w:tcMar>
            <w:vAlign w:val="bottom"/>
          </w:tcPr>
          <w:p w14:paraId="3973FC66"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C67"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C68"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C69"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3" w:type="pct"/>
            <w:tcBorders>
              <w:top w:val="single" w:sz="6" w:space="0" w:color="000000"/>
            </w:tcBorders>
            <w:shd w:val="clear" w:color="auto" w:fill="FFFFFF"/>
            <w:tcMar>
              <w:top w:w="15" w:type="dxa"/>
              <w:right w:w="15" w:type="dxa"/>
            </w:tcMar>
            <w:vAlign w:val="bottom"/>
          </w:tcPr>
          <w:p w14:paraId="3973FC6A"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C6B"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C6C"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C6D"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C6E"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C6F"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C7E" w14:textId="77777777">
        <w:tc>
          <w:tcPr>
            <w:tcW w:w="358" w:type="pct"/>
            <w:shd w:val="clear" w:color="auto" w:fill="FFFFFF"/>
            <w:tcMar>
              <w:top w:w="15" w:type="dxa"/>
              <w:right w:w="15" w:type="dxa"/>
            </w:tcMar>
          </w:tcPr>
          <w:p w14:paraId="3973FC7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7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7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7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7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7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7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7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7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7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7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7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7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8C" w14:textId="77777777">
        <w:tc>
          <w:tcPr>
            <w:tcW w:w="358" w:type="pct"/>
            <w:shd w:val="clear" w:color="auto" w:fill="FFFFFF"/>
            <w:tcMar>
              <w:top w:w="15" w:type="dxa"/>
              <w:right w:w="15" w:type="dxa"/>
            </w:tcMar>
          </w:tcPr>
          <w:p w14:paraId="3973FC7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10.07*</w:t>
            </w:r>
          </w:p>
        </w:tc>
        <w:tc>
          <w:tcPr>
            <w:tcW w:w="27" w:type="pct"/>
            <w:shd w:val="clear" w:color="auto" w:fill="FFFFFF"/>
            <w:tcMar>
              <w:top w:w="15" w:type="dxa"/>
              <w:right w:w="15" w:type="dxa"/>
            </w:tcMar>
            <w:vAlign w:val="bottom"/>
          </w:tcPr>
          <w:p w14:paraId="3973FC80"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81" w14:textId="77777777" w:rsidR="007B027D" w:rsidRDefault="008E0125">
            <w:pPr>
              <w:pStyle w:val="a3"/>
              <w:spacing w:beforeAutospacing="0" w:afterAutospacing="0"/>
              <w:jc w:val="both"/>
              <w:rPr>
                <w:rFonts w:ascii="Calibri" w:hAnsi="Calibri" w:cs="Calibri"/>
                <w:sz w:val="20"/>
                <w:szCs w:val="20"/>
              </w:rPr>
            </w:pPr>
            <w:hyperlink r:id="rId288" w:history="1">
              <w:r>
                <w:rPr>
                  <w:rStyle w:val="a5"/>
                  <w:rFonts w:ascii="Calibri" w:hAnsi="Calibri" w:cs="Calibri"/>
                  <w:sz w:val="20"/>
                  <w:szCs w:val="20"/>
                </w:rPr>
                <w:t>Form of Indemnity Agreement for Directors and Executive Officers</w:t>
              </w:r>
            </w:hyperlink>
          </w:p>
        </w:tc>
        <w:tc>
          <w:tcPr>
            <w:tcW w:w="33" w:type="pct"/>
            <w:shd w:val="clear" w:color="auto" w:fill="FFFFFF"/>
            <w:tcMar>
              <w:top w:w="15" w:type="dxa"/>
              <w:right w:w="15" w:type="dxa"/>
            </w:tcMar>
            <w:vAlign w:val="bottom"/>
          </w:tcPr>
          <w:p w14:paraId="3973FC82"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8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C84"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8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3" w:type="pct"/>
            <w:shd w:val="clear" w:color="auto" w:fill="FFFFFF"/>
            <w:tcMar>
              <w:top w:w="15" w:type="dxa"/>
              <w:right w:w="15" w:type="dxa"/>
            </w:tcMar>
          </w:tcPr>
          <w:p w14:paraId="3973FC8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8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10.07</w:t>
            </w:r>
          </w:p>
        </w:tc>
        <w:tc>
          <w:tcPr>
            <w:tcW w:w="33" w:type="pct"/>
            <w:shd w:val="clear" w:color="auto" w:fill="FFFFFF"/>
            <w:tcMar>
              <w:top w:w="15" w:type="dxa"/>
              <w:right w:w="15" w:type="dxa"/>
            </w:tcMar>
          </w:tcPr>
          <w:p w14:paraId="3973FC8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8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12/23/11</w:t>
            </w:r>
          </w:p>
        </w:tc>
        <w:tc>
          <w:tcPr>
            <w:tcW w:w="33" w:type="pct"/>
            <w:shd w:val="clear" w:color="auto" w:fill="FFFFFF"/>
            <w:tcMar>
              <w:top w:w="15" w:type="dxa"/>
              <w:right w:w="15" w:type="dxa"/>
            </w:tcMar>
          </w:tcPr>
          <w:p w14:paraId="3973FC8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8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9A" w14:textId="77777777">
        <w:tc>
          <w:tcPr>
            <w:tcW w:w="358" w:type="pct"/>
            <w:shd w:val="clear" w:color="auto" w:fill="FFFFFF"/>
            <w:tcMar>
              <w:top w:w="15" w:type="dxa"/>
              <w:right w:w="15" w:type="dxa"/>
            </w:tcMar>
          </w:tcPr>
          <w:p w14:paraId="3973FC8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8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8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9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9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92"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9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9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9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9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9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9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9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A8" w14:textId="77777777">
        <w:tc>
          <w:tcPr>
            <w:tcW w:w="358" w:type="pct"/>
            <w:shd w:val="clear" w:color="auto" w:fill="FFFFFF"/>
            <w:tcMar>
              <w:top w:w="15" w:type="dxa"/>
              <w:right w:w="15" w:type="dxa"/>
            </w:tcMar>
          </w:tcPr>
          <w:p w14:paraId="3973FC9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10.08*</w:t>
            </w:r>
          </w:p>
        </w:tc>
        <w:tc>
          <w:tcPr>
            <w:tcW w:w="27" w:type="pct"/>
            <w:shd w:val="clear" w:color="auto" w:fill="FFFFFF"/>
            <w:tcMar>
              <w:top w:w="15" w:type="dxa"/>
              <w:right w:w="15" w:type="dxa"/>
            </w:tcMar>
            <w:vAlign w:val="bottom"/>
          </w:tcPr>
          <w:p w14:paraId="3973FC9C"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9D" w14:textId="77777777" w:rsidR="007B027D" w:rsidRDefault="008E0125">
            <w:pPr>
              <w:pStyle w:val="a3"/>
              <w:spacing w:beforeAutospacing="0" w:afterAutospacing="0"/>
              <w:jc w:val="both"/>
              <w:rPr>
                <w:rFonts w:ascii="Calibri" w:hAnsi="Calibri" w:cs="Calibri"/>
                <w:sz w:val="20"/>
                <w:szCs w:val="20"/>
              </w:rPr>
            </w:pPr>
            <w:hyperlink r:id="rId289" w:history="1">
              <w:r>
                <w:rPr>
                  <w:rStyle w:val="a5"/>
                  <w:rFonts w:ascii="Calibri" w:hAnsi="Calibri" w:cs="Calibri"/>
                  <w:sz w:val="20"/>
                  <w:szCs w:val="20"/>
                </w:rPr>
                <w:t>Oracle Corporation Amended and Restated Executive Bonus Plan, as amended and restated as of February 12, 2019</w:t>
              </w:r>
            </w:hyperlink>
          </w:p>
        </w:tc>
        <w:tc>
          <w:tcPr>
            <w:tcW w:w="33" w:type="pct"/>
            <w:shd w:val="clear" w:color="auto" w:fill="FFFFFF"/>
            <w:tcMar>
              <w:top w:w="15" w:type="dxa"/>
              <w:right w:w="15" w:type="dxa"/>
            </w:tcMar>
            <w:vAlign w:val="bottom"/>
          </w:tcPr>
          <w:p w14:paraId="3973FC9E"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9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CA0"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A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A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A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10.09</w:t>
            </w:r>
          </w:p>
        </w:tc>
        <w:tc>
          <w:tcPr>
            <w:tcW w:w="33" w:type="pct"/>
            <w:shd w:val="clear" w:color="auto" w:fill="FFFFFF"/>
            <w:tcMar>
              <w:top w:w="15" w:type="dxa"/>
              <w:right w:w="15" w:type="dxa"/>
            </w:tcMar>
          </w:tcPr>
          <w:p w14:paraId="3973FCA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A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3/18/19</w:t>
            </w:r>
          </w:p>
        </w:tc>
        <w:tc>
          <w:tcPr>
            <w:tcW w:w="33" w:type="pct"/>
            <w:shd w:val="clear" w:color="auto" w:fill="FFFFFF"/>
            <w:tcMar>
              <w:top w:w="15" w:type="dxa"/>
              <w:right w:w="15" w:type="dxa"/>
            </w:tcMar>
          </w:tcPr>
          <w:p w14:paraId="3973FCA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A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w:t>
            </w:r>
            <w:r>
              <w:rPr>
                <w:rFonts w:ascii="Calibri" w:hAnsi="Calibri" w:cs="Calibri"/>
                <w:color w:val="000000"/>
                <w:sz w:val="20"/>
                <w:szCs w:val="20"/>
              </w:rPr>
              <w:t>acle Corporation</w:t>
            </w:r>
          </w:p>
        </w:tc>
      </w:tr>
      <w:tr w:rsidR="007B027D" w14:paraId="3973FCB6" w14:textId="77777777">
        <w:tc>
          <w:tcPr>
            <w:tcW w:w="358" w:type="pct"/>
            <w:shd w:val="clear" w:color="auto" w:fill="FFFFFF"/>
            <w:tcMar>
              <w:top w:w="15" w:type="dxa"/>
              <w:right w:w="15" w:type="dxa"/>
            </w:tcMar>
          </w:tcPr>
          <w:p w14:paraId="3973FCA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A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A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A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A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A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A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B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B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B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B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B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B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C4" w14:textId="77777777">
        <w:tc>
          <w:tcPr>
            <w:tcW w:w="358" w:type="pct"/>
            <w:shd w:val="clear" w:color="auto" w:fill="FFFFFF"/>
            <w:tcMar>
              <w:top w:w="15" w:type="dxa"/>
              <w:right w:w="15" w:type="dxa"/>
            </w:tcMar>
          </w:tcPr>
          <w:p w14:paraId="3973FCB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10.09*</w:t>
            </w:r>
          </w:p>
        </w:tc>
        <w:tc>
          <w:tcPr>
            <w:tcW w:w="27" w:type="pct"/>
            <w:shd w:val="clear" w:color="auto" w:fill="FFFFFF"/>
            <w:tcMar>
              <w:top w:w="15" w:type="dxa"/>
              <w:right w:w="15" w:type="dxa"/>
            </w:tcMar>
            <w:vAlign w:val="bottom"/>
          </w:tcPr>
          <w:p w14:paraId="3973FCB8"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B9" w14:textId="77777777" w:rsidR="007B027D" w:rsidRDefault="008E0125">
            <w:pPr>
              <w:pStyle w:val="a3"/>
              <w:spacing w:beforeAutospacing="0" w:afterAutospacing="0"/>
              <w:jc w:val="both"/>
              <w:rPr>
                <w:rFonts w:ascii="Calibri" w:hAnsi="Calibri" w:cs="Calibri"/>
                <w:sz w:val="20"/>
                <w:szCs w:val="20"/>
              </w:rPr>
            </w:pPr>
            <w:hyperlink r:id="rId290" w:history="1">
              <w:r>
                <w:rPr>
                  <w:rStyle w:val="a5"/>
                  <w:rFonts w:ascii="Calibri" w:hAnsi="Calibri" w:cs="Calibri"/>
                  <w:sz w:val="20"/>
                  <w:szCs w:val="20"/>
                </w:rPr>
                <w:t xml:space="preserve">Oracle Corporation Stock Unit Award Deferred Compensation Plan, as amended and restated as of July </w:t>
              </w:r>
              <w:r>
                <w:rPr>
                  <w:rStyle w:val="a5"/>
                  <w:rFonts w:ascii="Calibri" w:hAnsi="Calibri" w:cs="Calibri"/>
                  <w:sz w:val="20"/>
                  <w:szCs w:val="20"/>
                </w:rPr>
                <w:t>1, 2015</w:t>
              </w:r>
            </w:hyperlink>
          </w:p>
        </w:tc>
        <w:tc>
          <w:tcPr>
            <w:tcW w:w="33" w:type="pct"/>
            <w:shd w:val="clear" w:color="auto" w:fill="FFFFFF"/>
            <w:tcMar>
              <w:top w:w="15" w:type="dxa"/>
              <w:right w:w="15" w:type="dxa"/>
            </w:tcMar>
            <w:vAlign w:val="bottom"/>
          </w:tcPr>
          <w:p w14:paraId="3973FCBA"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B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CBC"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B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B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B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10.15</w:t>
            </w:r>
          </w:p>
        </w:tc>
        <w:tc>
          <w:tcPr>
            <w:tcW w:w="33" w:type="pct"/>
            <w:shd w:val="clear" w:color="auto" w:fill="FFFFFF"/>
            <w:tcMar>
              <w:top w:w="15" w:type="dxa"/>
              <w:right w:w="15" w:type="dxa"/>
            </w:tcMar>
          </w:tcPr>
          <w:p w14:paraId="3973FCC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C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3" w:type="pct"/>
            <w:shd w:val="clear" w:color="auto" w:fill="FFFFFF"/>
            <w:tcMar>
              <w:top w:w="15" w:type="dxa"/>
              <w:right w:w="15" w:type="dxa"/>
            </w:tcMar>
          </w:tcPr>
          <w:p w14:paraId="3973FCC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C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D2" w14:textId="77777777">
        <w:tc>
          <w:tcPr>
            <w:tcW w:w="358" w:type="pct"/>
            <w:shd w:val="clear" w:color="auto" w:fill="FFFFFF"/>
            <w:tcMar>
              <w:top w:w="15" w:type="dxa"/>
              <w:right w:w="15" w:type="dxa"/>
            </w:tcMar>
          </w:tcPr>
          <w:p w14:paraId="3973FCC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C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C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C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C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CA"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C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C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C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C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C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D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D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E0" w14:textId="77777777">
        <w:tc>
          <w:tcPr>
            <w:tcW w:w="358" w:type="pct"/>
            <w:shd w:val="clear" w:color="auto" w:fill="FFFFFF"/>
            <w:tcMar>
              <w:top w:w="15" w:type="dxa"/>
              <w:right w:w="15" w:type="dxa"/>
            </w:tcMar>
          </w:tcPr>
          <w:p w14:paraId="3973FCD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10.10*</w:t>
            </w:r>
          </w:p>
        </w:tc>
        <w:tc>
          <w:tcPr>
            <w:tcW w:w="27" w:type="pct"/>
            <w:shd w:val="clear" w:color="auto" w:fill="FFFFFF"/>
            <w:tcMar>
              <w:top w:w="15" w:type="dxa"/>
              <w:right w:w="15" w:type="dxa"/>
            </w:tcMar>
            <w:vAlign w:val="bottom"/>
          </w:tcPr>
          <w:p w14:paraId="3973FCD4"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CD5" w14:textId="77777777" w:rsidR="007B027D" w:rsidRDefault="008E0125">
            <w:pPr>
              <w:pStyle w:val="a3"/>
              <w:spacing w:beforeAutospacing="0" w:afterAutospacing="0"/>
              <w:jc w:val="both"/>
              <w:rPr>
                <w:rFonts w:ascii="Calibri" w:hAnsi="Calibri" w:cs="Calibri"/>
                <w:sz w:val="20"/>
                <w:szCs w:val="20"/>
              </w:rPr>
            </w:pPr>
            <w:hyperlink r:id="rId291" w:history="1">
              <w:r>
                <w:rPr>
                  <w:rStyle w:val="a5"/>
                  <w:rFonts w:ascii="Calibri" w:hAnsi="Calibri" w:cs="Calibri"/>
                  <w:sz w:val="20"/>
                  <w:szCs w:val="20"/>
                </w:rPr>
                <w:t>Form of Restricted Stock Unit Award Agreement under the Oracle Corporation Amended and Restated 1993 Directors’ Stock Plan</w:t>
              </w:r>
            </w:hyperlink>
          </w:p>
        </w:tc>
        <w:tc>
          <w:tcPr>
            <w:tcW w:w="33" w:type="pct"/>
            <w:shd w:val="clear" w:color="auto" w:fill="FFFFFF"/>
            <w:tcMar>
              <w:top w:w="15" w:type="dxa"/>
              <w:right w:w="15" w:type="dxa"/>
            </w:tcMar>
            <w:vAlign w:val="bottom"/>
          </w:tcPr>
          <w:p w14:paraId="3973FCD6"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CD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3" w:type="pct"/>
            <w:shd w:val="clear" w:color="auto" w:fill="FFFFFF"/>
            <w:tcMar>
              <w:top w:w="15" w:type="dxa"/>
              <w:right w:w="15" w:type="dxa"/>
            </w:tcMar>
            <w:vAlign w:val="bottom"/>
          </w:tcPr>
          <w:p w14:paraId="3973FCD8"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D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D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D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33" w:type="pct"/>
            <w:shd w:val="clear" w:color="auto" w:fill="FFFFFF"/>
            <w:tcMar>
              <w:top w:w="15" w:type="dxa"/>
              <w:right w:w="15" w:type="dxa"/>
            </w:tcMar>
          </w:tcPr>
          <w:p w14:paraId="3973FCD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D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3" w:type="pct"/>
            <w:shd w:val="clear" w:color="auto" w:fill="FFFFFF"/>
            <w:tcMar>
              <w:top w:w="15" w:type="dxa"/>
              <w:right w:w="15" w:type="dxa"/>
            </w:tcMar>
          </w:tcPr>
          <w:p w14:paraId="3973FCD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D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CEE" w14:textId="77777777">
        <w:tc>
          <w:tcPr>
            <w:tcW w:w="358" w:type="pct"/>
            <w:shd w:val="clear" w:color="auto" w:fill="FFFFFF"/>
            <w:tcMar>
              <w:top w:w="15" w:type="dxa"/>
              <w:right w:w="15" w:type="dxa"/>
            </w:tcMar>
          </w:tcPr>
          <w:p w14:paraId="3973FCE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E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E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E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E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CE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CE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E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E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E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E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CE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E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CFC" w14:textId="77777777">
        <w:tc>
          <w:tcPr>
            <w:tcW w:w="358" w:type="pct"/>
            <w:shd w:val="clear" w:color="auto" w:fill="FFFFFF"/>
            <w:tcMar>
              <w:top w:w="15" w:type="dxa"/>
              <w:right w:w="15" w:type="dxa"/>
            </w:tcMar>
          </w:tcPr>
          <w:p w14:paraId="3973FCE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10.11*</w:t>
            </w:r>
          </w:p>
        </w:tc>
        <w:tc>
          <w:tcPr>
            <w:tcW w:w="27" w:type="pct"/>
            <w:shd w:val="clear" w:color="auto" w:fill="FFFFFF"/>
            <w:tcMar>
              <w:top w:w="15" w:type="dxa"/>
              <w:right w:w="15" w:type="dxa"/>
            </w:tcMar>
            <w:vAlign w:val="bottom"/>
          </w:tcPr>
          <w:p w14:paraId="3973FCF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F1" w14:textId="77777777" w:rsidR="007B027D" w:rsidRDefault="008E0125">
            <w:pPr>
              <w:pStyle w:val="a3"/>
              <w:spacing w:beforeAutospacing="0" w:afterAutospacing="0"/>
              <w:jc w:val="both"/>
              <w:rPr>
                <w:rFonts w:ascii="Calibri" w:hAnsi="Calibri" w:cs="Calibri"/>
                <w:sz w:val="20"/>
                <w:szCs w:val="20"/>
              </w:rPr>
            </w:pPr>
            <w:hyperlink r:id="rId292" w:history="1">
              <w:r>
                <w:rPr>
                  <w:rStyle w:val="a5"/>
                  <w:rFonts w:ascii="Calibri" w:hAnsi="Calibri" w:cs="Calibri"/>
                  <w:sz w:val="20"/>
                  <w:szCs w:val="20"/>
                </w:rPr>
                <w:t>Form of Performance-Based Stock Option Agreement under the Amended and Restated 2000 Long-Term Equity Incentive Plan for Named Executive Officers</w:t>
              </w:r>
            </w:hyperlink>
          </w:p>
        </w:tc>
        <w:tc>
          <w:tcPr>
            <w:tcW w:w="33" w:type="pct"/>
            <w:shd w:val="clear" w:color="auto" w:fill="FFFFFF"/>
            <w:tcMar>
              <w:top w:w="15" w:type="dxa"/>
              <w:right w:w="15" w:type="dxa"/>
            </w:tcMar>
            <w:vAlign w:val="bottom"/>
          </w:tcPr>
          <w:p w14:paraId="3973FCF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CF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CF4"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CF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CF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CF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10.16</w:t>
            </w:r>
          </w:p>
        </w:tc>
        <w:tc>
          <w:tcPr>
            <w:tcW w:w="33" w:type="pct"/>
            <w:shd w:val="clear" w:color="auto" w:fill="FFFFFF"/>
            <w:tcMar>
              <w:top w:w="15" w:type="dxa"/>
              <w:right w:w="15" w:type="dxa"/>
            </w:tcMar>
          </w:tcPr>
          <w:p w14:paraId="3973FCF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CF9"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3" w:type="pct"/>
            <w:shd w:val="clear" w:color="auto" w:fill="FFFFFF"/>
            <w:tcMar>
              <w:top w:w="15" w:type="dxa"/>
              <w:right w:w="15" w:type="dxa"/>
            </w:tcMar>
          </w:tcPr>
          <w:p w14:paraId="3973FCF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CF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D0A" w14:textId="77777777">
        <w:tc>
          <w:tcPr>
            <w:tcW w:w="358" w:type="pct"/>
            <w:shd w:val="clear" w:color="auto" w:fill="FFFFFF"/>
            <w:tcMar>
              <w:top w:w="15" w:type="dxa"/>
              <w:right w:w="15" w:type="dxa"/>
            </w:tcMar>
          </w:tcPr>
          <w:p w14:paraId="3973FCF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CF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CF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0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0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02"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0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0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0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0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0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0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0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18" w14:textId="77777777">
        <w:tc>
          <w:tcPr>
            <w:tcW w:w="358" w:type="pct"/>
            <w:shd w:val="clear" w:color="auto" w:fill="FFFFFF"/>
            <w:tcMar>
              <w:top w:w="15" w:type="dxa"/>
              <w:right w:w="15" w:type="dxa"/>
            </w:tcMar>
          </w:tcPr>
          <w:p w14:paraId="3973FD0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10.12*</w:t>
            </w:r>
          </w:p>
        </w:tc>
        <w:tc>
          <w:tcPr>
            <w:tcW w:w="27" w:type="pct"/>
            <w:shd w:val="clear" w:color="auto" w:fill="FFFFFF"/>
            <w:tcMar>
              <w:top w:w="15" w:type="dxa"/>
              <w:right w:w="15" w:type="dxa"/>
            </w:tcMar>
            <w:vAlign w:val="bottom"/>
          </w:tcPr>
          <w:p w14:paraId="3973FD0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0D" w14:textId="77777777" w:rsidR="007B027D" w:rsidRDefault="008E0125">
            <w:pPr>
              <w:pStyle w:val="a3"/>
              <w:spacing w:beforeAutospacing="0" w:afterAutospacing="0"/>
              <w:jc w:val="both"/>
              <w:rPr>
                <w:rFonts w:ascii="Calibri" w:hAnsi="Calibri" w:cs="Calibri"/>
                <w:sz w:val="20"/>
                <w:szCs w:val="20"/>
              </w:rPr>
            </w:pPr>
            <w:hyperlink r:id="rId293" w:history="1">
              <w:r>
                <w:rPr>
                  <w:rStyle w:val="a5"/>
                  <w:rFonts w:ascii="Calibri" w:hAnsi="Calibri" w:cs="Calibri"/>
                  <w:sz w:val="20"/>
                  <w:szCs w:val="20"/>
                </w:rPr>
                <w:t>First Amendment to Performance-Based Stock Option Agreement with Lawrence J. Ellison and Safra A. Catz under the Amended and Restated 2000 Long-Term Equity</w:t>
              </w:r>
              <w:r>
                <w:rPr>
                  <w:rStyle w:val="a5"/>
                  <w:rFonts w:ascii="Calibri" w:hAnsi="Calibri" w:cs="Calibri"/>
                  <w:sz w:val="20"/>
                  <w:szCs w:val="20"/>
                </w:rPr>
                <w:t xml:space="preserve"> Incentive Plan</w:t>
              </w:r>
            </w:hyperlink>
          </w:p>
        </w:tc>
        <w:tc>
          <w:tcPr>
            <w:tcW w:w="33" w:type="pct"/>
            <w:shd w:val="clear" w:color="auto" w:fill="FFFFFF"/>
            <w:tcMar>
              <w:top w:w="15" w:type="dxa"/>
              <w:right w:w="15" w:type="dxa"/>
            </w:tcMar>
            <w:vAlign w:val="bottom"/>
          </w:tcPr>
          <w:p w14:paraId="3973FD0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0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3" w:type="pct"/>
            <w:shd w:val="clear" w:color="auto" w:fill="FFFFFF"/>
            <w:tcMar>
              <w:top w:w="15" w:type="dxa"/>
              <w:right w:w="15" w:type="dxa"/>
            </w:tcMar>
            <w:vAlign w:val="bottom"/>
          </w:tcPr>
          <w:p w14:paraId="3973FD1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1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D1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1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10.15</w:t>
            </w:r>
          </w:p>
        </w:tc>
        <w:tc>
          <w:tcPr>
            <w:tcW w:w="33" w:type="pct"/>
            <w:shd w:val="clear" w:color="auto" w:fill="FFFFFF"/>
            <w:tcMar>
              <w:top w:w="15" w:type="dxa"/>
              <w:right w:w="15" w:type="dxa"/>
            </w:tcMar>
          </w:tcPr>
          <w:p w14:paraId="3973FD1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15"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7/7/21</w:t>
            </w:r>
          </w:p>
        </w:tc>
        <w:tc>
          <w:tcPr>
            <w:tcW w:w="33" w:type="pct"/>
            <w:shd w:val="clear" w:color="auto" w:fill="FFFFFF"/>
            <w:tcMar>
              <w:top w:w="15" w:type="dxa"/>
              <w:right w:w="15" w:type="dxa"/>
            </w:tcMar>
          </w:tcPr>
          <w:p w14:paraId="3973FD1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1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D26" w14:textId="77777777">
        <w:tc>
          <w:tcPr>
            <w:tcW w:w="358" w:type="pct"/>
            <w:shd w:val="clear" w:color="auto" w:fill="FFFFFF"/>
            <w:tcMar>
              <w:top w:w="15" w:type="dxa"/>
              <w:right w:w="15" w:type="dxa"/>
            </w:tcMar>
          </w:tcPr>
          <w:p w14:paraId="3973FD1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1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1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1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1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1E"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1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2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2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2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2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2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2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34" w14:textId="77777777">
        <w:tc>
          <w:tcPr>
            <w:tcW w:w="358" w:type="pct"/>
            <w:shd w:val="clear" w:color="auto" w:fill="FFFFFF"/>
            <w:tcMar>
              <w:top w:w="15" w:type="dxa"/>
              <w:right w:w="15" w:type="dxa"/>
            </w:tcMar>
          </w:tcPr>
          <w:p w14:paraId="3973FD27"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10.13*</w:t>
            </w:r>
          </w:p>
        </w:tc>
        <w:tc>
          <w:tcPr>
            <w:tcW w:w="27" w:type="pct"/>
            <w:shd w:val="clear" w:color="auto" w:fill="FFFFFF"/>
            <w:tcMar>
              <w:top w:w="15" w:type="dxa"/>
              <w:right w:w="15" w:type="dxa"/>
            </w:tcMar>
            <w:vAlign w:val="bottom"/>
          </w:tcPr>
          <w:p w14:paraId="3973FD2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29" w14:textId="77777777" w:rsidR="007B027D" w:rsidRDefault="008E0125">
            <w:pPr>
              <w:pStyle w:val="a3"/>
              <w:spacing w:beforeAutospacing="0" w:afterAutospacing="0"/>
              <w:jc w:val="both"/>
              <w:rPr>
                <w:rFonts w:ascii="Calibri" w:hAnsi="Calibri" w:cs="Calibri"/>
                <w:sz w:val="20"/>
                <w:szCs w:val="20"/>
              </w:rPr>
            </w:pPr>
            <w:hyperlink r:id="rId294" w:history="1">
              <w:r>
                <w:rPr>
                  <w:rStyle w:val="a5"/>
                  <w:rFonts w:ascii="Calibri" w:hAnsi="Calibri" w:cs="Calibri"/>
                  <w:sz w:val="20"/>
                  <w:szCs w:val="20"/>
                </w:rPr>
                <w:t>Form of Stock Unit Award Agreement under the Amended and Restated 2000 Long-Term Equity Incentive Plan for U.S. Employees (Including Section 16 Officers)</w:t>
              </w:r>
            </w:hyperlink>
          </w:p>
        </w:tc>
        <w:tc>
          <w:tcPr>
            <w:tcW w:w="33" w:type="pct"/>
            <w:shd w:val="clear" w:color="auto" w:fill="FFFFFF"/>
            <w:tcMar>
              <w:top w:w="15" w:type="dxa"/>
              <w:right w:w="15" w:type="dxa"/>
            </w:tcMar>
            <w:vAlign w:val="bottom"/>
          </w:tcPr>
          <w:p w14:paraId="3973FD2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2B"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D2C"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D2D"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3" w:type="pct"/>
            <w:shd w:val="clear" w:color="auto" w:fill="FFFFFF"/>
            <w:tcMar>
              <w:top w:w="15" w:type="dxa"/>
              <w:right w:w="15" w:type="dxa"/>
            </w:tcMar>
          </w:tcPr>
          <w:p w14:paraId="3973FD2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2F"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33" w:type="pct"/>
            <w:shd w:val="clear" w:color="auto" w:fill="FFFFFF"/>
            <w:tcMar>
              <w:top w:w="15" w:type="dxa"/>
              <w:right w:w="15" w:type="dxa"/>
            </w:tcMar>
          </w:tcPr>
          <w:p w14:paraId="3973FD3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31"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3" w:type="pct"/>
            <w:shd w:val="clear" w:color="auto" w:fill="FFFFFF"/>
            <w:tcMar>
              <w:top w:w="15" w:type="dxa"/>
              <w:right w:w="15" w:type="dxa"/>
            </w:tcMar>
          </w:tcPr>
          <w:p w14:paraId="3973FD3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33"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D42" w14:textId="77777777">
        <w:tc>
          <w:tcPr>
            <w:tcW w:w="358" w:type="pct"/>
            <w:shd w:val="clear" w:color="auto" w:fill="FFFFFF"/>
            <w:tcMar>
              <w:top w:w="15" w:type="dxa"/>
              <w:right w:w="15" w:type="dxa"/>
            </w:tcMar>
          </w:tcPr>
          <w:p w14:paraId="3973FD3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3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3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3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3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3A"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3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3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3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3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3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4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4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50" w14:textId="77777777">
        <w:tc>
          <w:tcPr>
            <w:tcW w:w="358" w:type="pct"/>
            <w:shd w:val="clear" w:color="auto" w:fill="FFFFFF"/>
            <w:tcMar>
              <w:top w:w="15" w:type="dxa"/>
              <w:right w:w="15" w:type="dxa"/>
            </w:tcMar>
          </w:tcPr>
          <w:p w14:paraId="3973FD43"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10.14*</w:t>
            </w:r>
          </w:p>
        </w:tc>
        <w:tc>
          <w:tcPr>
            <w:tcW w:w="27" w:type="pct"/>
            <w:shd w:val="clear" w:color="auto" w:fill="FFFFFF"/>
            <w:tcMar>
              <w:top w:w="15" w:type="dxa"/>
              <w:right w:w="15" w:type="dxa"/>
            </w:tcMar>
          </w:tcPr>
          <w:p w14:paraId="3973FD4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tcPr>
          <w:p w14:paraId="3973FD45" w14:textId="77777777" w:rsidR="007B027D" w:rsidRDefault="008E0125">
            <w:pPr>
              <w:pStyle w:val="a3"/>
              <w:spacing w:beforeAutospacing="0" w:afterAutospacing="0"/>
              <w:jc w:val="both"/>
              <w:rPr>
                <w:rFonts w:ascii="Calibri" w:hAnsi="Calibri" w:cs="Calibri"/>
                <w:sz w:val="20"/>
                <w:szCs w:val="20"/>
              </w:rPr>
            </w:pPr>
            <w:hyperlink r:id="rId295" w:history="1">
              <w:r>
                <w:rPr>
                  <w:rStyle w:val="a5"/>
                  <w:rFonts w:ascii="Calibri" w:hAnsi="Calibri" w:cs="Calibri"/>
                  <w:sz w:val="20"/>
                  <w:szCs w:val="20"/>
                </w:rPr>
                <w:t>Oracle Corporation Amended and Restated 2020 Equity Incentive Plan (as approved by the stockholders on November 10, 2021)</w:t>
              </w:r>
            </w:hyperlink>
          </w:p>
        </w:tc>
        <w:tc>
          <w:tcPr>
            <w:tcW w:w="33" w:type="pct"/>
            <w:shd w:val="clear" w:color="auto" w:fill="FFFFFF"/>
            <w:tcMar>
              <w:top w:w="15" w:type="dxa"/>
              <w:right w:w="15" w:type="dxa"/>
            </w:tcMar>
            <w:vAlign w:val="bottom"/>
          </w:tcPr>
          <w:p w14:paraId="3973FD4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47"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33" w:type="pct"/>
            <w:shd w:val="clear" w:color="auto" w:fill="FFFFFF"/>
            <w:tcMar>
              <w:top w:w="15" w:type="dxa"/>
              <w:right w:w="15" w:type="dxa"/>
            </w:tcMar>
          </w:tcPr>
          <w:p w14:paraId="3973FD4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49"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33" w:type="pct"/>
            <w:shd w:val="clear" w:color="auto" w:fill="FFFFFF"/>
            <w:tcMar>
              <w:top w:w="15" w:type="dxa"/>
              <w:right w:w="15" w:type="dxa"/>
            </w:tcMar>
          </w:tcPr>
          <w:p w14:paraId="3973FD4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4B"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33" w:type="pct"/>
            <w:shd w:val="clear" w:color="auto" w:fill="FFFFFF"/>
            <w:tcMar>
              <w:top w:w="15" w:type="dxa"/>
              <w:right w:w="15" w:type="dxa"/>
            </w:tcMar>
          </w:tcPr>
          <w:p w14:paraId="3973FD4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4D"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11/12</w:t>
            </w:r>
            <w:r>
              <w:rPr>
                <w:rFonts w:ascii="Calibri" w:hAnsi="Calibri" w:cs="Calibri"/>
                <w:sz w:val="20"/>
                <w:szCs w:val="20"/>
              </w:rPr>
              <w:t>/21</w:t>
            </w:r>
          </w:p>
        </w:tc>
        <w:tc>
          <w:tcPr>
            <w:tcW w:w="33" w:type="pct"/>
            <w:shd w:val="clear" w:color="auto" w:fill="FFFFFF"/>
            <w:tcMar>
              <w:top w:w="15" w:type="dxa"/>
              <w:right w:w="15" w:type="dxa"/>
            </w:tcMar>
          </w:tcPr>
          <w:p w14:paraId="3973FD4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4F"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7B027D" w14:paraId="3973FD5E" w14:textId="77777777">
        <w:tc>
          <w:tcPr>
            <w:tcW w:w="358" w:type="pct"/>
            <w:shd w:val="clear" w:color="auto" w:fill="FFFFFF"/>
            <w:tcMar>
              <w:top w:w="15" w:type="dxa"/>
              <w:right w:w="15" w:type="dxa"/>
            </w:tcMar>
          </w:tcPr>
          <w:p w14:paraId="3973FD5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tcPr>
          <w:p w14:paraId="3973FD5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tcPr>
          <w:p w14:paraId="3973FD53"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D5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5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5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5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5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5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5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5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5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5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6C" w14:textId="77777777">
        <w:tc>
          <w:tcPr>
            <w:tcW w:w="358" w:type="pct"/>
            <w:shd w:val="clear" w:color="auto" w:fill="FFFFFF"/>
            <w:tcMar>
              <w:top w:w="15" w:type="dxa"/>
              <w:right w:w="15" w:type="dxa"/>
            </w:tcMar>
          </w:tcPr>
          <w:p w14:paraId="3973FD5F"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10.15*</w:t>
            </w:r>
          </w:p>
        </w:tc>
        <w:tc>
          <w:tcPr>
            <w:tcW w:w="27" w:type="pct"/>
            <w:shd w:val="clear" w:color="auto" w:fill="FFFFFF"/>
            <w:tcMar>
              <w:top w:w="15" w:type="dxa"/>
              <w:right w:w="15" w:type="dxa"/>
            </w:tcMar>
            <w:vAlign w:val="bottom"/>
          </w:tcPr>
          <w:p w14:paraId="3973FD6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61" w14:textId="77777777" w:rsidR="007B027D" w:rsidRDefault="008E0125">
            <w:pPr>
              <w:pStyle w:val="a3"/>
              <w:spacing w:beforeAutospacing="0" w:afterAutospacing="0"/>
              <w:jc w:val="both"/>
              <w:rPr>
                <w:rFonts w:ascii="Calibri" w:hAnsi="Calibri" w:cs="Calibri"/>
                <w:sz w:val="20"/>
                <w:szCs w:val="20"/>
              </w:rPr>
            </w:pPr>
            <w:hyperlink r:id="rId296" w:history="1">
              <w:r>
                <w:rPr>
                  <w:rStyle w:val="a5"/>
                  <w:rFonts w:ascii="Calibri" w:hAnsi="Calibri" w:cs="Calibri"/>
                  <w:sz w:val="20"/>
                  <w:szCs w:val="20"/>
                </w:rPr>
                <w:t>Form of Restricted Stock Unit Agreement under the 2020 Equity Incentive Plan for U.S. Employees</w:t>
              </w:r>
            </w:hyperlink>
          </w:p>
        </w:tc>
        <w:tc>
          <w:tcPr>
            <w:tcW w:w="33" w:type="pct"/>
            <w:shd w:val="clear" w:color="auto" w:fill="FFFFFF"/>
            <w:tcMar>
              <w:top w:w="15" w:type="dxa"/>
              <w:right w:w="15" w:type="dxa"/>
            </w:tcMar>
            <w:vAlign w:val="bottom"/>
          </w:tcPr>
          <w:p w14:paraId="3973FD6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63"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10-Q</w:t>
            </w:r>
          </w:p>
        </w:tc>
        <w:tc>
          <w:tcPr>
            <w:tcW w:w="33" w:type="pct"/>
            <w:shd w:val="clear" w:color="auto" w:fill="FFFFFF"/>
            <w:tcMar>
              <w:top w:w="15" w:type="dxa"/>
              <w:right w:w="15" w:type="dxa"/>
            </w:tcMar>
            <w:vAlign w:val="bottom"/>
          </w:tcPr>
          <w:p w14:paraId="3973FD6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65"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33" w:type="pct"/>
            <w:shd w:val="clear" w:color="auto" w:fill="FFFFFF"/>
            <w:tcMar>
              <w:top w:w="15" w:type="dxa"/>
              <w:right w:w="15" w:type="dxa"/>
            </w:tcMar>
          </w:tcPr>
          <w:p w14:paraId="3973FD6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67"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33" w:type="pct"/>
            <w:shd w:val="clear" w:color="auto" w:fill="FFFFFF"/>
            <w:tcMar>
              <w:top w:w="15" w:type="dxa"/>
              <w:right w:w="15" w:type="dxa"/>
            </w:tcMar>
          </w:tcPr>
          <w:p w14:paraId="3973FD6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69"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12/11/20</w:t>
            </w:r>
          </w:p>
        </w:tc>
        <w:tc>
          <w:tcPr>
            <w:tcW w:w="33" w:type="pct"/>
            <w:shd w:val="clear" w:color="auto" w:fill="FFFFFF"/>
            <w:tcMar>
              <w:top w:w="15" w:type="dxa"/>
              <w:right w:w="15" w:type="dxa"/>
            </w:tcMar>
          </w:tcPr>
          <w:p w14:paraId="3973FD6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6B"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bl>
    <w:p w14:paraId="3973FD6D"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113</w:t>
      </w:r>
    </w:p>
    <w:p w14:paraId="3973FD6E" w14:textId="77777777" w:rsidR="007B027D" w:rsidRDefault="008E0125">
      <w:r>
        <w:rPr>
          <w:rFonts w:ascii="Calibri" w:hAnsi="Calibri" w:cs="Calibri"/>
          <w:sz w:val="20"/>
          <w:szCs w:val="20"/>
        </w:rPr>
        <w:pict w14:anchorId="397400AC">
          <v:rect id="_x0000_i1139" style="width:415.3pt;height:1.5pt" o:hralign="center" o:hrstd="t" o:hr="t" fillcolor="#a0a0a0" stroked="f"/>
        </w:pict>
      </w:r>
    </w:p>
    <w:p w14:paraId="3973FD6F" w14:textId="77777777" w:rsidR="007B027D" w:rsidRDefault="008E0125">
      <w:pPr>
        <w:pStyle w:val="a3"/>
        <w:spacing w:beforeAutospacing="0" w:after="120" w:afterAutospacing="0"/>
        <w:rPr>
          <w:rFonts w:ascii="Calibri" w:hAnsi="Calibri" w:cs="Calibri"/>
          <w:sz w:val="18"/>
          <w:szCs w:val="18"/>
        </w:rPr>
      </w:pPr>
      <w:hyperlink r:id="rId297"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D70" w14:textId="77777777" w:rsidR="007B027D" w:rsidRDefault="008E0125">
      <w:pPr>
        <w:pStyle w:val="a3"/>
        <w:spacing w:beforeAutospacing="0" w:afterAutospacing="0"/>
        <w:rPr>
          <w:rFonts w:ascii="Calibri" w:hAnsi="Calibri" w:cs="Calibri"/>
          <w:sz w:val="18"/>
          <w:szCs w:val="18"/>
        </w:rPr>
      </w:pPr>
      <w:hyperlink r:id="rId298" w:anchor="ITEM_15_EXHIBITS_FINANCIAL_STATEMENT_SCH" w:history="1">
        <w:r>
          <w:rPr>
            <w:rStyle w:val="a5"/>
            <w:rFonts w:ascii="Calibri" w:hAnsi="Calibri" w:cs="Calibri"/>
            <w:sz w:val="18"/>
            <w:szCs w:val="18"/>
          </w:rPr>
          <w:t>Index to Financial Statements</w:t>
        </w:r>
      </w:hyperlink>
    </w:p>
    <w:p w14:paraId="3973FD71" w14:textId="77777777" w:rsidR="007B027D" w:rsidRDefault="008E012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912"/>
        <w:gridCol w:w="75"/>
        <w:gridCol w:w="853"/>
        <w:gridCol w:w="75"/>
        <w:gridCol w:w="888"/>
        <w:gridCol w:w="75"/>
        <w:gridCol w:w="587"/>
        <w:gridCol w:w="75"/>
        <w:gridCol w:w="677"/>
        <w:gridCol w:w="75"/>
        <w:gridCol w:w="1367"/>
      </w:tblGrid>
      <w:tr w:rsidR="007B027D" w14:paraId="3973FD77" w14:textId="77777777">
        <w:tc>
          <w:tcPr>
            <w:tcW w:w="358" w:type="pct"/>
            <w:shd w:val="clear" w:color="auto" w:fill="FFFFFF"/>
            <w:tcMar>
              <w:top w:w="15" w:type="dxa"/>
              <w:right w:w="15" w:type="dxa"/>
            </w:tcMar>
            <w:vAlign w:val="bottom"/>
          </w:tcPr>
          <w:p w14:paraId="3973FD72"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D73"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D74"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D75"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D76"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D85" w14:textId="77777777">
        <w:tc>
          <w:tcPr>
            <w:tcW w:w="358" w:type="pct"/>
            <w:tcBorders>
              <w:bottom w:val="single" w:sz="6" w:space="0" w:color="000000"/>
            </w:tcBorders>
            <w:shd w:val="clear" w:color="auto" w:fill="FFFFFF"/>
            <w:tcMar>
              <w:top w:w="15" w:type="dxa"/>
              <w:right w:w="15" w:type="dxa"/>
            </w:tcMar>
            <w:vAlign w:val="bottom"/>
          </w:tcPr>
          <w:p w14:paraId="3973FD78"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D79"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D7A"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3" w:type="pct"/>
            <w:shd w:val="clear" w:color="auto" w:fill="FFFFFF"/>
            <w:tcMar>
              <w:top w:w="15" w:type="dxa"/>
              <w:right w:w="15" w:type="dxa"/>
            </w:tcMar>
            <w:vAlign w:val="bottom"/>
          </w:tcPr>
          <w:p w14:paraId="3973FD7B"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D7C"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D7D"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D7E"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3" w:type="pct"/>
            <w:tcBorders>
              <w:top w:val="single" w:sz="6" w:space="0" w:color="000000"/>
            </w:tcBorders>
            <w:shd w:val="clear" w:color="auto" w:fill="FFFFFF"/>
            <w:tcMar>
              <w:top w:w="15" w:type="dxa"/>
              <w:right w:w="15" w:type="dxa"/>
            </w:tcMar>
            <w:vAlign w:val="bottom"/>
          </w:tcPr>
          <w:p w14:paraId="3973FD7F"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D80"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D81"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D82"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D83"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D84"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D93" w14:textId="77777777">
        <w:tc>
          <w:tcPr>
            <w:tcW w:w="358" w:type="pct"/>
            <w:shd w:val="clear" w:color="auto" w:fill="FFFFFF"/>
            <w:tcMar>
              <w:top w:w="15" w:type="dxa"/>
              <w:right w:w="15" w:type="dxa"/>
            </w:tcMar>
          </w:tcPr>
          <w:p w14:paraId="3973FD8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8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88"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D8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8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8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8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8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8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8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9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9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9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A1" w14:textId="77777777">
        <w:tc>
          <w:tcPr>
            <w:tcW w:w="358" w:type="pct"/>
            <w:shd w:val="clear" w:color="auto" w:fill="FFFFFF"/>
            <w:tcMar>
              <w:top w:w="15" w:type="dxa"/>
              <w:right w:w="15" w:type="dxa"/>
            </w:tcMar>
          </w:tcPr>
          <w:p w14:paraId="3973FD94"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27" w:type="pct"/>
            <w:shd w:val="clear" w:color="auto" w:fill="FFFFFF"/>
            <w:tcMar>
              <w:top w:w="15" w:type="dxa"/>
              <w:right w:w="15" w:type="dxa"/>
            </w:tcMar>
          </w:tcPr>
          <w:p w14:paraId="3973FD9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tcPr>
          <w:p w14:paraId="3973FD96" w14:textId="77777777" w:rsidR="007B027D" w:rsidRDefault="008E0125">
            <w:pPr>
              <w:pStyle w:val="a3"/>
              <w:spacing w:beforeAutospacing="0" w:afterAutospacing="0"/>
              <w:jc w:val="both"/>
              <w:rPr>
                <w:rFonts w:ascii="Calibri" w:hAnsi="Calibri" w:cs="Calibri"/>
                <w:sz w:val="20"/>
                <w:szCs w:val="20"/>
              </w:rPr>
            </w:pPr>
            <w:hyperlink r:id="rId299" w:history="1">
              <w:r>
                <w:rPr>
                  <w:rStyle w:val="a5"/>
                  <w:rFonts w:ascii="Calibri" w:hAnsi="Calibri" w:cs="Calibri"/>
                  <w:sz w:val="20"/>
                  <w:szCs w:val="20"/>
                </w:rPr>
                <w:t xml:space="preserve">$6,000,000,000 5-Year Revolving Credit Agreement dated as of March 8, 2022 among Oracle Corporation and the </w:t>
              </w:r>
              <w:r>
                <w:rPr>
                  <w:rStyle w:val="a5"/>
                  <w:rFonts w:ascii="Calibri" w:hAnsi="Calibri" w:cs="Calibri"/>
                  <w:sz w:val="20"/>
                  <w:szCs w:val="20"/>
                </w:rPr>
                <w:t>lenders and agents named therein</w:t>
              </w:r>
            </w:hyperlink>
          </w:p>
        </w:tc>
        <w:tc>
          <w:tcPr>
            <w:tcW w:w="33" w:type="pct"/>
            <w:shd w:val="clear" w:color="auto" w:fill="FFFFFF"/>
            <w:tcMar>
              <w:top w:w="15" w:type="dxa"/>
              <w:right w:w="15" w:type="dxa"/>
            </w:tcMar>
            <w:vAlign w:val="bottom"/>
          </w:tcPr>
          <w:p w14:paraId="3973FD9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98"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10-Q</w:t>
            </w:r>
          </w:p>
        </w:tc>
        <w:tc>
          <w:tcPr>
            <w:tcW w:w="33" w:type="pct"/>
            <w:shd w:val="clear" w:color="auto" w:fill="FFFFFF"/>
            <w:tcMar>
              <w:top w:w="15" w:type="dxa"/>
              <w:right w:w="15" w:type="dxa"/>
            </w:tcMar>
          </w:tcPr>
          <w:p w14:paraId="3973FD99"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9A"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33" w:type="pct"/>
            <w:shd w:val="clear" w:color="auto" w:fill="FFFFFF"/>
            <w:tcMar>
              <w:top w:w="15" w:type="dxa"/>
              <w:right w:w="15" w:type="dxa"/>
            </w:tcMar>
          </w:tcPr>
          <w:p w14:paraId="3973FD9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9C"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33" w:type="pct"/>
            <w:shd w:val="clear" w:color="auto" w:fill="FFFFFF"/>
            <w:tcMar>
              <w:top w:w="15" w:type="dxa"/>
              <w:right w:w="15" w:type="dxa"/>
            </w:tcMar>
          </w:tcPr>
          <w:p w14:paraId="3973FD9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9E"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3/11/22</w:t>
            </w:r>
          </w:p>
        </w:tc>
        <w:tc>
          <w:tcPr>
            <w:tcW w:w="33" w:type="pct"/>
            <w:shd w:val="clear" w:color="auto" w:fill="FFFFFF"/>
            <w:tcMar>
              <w:top w:w="15" w:type="dxa"/>
              <w:right w:w="15" w:type="dxa"/>
            </w:tcMar>
          </w:tcPr>
          <w:p w14:paraId="3973FD9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A0"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7B027D" w14:paraId="3973FDAF" w14:textId="77777777">
        <w:tc>
          <w:tcPr>
            <w:tcW w:w="358" w:type="pct"/>
            <w:shd w:val="clear" w:color="auto" w:fill="FFFFFF"/>
            <w:tcMar>
              <w:top w:w="15" w:type="dxa"/>
              <w:right w:w="15" w:type="dxa"/>
            </w:tcMar>
          </w:tcPr>
          <w:p w14:paraId="3973FDA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A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A4"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DA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A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A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A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A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A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A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A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A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A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BD" w14:textId="77777777">
        <w:tc>
          <w:tcPr>
            <w:tcW w:w="358" w:type="pct"/>
            <w:shd w:val="clear" w:color="auto" w:fill="FFFFFF"/>
            <w:tcMar>
              <w:top w:w="15" w:type="dxa"/>
              <w:right w:w="15" w:type="dxa"/>
            </w:tcMar>
          </w:tcPr>
          <w:p w14:paraId="3973FDB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27" w:type="pct"/>
            <w:shd w:val="clear" w:color="auto" w:fill="FFFFFF"/>
            <w:tcMar>
              <w:top w:w="15" w:type="dxa"/>
              <w:right w:w="15" w:type="dxa"/>
            </w:tcMar>
            <w:vAlign w:val="bottom"/>
          </w:tcPr>
          <w:p w14:paraId="3973FDB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tcPr>
          <w:p w14:paraId="3973FDB2" w14:textId="77777777" w:rsidR="007B027D" w:rsidRDefault="008E0125">
            <w:pPr>
              <w:pStyle w:val="a3"/>
              <w:spacing w:beforeAutospacing="0" w:afterAutospacing="0"/>
              <w:jc w:val="both"/>
              <w:rPr>
                <w:rFonts w:ascii="Calibri" w:hAnsi="Calibri" w:cs="Calibri"/>
                <w:sz w:val="20"/>
                <w:szCs w:val="20"/>
              </w:rPr>
            </w:pPr>
            <w:hyperlink r:id="rId300" w:history="1">
              <w:r>
                <w:rPr>
                  <w:rStyle w:val="a5"/>
                  <w:rFonts w:ascii="Calibri" w:hAnsi="Calibri" w:cs="Calibri"/>
                  <w:sz w:val="20"/>
                  <w:szCs w:val="20"/>
                </w:rPr>
                <w:t>$15,700,000,000 364-Day Delayed Draw Term Loan Credit Agreement dated as of March 8, 2022 among Oracle Corporation and the lenders and agents named therein</w:t>
              </w:r>
            </w:hyperlink>
          </w:p>
        </w:tc>
        <w:tc>
          <w:tcPr>
            <w:tcW w:w="33" w:type="pct"/>
            <w:shd w:val="clear" w:color="auto" w:fill="FFFFFF"/>
            <w:tcMar>
              <w:top w:w="15" w:type="dxa"/>
              <w:right w:w="15" w:type="dxa"/>
            </w:tcMar>
            <w:vAlign w:val="bottom"/>
          </w:tcPr>
          <w:p w14:paraId="3973FDB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B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3" w:type="pct"/>
            <w:shd w:val="clear" w:color="auto" w:fill="FFFFFF"/>
            <w:tcMar>
              <w:top w:w="15" w:type="dxa"/>
              <w:right w:w="15" w:type="dxa"/>
            </w:tcMar>
            <w:vAlign w:val="bottom"/>
          </w:tcPr>
          <w:p w14:paraId="3973FDB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B6"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33" w:type="pct"/>
            <w:shd w:val="clear" w:color="auto" w:fill="FFFFFF"/>
            <w:tcMar>
              <w:top w:w="15" w:type="dxa"/>
              <w:right w:w="15" w:type="dxa"/>
            </w:tcMar>
          </w:tcPr>
          <w:p w14:paraId="3973FDB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B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33" w:type="pct"/>
            <w:shd w:val="clear" w:color="auto" w:fill="FFFFFF"/>
            <w:tcMar>
              <w:top w:w="15" w:type="dxa"/>
              <w:right w:w="15" w:type="dxa"/>
            </w:tcMar>
          </w:tcPr>
          <w:p w14:paraId="3973FDB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BA"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3/11/22</w:t>
            </w:r>
          </w:p>
        </w:tc>
        <w:tc>
          <w:tcPr>
            <w:tcW w:w="33" w:type="pct"/>
            <w:shd w:val="clear" w:color="auto" w:fill="FFFFFF"/>
            <w:tcMar>
              <w:top w:w="15" w:type="dxa"/>
              <w:right w:w="15" w:type="dxa"/>
            </w:tcMar>
          </w:tcPr>
          <w:p w14:paraId="3973FDB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B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7B027D" w14:paraId="3973FDCB" w14:textId="77777777">
        <w:tc>
          <w:tcPr>
            <w:tcW w:w="358" w:type="pct"/>
            <w:shd w:val="clear" w:color="auto" w:fill="FFFFFF"/>
            <w:tcMar>
              <w:top w:w="15" w:type="dxa"/>
              <w:right w:w="15" w:type="dxa"/>
            </w:tcMar>
          </w:tcPr>
          <w:p w14:paraId="3973FDB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B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C0"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3" w:type="pct"/>
            <w:shd w:val="clear" w:color="auto" w:fill="FFFFFF"/>
            <w:tcMar>
              <w:top w:w="15" w:type="dxa"/>
              <w:right w:w="15" w:type="dxa"/>
            </w:tcMar>
            <w:vAlign w:val="bottom"/>
          </w:tcPr>
          <w:p w14:paraId="3973FDC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C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C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C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C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C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C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C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C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C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D9" w14:textId="77777777">
        <w:tc>
          <w:tcPr>
            <w:tcW w:w="358" w:type="pct"/>
            <w:shd w:val="clear" w:color="auto" w:fill="FFFFFF"/>
            <w:tcMar>
              <w:top w:w="15" w:type="dxa"/>
              <w:right w:w="15" w:type="dxa"/>
            </w:tcMar>
          </w:tcPr>
          <w:p w14:paraId="3973FDC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21.01‡</w:t>
            </w:r>
          </w:p>
        </w:tc>
        <w:tc>
          <w:tcPr>
            <w:tcW w:w="27" w:type="pct"/>
            <w:shd w:val="clear" w:color="auto" w:fill="FFFFFF"/>
            <w:tcMar>
              <w:top w:w="15" w:type="dxa"/>
              <w:right w:w="15" w:type="dxa"/>
            </w:tcMar>
            <w:vAlign w:val="bottom"/>
          </w:tcPr>
          <w:p w14:paraId="3973FDC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DCE" w14:textId="77777777" w:rsidR="007B027D" w:rsidRDefault="008E0125">
            <w:pPr>
              <w:pStyle w:val="a3"/>
              <w:spacing w:beforeAutospacing="0" w:afterAutospacing="0"/>
              <w:jc w:val="both"/>
              <w:rPr>
                <w:rFonts w:ascii="Calibri" w:hAnsi="Calibri" w:cs="Calibri"/>
                <w:sz w:val="20"/>
                <w:szCs w:val="20"/>
              </w:rPr>
            </w:pPr>
            <w:hyperlink r:id="rId301" w:history="1">
              <w:r>
                <w:rPr>
                  <w:rStyle w:val="a5"/>
                  <w:rFonts w:ascii="Calibri" w:hAnsi="Calibri" w:cs="Calibri"/>
                  <w:sz w:val="20"/>
                  <w:szCs w:val="20"/>
                </w:rPr>
                <w:t>Subsidiaries of the Registrant</w:t>
              </w:r>
            </w:hyperlink>
          </w:p>
        </w:tc>
        <w:tc>
          <w:tcPr>
            <w:tcW w:w="33" w:type="pct"/>
            <w:shd w:val="clear" w:color="auto" w:fill="FFFFFF"/>
            <w:tcMar>
              <w:top w:w="15" w:type="dxa"/>
              <w:right w:w="15" w:type="dxa"/>
            </w:tcMar>
            <w:vAlign w:val="bottom"/>
          </w:tcPr>
          <w:p w14:paraId="3973FDC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DD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D1"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DD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D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D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D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D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D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D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E7" w14:textId="77777777">
        <w:tc>
          <w:tcPr>
            <w:tcW w:w="358" w:type="pct"/>
            <w:shd w:val="clear" w:color="auto" w:fill="FFFFFF"/>
            <w:tcMar>
              <w:top w:w="15" w:type="dxa"/>
              <w:right w:w="15" w:type="dxa"/>
            </w:tcMar>
          </w:tcPr>
          <w:p w14:paraId="3973FDD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D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DC"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D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D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DF"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E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E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E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E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E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E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E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DF5" w14:textId="77777777">
        <w:tc>
          <w:tcPr>
            <w:tcW w:w="358" w:type="pct"/>
            <w:shd w:val="clear" w:color="auto" w:fill="FFFFFF"/>
            <w:tcMar>
              <w:top w:w="15" w:type="dxa"/>
              <w:right w:w="15" w:type="dxa"/>
            </w:tcMar>
          </w:tcPr>
          <w:p w14:paraId="3973FDE8"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23.01‡</w:t>
            </w:r>
          </w:p>
        </w:tc>
        <w:tc>
          <w:tcPr>
            <w:tcW w:w="27" w:type="pct"/>
            <w:shd w:val="clear" w:color="auto" w:fill="FFFFFF"/>
            <w:tcMar>
              <w:top w:w="15" w:type="dxa"/>
              <w:right w:w="15" w:type="dxa"/>
            </w:tcMar>
            <w:vAlign w:val="bottom"/>
          </w:tcPr>
          <w:p w14:paraId="3973FDE9"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DEA" w14:textId="77777777" w:rsidR="007B027D" w:rsidRDefault="008E0125">
            <w:pPr>
              <w:pStyle w:val="a3"/>
              <w:spacing w:beforeAutospacing="0" w:afterAutospacing="0"/>
              <w:jc w:val="both"/>
              <w:rPr>
                <w:rFonts w:ascii="Calibri" w:hAnsi="Calibri" w:cs="Calibri"/>
                <w:sz w:val="20"/>
                <w:szCs w:val="20"/>
              </w:rPr>
            </w:pPr>
            <w:hyperlink r:id="rId302" w:history="1">
              <w:r>
                <w:rPr>
                  <w:rStyle w:val="a5"/>
                  <w:rFonts w:ascii="Calibri" w:hAnsi="Calibri" w:cs="Calibri"/>
                  <w:sz w:val="20"/>
                  <w:szCs w:val="20"/>
                </w:rPr>
                <w:t>Consent of Independent Registered Public Accounting Firm</w:t>
              </w:r>
            </w:hyperlink>
          </w:p>
        </w:tc>
        <w:tc>
          <w:tcPr>
            <w:tcW w:w="33" w:type="pct"/>
            <w:shd w:val="clear" w:color="auto" w:fill="FFFFFF"/>
            <w:tcMar>
              <w:top w:w="15" w:type="dxa"/>
              <w:right w:w="15" w:type="dxa"/>
            </w:tcMar>
            <w:vAlign w:val="bottom"/>
          </w:tcPr>
          <w:p w14:paraId="3973FDEB"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DE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ED"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DE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E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F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F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DF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F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DF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03" w14:textId="77777777">
        <w:tc>
          <w:tcPr>
            <w:tcW w:w="358" w:type="pct"/>
            <w:shd w:val="clear" w:color="auto" w:fill="FFFFFF"/>
            <w:tcMar>
              <w:top w:w="15" w:type="dxa"/>
              <w:right w:w="15" w:type="dxa"/>
            </w:tcMar>
          </w:tcPr>
          <w:p w14:paraId="3973FDF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DF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DF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F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DF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DFB"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DF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F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DF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DF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0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0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0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11" w14:textId="77777777">
        <w:tc>
          <w:tcPr>
            <w:tcW w:w="358" w:type="pct"/>
            <w:shd w:val="clear" w:color="auto" w:fill="FFFFFF"/>
            <w:tcMar>
              <w:top w:w="15" w:type="dxa"/>
              <w:right w:w="15" w:type="dxa"/>
            </w:tcMar>
          </w:tcPr>
          <w:p w14:paraId="3973FE04"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31.01‡</w:t>
            </w:r>
          </w:p>
        </w:tc>
        <w:tc>
          <w:tcPr>
            <w:tcW w:w="27" w:type="pct"/>
            <w:shd w:val="clear" w:color="auto" w:fill="FFFFFF"/>
            <w:tcMar>
              <w:top w:w="15" w:type="dxa"/>
              <w:right w:w="15" w:type="dxa"/>
            </w:tcMar>
            <w:vAlign w:val="bottom"/>
          </w:tcPr>
          <w:p w14:paraId="3973FE05"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E06" w14:textId="77777777" w:rsidR="007B027D" w:rsidRDefault="008E0125">
            <w:pPr>
              <w:pStyle w:val="a3"/>
              <w:spacing w:beforeAutospacing="0" w:afterAutospacing="0"/>
              <w:jc w:val="both"/>
              <w:rPr>
                <w:rFonts w:ascii="Calibri" w:hAnsi="Calibri" w:cs="Calibri"/>
                <w:sz w:val="20"/>
                <w:szCs w:val="20"/>
              </w:rPr>
            </w:pPr>
            <w:hyperlink r:id="rId303" w:history="1">
              <w:r>
                <w:rPr>
                  <w:rStyle w:val="a5"/>
                  <w:rFonts w:ascii="Calibri" w:hAnsi="Calibri" w:cs="Calibri"/>
                  <w:sz w:val="20"/>
                  <w:szCs w:val="20"/>
                </w:rPr>
                <w:t>Rule 13a-14(a)/15d-14(a) Certification of Principal Executive and Financial Officer</w:t>
              </w:r>
            </w:hyperlink>
          </w:p>
        </w:tc>
        <w:tc>
          <w:tcPr>
            <w:tcW w:w="33" w:type="pct"/>
            <w:shd w:val="clear" w:color="auto" w:fill="FFFFFF"/>
            <w:tcMar>
              <w:top w:w="15" w:type="dxa"/>
              <w:right w:w="15" w:type="dxa"/>
            </w:tcMar>
            <w:vAlign w:val="bottom"/>
          </w:tcPr>
          <w:p w14:paraId="3973FE07"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E0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09"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E0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0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0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0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0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0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1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1F" w14:textId="77777777">
        <w:tc>
          <w:tcPr>
            <w:tcW w:w="358" w:type="pct"/>
            <w:shd w:val="clear" w:color="auto" w:fill="FFFFFF"/>
            <w:tcMar>
              <w:top w:w="15" w:type="dxa"/>
              <w:right w:w="15" w:type="dxa"/>
            </w:tcMar>
          </w:tcPr>
          <w:p w14:paraId="3973FE1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E1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E1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1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E1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17"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E1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1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1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1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1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1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1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2D" w14:textId="77777777">
        <w:tc>
          <w:tcPr>
            <w:tcW w:w="358" w:type="pct"/>
            <w:shd w:val="clear" w:color="auto" w:fill="FFFFFF"/>
            <w:tcMar>
              <w:top w:w="15" w:type="dxa"/>
              <w:right w:w="15" w:type="dxa"/>
            </w:tcMar>
          </w:tcPr>
          <w:p w14:paraId="3973FE20"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32.01†</w:t>
            </w:r>
          </w:p>
        </w:tc>
        <w:tc>
          <w:tcPr>
            <w:tcW w:w="27" w:type="pct"/>
            <w:shd w:val="clear" w:color="auto" w:fill="FFFFFF"/>
            <w:tcMar>
              <w:top w:w="15" w:type="dxa"/>
              <w:right w:w="15" w:type="dxa"/>
            </w:tcMar>
            <w:vAlign w:val="bottom"/>
          </w:tcPr>
          <w:p w14:paraId="3973FE21"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E22" w14:textId="77777777" w:rsidR="007B027D" w:rsidRDefault="008E0125">
            <w:pPr>
              <w:pStyle w:val="a3"/>
              <w:spacing w:beforeAutospacing="0" w:afterAutospacing="0"/>
              <w:jc w:val="both"/>
              <w:rPr>
                <w:rFonts w:ascii="Calibri" w:hAnsi="Calibri" w:cs="Calibri"/>
                <w:sz w:val="20"/>
                <w:szCs w:val="20"/>
              </w:rPr>
            </w:pPr>
            <w:hyperlink r:id="rId304" w:history="1">
              <w:r>
                <w:rPr>
                  <w:rStyle w:val="a5"/>
                  <w:rFonts w:ascii="Calibri" w:hAnsi="Calibri" w:cs="Calibri"/>
                  <w:sz w:val="20"/>
                  <w:szCs w:val="20"/>
                </w:rPr>
                <w:t>Section 1350 Certification of Principal Executive and Financial Officer</w:t>
              </w:r>
            </w:hyperlink>
          </w:p>
        </w:tc>
        <w:tc>
          <w:tcPr>
            <w:tcW w:w="33" w:type="pct"/>
            <w:shd w:val="clear" w:color="auto" w:fill="FFFFFF"/>
            <w:tcMar>
              <w:top w:w="15" w:type="dxa"/>
              <w:right w:w="15" w:type="dxa"/>
            </w:tcMar>
            <w:vAlign w:val="bottom"/>
          </w:tcPr>
          <w:p w14:paraId="3973FE23"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E2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25"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E2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2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2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2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2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2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2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3B" w14:textId="77777777">
        <w:tc>
          <w:tcPr>
            <w:tcW w:w="358" w:type="pct"/>
            <w:shd w:val="clear" w:color="auto" w:fill="FFFFFF"/>
            <w:tcMar>
              <w:top w:w="15" w:type="dxa"/>
              <w:right w:w="15" w:type="dxa"/>
            </w:tcMar>
          </w:tcPr>
          <w:p w14:paraId="3973FE2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E2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E30"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3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E3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33"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E3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3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3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3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3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3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3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49" w14:textId="77777777">
        <w:tc>
          <w:tcPr>
            <w:tcW w:w="358" w:type="pct"/>
            <w:shd w:val="clear" w:color="auto" w:fill="FFFFFF"/>
            <w:tcMar>
              <w:top w:w="15" w:type="dxa"/>
              <w:right w:w="15" w:type="dxa"/>
            </w:tcMar>
          </w:tcPr>
          <w:p w14:paraId="3973FE3C" w14:textId="77777777" w:rsidR="007B027D" w:rsidRDefault="008E012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w:t>
            </w:r>
          </w:p>
        </w:tc>
        <w:tc>
          <w:tcPr>
            <w:tcW w:w="27" w:type="pct"/>
            <w:shd w:val="clear" w:color="auto" w:fill="FFFFFF"/>
            <w:tcMar>
              <w:top w:w="15" w:type="dxa"/>
              <w:right w:w="15" w:type="dxa"/>
            </w:tcMar>
            <w:vAlign w:val="bottom"/>
          </w:tcPr>
          <w:p w14:paraId="3973FE3D"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3973FE3E"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xml:space="preserve">Interactive Data Files </w:t>
            </w:r>
            <w:r>
              <w:rPr>
                <w:rFonts w:ascii="Calibri" w:hAnsi="Calibri" w:cs="Calibri"/>
                <w:color w:val="000000"/>
                <w:sz w:val="20"/>
                <w:szCs w:val="20"/>
              </w:rPr>
              <w:t>Pursuant to Rule 405 of Regulation S-T, formatted in Inline XBRL: (1) Consolidated Balance Sheets as of May 31, 2022 and 2021, (2) Consolidated Statements of Operations for the years ended May 31, 2022, 2021 and 2020, (3) Consolidated Statements of Compreh</w:t>
            </w:r>
            <w:r>
              <w:rPr>
                <w:rFonts w:ascii="Calibri" w:hAnsi="Calibri" w:cs="Calibri"/>
                <w:color w:val="000000"/>
                <w:sz w:val="20"/>
                <w:szCs w:val="20"/>
              </w:rPr>
              <w:t>ensive Income for the years ended May 31, 2022, 2021 and 2020, (4) Consolidated Statements of Stockholders’ (Deficit) Equity for the years ended May 31, 2022, 2021 and 2020, (5) Consolidated Statements of Cash Flows for the years ended May 31, 2022, 2021 a</w:t>
            </w:r>
            <w:r>
              <w:rPr>
                <w:rFonts w:ascii="Calibri" w:hAnsi="Calibri" w:cs="Calibri"/>
                <w:color w:val="000000"/>
                <w:sz w:val="20"/>
                <w:szCs w:val="20"/>
              </w:rPr>
              <w:t>nd 2020 and (6) Notes to Consolidated Financial Statements</w:t>
            </w:r>
          </w:p>
        </w:tc>
        <w:tc>
          <w:tcPr>
            <w:tcW w:w="33" w:type="pct"/>
            <w:shd w:val="clear" w:color="auto" w:fill="FFFFFF"/>
            <w:tcMar>
              <w:top w:w="15" w:type="dxa"/>
              <w:right w:w="15" w:type="dxa"/>
            </w:tcMar>
            <w:vAlign w:val="bottom"/>
          </w:tcPr>
          <w:p w14:paraId="3973FE3F" w14:textId="77777777" w:rsidR="007B027D" w:rsidRDefault="008E012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tcPr>
          <w:p w14:paraId="3973FE4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41"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3973FE4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4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4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4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4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4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4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bl>
    <w:p w14:paraId="3973FE4A"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114</w:t>
      </w:r>
    </w:p>
    <w:p w14:paraId="3973FE4B" w14:textId="77777777" w:rsidR="007B027D" w:rsidRDefault="008E0125">
      <w:r>
        <w:rPr>
          <w:rFonts w:ascii="Calibri" w:hAnsi="Calibri" w:cs="Calibri"/>
          <w:sz w:val="20"/>
          <w:szCs w:val="20"/>
        </w:rPr>
        <w:pict w14:anchorId="397400AD">
          <v:rect id="_x0000_i1140" style="width:415.3pt;height:1.5pt" o:hralign="center" o:hrstd="t" o:hr="t" fillcolor="#a0a0a0" stroked="f"/>
        </w:pict>
      </w:r>
    </w:p>
    <w:p w14:paraId="3973FE4C" w14:textId="77777777" w:rsidR="007B027D" w:rsidRDefault="008E0125">
      <w:pPr>
        <w:pStyle w:val="a3"/>
        <w:spacing w:beforeAutospacing="0" w:after="120" w:afterAutospacing="0"/>
        <w:rPr>
          <w:rFonts w:ascii="Calibri" w:hAnsi="Calibri" w:cs="Calibri"/>
          <w:sz w:val="18"/>
          <w:szCs w:val="18"/>
        </w:rPr>
      </w:pPr>
      <w:hyperlink r:id="rId305"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E4D" w14:textId="77777777" w:rsidR="007B027D" w:rsidRDefault="008E0125">
      <w:pPr>
        <w:pStyle w:val="a3"/>
        <w:spacing w:beforeAutospacing="0" w:afterAutospacing="0"/>
        <w:rPr>
          <w:rFonts w:ascii="Calibri" w:hAnsi="Calibri" w:cs="Calibri"/>
          <w:sz w:val="18"/>
          <w:szCs w:val="18"/>
        </w:rPr>
      </w:pPr>
      <w:hyperlink r:id="rId306" w:anchor="ITEM_15_EXHIBITS_FINANCIAL_STATEMENT_SCH" w:history="1">
        <w:r>
          <w:rPr>
            <w:rStyle w:val="a5"/>
            <w:rFonts w:ascii="Calibri" w:hAnsi="Calibri" w:cs="Calibri"/>
            <w:sz w:val="18"/>
            <w:szCs w:val="18"/>
          </w:rPr>
          <w:t>Index to Financial Statements</w:t>
        </w:r>
      </w:hyperlink>
    </w:p>
    <w:p w14:paraId="3973FE4E" w14:textId="77777777" w:rsidR="007B027D" w:rsidRDefault="008E012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922"/>
        <w:gridCol w:w="75"/>
        <w:gridCol w:w="858"/>
        <w:gridCol w:w="75"/>
        <w:gridCol w:w="862"/>
        <w:gridCol w:w="75"/>
        <w:gridCol w:w="587"/>
        <w:gridCol w:w="75"/>
        <w:gridCol w:w="670"/>
        <w:gridCol w:w="75"/>
        <w:gridCol w:w="1385"/>
      </w:tblGrid>
      <w:tr w:rsidR="007B027D" w14:paraId="3973FE54" w14:textId="77777777">
        <w:tc>
          <w:tcPr>
            <w:tcW w:w="358" w:type="pct"/>
            <w:shd w:val="clear" w:color="auto" w:fill="FFFFFF"/>
            <w:tcMar>
              <w:top w:w="15" w:type="dxa"/>
              <w:right w:w="15" w:type="dxa"/>
            </w:tcMar>
            <w:vAlign w:val="bottom"/>
          </w:tcPr>
          <w:p w14:paraId="3973FE4F"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7" w:type="pct"/>
            <w:shd w:val="clear" w:color="auto" w:fill="FFFFFF"/>
            <w:tcMar>
              <w:top w:w="15" w:type="dxa"/>
              <w:right w:w="15" w:type="dxa"/>
            </w:tcMar>
            <w:vAlign w:val="bottom"/>
          </w:tcPr>
          <w:p w14:paraId="3973FE50"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3973FE51"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3" w:type="pct"/>
            <w:shd w:val="clear" w:color="auto" w:fill="FFFFFF"/>
            <w:tcMar>
              <w:top w:w="15" w:type="dxa"/>
              <w:right w:w="15" w:type="dxa"/>
            </w:tcMar>
            <w:vAlign w:val="bottom"/>
          </w:tcPr>
          <w:p w14:paraId="3973FE52"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2805" w:type="pct"/>
            <w:gridSpan w:val="9"/>
            <w:tcBorders>
              <w:bottom w:val="single" w:sz="6" w:space="0" w:color="000000"/>
            </w:tcBorders>
            <w:shd w:val="clear" w:color="auto" w:fill="FFFFFF"/>
            <w:tcMar>
              <w:top w:w="15" w:type="dxa"/>
              <w:right w:w="15" w:type="dxa"/>
            </w:tcMar>
            <w:vAlign w:val="bottom"/>
          </w:tcPr>
          <w:p w14:paraId="3973FE53"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7B027D" w14:paraId="3973FE62" w14:textId="77777777">
        <w:tc>
          <w:tcPr>
            <w:tcW w:w="358" w:type="pct"/>
            <w:tcBorders>
              <w:bottom w:val="single" w:sz="6" w:space="0" w:color="000000"/>
            </w:tcBorders>
            <w:shd w:val="clear" w:color="auto" w:fill="FFFFFF"/>
            <w:tcMar>
              <w:top w:w="15" w:type="dxa"/>
              <w:right w:w="15" w:type="dxa"/>
            </w:tcMar>
            <w:vAlign w:val="bottom"/>
          </w:tcPr>
          <w:p w14:paraId="3973FE55"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7" w:type="pct"/>
            <w:shd w:val="clear" w:color="auto" w:fill="FFFFFF"/>
            <w:tcMar>
              <w:top w:w="15" w:type="dxa"/>
              <w:right w:w="15" w:type="dxa"/>
            </w:tcMar>
            <w:vAlign w:val="bottom"/>
          </w:tcPr>
          <w:p w14:paraId="3973FE56"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3973FE57"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 xml:space="preserve">Exhibit </w:t>
            </w:r>
            <w:r>
              <w:rPr>
                <w:rFonts w:ascii="Calibri" w:hAnsi="Calibri" w:cs="Calibri"/>
                <w:b/>
                <w:bCs/>
                <w:color w:val="000000"/>
                <w:sz w:val="20"/>
                <w:szCs w:val="20"/>
              </w:rPr>
              <w:t>Description</w:t>
            </w:r>
          </w:p>
        </w:tc>
        <w:tc>
          <w:tcPr>
            <w:tcW w:w="33" w:type="pct"/>
            <w:shd w:val="clear" w:color="auto" w:fill="FFFFFF"/>
            <w:tcMar>
              <w:top w:w="15" w:type="dxa"/>
              <w:right w:w="15" w:type="dxa"/>
            </w:tcMar>
            <w:vAlign w:val="bottom"/>
          </w:tcPr>
          <w:p w14:paraId="3973FE58"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3973FE59"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3" w:type="pct"/>
            <w:tcBorders>
              <w:top w:val="single" w:sz="6" w:space="0" w:color="000000"/>
            </w:tcBorders>
            <w:shd w:val="clear" w:color="auto" w:fill="FFFFFF"/>
            <w:tcMar>
              <w:top w:w="15" w:type="dxa"/>
              <w:right w:w="15" w:type="dxa"/>
            </w:tcMar>
            <w:vAlign w:val="bottom"/>
          </w:tcPr>
          <w:p w14:paraId="3973FE5A"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3973FE5B"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3" w:type="pct"/>
            <w:tcBorders>
              <w:top w:val="single" w:sz="6" w:space="0" w:color="000000"/>
            </w:tcBorders>
            <w:shd w:val="clear" w:color="auto" w:fill="FFFFFF"/>
            <w:tcMar>
              <w:top w:w="15" w:type="dxa"/>
              <w:right w:w="15" w:type="dxa"/>
            </w:tcMar>
            <w:vAlign w:val="bottom"/>
          </w:tcPr>
          <w:p w14:paraId="3973FE5C"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353" w:type="pct"/>
            <w:tcBorders>
              <w:top w:val="single" w:sz="6" w:space="0" w:color="000000"/>
              <w:bottom w:val="single" w:sz="6" w:space="0" w:color="000000"/>
            </w:tcBorders>
            <w:shd w:val="clear" w:color="auto" w:fill="FFFFFF"/>
            <w:tcMar>
              <w:top w:w="15" w:type="dxa"/>
              <w:right w:w="15" w:type="dxa"/>
            </w:tcMar>
            <w:vAlign w:val="bottom"/>
          </w:tcPr>
          <w:p w14:paraId="3973FE5D"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3" w:type="pct"/>
            <w:tcBorders>
              <w:top w:val="single" w:sz="6" w:space="0" w:color="000000"/>
            </w:tcBorders>
            <w:shd w:val="clear" w:color="auto" w:fill="FFFFFF"/>
            <w:tcMar>
              <w:top w:w="15" w:type="dxa"/>
              <w:right w:w="15" w:type="dxa"/>
            </w:tcMar>
            <w:vAlign w:val="bottom"/>
          </w:tcPr>
          <w:p w14:paraId="3973FE5E"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3973FE5F"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3" w:type="pct"/>
            <w:tcBorders>
              <w:top w:val="single" w:sz="6" w:space="0" w:color="000000"/>
            </w:tcBorders>
            <w:shd w:val="clear" w:color="auto" w:fill="FFFFFF"/>
            <w:tcMar>
              <w:top w:w="15" w:type="dxa"/>
              <w:right w:w="15" w:type="dxa"/>
            </w:tcMar>
            <w:vAlign w:val="bottom"/>
          </w:tcPr>
          <w:p w14:paraId="3973FE60" w14:textId="77777777" w:rsidR="007B027D" w:rsidRDefault="008E0125">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3973FE61" w14:textId="77777777" w:rsidR="007B027D" w:rsidRDefault="008E0125">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7B027D" w14:paraId="3973FE70" w14:textId="77777777">
        <w:tc>
          <w:tcPr>
            <w:tcW w:w="358" w:type="pct"/>
            <w:shd w:val="clear" w:color="auto" w:fill="FFFFFF"/>
            <w:tcMar>
              <w:top w:w="15" w:type="dxa"/>
              <w:right w:w="15" w:type="dxa"/>
            </w:tcMar>
          </w:tcPr>
          <w:p w14:paraId="3973FE6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E6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E65"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6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E6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68"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E6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6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6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6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6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6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6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7E" w14:textId="77777777">
        <w:tc>
          <w:tcPr>
            <w:tcW w:w="358" w:type="pct"/>
            <w:shd w:val="clear" w:color="auto" w:fill="FFFFFF"/>
            <w:tcMar>
              <w:top w:w="15" w:type="dxa"/>
              <w:right w:w="15" w:type="dxa"/>
            </w:tcMar>
          </w:tcPr>
          <w:p w14:paraId="3973FE71" w14:textId="77777777" w:rsidR="007B027D" w:rsidRDefault="008E0125">
            <w:pPr>
              <w:pStyle w:val="a3"/>
              <w:spacing w:beforeAutospacing="0" w:afterAutospacing="0"/>
              <w:jc w:val="center"/>
              <w:rPr>
                <w:rFonts w:ascii="Calibri" w:hAnsi="Calibri" w:cs="Calibri"/>
                <w:color w:val="212529"/>
                <w:sz w:val="20"/>
                <w:szCs w:val="20"/>
              </w:rPr>
            </w:pPr>
            <w:r>
              <w:rPr>
                <w:rFonts w:ascii="Calibri" w:hAnsi="Calibri" w:cs="Calibri"/>
                <w:color w:val="212529"/>
                <w:sz w:val="20"/>
                <w:szCs w:val="20"/>
                <w:shd w:val="clear" w:color="auto" w:fill="FFFFFF"/>
              </w:rPr>
              <w:t>104‡</w:t>
            </w:r>
          </w:p>
        </w:tc>
        <w:tc>
          <w:tcPr>
            <w:tcW w:w="27" w:type="pct"/>
            <w:shd w:val="clear" w:color="auto" w:fill="FFFFFF"/>
            <w:tcMar>
              <w:top w:w="15" w:type="dxa"/>
              <w:right w:w="15" w:type="dxa"/>
            </w:tcMar>
            <w:vAlign w:val="bottom"/>
          </w:tcPr>
          <w:p w14:paraId="3973FE7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E73" w14:textId="77777777" w:rsidR="007B027D" w:rsidRDefault="008E0125">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The cover page from the Company’s Annual Report on Form 10-K for the year ended May 31, 2022, formatted in Inline XBRL and contained in Exhibit 101</w:t>
            </w:r>
          </w:p>
        </w:tc>
        <w:tc>
          <w:tcPr>
            <w:tcW w:w="33" w:type="pct"/>
            <w:shd w:val="clear" w:color="auto" w:fill="FFFFFF"/>
            <w:tcMar>
              <w:top w:w="15" w:type="dxa"/>
              <w:right w:w="15" w:type="dxa"/>
            </w:tcMar>
            <w:vAlign w:val="bottom"/>
          </w:tcPr>
          <w:p w14:paraId="3973FE7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E7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76"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E7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7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7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7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7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7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7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8C" w14:textId="77777777">
        <w:tc>
          <w:tcPr>
            <w:tcW w:w="358" w:type="pct"/>
            <w:shd w:val="clear" w:color="auto" w:fill="FFFFFF"/>
            <w:tcMar>
              <w:top w:w="15" w:type="dxa"/>
              <w:right w:w="15" w:type="dxa"/>
            </w:tcMar>
          </w:tcPr>
          <w:p w14:paraId="3973FE7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27" w:type="pct"/>
            <w:shd w:val="clear" w:color="auto" w:fill="FFFFFF"/>
            <w:tcMar>
              <w:top w:w="15" w:type="dxa"/>
              <w:right w:w="15" w:type="dxa"/>
            </w:tcMar>
            <w:vAlign w:val="bottom"/>
          </w:tcPr>
          <w:p w14:paraId="3973FE8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3973FE81"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8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529" w:type="pct"/>
            <w:shd w:val="clear" w:color="auto" w:fill="FFFFFF"/>
            <w:tcMar>
              <w:top w:w="15" w:type="dxa"/>
              <w:right w:w="15" w:type="dxa"/>
            </w:tcMar>
          </w:tcPr>
          <w:p w14:paraId="3973FE8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vAlign w:val="bottom"/>
          </w:tcPr>
          <w:p w14:paraId="3973FE84" w14:textId="77777777" w:rsidR="007B027D" w:rsidRDefault="008E0125">
            <w:pPr>
              <w:pStyle w:val="a3"/>
              <w:spacing w:beforeAutospacing="0" w:afterAutospacing="0"/>
              <w:jc w:val="both"/>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3973FE8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8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53" w:type="pct"/>
            <w:shd w:val="clear" w:color="auto" w:fill="FFFFFF"/>
            <w:tcMar>
              <w:top w:w="15" w:type="dxa"/>
              <w:right w:w="15" w:type="dxa"/>
            </w:tcMar>
          </w:tcPr>
          <w:p w14:paraId="3973FE8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8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3973FE8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FFFFFF"/>
            <w:tcMar>
              <w:top w:w="15" w:type="dxa"/>
              <w:right w:w="15" w:type="dxa"/>
            </w:tcMar>
          </w:tcPr>
          <w:p w14:paraId="3973FE8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3973FE8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bl>
    <w:p w14:paraId="3973FE8D" w14:textId="77777777" w:rsidR="007B027D" w:rsidRDefault="008E0125">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7B027D" w14:paraId="3973FE90" w14:textId="77777777">
        <w:tc>
          <w:tcPr>
            <w:tcW w:w="192" w:type="pct"/>
            <w:shd w:val="clear" w:color="auto" w:fill="auto"/>
            <w:noWrap/>
          </w:tcPr>
          <w:p w14:paraId="3973FE8E"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3973FE8F"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Indicates management contract or compensatory plan or arrangement.</w:t>
            </w:r>
          </w:p>
        </w:tc>
      </w:tr>
    </w:tbl>
    <w:p w14:paraId="3973FE91"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FE94" w14:textId="77777777">
        <w:tc>
          <w:tcPr>
            <w:tcW w:w="192" w:type="pct"/>
            <w:shd w:val="clear" w:color="auto" w:fill="auto"/>
            <w:noWrap/>
          </w:tcPr>
          <w:p w14:paraId="3973FE92"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3973FE93"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Certain schedules and attachments have been omitted pursuant to Item 601(a)(5) of Regulation S-K. The Company agrees to provide, on a supplemental basis, a copy of any omitted schedules</w:t>
            </w:r>
            <w:r>
              <w:rPr>
                <w:rFonts w:ascii="Calibri" w:hAnsi="Calibri" w:cs="Calibri"/>
                <w:sz w:val="16"/>
                <w:szCs w:val="16"/>
              </w:rPr>
              <w:t xml:space="preserve"> and attachments to the SEC or its staff upon its request.</w:t>
            </w:r>
          </w:p>
        </w:tc>
      </w:tr>
    </w:tbl>
    <w:p w14:paraId="3973FE95"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FE98" w14:textId="77777777">
        <w:tc>
          <w:tcPr>
            <w:tcW w:w="192" w:type="pct"/>
            <w:shd w:val="clear" w:color="auto" w:fill="auto"/>
            <w:noWrap/>
          </w:tcPr>
          <w:p w14:paraId="3973FE96"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3973FE97"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Filed herewith.</w:t>
            </w:r>
          </w:p>
        </w:tc>
      </w:tr>
    </w:tbl>
    <w:p w14:paraId="3973FE99" w14:textId="77777777" w:rsidR="007B027D" w:rsidRDefault="007B027D">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7B027D" w14:paraId="3973FE9C" w14:textId="77777777">
        <w:tc>
          <w:tcPr>
            <w:tcW w:w="192" w:type="pct"/>
            <w:shd w:val="clear" w:color="auto" w:fill="auto"/>
            <w:noWrap/>
          </w:tcPr>
          <w:p w14:paraId="3973FE9A"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3973FE9B" w14:textId="77777777" w:rsidR="007B027D" w:rsidRDefault="008E0125">
            <w:pPr>
              <w:pStyle w:val="a3"/>
              <w:spacing w:before="40" w:beforeAutospacing="0" w:after="100" w:afterAutospacing="0"/>
              <w:rPr>
                <w:rFonts w:ascii="Calibri" w:hAnsi="Calibri" w:cs="Calibri"/>
                <w:sz w:val="16"/>
                <w:szCs w:val="16"/>
              </w:rPr>
            </w:pPr>
            <w:r>
              <w:rPr>
                <w:rFonts w:ascii="Calibri" w:hAnsi="Calibri" w:cs="Calibri"/>
                <w:sz w:val="16"/>
                <w:szCs w:val="16"/>
              </w:rPr>
              <w:t>Furnished herewith.</w:t>
            </w:r>
          </w:p>
        </w:tc>
      </w:tr>
    </w:tbl>
    <w:p w14:paraId="3973FE9D" w14:textId="77777777" w:rsidR="007B027D" w:rsidRDefault="008E0125">
      <w:pPr>
        <w:pStyle w:val="a3"/>
        <w:spacing w:before="240" w:beforeAutospacing="0" w:afterAutospacing="0"/>
        <w:jc w:val="both"/>
        <w:rPr>
          <w:rFonts w:ascii="Times New Roman" w:hAnsi="Times New Roman"/>
        </w:rPr>
      </w:pPr>
      <w:r>
        <w:rPr>
          <w:rFonts w:ascii="Times New Roman" w:hAnsi="Times New Roman"/>
        </w:rPr>
        <w:t> </w:t>
      </w:r>
    </w:p>
    <w:p w14:paraId="3973FE9E"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115</w:t>
      </w:r>
    </w:p>
    <w:p w14:paraId="3973FE9F" w14:textId="77777777" w:rsidR="007B027D" w:rsidRDefault="008E0125">
      <w:r>
        <w:rPr>
          <w:rFonts w:ascii="Calibri" w:hAnsi="Calibri" w:cs="Calibri"/>
          <w:sz w:val="20"/>
          <w:szCs w:val="20"/>
        </w:rPr>
        <w:pict w14:anchorId="397400AE">
          <v:rect id="_x0000_i1141" style="width:415.3pt;height:1.5pt" o:hralign="center" o:hrstd="t" o:hr="t" fillcolor="#a0a0a0" stroked="f"/>
        </w:pict>
      </w:r>
    </w:p>
    <w:p w14:paraId="3973FEA0" w14:textId="77777777" w:rsidR="007B027D" w:rsidRDefault="008E0125">
      <w:pPr>
        <w:pStyle w:val="a3"/>
        <w:spacing w:beforeAutospacing="0" w:after="120" w:afterAutospacing="0"/>
        <w:rPr>
          <w:rFonts w:ascii="Calibri" w:hAnsi="Calibri" w:cs="Calibri"/>
          <w:sz w:val="18"/>
          <w:szCs w:val="18"/>
        </w:rPr>
      </w:pPr>
      <w:hyperlink r:id="rId307" w:anchor="TABLE_OF_CONTENTS" w:history="1">
        <w:r>
          <w:rPr>
            <w:rStyle w:val="a5"/>
            <w:rFonts w:ascii="Calibri" w:hAnsi="Calibri" w:cs="Calibri"/>
            <w:sz w:val="18"/>
            <w:szCs w:val="18"/>
          </w:rPr>
          <w:t>Table of Contents</w:t>
        </w:r>
      </w:hyperlink>
      <w:r>
        <w:rPr>
          <w:rFonts w:ascii="Calibri" w:hAnsi="Calibri" w:cs="Calibri"/>
          <w:sz w:val="18"/>
          <w:szCs w:val="18"/>
        </w:rPr>
        <w:t> </w:t>
      </w:r>
    </w:p>
    <w:p w14:paraId="3973FEA1" w14:textId="77777777" w:rsidR="007B027D" w:rsidRDefault="008E0125">
      <w:pPr>
        <w:pStyle w:val="a3"/>
        <w:spacing w:beforeAutospacing="0" w:afterAutospacing="0"/>
        <w:rPr>
          <w:rFonts w:ascii="Calibri" w:hAnsi="Calibri" w:cs="Calibri"/>
          <w:sz w:val="18"/>
          <w:szCs w:val="18"/>
        </w:rPr>
      </w:pPr>
      <w:hyperlink r:id="rId308" w:anchor="ITEM_15_EXHIBITS_FINANCIAL_STATEMENT_SCH" w:history="1">
        <w:r>
          <w:rPr>
            <w:rStyle w:val="a5"/>
            <w:rFonts w:ascii="Calibri" w:hAnsi="Calibri" w:cs="Calibri"/>
            <w:sz w:val="18"/>
            <w:szCs w:val="18"/>
          </w:rPr>
          <w:t>Index to Financial Statements</w:t>
        </w:r>
      </w:hyperlink>
    </w:p>
    <w:p w14:paraId="3973FEA2" w14:textId="77777777" w:rsidR="007B027D" w:rsidRDefault="008E0125">
      <w:pPr>
        <w:pStyle w:val="a3"/>
        <w:spacing w:beforeAutospacing="0" w:afterAutospacing="0"/>
        <w:rPr>
          <w:rFonts w:ascii="Times New Roman" w:hAnsi="Times New Roman"/>
        </w:rPr>
      </w:pPr>
      <w:r>
        <w:rPr>
          <w:rFonts w:ascii="Times New Roman" w:hAnsi="Times New Roman"/>
        </w:rPr>
        <w:t> </w:t>
      </w:r>
    </w:p>
    <w:p w14:paraId="3973FEA3" w14:textId="77777777" w:rsidR="007B027D" w:rsidRDefault="008E0125">
      <w:pPr>
        <w:pStyle w:val="a3"/>
        <w:spacing w:beforeAutospacing="0" w:afterAutospacing="0"/>
        <w:rPr>
          <w:rFonts w:ascii="Times New Roman" w:hAnsi="Times New Roman"/>
          <w:sz w:val="20"/>
          <w:szCs w:val="20"/>
        </w:rPr>
      </w:pPr>
      <w:r>
        <w:rPr>
          <w:rFonts w:ascii="Times New Roman" w:hAnsi="Times New Roman"/>
          <w:sz w:val="20"/>
          <w:szCs w:val="20"/>
        </w:rPr>
        <w:t> </w:t>
      </w:r>
    </w:p>
    <w:p w14:paraId="3973FEA4" w14:textId="77777777" w:rsidR="007B027D" w:rsidRDefault="008E0125">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3973FEA5" w14:textId="77777777" w:rsidR="007B027D" w:rsidRDefault="008E0125">
      <w:pPr>
        <w:pStyle w:val="a3"/>
        <w:spacing w:before="100" w:beforeAutospacing="0" w:afterAutospacing="0"/>
        <w:rPr>
          <w:rFonts w:ascii="Calibri" w:hAnsi="Calibri" w:cs="Calibri"/>
          <w:sz w:val="20"/>
          <w:szCs w:val="20"/>
        </w:rPr>
      </w:pPr>
      <w:r>
        <w:rPr>
          <w:rFonts w:ascii="Calibri" w:hAnsi="Calibri" w:cs="Calibri"/>
          <w:sz w:val="20"/>
          <w:szCs w:val="20"/>
        </w:rPr>
        <w:t xml:space="preserve">Pursuant to the requirements of Section 13 or 15(d) </w:t>
      </w:r>
      <w:r>
        <w:rPr>
          <w:rFonts w:ascii="Calibri" w:hAnsi="Calibri" w:cs="Calibri"/>
          <w:sz w:val="20"/>
          <w:szCs w:val="20"/>
        </w:rPr>
        <w:t>of the Securities Exchange Act of 1934, the registrant has duly caused this report to be signed on its behalf by the undersigned, thereunto duly authorized.</w:t>
      </w:r>
    </w:p>
    <w:p w14:paraId="3973FEA6"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4483"/>
        <w:gridCol w:w="81"/>
        <w:gridCol w:w="256"/>
        <w:gridCol w:w="81"/>
        <w:gridCol w:w="3405"/>
      </w:tblGrid>
      <w:tr w:rsidR="007B027D" w14:paraId="3973FEAA" w14:textId="77777777">
        <w:tc>
          <w:tcPr>
            <w:tcW w:w="2698" w:type="pct"/>
            <w:shd w:val="clear" w:color="auto" w:fill="auto"/>
          </w:tcPr>
          <w:p w14:paraId="3973FEA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A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3" w:type="pct"/>
            <w:gridSpan w:val="3"/>
            <w:shd w:val="clear" w:color="auto" w:fill="auto"/>
          </w:tcPr>
          <w:p w14:paraId="3973FEA9" w14:textId="77777777" w:rsidR="007B027D" w:rsidRDefault="008E0125">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7B027D" w14:paraId="3973FEB0" w14:textId="77777777">
        <w:tc>
          <w:tcPr>
            <w:tcW w:w="2698" w:type="pct"/>
            <w:shd w:val="clear" w:color="auto" w:fill="auto"/>
          </w:tcPr>
          <w:p w14:paraId="3973FEA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49" w:type="pct"/>
            <w:shd w:val="clear" w:color="auto" w:fill="auto"/>
          </w:tcPr>
          <w:p w14:paraId="3973FEAC"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154" w:type="pct"/>
            <w:shd w:val="clear" w:color="auto" w:fill="auto"/>
          </w:tcPr>
          <w:p w14:paraId="3973FEAD"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49" w:type="pct"/>
            <w:shd w:val="clear" w:color="auto" w:fill="auto"/>
          </w:tcPr>
          <w:p w14:paraId="3973FEAE"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048" w:type="pct"/>
            <w:shd w:val="clear" w:color="auto" w:fill="auto"/>
          </w:tcPr>
          <w:p w14:paraId="3973FEAF"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r>
      <w:tr w:rsidR="007B027D" w14:paraId="3973FEB6" w14:textId="77777777">
        <w:tc>
          <w:tcPr>
            <w:tcW w:w="2698" w:type="pct"/>
            <w:shd w:val="clear" w:color="auto" w:fill="auto"/>
          </w:tcPr>
          <w:p w14:paraId="3973FEB1"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Date: </w:t>
            </w:r>
            <w:r>
              <w:rPr>
                <w:rFonts w:ascii="Calibri" w:hAnsi="Calibri" w:cs="Calibri"/>
                <w:sz w:val="19"/>
                <w:szCs w:val="19"/>
              </w:rPr>
              <w:t>June 21, 2022</w:t>
            </w:r>
          </w:p>
        </w:tc>
        <w:tc>
          <w:tcPr>
            <w:tcW w:w="49" w:type="pct"/>
            <w:shd w:val="clear" w:color="auto" w:fill="auto"/>
          </w:tcPr>
          <w:p w14:paraId="3973FEB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3973FEB3"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By:</w:t>
            </w:r>
          </w:p>
        </w:tc>
        <w:tc>
          <w:tcPr>
            <w:tcW w:w="49" w:type="pct"/>
            <w:shd w:val="clear" w:color="auto" w:fill="auto"/>
          </w:tcPr>
          <w:p w14:paraId="3973FEB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048" w:type="pct"/>
            <w:tcBorders>
              <w:bottom w:val="single" w:sz="6" w:space="0" w:color="000000"/>
            </w:tcBorders>
            <w:shd w:val="clear" w:color="auto" w:fill="auto"/>
          </w:tcPr>
          <w:p w14:paraId="3973FEB5"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7B027D" w14:paraId="3973FEBC" w14:textId="77777777">
        <w:tc>
          <w:tcPr>
            <w:tcW w:w="2698" w:type="pct"/>
            <w:shd w:val="clear" w:color="auto" w:fill="auto"/>
          </w:tcPr>
          <w:p w14:paraId="3973FEB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B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3973FEB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B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3973FEBB"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Safra A. Catz</w:t>
            </w:r>
          </w:p>
        </w:tc>
      </w:tr>
      <w:tr w:rsidR="007B027D" w14:paraId="3973FEC2" w14:textId="77777777">
        <w:tc>
          <w:tcPr>
            <w:tcW w:w="2698" w:type="pct"/>
            <w:shd w:val="clear" w:color="auto" w:fill="auto"/>
          </w:tcPr>
          <w:p w14:paraId="3973FEB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B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3973FEB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C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3973FEC1"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tc>
      </w:tr>
      <w:tr w:rsidR="007B027D" w14:paraId="3973FEC8" w14:textId="77777777">
        <w:tc>
          <w:tcPr>
            <w:tcW w:w="2698" w:type="pct"/>
            <w:shd w:val="clear" w:color="auto" w:fill="auto"/>
          </w:tcPr>
          <w:p w14:paraId="3973FEC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C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3973FEC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3973FEC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3973FEC7"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bl>
    <w:p w14:paraId="3973FEC9"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p w14:paraId="3973FEC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Pursuant to the requirements of the Securities Exchange Act of 1934, this report has been signed by the following persons on behalf of </w:t>
      </w:r>
      <w:r>
        <w:rPr>
          <w:rFonts w:ascii="Calibri" w:hAnsi="Calibri" w:cs="Calibri"/>
          <w:sz w:val="20"/>
          <w:szCs w:val="20"/>
        </w:rPr>
        <w:t>the Registrant and in the capacities and on the date indicated.</w:t>
      </w:r>
    </w:p>
    <w:p w14:paraId="3973FEC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3079"/>
        <w:gridCol w:w="104"/>
        <w:gridCol w:w="3749"/>
        <w:gridCol w:w="103"/>
        <w:gridCol w:w="1271"/>
      </w:tblGrid>
      <w:tr w:rsidR="007B027D" w14:paraId="3973FED1" w14:textId="77777777">
        <w:tc>
          <w:tcPr>
            <w:tcW w:w="1853" w:type="pct"/>
            <w:tcBorders>
              <w:bottom w:val="single" w:sz="6" w:space="0" w:color="000000"/>
            </w:tcBorders>
            <w:shd w:val="clear" w:color="auto" w:fill="auto"/>
            <w:vAlign w:val="bottom"/>
          </w:tcPr>
          <w:p w14:paraId="3973FECC"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Name</w:t>
            </w:r>
          </w:p>
        </w:tc>
        <w:tc>
          <w:tcPr>
            <w:tcW w:w="62" w:type="pct"/>
            <w:shd w:val="clear" w:color="auto" w:fill="auto"/>
          </w:tcPr>
          <w:p w14:paraId="3973FECD" w14:textId="77777777" w:rsidR="007B027D" w:rsidRDefault="008E0125">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257" w:type="pct"/>
            <w:tcBorders>
              <w:bottom w:val="single" w:sz="6" w:space="0" w:color="000000"/>
            </w:tcBorders>
            <w:shd w:val="clear" w:color="auto" w:fill="auto"/>
            <w:vAlign w:val="bottom"/>
          </w:tcPr>
          <w:p w14:paraId="3973FECE"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Title</w:t>
            </w:r>
          </w:p>
        </w:tc>
        <w:tc>
          <w:tcPr>
            <w:tcW w:w="62" w:type="pct"/>
            <w:shd w:val="clear" w:color="auto" w:fill="auto"/>
          </w:tcPr>
          <w:p w14:paraId="3973FECF" w14:textId="77777777" w:rsidR="007B027D" w:rsidRDefault="008E0125">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765" w:type="pct"/>
            <w:tcBorders>
              <w:bottom w:val="single" w:sz="6" w:space="0" w:color="000000"/>
            </w:tcBorders>
            <w:shd w:val="clear" w:color="auto" w:fill="auto"/>
            <w:vAlign w:val="bottom"/>
          </w:tcPr>
          <w:p w14:paraId="3973FED0" w14:textId="77777777" w:rsidR="007B027D" w:rsidRDefault="008E0125">
            <w:pPr>
              <w:pStyle w:val="a3"/>
              <w:spacing w:beforeAutospacing="0" w:afterAutospacing="0"/>
              <w:jc w:val="center"/>
              <w:rPr>
                <w:rFonts w:ascii="Calibri" w:hAnsi="Calibri" w:cs="Calibri"/>
                <w:b/>
                <w:bCs/>
                <w:sz w:val="16"/>
                <w:szCs w:val="16"/>
              </w:rPr>
            </w:pPr>
            <w:r>
              <w:rPr>
                <w:rFonts w:ascii="Calibri" w:hAnsi="Calibri" w:cs="Calibri"/>
                <w:b/>
                <w:bCs/>
                <w:sz w:val="16"/>
                <w:szCs w:val="16"/>
              </w:rPr>
              <w:t>Date</w:t>
            </w:r>
          </w:p>
        </w:tc>
      </w:tr>
      <w:tr w:rsidR="007B027D" w14:paraId="3973FED7" w14:textId="77777777">
        <w:tc>
          <w:tcPr>
            <w:tcW w:w="1853" w:type="pct"/>
            <w:tcBorders>
              <w:top w:val="single" w:sz="6" w:space="0" w:color="000000"/>
            </w:tcBorders>
            <w:shd w:val="clear" w:color="auto" w:fill="auto"/>
          </w:tcPr>
          <w:p w14:paraId="3973FED2"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D3"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tcBorders>
              <w:top w:val="single" w:sz="6" w:space="0" w:color="000000"/>
            </w:tcBorders>
            <w:shd w:val="clear" w:color="auto" w:fill="auto"/>
            <w:vAlign w:val="bottom"/>
          </w:tcPr>
          <w:p w14:paraId="3973FED4"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D5"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tcBorders>
              <w:top w:val="single" w:sz="6" w:space="0" w:color="000000"/>
            </w:tcBorders>
            <w:shd w:val="clear" w:color="auto" w:fill="auto"/>
            <w:vAlign w:val="bottom"/>
          </w:tcPr>
          <w:p w14:paraId="3973FED6"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EDD" w14:textId="77777777">
        <w:tc>
          <w:tcPr>
            <w:tcW w:w="1853" w:type="pct"/>
            <w:tcBorders>
              <w:bottom w:val="single" w:sz="6" w:space="0" w:color="000000"/>
            </w:tcBorders>
            <w:shd w:val="clear" w:color="auto" w:fill="auto"/>
          </w:tcPr>
          <w:p w14:paraId="3973FED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c>
          <w:tcPr>
            <w:tcW w:w="62" w:type="pct"/>
            <w:shd w:val="clear" w:color="auto" w:fill="auto"/>
          </w:tcPr>
          <w:p w14:paraId="3973FED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val="restart"/>
            <w:shd w:val="clear" w:color="auto" w:fill="auto"/>
          </w:tcPr>
          <w:p w14:paraId="3973FED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Chief Executive Officer and Director</w:t>
            </w:r>
            <w:r>
              <w:rPr>
                <w:rFonts w:ascii="Calibri" w:hAnsi="Calibri" w:cs="Calibri"/>
                <w:sz w:val="20"/>
                <w:szCs w:val="20"/>
              </w:rPr>
              <w:br/>
              <w:t>(Principal Executive and Financial Officer)</w:t>
            </w:r>
          </w:p>
        </w:tc>
        <w:tc>
          <w:tcPr>
            <w:tcW w:w="62" w:type="pct"/>
            <w:shd w:val="clear" w:color="auto" w:fill="auto"/>
          </w:tcPr>
          <w:p w14:paraId="3973FED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EDC"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EE3" w14:textId="77777777">
        <w:tc>
          <w:tcPr>
            <w:tcW w:w="1853" w:type="pct"/>
            <w:tcBorders>
              <w:top w:val="single" w:sz="6" w:space="0" w:color="000000"/>
            </w:tcBorders>
            <w:shd w:val="clear" w:color="auto" w:fill="auto"/>
          </w:tcPr>
          <w:p w14:paraId="3973FED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Safra A. Catz</w:t>
            </w:r>
          </w:p>
        </w:tc>
        <w:tc>
          <w:tcPr>
            <w:tcW w:w="62" w:type="pct"/>
            <w:shd w:val="clear" w:color="auto" w:fill="auto"/>
          </w:tcPr>
          <w:p w14:paraId="3973FED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shd w:val="clear" w:color="auto" w:fill="auto"/>
          </w:tcPr>
          <w:p w14:paraId="3973FEE0" w14:textId="77777777" w:rsidR="007B027D" w:rsidRDefault="007B027D">
            <w:pPr>
              <w:rPr>
                <w:rFonts w:ascii="宋体"/>
              </w:rPr>
            </w:pPr>
          </w:p>
        </w:tc>
        <w:tc>
          <w:tcPr>
            <w:tcW w:w="62" w:type="pct"/>
            <w:shd w:val="clear" w:color="auto" w:fill="auto"/>
          </w:tcPr>
          <w:p w14:paraId="3973FEE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EE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E9" w14:textId="77777777">
        <w:tc>
          <w:tcPr>
            <w:tcW w:w="1853" w:type="pct"/>
            <w:shd w:val="clear" w:color="auto" w:fill="auto"/>
            <w:vAlign w:val="bottom"/>
          </w:tcPr>
          <w:p w14:paraId="3973FEE4"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E5"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tcPr>
          <w:p w14:paraId="3973FEE6"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E7"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EE8"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EEF" w14:textId="77777777">
        <w:tc>
          <w:tcPr>
            <w:tcW w:w="1853" w:type="pct"/>
            <w:tcBorders>
              <w:bottom w:val="single" w:sz="6" w:space="0" w:color="000000"/>
            </w:tcBorders>
            <w:shd w:val="clear" w:color="auto" w:fill="auto"/>
            <w:vAlign w:val="bottom"/>
          </w:tcPr>
          <w:p w14:paraId="3973FEE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c>
          <w:tcPr>
            <w:tcW w:w="62" w:type="pct"/>
            <w:shd w:val="clear" w:color="auto" w:fill="auto"/>
          </w:tcPr>
          <w:p w14:paraId="3973FEE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val="restart"/>
            <w:shd w:val="clear" w:color="auto" w:fill="auto"/>
          </w:tcPr>
          <w:p w14:paraId="3973FEEC"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Executive Vice President, Chief Accounting Officer </w:t>
            </w:r>
            <w:r>
              <w:rPr>
                <w:rFonts w:ascii="Calibri" w:hAnsi="Calibri" w:cs="Calibri"/>
                <w:sz w:val="20"/>
                <w:szCs w:val="20"/>
              </w:rPr>
              <w:br/>
              <w:t>(Principal Accounting Officer)</w:t>
            </w:r>
          </w:p>
        </w:tc>
        <w:tc>
          <w:tcPr>
            <w:tcW w:w="62" w:type="pct"/>
            <w:shd w:val="clear" w:color="auto" w:fill="auto"/>
          </w:tcPr>
          <w:p w14:paraId="3973FEE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EEE"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EF5" w14:textId="77777777">
        <w:tc>
          <w:tcPr>
            <w:tcW w:w="1853" w:type="pct"/>
            <w:tcBorders>
              <w:top w:val="single" w:sz="6" w:space="0" w:color="000000"/>
            </w:tcBorders>
            <w:shd w:val="clear" w:color="auto" w:fill="auto"/>
          </w:tcPr>
          <w:p w14:paraId="3973FEF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William Corey West</w:t>
            </w:r>
          </w:p>
        </w:tc>
        <w:tc>
          <w:tcPr>
            <w:tcW w:w="62" w:type="pct"/>
            <w:shd w:val="clear" w:color="auto" w:fill="auto"/>
          </w:tcPr>
          <w:p w14:paraId="3973FEF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shd w:val="clear" w:color="auto" w:fill="auto"/>
          </w:tcPr>
          <w:p w14:paraId="3973FEF2" w14:textId="77777777" w:rsidR="007B027D" w:rsidRDefault="007B027D">
            <w:pPr>
              <w:rPr>
                <w:rFonts w:ascii="宋体"/>
              </w:rPr>
            </w:pPr>
          </w:p>
        </w:tc>
        <w:tc>
          <w:tcPr>
            <w:tcW w:w="62" w:type="pct"/>
            <w:shd w:val="clear" w:color="auto" w:fill="auto"/>
          </w:tcPr>
          <w:p w14:paraId="3973FEF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tcPr>
          <w:p w14:paraId="3973FEF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EFB" w14:textId="77777777">
        <w:tc>
          <w:tcPr>
            <w:tcW w:w="1853" w:type="pct"/>
            <w:shd w:val="clear" w:color="auto" w:fill="auto"/>
            <w:vAlign w:val="bottom"/>
          </w:tcPr>
          <w:p w14:paraId="3973FEF6"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F7"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tcPr>
          <w:p w14:paraId="3973FEF8"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EF9"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EFA"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01" w14:textId="77777777">
        <w:tc>
          <w:tcPr>
            <w:tcW w:w="1853" w:type="pct"/>
            <w:tcBorders>
              <w:bottom w:val="single" w:sz="6" w:space="0" w:color="000000"/>
            </w:tcBorders>
            <w:shd w:val="clear" w:color="auto" w:fill="auto"/>
            <w:vAlign w:val="bottom"/>
          </w:tcPr>
          <w:p w14:paraId="3973FEFC"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Lawrence J. Ellison </w:t>
            </w:r>
          </w:p>
        </w:tc>
        <w:tc>
          <w:tcPr>
            <w:tcW w:w="62" w:type="pct"/>
            <w:shd w:val="clear" w:color="auto" w:fill="auto"/>
          </w:tcPr>
          <w:p w14:paraId="3973FEF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val="restart"/>
            <w:shd w:val="clear" w:color="auto" w:fill="auto"/>
          </w:tcPr>
          <w:p w14:paraId="3973FEF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Chairman of the Board of Directors and Chief </w:t>
            </w:r>
            <w:r>
              <w:rPr>
                <w:rFonts w:ascii="Calibri" w:hAnsi="Calibri" w:cs="Calibri"/>
                <w:sz w:val="20"/>
                <w:szCs w:val="20"/>
              </w:rPr>
              <w:t>Technology Officer</w:t>
            </w:r>
          </w:p>
        </w:tc>
        <w:tc>
          <w:tcPr>
            <w:tcW w:w="62" w:type="pct"/>
            <w:shd w:val="clear" w:color="auto" w:fill="auto"/>
          </w:tcPr>
          <w:p w14:paraId="3973FEF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00"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07" w14:textId="77777777">
        <w:tc>
          <w:tcPr>
            <w:tcW w:w="1853" w:type="pct"/>
            <w:tcBorders>
              <w:top w:val="single" w:sz="6" w:space="0" w:color="000000"/>
            </w:tcBorders>
            <w:shd w:val="clear" w:color="auto" w:fill="auto"/>
            <w:vAlign w:val="bottom"/>
          </w:tcPr>
          <w:p w14:paraId="3973FF02"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Lawrence J. Ellison</w:t>
            </w:r>
          </w:p>
        </w:tc>
        <w:tc>
          <w:tcPr>
            <w:tcW w:w="62" w:type="pct"/>
            <w:shd w:val="clear" w:color="auto" w:fill="auto"/>
          </w:tcPr>
          <w:p w14:paraId="3973FF0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vMerge/>
            <w:shd w:val="clear" w:color="auto" w:fill="auto"/>
          </w:tcPr>
          <w:p w14:paraId="3973FF04" w14:textId="77777777" w:rsidR="007B027D" w:rsidRDefault="007B027D">
            <w:pPr>
              <w:rPr>
                <w:rFonts w:ascii="宋体"/>
              </w:rPr>
            </w:pPr>
          </w:p>
        </w:tc>
        <w:tc>
          <w:tcPr>
            <w:tcW w:w="62" w:type="pct"/>
            <w:shd w:val="clear" w:color="auto" w:fill="auto"/>
          </w:tcPr>
          <w:p w14:paraId="3973FF0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06"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0D" w14:textId="77777777">
        <w:tc>
          <w:tcPr>
            <w:tcW w:w="1853" w:type="pct"/>
            <w:shd w:val="clear" w:color="auto" w:fill="auto"/>
            <w:vAlign w:val="bottom"/>
          </w:tcPr>
          <w:p w14:paraId="3973FF08"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09"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0A"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0B"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0C"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13" w14:textId="77777777">
        <w:tc>
          <w:tcPr>
            <w:tcW w:w="1853" w:type="pct"/>
            <w:tcBorders>
              <w:bottom w:val="single" w:sz="6" w:space="0" w:color="000000"/>
            </w:tcBorders>
            <w:shd w:val="clear" w:color="auto" w:fill="auto"/>
            <w:vAlign w:val="bottom"/>
          </w:tcPr>
          <w:p w14:paraId="3973FF0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O. Henley</w:t>
            </w:r>
          </w:p>
        </w:tc>
        <w:tc>
          <w:tcPr>
            <w:tcW w:w="62" w:type="pct"/>
            <w:shd w:val="clear" w:color="auto" w:fill="auto"/>
          </w:tcPr>
          <w:p w14:paraId="3973FF0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1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Vice Chairman of the Board of Directors</w:t>
            </w:r>
          </w:p>
        </w:tc>
        <w:tc>
          <w:tcPr>
            <w:tcW w:w="62" w:type="pct"/>
            <w:shd w:val="clear" w:color="auto" w:fill="auto"/>
          </w:tcPr>
          <w:p w14:paraId="3973FF1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12"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19" w14:textId="77777777">
        <w:tc>
          <w:tcPr>
            <w:tcW w:w="1853" w:type="pct"/>
            <w:tcBorders>
              <w:top w:val="single" w:sz="6" w:space="0" w:color="000000"/>
            </w:tcBorders>
            <w:shd w:val="clear" w:color="auto" w:fill="auto"/>
            <w:vAlign w:val="bottom"/>
          </w:tcPr>
          <w:p w14:paraId="3973FF14"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Jeffrey O. Henley</w:t>
            </w:r>
          </w:p>
        </w:tc>
        <w:tc>
          <w:tcPr>
            <w:tcW w:w="62" w:type="pct"/>
            <w:shd w:val="clear" w:color="auto" w:fill="auto"/>
          </w:tcPr>
          <w:p w14:paraId="3973FF1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1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1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18"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1F" w14:textId="77777777">
        <w:tc>
          <w:tcPr>
            <w:tcW w:w="1853" w:type="pct"/>
            <w:shd w:val="clear" w:color="auto" w:fill="auto"/>
            <w:vAlign w:val="bottom"/>
          </w:tcPr>
          <w:p w14:paraId="3973FF1A"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1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1C"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1D"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1E"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25" w14:textId="77777777">
        <w:tc>
          <w:tcPr>
            <w:tcW w:w="1853" w:type="pct"/>
            <w:tcBorders>
              <w:bottom w:val="single" w:sz="6" w:space="0" w:color="000000"/>
            </w:tcBorders>
            <w:shd w:val="clear" w:color="auto" w:fill="auto"/>
            <w:vAlign w:val="bottom"/>
          </w:tcPr>
          <w:p w14:paraId="3973FF2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Awo Ablo</w:t>
            </w:r>
          </w:p>
        </w:tc>
        <w:tc>
          <w:tcPr>
            <w:tcW w:w="62" w:type="pct"/>
            <w:shd w:val="clear" w:color="auto" w:fill="auto"/>
          </w:tcPr>
          <w:p w14:paraId="3973FF2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22"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2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24"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2B" w14:textId="77777777">
        <w:tc>
          <w:tcPr>
            <w:tcW w:w="1853" w:type="pct"/>
            <w:tcBorders>
              <w:top w:val="single" w:sz="6" w:space="0" w:color="000000"/>
            </w:tcBorders>
            <w:shd w:val="clear" w:color="auto" w:fill="auto"/>
            <w:vAlign w:val="bottom"/>
          </w:tcPr>
          <w:p w14:paraId="3973FF26"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Awo Ablo</w:t>
            </w:r>
          </w:p>
        </w:tc>
        <w:tc>
          <w:tcPr>
            <w:tcW w:w="62" w:type="pct"/>
            <w:shd w:val="clear" w:color="auto" w:fill="auto"/>
          </w:tcPr>
          <w:p w14:paraId="3973FF2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2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2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2A"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31" w14:textId="77777777">
        <w:tc>
          <w:tcPr>
            <w:tcW w:w="1853" w:type="pct"/>
            <w:shd w:val="clear" w:color="auto" w:fill="auto"/>
            <w:vAlign w:val="bottom"/>
          </w:tcPr>
          <w:p w14:paraId="3973FF2C"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2D"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2E"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2F"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30"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37" w14:textId="77777777">
        <w:tc>
          <w:tcPr>
            <w:tcW w:w="1853" w:type="pct"/>
            <w:tcBorders>
              <w:bottom w:val="single" w:sz="6" w:space="0" w:color="000000"/>
            </w:tcBorders>
            <w:shd w:val="clear" w:color="auto" w:fill="auto"/>
            <w:vAlign w:val="bottom"/>
          </w:tcPr>
          <w:p w14:paraId="3973FF32"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S. Berg</w:t>
            </w:r>
          </w:p>
        </w:tc>
        <w:tc>
          <w:tcPr>
            <w:tcW w:w="62" w:type="pct"/>
            <w:shd w:val="clear" w:color="auto" w:fill="auto"/>
          </w:tcPr>
          <w:p w14:paraId="3973FF3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34"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35"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36"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3D" w14:textId="77777777">
        <w:tc>
          <w:tcPr>
            <w:tcW w:w="1853" w:type="pct"/>
            <w:tcBorders>
              <w:top w:val="single" w:sz="6" w:space="0" w:color="000000"/>
            </w:tcBorders>
            <w:shd w:val="clear" w:color="auto" w:fill="auto"/>
            <w:vAlign w:val="bottom"/>
          </w:tcPr>
          <w:p w14:paraId="3973FF3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Jeffrey S. Berg</w:t>
            </w:r>
          </w:p>
        </w:tc>
        <w:tc>
          <w:tcPr>
            <w:tcW w:w="62" w:type="pct"/>
            <w:shd w:val="clear" w:color="auto" w:fill="auto"/>
          </w:tcPr>
          <w:p w14:paraId="3973FF3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3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3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3C"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43" w14:textId="77777777">
        <w:tc>
          <w:tcPr>
            <w:tcW w:w="1853" w:type="pct"/>
            <w:shd w:val="clear" w:color="auto" w:fill="auto"/>
            <w:vAlign w:val="bottom"/>
          </w:tcPr>
          <w:p w14:paraId="3973FF3E"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3F"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40"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41"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42"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49" w14:textId="77777777">
        <w:tc>
          <w:tcPr>
            <w:tcW w:w="1853" w:type="pct"/>
            <w:tcBorders>
              <w:bottom w:val="single" w:sz="6" w:space="0" w:color="000000"/>
            </w:tcBorders>
            <w:shd w:val="clear" w:color="auto" w:fill="auto"/>
            <w:vAlign w:val="bottom"/>
          </w:tcPr>
          <w:p w14:paraId="3973FF44"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Michael J. Boskin</w:t>
            </w:r>
          </w:p>
        </w:tc>
        <w:tc>
          <w:tcPr>
            <w:tcW w:w="62" w:type="pct"/>
            <w:shd w:val="clear" w:color="auto" w:fill="auto"/>
          </w:tcPr>
          <w:p w14:paraId="3973FF4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46"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47"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48"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4F" w14:textId="77777777">
        <w:tc>
          <w:tcPr>
            <w:tcW w:w="1853" w:type="pct"/>
            <w:tcBorders>
              <w:top w:val="single" w:sz="6" w:space="0" w:color="000000"/>
            </w:tcBorders>
            <w:shd w:val="clear" w:color="auto" w:fill="auto"/>
            <w:vAlign w:val="bottom"/>
          </w:tcPr>
          <w:p w14:paraId="3973FF4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Michael J. Boskin</w:t>
            </w:r>
          </w:p>
        </w:tc>
        <w:tc>
          <w:tcPr>
            <w:tcW w:w="62" w:type="pct"/>
            <w:shd w:val="clear" w:color="auto" w:fill="auto"/>
          </w:tcPr>
          <w:p w14:paraId="3973FF4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4C"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4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4E"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55" w14:textId="77777777">
        <w:tc>
          <w:tcPr>
            <w:tcW w:w="1853" w:type="pct"/>
            <w:shd w:val="clear" w:color="auto" w:fill="auto"/>
            <w:vAlign w:val="bottom"/>
          </w:tcPr>
          <w:p w14:paraId="3973FF50"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51"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52"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53"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54"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5B" w14:textId="77777777">
        <w:tc>
          <w:tcPr>
            <w:tcW w:w="1853" w:type="pct"/>
            <w:tcBorders>
              <w:bottom w:val="single" w:sz="6" w:space="0" w:color="000000"/>
            </w:tcBorders>
            <w:shd w:val="clear" w:color="auto" w:fill="auto"/>
            <w:vAlign w:val="bottom"/>
          </w:tcPr>
          <w:p w14:paraId="3973FF56"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Bruce R. Chizen</w:t>
            </w:r>
          </w:p>
        </w:tc>
        <w:tc>
          <w:tcPr>
            <w:tcW w:w="62" w:type="pct"/>
            <w:shd w:val="clear" w:color="auto" w:fill="auto"/>
          </w:tcPr>
          <w:p w14:paraId="3973FF5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5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59"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5A"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61" w14:textId="77777777">
        <w:tc>
          <w:tcPr>
            <w:tcW w:w="1853" w:type="pct"/>
            <w:tcBorders>
              <w:top w:val="single" w:sz="6" w:space="0" w:color="000000"/>
            </w:tcBorders>
            <w:shd w:val="clear" w:color="auto" w:fill="auto"/>
            <w:vAlign w:val="bottom"/>
          </w:tcPr>
          <w:p w14:paraId="3973FF5C"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Bruce R. Chizen</w:t>
            </w:r>
          </w:p>
        </w:tc>
        <w:tc>
          <w:tcPr>
            <w:tcW w:w="62" w:type="pct"/>
            <w:shd w:val="clear" w:color="auto" w:fill="auto"/>
          </w:tcPr>
          <w:p w14:paraId="3973FF5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5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5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6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67" w14:textId="77777777">
        <w:tc>
          <w:tcPr>
            <w:tcW w:w="1853" w:type="pct"/>
            <w:shd w:val="clear" w:color="auto" w:fill="auto"/>
            <w:vAlign w:val="bottom"/>
          </w:tcPr>
          <w:p w14:paraId="3973FF62"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63"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64"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65"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66"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6D" w14:textId="77777777">
        <w:tc>
          <w:tcPr>
            <w:tcW w:w="1853" w:type="pct"/>
            <w:tcBorders>
              <w:bottom w:val="single" w:sz="6" w:space="0" w:color="000000"/>
            </w:tcBorders>
            <w:shd w:val="clear" w:color="auto" w:fill="auto"/>
            <w:vAlign w:val="bottom"/>
          </w:tcPr>
          <w:p w14:paraId="3973FF68"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George H. Conrades</w:t>
            </w:r>
          </w:p>
        </w:tc>
        <w:tc>
          <w:tcPr>
            <w:tcW w:w="62" w:type="pct"/>
            <w:shd w:val="clear" w:color="auto" w:fill="auto"/>
          </w:tcPr>
          <w:p w14:paraId="3973FF6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6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6B"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6C"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73" w14:textId="77777777">
        <w:tc>
          <w:tcPr>
            <w:tcW w:w="1853" w:type="pct"/>
            <w:tcBorders>
              <w:top w:val="single" w:sz="6" w:space="0" w:color="000000"/>
            </w:tcBorders>
            <w:shd w:val="clear" w:color="auto" w:fill="auto"/>
            <w:vAlign w:val="bottom"/>
          </w:tcPr>
          <w:p w14:paraId="3973FF6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George H. Conrades</w:t>
            </w:r>
          </w:p>
        </w:tc>
        <w:tc>
          <w:tcPr>
            <w:tcW w:w="62" w:type="pct"/>
            <w:shd w:val="clear" w:color="auto" w:fill="auto"/>
          </w:tcPr>
          <w:p w14:paraId="3973FF6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7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7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7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r>
      <w:tr w:rsidR="007B027D" w14:paraId="3973FF79" w14:textId="77777777">
        <w:tc>
          <w:tcPr>
            <w:tcW w:w="1853" w:type="pct"/>
            <w:shd w:val="clear" w:color="auto" w:fill="auto"/>
            <w:vAlign w:val="bottom"/>
          </w:tcPr>
          <w:p w14:paraId="3973FF74"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75"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76"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77"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78"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7F" w14:textId="77777777">
        <w:tc>
          <w:tcPr>
            <w:tcW w:w="1853" w:type="pct"/>
            <w:tcBorders>
              <w:bottom w:val="single" w:sz="6" w:space="0" w:color="000000"/>
            </w:tcBorders>
            <w:shd w:val="clear" w:color="auto" w:fill="auto"/>
            <w:vAlign w:val="bottom"/>
          </w:tcPr>
          <w:p w14:paraId="3973FF7A"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Rona A. Fairhead</w:t>
            </w:r>
          </w:p>
        </w:tc>
        <w:tc>
          <w:tcPr>
            <w:tcW w:w="62" w:type="pct"/>
            <w:shd w:val="clear" w:color="auto" w:fill="auto"/>
          </w:tcPr>
          <w:p w14:paraId="3973FF7B"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7C"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7D"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7E"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85" w14:textId="77777777">
        <w:tc>
          <w:tcPr>
            <w:tcW w:w="1853" w:type="pct"/>
            <w:tcBorders>
              <w:top w:val="single" w:sz="6" w:space="0" w:color="000000"/>
            </w:tcBorders>
            <w:shd w:val="clear" w:color="auto" w:fill="auto"/>
            <w:vAlign w:val="bottom"/>
          </w:tcPr>
          <w:p w14:paraId="3973FF8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Rona A. Fairhead</w:t>
            </w:r>
          </w:p>
        </w:tc>
        <w:tc>
          <w:tcPr>
            <w:tcW w:w="62" w:type="pct"/>
            <w:shd w:val="clear" w:color="auto" w:fill="auto"/>
          </w:tcPr>
          <w:p w14:paraId="3973FF8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8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8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84"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8B" w14:textId="77777777">
        <w:tc>
          <w:tcPr>
            <w:tcW w:w="1853" w:type="pct"/>
            <w:shd w:val="clear" w:color="auto" w:fill="auto"/>
            <w:vAlign w:val="bottom"/>
          </w:tcPr>
          <w:p w14:paraId="3973FF86"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87"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88"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89"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8A"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91" w14:textId="77777777">
        <w:tc>
          <w:tcPr>
            <w:tcW w:w="1853" w:type="pct"/>
            <w:tcBorders>
              <w:bottom w:val="single" w:sz="6" w:space="0" w:color="000000"/>
            </w:tcBorders>
            <w:shd w:val="clear" w:color="auto" w:fill="auto"/>
            <w:vAlign w:val="bottom"/>
          </w:tcPr>
          <w:p w14:paraId="3973FF8C"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Renée J. James</w:t>
            </w:r>
          </w:p>
        </w:tc>
        <w:tc>
          <w:tcPr>
            <w:tcW w:w="62" w:type="pct"/>
            <w:shd w:val="clear" w:color="auto" w:fill="auto"/>
          </w:tcPr>
          <w:p w14:paraId="3973FF8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8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8F"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90"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97" w14:textId="77777777">
        <w:tc>
          <w:tcPr>
            <w:tcW w:w="1853" w:type="pct"/>
            <w:tcBorders>
              <w:top w:val="single" w:sz="6" w:space="0" w:color="000000"/>
            </w:tcBorders>
            <w:shd w:val="clear" w:color="auto" w:fill="auto"/>
            <w:vAlign w:val="bottom"/>
          </w:tcPr>
          <w:p w14:paraId="3973FF92"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 xml:space="preserve">Renée J. </w:t>
            </w:r>
            <w:r>
              <w:rPr>
                <w:rFonts w:ascii="Calibri" w:hAnsi="Calibri" w:cs="Calibri"/>
                <w:sz w:val="20"/>
                <w:szCs w:val="20"/>
              </w:rPr>
              <w:t>James</w:t>
            </w:r>
          </w:p>
        </w:tc>
        <w:tc>
          <w:tcPr>
            <w:tcW w:w="62" w:type="pct"/>
            <w:shd w:val="clear" w:color="auto" w:fill="auto"/>
          </w:tcPr>
          <w:p w14:paraId="3973FF93"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9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9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96"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9D" w14:textId="77777777">
        <w:tc>
          <w:tcPr>
            <w:tcW w:w="1853" w:type="pct"/>
            <w:shd w:val="clear" w:color="auto" w:fill="auto"/>
            <w:vAlign w:val="bottom"/>
          </w:tcPr>
          <w:p w14:paraId="3973FF98"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c>
        <w:tc>
          <w:tcPr>
            <w:tcW w:w="62" w:type="pct"/>
            <w:shd w:val="clear" w:color="auto" w:fill="auto"/>
          </w:tcPr>
          <w:p w14:paraId="3973FF99"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c>
        <w:tc>
          <w:tcPr>
            <w:tcW w:w="2257" w:type="pct"/>
            <w:shd w:val="clear" w:color="auto" w:fill="auto"/>
            <w:vAlign w:val="bottom"/>
          </w:tcPr>
          <w:p w14:paraId="3973FF9A"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c>
        <w:tc>
          <w:tcPr>
            <w:tcW w:w="62" w:type="pct"/>
            <w:shd w:val="clear" w:color="auto" w:fill="auto"/>
          </w:tcPr>
          <w:p w14:paraId="3973FF9B"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c>
        <w:tc>
          <w:tcPr>
            <w:tcW w:w="765" w:type="pct"/>
            <w:shd w:val="clear" w:color="auto" w:fill="auto"/>
            <w:vAlign w:val="bottom"/>
          </w:tcPr>
          <w:p w14:paraId="3973FF9C" w14:textId="77777777" w:rsidR="007B027D" w:rsidRDefault="008E0125">
            <w:pPr>
              <w:pStyle w:val="a3"/>
              <w:spacing w:beforeAutospacing="0" w:afterAutospacing="0"/>
              <w:rPr>
                <w:rFonts w:ascii="Times New Roman" w:hAnsi="Times New Roman"/>
                <w:sz w:val="8"/>
                <w:szCs w:val="8"/>
              </w:rPr>
            </w:pPr>
            <w:r>
              <w:rPr>
                <w:rFonts w:ascii="Times New Roman" w:hAnsi="Times New Roman"/>
                <w:sz w:val="8"/>
                <w:szCs w:val="8"/>
              </w:rPr>
              <w:t> </w:t>
            </w:r>
          </w:p>
        </w:tc>
      </w:tr>
      <w:tr w:rsidR="007B027D" w14:paraId="3973FFA3" w14:textId="77777777">
        <w:tc>
          <w:tcPr>
            <w:tcW w:w="1853" w:type="pct"/>
            <w:tcBorders>
              <w:bottom w:val="single" w:sz="6" w:space="0" w:color="000000"/>
            </w:tcBorders>
            <w:shd w:val="clear" w:color="auto" w:fill="auto"/>
            <w:vAlign w:val="bottom"/>
          </w:tcPr>
          <w:p w14:paraId="3973FF9E"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Charles W. Moorman IV</w:t>
            </w:r>
          </w:p>
        </w:tc>
        <w:tc>
          <w:tcPr>
            <w:tcW w:w="62" w:type="pct"/>
            <w:shd w:val="clear" w:color="auto" w:fill="auto"/>
          </w:tcPr>
          <w:p w14:paraId="3973FF9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A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A1"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A2"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A9" w14:textId="77777777">
        <w:tc>
          <w:tcPr>
            <w:tcW w:w="1853" w:type="pct"/>
            <w:tcBorders>
              <w:top w:val="single" w:sz="6" w:space="0" w:color="000000"/>
            </w:tcBorders>
            <w:shd w:val="clear" w:color="auto" w:fill="auto"/>
            <w:vAlign w:val="bottom"/>
          </w:tcPr>
          <w:p w14:paraId="3973FFA4"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Charles W. Moorman IV</w:t>
            </w:r>
          </w:p>
        </w:tc>
        <w:tc>
          <w:tcPr>
            <w:tcW w:w="62" w:type="pct"/>
            <w:shd w:val="clear" w:color="auto" w:fill="auto"/>
          </w:tcPr>
          <w:p w14:paraId="3973FFA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A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A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A8"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AF" w14:textId="77777777">
        <w:tc>
          <w:tcPr>
            <w:tcW w:w="1853" w:type="pct"/>
            <w:shd w:val="clear" w:color="auto" w:fill="auto"/>
            <w:vAlign w:val="bottom"/>
          </w:tcPr>
          <w:p w14:paraId="3973FFAA"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A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AC"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AD"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AE"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B5" w14:textId="77777777">
        <w:tc>
          <w:tcPr>
            <w:tcW w:w="1853" w:type="pct"/>
            <w:tcBorders>
              <w:bottom w:val="single" w:sz="6" w:space="0" w:color="000000"/>
            </w:tcBorders>
            <w:shd w:val="clear" w:color="auto" w:fill="auto"/>
            <w:vAlign w:val="bottom"/>
          </w:tcPr>
          <w:p w14:paraId="3973FFB0"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Leon E. Panetta</w:t>
            </w:r>
          </w:p>
        </w:tc>
        <w:tc>
          <w:tcPr>
            <w:tcW w:w="62" w:type="pct"/>
            <w:shd w:val="clear" w:color="auto" w:fill="auto"/>
          </w:tcPr>
          <w:p w14:paraId="3973FFB1"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B2"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B3"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B4"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BC" w14:textId="77777777">
        <w:tc>
          <w:tcPr>
            <w:tcW w:w="1853" w:type="pct"/>
            <w:tcBorders>
              <w:top w:val="single" w:sz="6" w:space="0" w:color="000000"/>
            </w:tcBorders>
            <w:shd w:val="clear" w:color="auto" w:fill="auto"/>
            <w:vAlign w:val="bottom"/>
          </w:tcPr>
          <w:p w14:paraId="3973FFB6"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Leon E. Panetta</w:t>
            </w:r>
          </w:p>
          <w:p w14:paraId="3973FFB7"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B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B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B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BB"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C2" w14:textId="77777777">
        <w:tc>
          <w:tcPr>
            <w:tcW w:w="1853" w:type="pct"/>
            <w:shd w:val="clear" w:color="auto" w:fill="auto"/>
            <w:vAlign w:val="bottom"/>
          </w:tcPr>
          <w:p w14:paraId="3973FFBD"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G. Parrett</w:t>
            </w:r>
          </w:p>
        </w:tc>
        <w:tc>
          <w:tcPr>
            <w:tcW w:w="62" w:type="pct"/>
            <w:shd w:val="clear" w:color="auto" w:fill="auto"/>
          </w:tcPr>
          <w:p w14:paraId="3973FFB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BF"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C0"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C1"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C8" w14:textId="77777777">
        <w:tc>
          <w:tcPr>
            <w:tcW w:w="1853" w:type="pct"/>
            <w:tcBorders>
              <w:top w:val="single" w:sz="6" w:space="0" w:color="000000"/>
            </w:tcBorders>
            <w:shd w:val="clear" w:color="auto" w:fill="auto"/>
            <w:vAlign w:val="bottom"/>
          </w:tcPr>
          <w:p w14:paraId="3973FFC3"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William G. Parrett</w:t>
            </w:r>
          </w:p>
        </w:tc>
        <w:tc>
          <w:tcPr>
            <w:tcW w:w="62" w:type="pct"/>
            <w:shd w:val="clear" w:color="auto" w:fill="auto"/>
          </w:tcPr>
          <w:p w14:paraId="3973FFC4"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C5"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C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C7"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CE" w14:textId="77777777">
        <w:tc>
          <w:tcPr>
            <w:tcW w:w="1853" w:type="pct"/>
            <w:shd w:val="clear" w:color="auto" w:fill="auto"/>
            <w:vAlign w:val="bottom"/>
          </w:tcPr>
          <w:p w14:paraId="3973FFC9"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CA"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C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CC"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CD"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D4" w14:textId="77777777">
        <w:tc>
          <w:tcPr>
            <w:tcW w:w="1853" w:type="pct"/>
            <w:tcBorders>
              <w:bottom w:val="single" w:sz="6" w:space="0" w:color="000000"/>
            </w:tcBorders>
            <w:shd w:val="clear" w:color="auto" w:fill="auto"/>
            <w:vAlign w:val="bottom"/>
          </w:tcPr>
          <w:p w14:paraId="3973FFCF"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Naomi O. Seligman</w:t>
            </w:r>
          </w:p>
        </w:tc>
        <w:tc>
          <w:tcPr>
            <w:tcW w:w="62" w:type="pct"/>
            <w:shd w:val="clear" w:color="auto" w:fill="auto"/>
          </w:tcPr>
          <w:p w14:paraId="3973FFD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D1"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D2"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D3"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DA" w14:textId="77777777">
        <w:tc>
          <w:tcPr>
            <w:tcW w:w="1853" w:type="pct"/>
            <w:tcBorders>
              <w:top w:val="single" w:sz="6" w:space="0" w:color="000000"/>
            </w:tcBorders>
            <w:shd w:val="clear" w:color="auto" w:fill="auto"/>
            <w:vAlign w:val="bottom"/>
          </w:tcPr>
          <w:p w14:paraId="3973FFD5"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Naomi O. Seligman</w:t>
            </w:r>
          </w:p>
        </w:tc>
        <w:tc>
          <w:tcPr>
            <w:tcW w:w="62" w:type="pct"/>
            <w:shd w:val="clear" w:color="auto" w:fill="auto"/>
          </w:tcPr>
          <w:p w14:paraId="3973FFD6"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D7"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D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D9"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E0" w14:textId="77777777">
        <w:tc>
          <w:tcPr>
            <w:tcW w:w="1853" w:type="pct"/>
            <w:shd w:val="clear" w:color="auto" w:fill="auto"/>
            <w:vAlign w:val="bottom"/>
          </w:tcPr>
          <w:p w14:paraId="3973FFDB"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DC"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257" w:type="pct"/>
            <w:shd w:val="clear" w:color="auto" w:fill="auto"/>
            <w:vAlign w:val="bottom"/>
          </w:tcPr>
          <w:p w14:paraId="3973FFDD" w14:textId="77777777" w:rsidR="007B027D" w:rsidRDefault="008E0125">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2" w:type="pct"/>
            <w:shd w:val="clear" w:color="auto" w:fill="auto"/>
          </w:tcPr>
          <w:p w14:paraId="3973FFDE"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65" w:type="pct"/>
            <w:shd w:val="clear" w:color="auto" w:fill="auto"/>
            <w:vAlign w:val="bottom"/>
          </w:tcPr>
          <w:p w14:paraId="3973FFDF" w14:textId="77777777" w:rsidR="007B027D" w:rsidRDefault="008E0125">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7B027D" w14:paraId="3973FFE6" w14:textId="77777777">
        <w:tc>
          <w:tcPr>
            <w:tcW w:w="1853" w:type="pct"/>
            <w:tcBorders>
              <w:bottom w:val="single" w:sz="6" w:space="0" w:color="000000"/>
            </w:tcBorders>
            <w:shd w:val="clear" w:color="auto" w:fill="auto"/>
            <w:vAlign w:val="bottom"/>
          </w:tcPr>
          <w:p w14:paraId="3973FFE1"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 Vishal Sikka</w:t>
            </w:r>
          </w:p>
        </w:tc>
        <w:tc>
          <w:tcPr>
            <w:tcW w:w="62" w:type="pct"/>
            <w:shd w:val="clear" w:color="auto" w:fill="auto"/>
          </w:tcPr>
          <w:p w14:paraId="3973FFE2"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E3"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2" w:type="pct"/>
            <w:shd w:val="clear" w:color="auto" w:fill="auto"/>
          </w:tcPr>
          <w:p w14:paraId="3973FFE4" w14:textId="77777777" w:rsidR="007B027D" w:rsidRDefault="008E0125">
            <w:pPr>
              <w:pStyle w:val="a3"/>
              <w:spacing w:beforeAutospacing="0" w:afterAutospacing="0"/>
              <w:jc w:val="center"/>
              <w:rPr>
                <w:rFonts w:ascii="Times New Roman" w:hAnsi="Times New Roman"/>
              </w:rPr>
            </w:pPr>
            <w:r>
              <w:rPr>
                <w:rFonts w:ascii="Times New Roman" w:hAnsi="Times New Roman"/>
              </w:rPr>
              <w:t> </w:t>
            </w:r>
          </w:p>
        </w:tc>
        <w:tc>
          <w:tcPr>
            <w:tcW w:w="765" w:type="pct"/>
            <w:shd w:val="clear" w:color="auto" w:fill="auto"/>
            <w:vAlign w:val="bottom"/>
          </w:tcPr>
          <w:p w14:paraId="3973FFE5" w14:textId="77777777" w:rsidR="007B027D" w:rsidRDefault="008E0125">
            <w:pPr>
              <w:pStyle w:val="a3"/>
              <w:spacing w:beforeAutospacing="0" w:afterAutospacing="0"/>
              <w:jc w:val="center"/>
              <w:rPr>
                <w:rFonts w:ascii="Calibri" w:hAnsi="Calibri" w:cs="Calibri"/>
                <w:sz w:val="20"/>
                <w:szCs w:val="20"/>
              </w:rPr>
            </w:pPr>
            <w:r>
              <w:rPr>
                <w:rFonts w:ascii="Calibri" w:hAnsi="Calibri" w:cs="Calibri"/>
                <w:sz w:val="20"/>
                <w:szCs w:val="20"/>
              </w:rPr>
              <w:t>June 21, 2022</w:t>
            </w:r>
          </w:p>
        </w:tc>
      </w:tr>
      <w:tr w:rsidR="007B027D" w14:paraId="3973FFEC" w14:textId="77777777">
        <w:tc>
          <w:tcPr>
            <w:tcW w:w="1853" w:type="pct"/>
            <w:tcBorders>
              <w:top w:val="single" w:sz="6" w:space="0" w:color="000000"/>
            </w:tcBorders>
            <w:shd w:val="clear" w:color="auto" w:fill="auto"/>
            <w:vAlign w:val="bottom"/>
          </w:tcPr>
          <w:p w14:paraId="3973FFE7" w14:textId="77777777" w:rsidR="007B027D" w:rsidRDefault="008E0125">
            <w:pPr>
              <w:pStyle w:val="a3"/>
              <w:spacing w:beforeAutospacing="0" w:afterAutospacing="0"/>
              <w:rPr>
                <w:rFonts w:ascii="Calibri" w:hAnsi="Calibri" w:cs="Calibri"/>
                <w:sz w:val="20"/>
                <w:szCs w:val="20"/>
              </w:rPr>
            </w:pPr>
            <w:r>
              <w:rPr>
                <w:rFonts w:ascii="Calibri" w:hAnsi="Calibri" w:cs="Calibri"/>
                <w:sz w:val="20"/>
                <w:szCs w:val="20"/>
              </w:rPr>
              <w:t>Vishal Sikka</w:t>
            </w:r>
          </w:p>
        </w:tc>
        <w:tc>
          <w:tcPr>
            <w:tcW w:w="62" w:type="pct"/>
            <w:shd w:val="clear" w:color="auto" w:fill="auto"/>
          </w:tcPr>
          <w:p w14:paraId="3973FFE8"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E9"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EA"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EB" w14:textId="77777777" w:rsidR="007B027D" w:rsidRDefault="008E0125">
            <w:pPr>
              <w:pStyle w:val="a3"/>
              <w:spacing w:beforeAutospacing="0" w:afterAutospacing="0"/>
              <w:rPr>
                <w:rFonts w:ascii="Times New Roman" w:hAnsi="Times New Roman"/>
              </w:rPr>
            </w:pPr>
            <w:r>
              <w:rPr>
                <w:rFonts w:ascii="Times New Roman" w:hAnsi="Times New Roman"/>
              </w:rPr>
              <w:t> </w:t>
            </w:r>
          </w:p>
        </w:tc>
      </w:tr>
      <w:tr w:rsidR="007B027D" w14:paraId="3973FFF2" w14:textId="77777777">
        <w:tc>
          <w:tcPr>
            <w:tcW w:w="1853" w:type="pct"/>
            <w:shd w:val="clear" w:color="auto" w:fill="auto"/>
            <w:vAlign w:val="bottom"/>
          </w:tcPr>
          <w:p w14:paraId="3973FFED"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EE"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2257" w:type="pct"/>
            <w:shd w:val="clear" w:color="auto" w:fill="auto"/>
            <w:vAlign w:val="bottom"/>
          </w:tcPr>
          <w:p w14:paraId="3973FFEF"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62" w:type="pct"/>
            <w:shd w:val="clear" w:color="auto" w:fill="auto"/>
          </w:tcPr>
          <w:p w14:paraId="3973FFF0" w14:textId="77777777" w:rsidR="007B027D" w:rsidRDefault="008E0125">
            <w:pPr>
              <w:pStyle w:val="a3"/>
              <w:spacing w:beforeAutospacing="0" w:afterAutospacing="0"/>
              <w:rPr>
                <w:rFonts w:ascii="Times New Roman" w:hAnsi="Times New Roman"/>
              </w:rPr>
            </w:pPr>
            <w:r>
              <w:rPr>
                <w:rFonts w:ascii="Times New Roman" w:hAnsi="Times New Roman"/>
              </w:rPr>
              <w:t> </w:t>
            </w:r>
          </w:p>
        </w:tc>
        <w:tc>
          <w:tcPr>
            <w:tcW w:w="765" w:type="pct"/>
            <w:shd w:val="clear" w:color="auto" w:fill="auto"/>
            <w:vAlign w:val="bottom"/>
          </w:tcPr>
          <w:p w14:paraId="3973FFF1" w14:textId="77777777" w:rsidR="007B027D" w:rsidRDefault="008E0125">
            <w:pPr>
              <w:pStyle w:val="a3"/>
              <w:spacing w:beforeAutospacing="0" w:afterAutospacing="0"/>
              <w:rPr>
                <w:rFonts w:ascii="Times New Roman" w:hAnsi="Times New Roman"/>
              </w:rPr>
            </w:pPr>
            <w:r>
              <w:rPr>
                <w:rFonts w:ascii="Times New Roman" w:hAnsi="Times New Roman"/>
              </w:rPr>
              <w:t> </w:t>
            </w:r>
          </w:p>
        </w:tc>
      </w:tr>
    </w:tbl>
    <w:p w14:paraId="3973FFF3" w14:textId="77777777" w:rsidR="007B027D" w:rsidRDefault="008E0125">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3973FFF4" w14:textId="77777777" w:rsidR="007B027D" w:rsidRDefault="008E0125">
      <w:pPr>
        <w:pStyle w:val="a3"/>
        <w:spacing w:before="240" w:beforeAutospacing="0" w:afterAutospacing="0"/>
        <w:jc w:val="center"/>
        <w:rPr>
          <w:rFonts w:ascii="Calibri" w:hAnsi="Calibri" w:cs="Calibri"/>
          <w:sz w:val="20"/>
          <w:szCs w:val="20"/>
        </w:rPr>
      </w:pPr>
      <w:r>
        <w:rPr>
          <w:rFonts w:ascii="Calibri" w:hAnsi="Calibri" w:cs="Calibri"/>
          <w:sz w:val="20"/>
          <w:szCs w:val="20"/>
        </w:rPr>
        <w:t>116</w:t>
      </w:r>
    </w:p>
    <w:p w14:paraId="3973FFF5" w14:textId="77777777" w:rsidR="007B027D" w:rsidRDefault="008E01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7400AF" wp14:editId="397400B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3FFF7" w14:textId="77777777">
        <w:trPr>
          <w:tblCellSpacing w:w="15" w:type="dxa"/>
        </w:trPr>
        <w:tc>
          <w:tcPr>
            <w:tcW w:w="0" w:type="auto"/>
            <w:shd w:val="clear" w:color="auto" w:fill="auto"/>
            <w:vAlign w:val="center"/>
          </w:tcPr>
          <w:p w14:paraId="3973FFF6" w14:textId="77777777" w:rsidR="007B027D" w:rsidRDefault="007B027D">
            <w:pPr>
              <w:rPr>
                <w:rFonts w:ascii="宋体"/>
              </w:rPr>
            </w:pPr>
          </w:p>
        </w:tc>
      </w:tr>
    </w:tbl>
    <w:p w14:paraId="3973FFF8"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3FFFA" w14:textId="77777777">
        <w:trPr>
          <w:tblCellSpacing w:w="15" w:type="dxa"/>
        </w:trPr>
        <w:tc>
          <w:tcPr>
            <w:tcW w:w="0" w:type="auto"/>
            <w:shd w:val="clear" w:color="auto" w:fill="auto"/>
            <w:vAlign w:val="center"/>
          </w:tcPr>
          <w:p w14:paraId="3973FFF9" w14:textId="77777777" w:rsidR="007B027D" w:rsidRDefault="007B027D">
            <w:pPr>
              <w:rPr>
                <w:rFonts w:ascii="宋体"/>
              </w:rPr>
            </w:pPr>
          </w:p>
        </w:tc>
      </w:tr>
    </w:tbl>
    <w:p w14:paraId="3973FFFB"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3FFFD" w14:textId="77777777">
        <w:trPr>
          <w:tblCellSpacing w:w="15" w:type="dxa"/>
        </w:trPr>
        <w:tc>
          <w:tcPr>
            <w:tcW w:w="0" w:type="auto"/>
            <w:shd w:val="clear" w:color="auto" w:fill="auto"/>
            <w:vAlign w:val="center"/>
          </w:tcPr>
          <w:p w14:paraId="3973FFFC" w14:textId="77777777" w:rsidR="007B027D" w:rsidRDefault="007B027D">
            <w:pPr>
              <w:rPr>
                <w:rFonts w:ascii="宋体"/>
              </w:rPr>
            </w:pPr>
          </w:p>
        </w:tc>
      </w:tr>
    </w:tbl>
    <w:p w14:paraId="3973FFFE"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00" w14:textId="77777777">
        <w:trPr>
          <w:tblCellSpacing w:w="15" w:type="dxa"/>
        </w:trPr>
        <w:tc>
          <w:tcPr>
            <w:tcW w:w="0" w:type="auto"/>
            <w:shd w:val="clear" w:color="auto" w:fill="auto"/>
            <w:vAlign w:val="center"/>
          </w:tcPr>
          <w:p w14:paraId="3973FFFF" w14:textId="77777777" w:rsidR="007B027D" w:rsidRDefault="007B027D">
            <w:pPr>
              <w:rPr>
                <w:rFonts w:ascii="宋体"/>
              </w:rPr>
            </w:pPr>
          </w:p>
        </w:tc>
      </w:tr>
    </w:tbl>
    <w:p w14:paraId="39740001" w14:textId="77777777" w:rsidR="007B027D" w:rsidRDefault="008E0125">
      <w:r>
        <w:rPr>
          <w:rFonts w:ascii="宋体" w:eastAsia="宋体" w:hAnsi="宋体" w:cs="宋体"/>
        </w:rPr>
        <w:t xml:space="preserve">Previous Next </w:t>
      </w:r>
    </w:p>
    <w:p w14:paraId="39740002" w14:textId="77777777" w:rsidR="007B027D" w:rsidRDefault="008E0125">
      <w:pPr>
        <w:pStyle w:val="a3"/>
      </w:pPr>
      <w:r>
        <w:t>Settings</w:t>
      </w:r>
    </w:p>
    <w:p w14:paraId="39740003" w14:textId="77777777" w:rsidR="007B027D" w:rsidRDefault="008E0125">
      <w:pPr>
        <w:pStyle w:val="Style4"/>
      </w:pPr>
      <w:r>
        <w:t>窗体顶端</w:t>
      </w:r>
    </w:p>
    <w:p w14:paraId="39740004" w14:textId="77777777" w:rsidR="007B027D" w:rsidRDefault="008E012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97400B1" wp14:editId="397400B2">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9740005" w14:textId="77777777" w:rsidR="007B027D" w:rsidRDefault="008E012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97400B3" wp14:editId="397400B4">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9740006" w14:textId="77777777" w:rsidR="007B027D" w:rsidRDefault="008E0125">
      <w:r>
        <w:pict w14:anchorId="397400B5">
          <v:rect id="_x0000_i1142" style="width:415.3pt;height:1.5pt" o:hralign="center" o:hrstd="t" o:hr="t" fillcolor="#a0a0a0" stroked="f"/>
        </w:pict>
      </w:r>
    </w:p>
    <w:p w14:paraId="39740007" w14:textId="77777777" w:rsidR="007B027D" w:rsidRDefault="008E0125">
      <w:r>
        <w:rPr>
          <w:rFonts w:ascii="宋体" w:eastAsia="宋体" w:hAnsi="宋体" w:cs="宋体"/>
        </w:rPr>
        <w:t xml:space="preserve">Tagged Data </w:t>
      </w:r>
    </w:p>
    <w:p w14:paraId="39740008" w14:textId="77777777" w:rsidR="007B027D" w:rsidRDefault="008E0125">
      <w:r>
        <w:rPr>
          <w:rFonts w:ascii="monospace" w:eastAsia="monospace" w:hAnsi="monospace" w:cs="monospace"/>
          <w:noProof/>
        </w:rPr>
        <mc:AlternateContent>
          <mc:Choice Requires="wps">
            <w:drawing>
              <wp:inline distT="0" distB="0" distL="114300" distR="114300" wp14:anchorId="397400B6" wp14:editId="397400B7">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9740009" w14:textId="77777777" w:rsidR="007B027D" w:rsidRDefault="008E0125">
      <w:r>
        <w:rPr>
          <w:rFonts w:ascii="宋体" w:eastAsia="宋体" w:hAnsi="宋体" w:cs="宋体"/>
        </w:rPr>
        <w:t>Save</w:t>
      </w:r>
    </w:p>
    <w:p w14:paraId="3974000A" w14:textId="77777777" w:rsidR="007B027D" w:rsidRDefault="008E0125">
      <w:r>
        <w:rPr>
          <w:rFonts w:ascii="宋体" w:eastAsia="宋体" w:hAnsi="宋体" w:cs="宋体"/>
        </w:rPr>
        <w:t>Reset</w:t>
      </w:r>
    </w:p>
    <w:p w14:paraId="3974000B" w14:textId="77777777" w:rsidR="007B027D" w:rsidRDefault="008E0125">
      <w:r>
        <w:pict w14:anchorId="397400B8">
          <v:rect id="_x0000_i1143" style="width:415.3pt;height:1.5pt" o:hralign="center" o:hrstd="t" o:hr="t" fillcolor="#a0a0a0" stroked="f"/>
        </w:pict>
      </w:r>
    </w:p>
    <w:p w14:paraId="3974000C" w14:textId="77777777" w:rsidR="007B027D" w:rsidRDefault="008E0125">
      <w:r>
        <w:rPr>
          <w:rFonts w:ascii="宋体" w:eastAsia="宋体" w:hAnsi="宋体" w:cs="宋体"/>
        </w:rPr>
        <w:t xml:space="preserve">Search Results </w:t>
      </w:r>
    </w:p>
    <w:p w14:paraId="3974000D" w14:textId="77777777" w:rsidR="007B027D" w:rsidRDefault="008E0125">
      <w:r>
        <w:rPr>
          <w:rFonts w:ascii="monospace" w:eastAsia="monospace" w:hAnsi="monospace" w:cs="monospace"/>
          <w:noProof/>
        </w:rPr>
        <mc:AlternateContent>
          <mc:Choice Requires="wps">
            <w:drawing>
              <wp:inline distT="0" distB="0" distL="114300" distR="114300" wp14:anchorId="397400B9" wp14:editId="397400BA">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974000E" w14:textId="77777777" w:rsidR="007B027D" w:rsidRDefault="008E0125">
      <w:r>
        <w:rPr>
          <w:rFonts w:ascii="宋体" w:eastAsia="宋体" w:hAnsi="宋体" w:cs="宋体"/>
        </w:rPr>
        <w:t>Save</w:t>
      </w:r>
    </w:p>
    <w:p w14:paraId="3974000F" w14:textId="77777777" w:rsidR="007B027D" w:rsidRDefault="008E0125">
      <w:r>
        <w:rPr>
          <w:rFonts w:ascii="宋体" w:eastAsia="宋体" w:hAnsi="宋体" w:cs="宋体"/>
        </w:rPr>
        <w:t>Reset</w:t>
      </w:r>
    </w:p>
    <w:p w14:paraId="39740010" w14:textId="77777777" w:rsidR="007B027D" w:rsidRDefault="008E0125">
      <w:r>
        <w:pict w14:anchorId="397400BB">
          <v:rect id="_x0000_i1144" style="width:415.3pt;height:1.5pt" o:hralign="center" o:hrstd="t" o:hr="t" fillcolor="#a0a0a0" stroked="f"/>
        </w:pict>
      </w:r>
    </w:p>
    <w:p w14:paraId="39740011" w14:textId="77777777" w:rsidR="007B027D" w:rsidRDefault="008E0125">
      <w:r>
        <w:rPr>
          <w:rFonts w:ascii="宋体" w:eastAsia="宋体" w:hAnsi="宋体" w:cs="宋体"/>
        </w:rPr>
        <w:t xml:space="preserve">Selected Fact </w:t>
      </w:r>
    </w:p>
    <w:p w14:paraId="39740012" w14:textId="77777777" w:rsidR="007B027D" w:rsidRDefault="008E0125">
      <w:r>
        <w:rPr>
          <w:rFonts w:ascii="monospace" w:eastAsia="monospace" w:hAnsi="monospace" w:cs="monospace"/>
          <w:noProof/>
        </w:rPr>
        <mc:AlternateContent>
          <mc:Choice Requires="wps">
            <w:drawing>
              <wp:inline distT="0" distB="0" distL="114300" distR="114300" wp14:anchorId="397400BC" wp14:editId="397400BD">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9740013" w14:textId="77777777" w:rsidR="007B027D" w:rsidRDefault="008E0125">
      <w:r>
        <w:rPr>
          <w:rFonts w:ascii="宋体" w:eastAsia="宋体" w:hAnsi="宋体" w:cs="宋体"/>
        </w:rPr>
        <w:t>Save</w:t>
      </w:r>
    </w:p>
    <w:p w14:paraId="39740014" w14:textId="77777777" w:rsidR="007B027D" w:rsidRDefault="008E0125">
      <w:r>
        <w:rPr>
          <w:rFonts w:ascii="宋体" w:eastAsia="宋体" w:hAnsi="宋体" w:cs="宋体"/>
        </w:rPr>
        <w:t>Reset</w:t>
      </w:r>
    </w:p>
    <w:p w14:paraId="39740015" w14:textId="77777777" w:rsidR="007B027D" w:rsidRDefault="008E0125">
      <w:r>
        <w:pict w14:anchorId="397400BE">
          <v:rect id="_x0000_i1145" style="width:415.3pt;height:1.5pt" o:hralign="center" o:hrstd="t" o:hr="t" fillcolor="#a0a0a0" stroked="f"/>
        </w:pict>
      </w:r>
    </w:p>
    <w:p w14:paraId="39740016" w14:textId="77777777" w:rsidR="007B027D" w:rsidRDefault="008E0125">
      <w:r>
        <w:rPr>
          <w:rFonts w:ascii="宋体" w:eastAsia="宋体" w:hAnsi="宋体" w:cs="宋体"/>
        </w:rPr>
        <w:t xml:space="preserve">Tag Shading (hover) </w:t>
      </w:r>
    </w:p>
    <w:p w14:paraId="39740017" w14:textId="77777777" w:rsidR="007B027D" w:rsidRDefault="008E0125">
      <w:r>
        <w:rPr>
          <w:rFonts w:ascii="monospace" w:eastAsia="monospace" w:hAnsi="monospace" w:cs="monospace"/>
          <w:noProof/>
        </w:rPr>
        <mc:AlternateContent>
          <mc:Choice Requires="wps">
            <w:drawing>
              <wp:inline distT="0" distB="0" distL="114300" distR="114300" wp14:anchorId="397400BF" wp14:editId="397400C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9740018" w14:textId="77777777" w:rsidR="007B027D" w:rsidRDefault="008E0125">
      <w:r>
        <w:rPr>
          <w:rFonts w:ascii="宋体" w:eastAsia="宋体" w:hAnsi="宋体" w:cs="宋体"/>
        </w:rPr>
        <w:t>Save</w:t>
      </w:r>
    </w:p>
    <w:p w14:paraId="39740019" w14:textId="77777777" w:rsidR="007B027D" w:rsidRDefault="008E0125">
      <w:r>
        <w:rPr>
          <w:rFonts w:ascii="宋体" w:eastAsia="宋体" w:hAnsi="宋体" w:cs="宋体"/>
        </w:rPr>
        <w:t>Reset</w:t>
      </w:r>
    </w:p>
    <w:p w14:paraId="3974001A" w14:textId="77777777" w:rsidR="007B027D" w:rsidRDefault="008E0125">
      <w:pPr>
        <w:pStyle w:val="Style5"/>
      </w:pPr>
      <w:r>
        <w:t>窗体底端</w:t>
      </w:r>
    </w:p>
    <w:p w14:paraId="3974001B" w14:textId="77777777" w:rsidR="007B027D" w:rsidRDefault="008E01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7400C1" wp14:editId="397400C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1D" w14:textId="77777777">
        <w:trPr>
          <w:tblCellSpacing w:w="15" w:type="dxa"/>
        </w:trPr>
        <w:tc>
          <w:tcPr>
            <w:tcW w:w="0" w:type="auto"/>
            <w:shd w:val="clear" w:color="auto" w:fill="auto"/>
            <w:vAlign w:val="center"/>
          </w:tcPr>
          <w:p w14:paraId="3974001C" w14:textId="77777777" w:rsidR="007B027D" w:rsidRDefault="007B027D">
            <w:pPr>
              <w:rPr>
                <w:rFonts w:ascii="宋体"/>
              </w:rPr>
            </w:pPr>
          </w:p>
        </w:tc>
      </w:tr>
    </w:tbl>
    <w:p w14:paraId="3974001E"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20" w14:textId="77777777">
        <w:trPr>
          <w:tblCellSpacing w:w="15" w:type="dxa"/>
        </w:trPr>
        <w:tc>
          <w:tcPr>
            <w:tcW w:w="0" w:type="auto"/>
            <w:shd w:val="clear" w:color="auto" w:fill="auto"/>
            <w:vAlign w:val="center"/>
          </w:tcPr>
          <w:p w14:paraId="3974001F" w14:textId="77777777" w:rsidR="007B027D" w:rsidRDefault="007B027D">
            <w:pPr>
              <w:rPr>
                <w:rFonts w:ascii="宋体"/>
              </w:rPr>
            </w:pPr>
          </w:p>
        </w:tc>
      </w:tr>
    </w:tbl>
    <w:p w14:paraId="39740021"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23" w14:textId="77777777">
        <w:trPr>
          <w:tblCellSpacing w:w="15" w:type="dxa"/>
        </w:trPr>
        <w:tc>
          <w:tcPr>
            <w:tcW w:w="0" w:type="auto"/>
            <w:shd w:val="clear" w:color="auto" w:fill="auto"/>
            <w:vAlign w:val="center"/>
          </w:tcPr>
          <w:p w14:paraId="39740022" w14:textId="77777777" w:rsidR="007B027D" w:rsidRDefault="007B027D">
            <w:pPr>
              <w:rPr>
                <w:rFonts w:ascii="宋体"/>
              </w:rPr>
            </w:pPr>
          </w:p>
        </w:tc>
      </w:tr>
    </w:tbl>
    <w:p w14:paraId="39740024"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26" w14:textId="77777777">
        <w:trPr>
          <w:tblCellSpacing w:w="15" w:type="dxa"/>
        </w:trPr>
        <w:tc>
          <w:tcPr>
            <w:tcW w:w="0" w:type="auto"/>
            <w:shd w:val="clear" w:color="auto" w:fill="auto"/>
            <w:vAlign w:val="center"/>
          </w:tcPr>
          <w:p w14:paraId="39740025" w14:textId="77777777" w:rsidR="007B027D" w:rsidRDefault="007B027D">
            <w:pPr>
              <w:rPr>
                <w:rFonts w:ascii="宋体"/>
              </w:rPr>
            </w:pPr>
          </w:p>
        </w:tc>
      </w:tr>
    </w:tbl>
    <w:p w14:paraId="39740027" w14:textId="77777777" w:rsidR="007B027D" w:rsidRDefault="008E0125">
      <w:r>
        <w:rPr>
          <w:rFonts w:ascii="宋体" w:eastAsia="宋体" w:hAnsi="宋体" w:cs="宋体"/>
        </w:rPr>
        <w:t xml:space="preserve">Previous Next </w:t>
      </w:r>
    </w:p>
    <w:p w14:paraId="39740028" w14:textId="77777777" w:rsidR="007B027D" w:rsidRDefault="008E0125">
      <w:pPr>
        <w:pStyle w:val="a3"/>
      </w:pPr>
      <w:r>
        <w:t xml:space="preserve">Nested Facts / </w:t>
      </w:r>
    </w:p>
    <w:p w14:paraId="39740029" w14:textId="77777777" w:rsidR="007B027D" w:rsidRDefault="008E0125">
      <w:r>
        <w:rPr>
          <w:rFonts w:ascii="宋体" w:eastAsia="宋体" w:hAnsi="宋体" w:cs="宋体"/>
        </w:rPr>
        <w:t xml:space="preserve">Previous Next </w:t>
      </w:r>
    </w:p>
    <w:p w14:paraId="3974002A" w14:textId="77777777" w:rsidR="007B027D" w:rsidRDefault="008E01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7400C3" wp14:editId="397400C4">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2C" w14:textId="77777777">
        <w:trPr>
          <w:tblCellSpacing w:w="15" w:type="dxa"/>
        </w:trPr>
        <w:tc>
          <w:tcPr>
            <w:tcW w:w="0" w:type="auto"/>
            <w:shd w:val="clear" w:color="auto" w:fill="auto"/>
            <w:vAlign w:val="center"/>
          </w:tcPr>
          <w:p w14:paraId="3974002B" w14:textId="77777777" w:rsidR="007B027D" w:rsidRDefault="007B027D">
            <w:pPr>
              <w:rPr>
                <w:rFonts w:ascii="宋体"/>
              </w:rPr>
            </w:pPr>
          </w:p>
        </w:tc>
      </w:tr>
    </w:tbl>
    <w:p w14:paraId="3974002D"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2F" w14:textId="77777777">
        <w:trPr>
          <w:tblCellSpacing w:w="15" w:type="dxa"/>
        </w:trPr>
        <w:tc>
          <w:tcPr>
            <w:tcW w:w="0" w:type="auto"/>
            <w:shd w:val="clear" w:color="auto" w:fill="auto"/>
            <w:vAlign w:val="center"/>
          </w:tcPr>
          <w:p w14:paraId="3974002E" w14:textId="77777777" w:rsidR="007B027D" w:rsidRDefault="007B027D">
            <w:pPr>
              <w:rPr>
                <w:rFonts w:ascii="宋体"/>
              </w:rPr>
            </w:pPr>
          </w:p>
        </w:tc>
      </w:tr>
    </w:tbl>
    <w:p w14:paraId="39740030"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32" w14:textId="77777777">
        <w:trPr>
          <w:tblCellSpacing w:w="15" w:type="dxa"/>
        </w:trPr>
        <w:tc>
          <w:tcPr>
            <w:tcW w:w="0" w:type="auto"/>
            <w:shd w:val="clear" w:color="auto" w:fill="auto"/>
            <w:vAlign w:val="center"/>
          </w:tcPr>
          <w:p w14:paraId="39740031" w14:textId="77777777" w:rsidR="007B027D" w:rsidRDefault="007B027D">
            <w:pPr>
              <w:rPr>
                <w:rFonts w:ascii="宋体"/>
              </w:rPr>
            </w:pPr>
          </w:p>
        </w:tc>
      </w:tr>
    </w:tbl>
    <w:p w14:paraId="39740033" w14:textId="77777777" w:rsidR="007B027D" w:rsidRDefault="007B02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027D" w14:paraId="39740035" w14:textId="77777777">
        <w:trPr>
          <w:tblCellSpacing w:w="15" w:type="dxa"/>
        </w:trPr>
        <w:tc>
          <w:tcPr>
            <w:tcW w:w="0" w:type="auto"/>
            <w:shd w:val="clear" w:color="auto" w:fill="auto"/>
            <w:vAlign w:val="center"/>
          </w:tcPr>
          <w:p w14:paraId="39740034" w14:textId="77777777" w:rsidR="007B027D" w:rsidRDefault="007B027D">
            <w:pPr>
              <w:rPr>
                <w:rFonts w:ascii="宋体"/>
              </w:rPr>
            </w:pPr>
          </w:p>
        </w:tc>
      </w:tr>
    </w:tbl>
    <w:p w14:paraId="39740036" w14:textId="77777777" w:rsidR="007B027D" w:rsidRDefault="008E0125">
      <w:r>
        <w:rPr>
          <w:rFonts w:ascii="宋体" w:eastAsia="宋体" w:hAnsi="宋体" w:cs="宋体"/>
        </w:rPr>
        <w:t xml:space="preserve">Previous Next </w:t>
      </w:r>
    </w:p>
    <w:p w14:paraId="39740037" w14:textId="77777777" w:rsidR="007B027D" w:rsidRDefault="007B027D"/>
    <w:sectPr w:rsidR="007B027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D88D" w14:textId="77777777" w:rsidR="008E0125" w:rsidRDefault="008E0125" w:rsidP="008E0125">
      <w:r>
        <w:separator/>
      </w:r>
    </w:p>
  </w:endnote>
  <w:endnote w:type="continuationSeparator" w:id="0">
    <w:p w14:paraId="676D2686" w14:textId="77777777" w:rsidR="008E0125" w:rsidRDefault="008E0125" w:rsidP="008E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9CBF" w14:textId="77777777" w:rsidR="008E0125" w:rsidRDefault="008E0125" w:rsidP="008E0125">
      <w:r>
        <w:separator/>
      </w:r>
    </w:p>
  </w:footnote>
  <w:footnote w:type="continuationSeparator" w:id="0">
    <w:p w14:paraId="1D92578B" w14:textId="77777777" w:rsidR="008E0125" w:rsidRDefault="008E0125" w:rsidP="008E01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FB6CD6"/>
    <w:rsid w:val="DFFB6CD6"/>
    <w:rsid w:val="007B027D"/>
    <w:rsid w:val="008E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3C5E4"/>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E01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E0125"/>
    <w:rPr>
      <w:rFonts w:asciiTheme="minorEastAsia" w:hAnsiTheme="minorEastAsia" w:cs="Times New Roman"/>
      <w:sz w:val="18"/>
      <w:szCs w:val="18"/>
    </w:rPr>
  </w:style>
  <w:style w:type="paragraph" w:styleId="a8">
    <w:name w:val="footer"/>
    <w:basedOn w:val="a"/>
    <w:link w:val="a9"/>
    <w:rsid w:val="008E0125"/>
    <w:pPr>
      <w:tabs>
        <w:tab w:val="center" w:pos="4153"/>
        <w:tab w:val="right" w:pos="8306"/>
      </w:tabs>
      <w:snapToGrid w:val="0"/>
    </w:pPr>
    <w:rPr>
      <w:sz w:val="18"/>
      <w:szCs w:val="18"/>
    </w:rPr>
  </w:style>
  <w:style w:type="character" w:customStyle="1" w:styleId="a9">
    <w:name w:val="页脚 字符"/>
    <w:basedOn w:val="a0"/>
    <w:link w:val="a8"/>
    <w:rsid w:val="008E012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1341439/000156459022023675/orcl-10k_20220531.htm" TargetMode="External"/><Relationship Id="rId299" Type="http://schemas.openxmlformats.org/officeDocument/2006/relationships/hyperlink" Target="http://www.sec.gov/Archives/edgar/data/1341439/000156459022009859/orcl-ex1016_322.htm" TargetMode="External"/><Relationship Id="rId21" Type="http://schemas.openxmlformats.org/officeDocument/2006/relationships/hyperlink" Target="https://www.sec.gov/ix?doc=/Archives/edgar/data/1341439/000156459022023675/orcl-10k_20220531.htm" TargetMode="External"/><Relationship Id="rId63" Type="http://schemas.openxmlformats.org/officeDocument/2006/relationships/hyperlink" Target="https://www.sec.gov/ix?doc=/Archives/edgar/data/1341439/000156459022023675/orcl-10k_20220531.htm" TargetMode="External"/><Relationship Id="rId159" Type="http://schemas.openxmlformats.org/officeDocument/2006/relationships/hyperlink" Target="https://www.sec.gov/ix?doc=/Archives/edgar/data/1341439/000156459022023675/orcl-10k_20220531.htm" TargetMode="External"/><Relationship Id="rId170" Type="http://schemas.openxmlformats.org/officeDocument/2006/relationships/hyperlink" Target="https://www.sec.gov/ix?doc=/Archives/edgar/data/1341439/000156459022023675/orcl-10k_20220531.htm" TargetMode="External"/><Relationship Id="rId226" Type="http://schemas.openxmlformats.org/officeDocument/2006/relationships/hyperlink" Target="https://www.sec.gov/ix?doc=/Archives/edgar/data/1341439/000156459022023675/orcl-10k_20220531.htm" TargetMode="External"/><Relationship Id="rId268" Type="http://schemas.openxmlformats.org/officeDocument/2006/relationships/hyperlink" Target="http://www.sec.gov/Archives/edgar/data/1341439/000119312512435493/d429721dex410.htm" TargetMode="External"/><Relationship Id="rId32" Type="http://schemas.openxmlformats.org/officeDocument/2006/relationships/hyperlink" Target="https://www.sec.gov/ix?doc=/Archives/edgar/data/1341439/000156459022023675/orcl-10k_20220531.htm" TargetMode="External"/><Relationship Id="rId74" Type="http://schemas.openxmlformats.org/officeDocument/2006/relationships/hyperlink" Target="https://www.sec.gov/ix?doc=/Archives/edgar/data/1341439/000156459022023675/orcl-10k_20220531.htm" TargetMode="External"/><Relationship Id="rId128" Type="http://schemas.openxmlformats.org/officeDocument/2006/relationships/hyperlink" Target="https://www.sec.gov/ix?doc=/Archives/edgar/data/1341439/000156459022023675/orcl-10k_20220531.htm" TargetMode="External"/><Relationship Id="rId5" Type="http://schemas.openxmlformats.org/officeDocument/2006/relationships/endnotes" Target="endnotes.xml"/><Relationship Id="rId181" Type="http://schemas.openxmlformats.org/officeDocument/2006/relationships/hyperlink" Target="https://www.sec.gov/ix?doc=/Archives/edgar/data/1341439/000156459022023675/orcl-10k_20220531.htm" TargetMode="External"/><Relationship Id="rId237" Type="http://schemas.openxmlformats.org/officeDocument/2006/relationships/hyperlink" Target="https://www.sec.gov/ix?doc=/Archives/edgar/data/1341439/000156459022023675/orcl-10k_20220531.htm" TargetMode="External"/><Relationship Id="rId279" Type="http://schemas.openxmlformats.org/officeDocument/2006/relationships/hyperlink" Target="http://www.sec.gov/Archives/edgar/data/1341439/000156459019023119/orcl-ex415_54.htm" TargetMode="External"/><Relationship Id="rId43" Type="http://schemas.openxmlformats.org/officeDocument/2006/relationships/hyperlink" Target="https://www.sec.gov/ix?doc=/Archives/edgar/data/1341439/000156459022023675/orcl-10k_20220531.htm" TargetMode="External"/><Relationship Id="rId139" Type="http://schemas.openxmlformats.org/officeDocument/2006/relationships/hyperlink" Target="https://www.sec.gov/ix?doc=/Archives/edgar/data/1341439/000156459022023675/orcl-10k_20220531.htm" TargetMode="External"/><Relationship Id="rId290" Type="http://schemas.openxmlformats.org/officeDocument/2006/relationships/hyperlink" Target="http://www.sec.gov/Archives/edgar/data/0001341439/000119312515323532/d64286dex1015.htm" TargetMode="External"/><Relationship Id="rId304" Type="http://schemas.openxmlformats.org/officeDocument/2006/relationships/hyperlink" Target="https://www.sec.gov/Archives/edgar/data/1341439/000156459022023675/orcl-ex3201_9.htm" TargetMode="External"/><Relationship Id="rId85" Type="http://schemas.openxmlformats.org/officeDocument/2006/relationships/hyperlink" Target="https://www.sec.gov/ix?doc=/Archives/edgar/data/1341439/000156459022023675/orcl-10k_20220531.htm" TargetMode="External"/><Relationship Id="rId150" Type="http://schemas.openxmlformats.org/officeDocument/2006/relationships/hyperlink" Target="https://www.sec.gov/ix?doc=/Archives/edgar/data/1341439/000156459022023675/orcl-10k_20220531.htm" TargetMode="External"/><Relationship Id="rId192" Type="http://schemas.openxmlformats.org/officeDocument/2006/relationships/hyperlink" Target="https://www.sec.gov/ix?doc=/Archives/edgar/data/1341439/000156459022023675/orcl-10k_20220531.htm" TargetMode="External"/><Relationship Id="rId206" Type="http://schemas.openxmlformats.org/officeDocument/2006/relationships/hyperlink" Target="https://www.sec.gov/ix?doc=/Archives/edgar/data/1341439/000156459022023675/orcl-10k_20220531.htm" TargetMode="External"/><Relationship Id="rId248" Type="http://schemas.openxmlformats.org/officeDocument/2006/relationships/hyperlink" Target="https://www.sec.gov/ix?doc=/Archives/edgar/data/1341439/000156459022023675/orcl-10k_20220531.htm" TargetMode="External"/><Relationship Id="rId12" Type="http://schemas.openxmlformats.org/officeDocument/2006/relationships/hyperlink" Target="https://www.sec.gov/ix?doc=/Archives/edgar/data/1341439/000156459022023675/orcl-10k_20220531.htm" TargetMode="External"/><Relationship Id="rId108" Type="http://schemas.openxmlformats.org/officeDocument/2006/relationships/hyperlink" Target="https://www.sec.gov/ix?doc=/Archives/edgar/data/1341439/000156459022023675/orcl-10k_20220531.htm" TargetMode="External"/><Relationship Id="rId54" Type="http://schemas.openxmlformats.org/officeDocument/2006/relationships/hyperlink" Target="https://www.sec.gov/ix?doc=/Archives/edgar/data/1341439/000156459022023675/orcl-10k_20220531.htm" TargetMode="External"/><Relationship Id="rId96" Type="http://schemas.openxmlformats.org/officeDocument/2006/relationships/hyperlink" Target="https://www.sec.gov/ix?doc=/Archives/edgar/data/1341439/000156459022023675/orcl-10k_20220531.htm" TargetMode="External"/><Relationship Id="rId161" Type="http://schemas.openxmlformats.org/officeDocument/2006/relationships/hyperlink" Target="https://www.sec.gov/ix?doc=/Archives/edgar/data/1341439/000156459022023675/orcl-10k_20220531.htm" TargetMode="External"/><Relationship Id="rId217" Type="http://schemas.openxmlformats.org/officeDocument/2006/relationships/hyperlink" Target="https://www.sec.gov/ix?doc=/Archives/edgar/data/1341439/000156459022023675/orcl-10k_20220531.htm" TargetMode="External"/><Relationship Id="rId259" Type="http://schemas.openxmlformats.org/officeDocument/2006/relationships/hyperlink" Target="http://www.sec.gov/Archives/edgar/data/1341439/000119312510112896/dex44.htm" TargetMode="External"/><Relationship Id="rId23" Type="http://schemas.openxmlformats.org/officeDocument/2006/relationships/hyperlink" Target="https://www.sec.gov/ix?doc=/Archives/edgar/data/1341439/000156459022023675/orcl-10k_20220531.htm" TargetMode="External"/><Relationship Id="rId119" Type="http://schemas.openxmlformats.org/officeDocument/2006/relationships/hyperlink" Target="https://www.sec.gov/ix?doc=/Archives/edgar/data/1341439/000156459022023675/orcl-10k_20220531.htm" TargetMode="External"/><Relationship Id="rId270" Type="http://schemas.openxmlformats.org/officeDocument/2006/relationships/hyperlink" Target="http://www.sec.gov/Archives/edgar/data/1341439/000119312513291787/d568055dex412.htm" TargetMode="External"/><Relationship Id="rId44" Type="http://schemas.openxmlformats.org/officeDocument/2006/relationships/hyperlink" Target="https://www.sec.gov/ix?doc=/Archives/edgar/data/1341439/000156459022023675/orcl-10k_20220531.htm" TargetMode="External"/><Relationship Id="rId65" Type="http://schemas.openxmlformats.org/officeDocument/2006/relationships/hyperlink" Target="https://www.sec.gov/ix?doc=/Archives/edgar/data/1341439/000156459022023675/orcl-10k_20220531.htm" TargetMode="External"/><Relationship Id="rId86" Type="http://schemas.openxmlformats.org/officeDocument/2006/relationships/hyperlink" Target="https://www.sec.gov/ix?doc=/Archives/edgar/data/1341439/000156459022023675/orcl-10k_20220531.htm" TargetMode="External"/><Relationship Id="rId130" Type="http://schemas.openxmlformats.org/officeDocument/2006/relationships/hyperlink" Target="https://www.sec.gov/ix?doc=/Archives/edgar/data/1341439/000156459022023675/orcl-10k_20220531.htm" TargetMode="External"/><Relationship Id="rId151" Type="http://schemas.openxmlformats.org/officeDocument/2006/relationships/hyperlink" Target="https://www.sec.gov/ix?doc=/Archives/edgar/data/1341439/000156459022023675/orcl-10k_20220531.htm" TargetMode="External"/><Relationship Id="rId172" Type="http://schemas.openxmlformats.org/officeDocument/2006/relationships/hyperlink" Target="https://www.sec.gov/ix?doc=/Archives/edgar/data/1341439/000156459022023675/orcl-10k_20220531.htm" TargetMode="External"/><Relationship Id="rId193" Type="http://schemas.openxmlformats.org/officeDocument/2006/relationships/hyperlink" Target="https://www.sec.gov/ix?doc=/Archives/edgar/data/1341439/000156459022023675/orcl-10k_20220531.htm" TargetMode="External"/><Relationship Id="rId207" Type="http://schemas.openxmlformats.org/officeDocument/2006/relationships/hyperlink" Target="https://www.sec.gov/ix?doc=/Archives/edgar/data/1341439/000156459022023675/orcl-10k_20220531.htm" TargetMode="External"/><Relationship Id="rId228" Type="http://schemas.openxmlformats.org/officeDocument/2006/relationships/hyperlink" Target="https://www.sec.gov/ix?doc=/Archives/edgar/data/1341439/000156459022023675/orcl-10k_20220531.htm" TargetMode="External"/><Relationship Id="rId249" Type="http://schemas.openxmlformats.org/officeDocument/2006/relationships/hyperlink" Target="https://www.sec.gov/ix?doc=/Archives/edgar/data/1341439/000156459022023675/orcl-10k_20220531.htm" TargetMode="External"/><Relationship Id="rId13" Type="http://schemas.openxmlformats.org/officeDocument/2006/relationships/hyperlink" Target="https://www.sec.gov/ix?doc=/Archives/edgar/data/1341439/000156459022023675/orcl-10k_20220531.htm" TargetMode="External"/><Relationship Id="rId109" Type="http://schemas.openxmlformats.org/officeDocument/2006/relationships/hyperlink" Target="https://www.sec.gov/ix?doc=/Archives/edgar/data/1341439/000156459022023675/orcl-10k_20220531.htm" TargetMode="External"/><Relationship Id="rId260" Type="http://schemas.openxmlformats.org/officeDocument/2006/relationships/hyperlink" Target="http://www.sec.gov/Archives/edgar/data/0000777676/000095013406000839/f16289exv10w34.htm" TargetMode="External"/><Relationship Id="rId281" Type="http://schemas.openxmlformats.org/officeDocument/2006/relationships/hyperlink" Target="https://www.sec.gov/Archives/edgar/data/1341439/000156459022023675/orcl-ex1002_315.htm" TargetMode="External"/><Relationship Id="rId34" Type="http://schemas.openxmlformats.org/officeDocument/2006/relationships/hyperlink" Target="https://www.sec.gov/ix?doc=/Archives/edgar/data/1341439/000156459022023675/orcl-10k_20220531.htm" TargetMode="External"/><Relationship Id="rId55" Type="http://schemas.openxmlformats.org/officeDocument/2006/relationships/hyperlink" Target="https://www.sec.gov/ix?doc=/Archives/edgar/data/1341439/000156459022023675/orcl-10k_20220531.htm" TargetMode="External"/><Relationship Id="rId76" Type="http://schemas.openxmlformats.org/officeDocument/2006/relationships/hyperlink" Target="https://www.sec.gov/ix?doc=/Archives/edgar/data/1341439/000156459022023675/orcl-10k_20220531.htm" TargetMode="External"/><Relationship Id="rId97" Type="http://schemas.openxmlformats.org/officeDocument/2006/relationships/hyperlink" Target="https://www.sec.gov/ix?doc=/Archives/edgar/data/1341439/000156459022023675/orcl-10k_20220531.htm" TargetMode="External"/><Relationship Id="rId120" Type="http://schemas.openxmlformats.org/officeDocument/2006/relationships/hyperlink" Target="https://www.sec.gov/ix?doc=/Archives/edgar/data/1341439/000156459022023675/orcl-10k_20220531.htm" TargetMode="External"/><Relationship Id="rId141" Type="http://schemas.openxmlformats.org/officeDocument/2006/relationships/hyperlink" Target="https://www.sec.gov/ix?doc=/Archives/edgar/data/1341439/000156459022023675/orcl-10k_20220531.htm" TargetMode="External"/><Relationship Id="rId7" Type="http://schemas.openxmlformats.org/officeDocument/2006/relationships/hyperlink" Target="https://www.sec.gov/ix?doc=/Archives/edgar/data/1341439/000156459022023675/orcl-10k_20220531.htm" TargetMode="External"/><Relationship Id="rId162" Type="http://schemas.openxmlformats.org/officeDocument/2006/relationships/hyperlink" Target="https://www.sec.gov/ix?doc=/Archives/edgar/data/1341439/000156459022023675/orcl-10k_20220531.htm" TargetMode="External"/><Relationship Id="rId183" Type="http://schemas.openxmlformats.org/officeDocument/2006/relationships/hyperlink" Target="https://www.sec.gov/ix?doc=/Archives/edgar/data/1341439/000156459022023675/orcl-10k_20220531.htm" TargetMode="External"/><Relationship Id="rId218" Type="http://schemas.openxmlformats.org/officeDocument/2006/relationships/hyperlink" Target="https://www.sec.gov/ix?doc=/Archives/edgar/data/1341439/000156459022023675/orcl-10k_20220531.htm" TargetMode="External"/><Relationship Id="rId239" Type="http://schemas.openxmlformats.org/officeDocument/2006/relationships/hyperlink" Target="https://www.sec.gov/ix?doc=/Archives/edgar/data/1341439/000156459022023675/orcl-10k_20220531.htm" TargetMode="External"/><Relationship Id="rId250" Type="http://schemas.openxmlformats.org/officeDocument/2006/relationships/hyperlink" Target="https://www.sec.gov/ix?doc=/Archives/edgar/data/1341439/000156459022023675/orcl-10k_20220531.htm" TargetMode="External"/><Relationship Id="rId271" Type="http://schemas.openxmlformats.org/officeDocument/2006/relationships/hyperlink" Target="http://www.sec.gov/Archives/edgar/data/1341439/000119312514263107/d756565dex413.htm" TargetMode="External"/><Relationship Id="rId292" Type="http://schemas.openxmlformats.org/officeDocument/2006/relationships/hyperlink" Target="http://www.sec.gov/Archives/edgar/data/0001341439/000119312517287455/d407367dex1016.htm" TargetMode="External"/><Relationship Id="rId306" Type="http://schemas.openxmlformats.org/officeDocument/2006/relationships/hyperlink" Target="https://www.sec.gov/ix?doc=/Archives/edgar/data/1341439/000156459022023675/orcl-10k_20220531.htm" TargetMode="External"/><Relationship Id="rId24" Type="http://schemas.openxmlformats.org/officeDocument/2006/relationships/hyperlink" Target="https://www.sec.gov/ix?doc=/Archives/edgar/data/1341439/000156459022023675/orcl-10k_20220531.htm" TargetMode="External"/><Relationship Id="rId45" Type="http://schemas.openxmlformats.org/officeDocument/2006/relationships/hyperlink" Target="https://www.sec.gov/ix?doc=/Archives/edgar/data/1341439/000156459022023675/orcl-10k_20220531.htm" TargetMode="External"/><Relationship Id="rId66" Type="http://schemas.openxmlformats.org/officeDocument/2006/relationships/hyperlink" Target="https://www.sec.gov/ix?doc=/Archives/edgar/data/1341439/000156459022023675/orcl-10k_20220531.htm" TargetMode="External"/><Relationship Id="rId87" Type="http://schemas.openxmlformats.org/officeDocument/2006/relationships/hyperlink" Target="https://www.sec.gov/ix?doc=/Archives/edgar/data/1341439/000156459022023675/orcl-10k_20220531.htm" TargetMode="External"/><Relationship Id="rId110" Type="http://schemas.openxmlformats.org/officeDocument/2006/relationships/hyperlink" Target="https://www.sec.gov/ix?doc=/Archives/edgar/data/1341439/000156459022023675/orcl-10k_20220531.htm" TargetMode="External"/><Relationship Id="rId131" Type="http://schemas.openxmlformats.org/officeDocument/2006/relationships/hyperlink" Target="https://www.sec.gov/ix?doc=/Archives/edgar/data/1341439/000156459022023675/orcl-10k_20220531.htm" TargetMode="External"/><Relationship Id="rId152" Type="http://schemas.openxmlformats.org/officeDocument/2006/relationships/hyperlink" Target="https://www.sec.gov/ix?doc=/Archives/edgar/data/1341439/000156459022023675/orcl-10k_20220531.htm" TargetMode="External"/><Relationship Id="rId173" Type="http://schemas.openxmlformats.org/officeDocument/2006/relationships/hyperlink" Target="https://www.sec.gov/ix?doc=/Archives/edgar/data/1341439/000156459022023675/orcl-10k_20220531.htm" TargetMode="External"/><Relationship Id="rId194" Type="http://schemas.openxmlformats.org/officeDocument/2006/relationships/hyperlink" Target="https://www.sec.gov/ix?doc=/Archives/edgar/data/1341439/000156459022023675/orcl-10k_20220531.htm" TargetMode="External"/><Relationship Id="rId208" Type="http://schemas.openxmlformats.org/officeDocument/2006/relationships/hyperlink" Target="https://www.sec.gov/ix?doc=/Archives/edgar/data/1341439/000156459022023675/orcl-10k_20220531.htm" TargetMode="External"/><Relationship Id="rId229" Type="http://schemas.openxmlformats.org/officeDocument/2006/relationships/hyperlink" Target="https://www.sec.gov/ix?doc=/Archives/edgar/data/1341439/000156459022023675/orcl-10k_20220531.htm" TargetMode="External"/><Relationship Id="rId240" Type="http://schemas.openxmlformats.org/officeDocument/2006/relationships/hyperlink" Target="https://www.sec.gov/ix?doc=/Archives/edgar/data/1341439/000156459022023675/orcl-10k_20220531.htm" TargetMode="External"/><Relationship Id="rId261" Type="http://schemas.openxmlformats.org/officeDocument/2006/relationships/hyperlink" Target="http://www.sec.gov/Archives/edgar/data/1341439/000119312507109320/dex43.htm" TargetMode="External"/><Relationship Id="rId14" Type="http://schemas.openxmlformats.org/officeDocument/2006/relationships/hyperlink" Target="https://www.sec.gov/ix?doc=/Archives/edgar/data/1341439/000156459022023675/orcl-10k_20220531.htm" TargetMode="External"/><Relationship Id="rId35" Type="http://schemas.openxmlformats.org/officeDocument/2006/relationships/hyperlink" Target="https://www.sec.gov/ix?doc=/Archives/edgar/data/1341439/000156459022023675/orcl-10k_20220531.htm" TargetMode="External"/><Relationship Id="rId56" Type="http://schemas.openxmlformats.org/officeDocument/2006/relationships/hyperlink" Target="https://www.sec.gov/ix?doc=/Archives/edgar/data/1341439/000156459022023675/orcl-10k_20220531.htm" TargetMode="External"/><Relationship Id="rId77" Type="http://schemas.openxmlformats.org/officeDocument/2006/relationships/hyperlink" Target="https://www.sec.gov/ix?doc=/Archives/edgar/data/1341439/000156459022023675/orcl-10k_20220531.htm" TargetMode="External"/><Relationship Id="rId100" Type="http://schemas.openxmlformats.org/officeDocument/2006/relationships/hyperlink" Target="https://www.sec.gov/ix?doc=/Archives/edgar/data/1341439/000156459022023675/orcl-10k_20220531.htm" TargetMode="External"/><Relationship Id="rId282" Type="http://schemas.openxmlformats.org/officeDocument/2006/relationships/hyperlink" Target="http://www.sec.gov/Archives/edgar/data/1341439/000119312516628942/d203801dex1003.htm" TargetMode="External"/><Relationship Id="rId8" Type="http://schemas.openxmlformats.org/officeDocument/2006/relationships/hyperlink" Target="https://www.sec.gov/ix?doc=/Archives/edgar/data/1341439/000156459022023675/orcl-10k_20220531.htm" TargetMode="External"/><Relationship Id="rId121" Type="http://schemas.openxmlformats.org/officeDocument/2006/relationships/hyperlink" Target="https://www.sec.gov/ix?doc=/Archives/edgar/data/1341439/000156459022023675/orcl-10k_20220531.htm" TargetMode="External"/><Relationship Id="rId142" Type="http://schemas.openxmlformats.org/officeDocument/2006/relationships/hyperlink" Target="https://www.sec.gov/ix?doc=/Archives/edgar/data/1341439/000156459022023675/orcl-10k_20220531.htm" TargetMode="External"/><Relationship Id="rId163" Type="http://schemas.openxmlformats.org/officeDocument/2006/relationships/hyperlink" Target="https://www.sec.gov/ix?doc=/Archives/edgar/data/1341439/000156459022023675/orcl-10k_20220531.htm" TargetMode="External"/><Relationship Id="rId184" Type="http://schemas.openxmlformats.org/officeDocument/2006/relationships/hyperlink" Target="https://www.sec.gov/ix?doc=/Archives/edgar/data/1341439/000156459022023675/orcl-10k_20220531.htm" TargetMode="External"/><Relationship Id="rId219" Type="http://schemas.openxmlformats.org/officeDocument/2006/relationships/hyperlink" Target="https://www.sec.gov/ix?doc=/Archives/edgar/data/1341439/000156459022023675/orcl-10k_20220531.htm" TargetMode="External"/><Relationship Id="rId230" Type="http://schemas.openxmlformats.org/officeDocument/2006/relationships/hyperlink" Target="https://www.sec.gov/ix?doc=/Archives/edgar/data/1341439/000156459022023675/orcl-10k_20220531.htm" TargetMode="External"/><Relationship Id="rId251" Type="http://schemas.openxmlformats.org/officeDocument/2006/relationships/hyperlink" Target="https://www.sec.gov/ix?doc=/Archives/edgar/data/1341439/000156459022023675/orcl-10k_20220531.htm" TargetMode="External"/><Relationship Id="rId25" Type="http://schemas.openxmlformats.org/officeDocument/2006/relationships/hyperlink" Target="https://www.sec.gov/ix?doc=/Archives/edgar/data/1341439/000156459022023675/orcl-10k_20220531.htm" TargetMode="External"/><Relationship Id="rId46" Type="http://schemas.openxmlformats.org/officeDocument/2006/relationships/hyperlink" Target="https://www.sec.gov/ix?doc=/Archives/edgar/data/1341439/000156459022023675/orcl-10k_20220531.htm" TargetMode="External"/><Relationship Id="rId67" Type="http://schemas.openxmlformats.org/officeDocument/2006/relationships/hyperlink" Target="https://www.sec.gov/ix?doc=/Archives/edgar/data/1341439/000156459022023675/orcl-10k_20220531.htm" TargetMode="External"/><Relationship Id="rId272" Type="http://schemas.openxmlformats.org/officeDocument/2006/relationships/hyperlink" Target="http://www.sec.gov/Archives/edgar/data/1341439/000119312515172238/d920453dex413.htm" TargetMode="External"/><Relationship Id="rId293" Type="http://schemas.openxmlformats.org/officeDocument/2006/relationships/hyperlink" Target="http://www.sec.gov/Archives/edgar/data/0001341439/000119312521209906/d145474dex1015.htm" TargetMode="External"/><Relationship Id="rId307" Type="http://schemas.openxmlformats.org/officeDocument/2006/relationships/hyperlink" Target="https://www.sec.gov/ix?doc=/Archives/edgar/data/1341439/000156459022023675/orcl-10k_20220531.htm" TargetMode="External"/><Relationship Id="rId88" Type="http://schemas.openxmlformats.org/officeDocument/2006/relationships/hyperlink" Target="https://www.sec.gov/ix?doc=/Archives/edgar/data/1341439/000156459022023675/orcl-10k_20220531.htm" TargetMode="External"/><Relationship Id="rId111" Type="http://schemas.openxmlformats.org/officeDocument/2006/relationships/hyperlink" Target="https://www.sec.gov/ix?doc=/Archives/edgar/data/1341439/000156459022023675/orcl-10k_20220531.htm" TargetMode="External"/><Relationship Id="rId132" Type="http://schemas.openxmlformats.org/officeDocument/2006/relationships/hyperlink" Target="https://www.sec.gov/ix?doc=/Archives/edgar/data/1341439/000156459022023675/orcl-10k_20220531.htm" TargetMode="External"/><Relationship Id="rId153" Type="http://schemas.openxmlformats.org/officeDocument/2006/relationships/hyperlink" Target="https://www.sec.gov/ix?doc=/Archives/edgar/data/1341439/000156459022023675/orcl-10k_20220531.htm" TargetMode="External"/><Relationship Id="rId174" Type="http://schemas.openxmlformats.org/officeDocument/2006/relationships/hyperlink" Target="https://www.sec.gov/ix?doc=/Archives/edgar/data/1341439/000156459022023675/orcl-10k_20220531.htm" TargetMode="External"/><Relationship Id="rId195" Type="http://schemas.openxmlformats.org/officeDocument/2006/relationships/hyperlink" Target="https://www.sec.gov/ix?doc=/Archives/edgar/data/1341439/000156459022023675/orcl-10k_20220531.htm" TargetMode="External"/><Relationship Id="rId209" Type="http://schemas.openxmlformats.org/officeDocument/2006/relationships/hyperlink" Target="https://www.sec.gov/ix?doc=/Archives/edgar/data/1341439/000156459022023675/orcl-10k_20220531.htm" TargetMode="External"/><Relationship Id="rId220" Type="http://schemas.openxmlformats.org/officeDocument/2006/relationships/hyperlink" Target="https://www.sec.gov/ix?doc=/Archives/edgar/data/1341439/000156459022023675/orcl-10k_20220531.htm" TargetMode="External"/><Relationship Id="rId241" Type="http://schemas.openxmlformats.org/officeDocument/2006/relationships/hyperlink" Target="https://www.sec.gov/ix?doc=/Archives/edgar/data/1341439/000156459022023675/orcl-10k_20220531.htm" TargetMode="External"/><Relationship Id="rId15" Type="http://schemas.openxmlformats.org/officeDocument/2006/relationships/hyperlink" Target="https://www.sec.gov/ix?doc=/Archives/edgar/data/1341439/000156459022023675/orcl-10k_20220531.htm" TargetMode="External"/><Relationship Id="rId36" Type="http://schemas.openxmlformats.org/officeDocument/2006/relationships/hyperlink" Target="https://www.sec.gov/ix?doc=/Archives/edgar/data/1341439/000156459022023675/orcl-10k_20220531.htm" TargetMode="External"/><Relationship Id="rId57" Type="http://schemas.openxmlformats.org/officeDocument/2006/relationships/hyperlink" Target="https://www.sec.gov/ix?doc=/Archives/edgar/data/1341439/000156459022023675/orcl-10k_20220531.htm" TargetMode="External"/><Relationship Id="rId262" Type="http://schemas.openxmlformats.org/officeDocument/2006/relationships/hyperlink" Target="http://www.sec.gov/Archives/edgar/data/1341439/000119312508077170/dex409.htm" TargetMode="External"/><Relationship Id="rId283" Type="http://schemas.openxmlformats.org/officeDocument/2006/relationships/hyperlink" Target="http://www.sec.gov/Archives/edgar/data/0001341439/000119312517347046/d455628dex1004.htm" TargetMode="External"/><Relationship Id="rId78" Type="http://schemas.openxmlformats.org/officeDocument/2006/relationships/hyperlink" Target="https://www.sec.gov/ix?doc=/Archives/edgar/data/1341439/000156459022023675/orcl-10k_20220531.htm" TargetMode="External"/><Relationship Id="rId99" Type="http://schemas.openxmlformats.org/officeDocument/2006/relationships/hyperlink" Target="https://www.sec.gov/ix?doc=/Archives/edgar/data/1341439/000156459022023675/orcl-10k_20220531.htm" TargetMode="External"/><Relationship Id="rId101" Type="http://schemas.openxmlformats.org/officeDocument/2006/relationships/hyperlink" Target="https://www.sec.gov/ix?doc=/Archives/edgar/data/1341439/000156459022023675/orcl-10k_20220531.htm" TargetMode="External"/><Relationship Id="rId122" Type="http://schemas.openxmlformats.org/officeDocument/2006/relationships/hyperlink" Target="https://www.sec.gov/ix?doc=/Archives/edgar/data/1341439/000156459022023675/orcl-10k_20220531.htm" TargetMode="External"/><Relationship Id="rId143" Type="http://schemas.openxmlformats.org/officeDocument/2006/relationships/hyperlink" Target="https://www.sec.gov/ix?doc=/Archives/edgar/data/1341439/000156459022023675/orcl-10k_20220531.htm" TargetMode="External"/><Relationship Id="rId164" Type="http://schemas.openxmlformats.org/officeDocument/2006/relationships/hyperlink" Target="https://www.sec.gov/ix?doc=/Archives/edgar/data/1341439/000156459022023675/orcl-10k_20220531.htm" TargetMode="External"/><Relationship Id="rId185" Type="http://schemas.openxmlformats.org/officeDocument/2006/relationships/hyperlink" Target="https://www.sec.gov/ix?doc=/Archives/edgar/data/1341439/000156459022023675/orcl-10k_20220531.htm" TargetMode="External"/><Relationship Id="rId9" Type="http://schemas.openxmlformats.org/officeDocument/2006/relationships/hyperlink" Target="https://www.sec.gov/ix?doc=/Archives/edgar/data/1341439/000156459022023675/orcl-10k_20220531.htm" TargetMode="External"/><Relationship Id="rId210" Type="http://schemas.openxmlformats.org/officeDocument/2006/relationships/hyperlink" Target="https://www.sec.gov/ix?doc=/Archives/edgar/data/1341439/000156459022023675/orcl-10k_20220531.htm" TargetMode="External"/><Relationship Id="rId26" Type="http://schemas.openxmlformats.org/officeDocument/2006/relationships/hyperlink" Target="https://www.sec.gov/ix?doc=/Archives/edgar/data/1341439/000156459022023675/orcl-10k_20220531.htm" TargetMode="External"/><Relationship Id="rId231" Type="http://schemas.openxmlformats.org/officeDocument/2006/relationships/hyperlink" Target="https://www.sec.gov/ix?doc=/Archives/edgar/data/1341439/000156459022023675/orcl-10k_20220531.htm" TargetMode="External"/><Relationship Id="rId252" Type="http://schemas.openxmlformats.org/officeDocument/2006/relationships/hyperlink" Target="https://www.sec.gov/ix?doc=/Archives/edgar/data/1341439/000156459022023675/orcl-10k_20220531.htm" TargetMode="External"/><Relationship Id="rId273" Type="http://schemas.openxmlformats.org/officeDocument/2006/relationships/hyperlink" Target="http://www.sec.gov/Archives/edgar/data/0001341439/000119312516643428/d224097dex41.htm" TargetMode="External"/><Relationship Id="rId294" Type="http://schemas.openxmlformats.org/officeDocument/2006/relationships/hyperlink" Target="http://www.sec.gov/Archives/edgar/data/1341439/000119312517287455/d407367dex1017.htm" TargetMode="External"/><Relationship Id="rId308" Type="http://schemas.openxmlformats.org/officeDocument/2006/relationships/hyperlink" Target="https://www.sec.gov/ix?doc=/Archives/edgar/data/1341439/000156459022023675/orcl-10k_20220531.htm" TargetMode="External"/><Relationship Id="rId47" Type="http://schemas.openxmlformats.org/officeDocument/2006/relationships/hyperlink" Target="https://www.sec.gov/ix?doc=/Archives/edgar/data/1341439/000156459022023675/orcl-10k_20220531.htm" TargetMode="External"/><Relationship Id="rId68" Type="http://schemas.openxmlformats.org/officeDocument/2006/relationships/hyperlink" Target="https://www.sec.gov/ix?doc=/Archives/edgar/data/1341439/000156459022023675/orcl-10k_20220531.htm" TargetMode="External"/><Relationship Id="rId89" Type="http://schemas.openxmlformats.org/officeDocument/2006/relationships/hyperlink" Target="https://www.sec.gov/ix?doc=/Archives/edgar/data/1341439/000156459022023675/orcl-10k_20220531.htm" TargetMode="External"/><Relationship Id="rId112" Type="http://schemas.openxmlformats.org/officeDocument/2006/relationships/hyperlink" Target="https://www.sec.gov/ix?doc=/Archives/edgar/data/1341439/000156459022023675/orcl-10k_20220531.htm" TargetMode="External"/><Relationship Id="rId133" Type="http://schemas.openxmlformats.org/officeDocument/2006/relationships/hyperlink" Target="https://www.sec.gov/ix?doc=/Archives/edgar/data/1341439/000156459022023675/orcl-10k_20220531.htm" TargetMode="External"/><Relationship Id="rId154" Type="http://schemas.openxmlformats.org/officeDocument/2006/relationships/hyperlink" Target="https://www.sec.gov/ix?doc=/Archives/edgar/data/1341439/000156459022023675/orcl-10k_20220531.htm" TargetMode="External"/><Relationship Id="rId175" Type="http://schemas.openxmlformats.org/officeDocument/2006/relationships/hyperlink" Target="https://www.sec.gov/ix?doc=/Archives/edgar/data/1341439/000156459022023675/orcl-10k_20220531.htm" TargetMode="External"/><Relationship Id="rId196" Type="http://schemas.openxmlformats.org/officeDocument/2006/relationships/hyperlink" Target="https://www.sec.gov/ix?doc=/Archives/edgar/data/1341439/000156459022023675/orcl-10k_20220531.htm" TargetMode="External"/><Relationship Id="rId200" Type="http://schemas.openxmlformats.org/officeDocument/2006/relationships/hyperlink" Target="https://www.sec.gov/ix?doc=/Archives/edgar/data/1341439/000156459022023675/orcl-10k_20220531.htm" TargetMode="External"/><Relationship Id="rId16" Type="http://schemas.openxmlformats.org/officeDocument/2006/relationships/hyperlink" Target="https://www.sec.gov/ix?doc=/Archives/edgar/data/1341439/000156459022023675/orcl-10k_20220531.htm" TargetMode="External"/><Relationship Id="rId221" Type="http://schemas.openxmlformats.org/officeDocument/2006/relationships/hyperlink" Target="https://www.sec.gov/ix?doc=/Archives/edgar/data/1341439/000156459022023675/orcl-10k_20220531.htm" TargetMode="External"/><Relationship Id="rId242" Type="http://schemas.openxmlformats.org/officeDocument/2006/relationships/hyperlink" Target="https://www.sec.gov/ix?doc=/Archives/edgar/data/1341439/000156459022023675/orcl-10k_20220531.htm" TargetMode="External"/><Relationship Id="rId263" Type="http://schemas.openxmlformats.org/officeDocument/2006/relationships/hyperlink" Target="http://www.sec.gov/Archives/edgar/data/1341439/000119312509145686/dex408.htm" TargetMode="External"/><Relationship Id="rId284" Type="http://schemas.openxmlformats.org/officeDocument/2006/relationships/hyperlink" Target="http://www.sec.gov/Archives/edgar/data/0001341439/000119312517287455/d407367dex1005.htm" TargetMode="External"/><Relationship Id="rId37" Type="http://schemas.openxmlformats.org/officeDocument/2006/relationships/hyperlink" Target="https://www.sec.gov/ix?doc=/Archives/edgar/data/1341439/000156459022023675/orcl-10k_20220531.htm" TargetMode="External"/><Relationship Id="rId58" Type="http://schemas.openxmlformats.org/officeDocument/2006/relationships/hyperlink" Target="https://www.sec.gov/ix?doc=/Archives/edgar/data/1341439/000156459022023675/orcl-10k_20220531.htm" TargetMode="External"/><Relationship Id="rId79" Type="http://schemas.openxmlformats.org/officeDocument/2006/relationships/hyperlink" Target="https://www.sec.gov/ix?doc=/Archives/edgar/data/1341439/000156459022023675/orcl-10k_20220531.htm" TargetMode="External"/><Relationship Id="rId102" Type="http://schemas.openxmlformats.org/officeDocument/2006/relationships/hyperlink" Target="https://www.sec.gov/ix?doc=/Archives/edgar/data/1341439/000156459022023675/orcl-10k_20220531.htm" TargetMode="External"/><Relationship Id="rId123" Type="http://schemas.openxmlformats.org/officeDocument/2006/relationships/hyperlink" Target="https://www.sec.gov/ix?doc=/Archives/edgar/data/1341439/000156459022023675/orcl-10k_20220531.htm" TargetMode="External"/><Relationship Id="rId144" Type="http://schemas.openxmlformats.org/officeDocument/2006/relationships/hyperlink" Target="https://www.sec.gov/ix?doc=/Archives/edgar/data/1341439/000156459022023675/orcl-10k_20220531.htm" TargetMode="External"/><Relationship Id="rId90" Type="http://schemas.openxmlformats.org/officeDocument/2006/relationships/hyperlink" Target="https://www.sec.gov/ix?doc=/Archives/edgar/data/1341439/000156459022023675/orcl-10k_20220531.htm" TargetMode="External"/><Relationship Id="rId165" Type="http://schemas.openxmlformats.org/officeDocument/2006/relationships/hyperlink" Target="https://www.sec.gov/ix?doc=/Archives/edgar/data/1341439/000156459022023675/orcl-10k_20220531.htm" TargetMode="External"/><Relationship Id="rId186" Type="http://schemas.openxmlformats.org/officeDocument/2006/relationships/hyperlink" Target="https://www.sec.gov/ix?doc=/Archives/edgar/data/1341439/000156459022023675/orcl-10k_20220531.htm" TargetMode="External"/><Relationship Id="rId211" Type="http://schemas.openxmlformats.org/officeDocument/2006/relationships/hyperlink" Target="https://www.sec.gov/ix?doc=/Archives/edgar/data/1341439/000156459022023675/orcl-10k_20220531.htm" TargetMode="External"/><Relationship Id="rId232" Type="http://schemas.openxmlformats.org/officeDocument/2006/relationships/hyperlink" Target="https://www.sec.gov/ix?doc=/Archives/edgar/data/1341439/000156459022023675/orcl-10k_20220531.htm" TargetMode="External"/><Relationship Id="rId253" Type="http://schemas.openxmlformats.org/officeDocument/2006/relationships/hyperlink" Target="https://www.sec.gov/ix?doc=/Archives/edgar/data/1341439/000156459022023675/orcl-10k_20220531.htm" TargetMode="External"/><Relationship Id="rId274" Type="http://schemas.openxmlformats.org/officeDocument/2006/relationships/hyperlink" Target="http://www.sec.gov/Archives/edgar/data/0001341439/000119312517338832/d491112dex41.htm" TargetMode="External"/><Relationship Id="rId295" Type="http://schemas.openxmlformats.org/officeDocument/2006/relationships/hyperlink" Target="http://www.sec.gov/Archives/edgar/data/1341439/000119312521328116/d177330dex1016.htm" TargetMode="External"/><Relationship Id="rId309" Type="http://schemas.openxmlformats.org/officeDocument/2006/relationships/fontTable" Target="fontTable.xml"/><Relationship Id="rId27" Type="http://schemas.openxmlformats.org/officeDocument/2006/relationships/hyperlink" Target="https://www.sec.gov/ix?doc=/Archives/edgar/data/1341439/000156459022023675/orcl-10k_20220531.htm" TargetMode="External"/><Relationship Id="rId48" Type="http://schemas.openxmlformats.org/officeDocument/2006/relationships/hyperlink" Target="https://www.sec.gov/ix?doc=/Archives/edgar/data/1341439/000156459022023675/orcl-10k_20220531.htm" TargetMode="External"/><Relationship Id="rId69" Type="http://schemas.openxmlformats.org/officeDocument/2006/relationships/hyperlink" Target="https://www.sec.gov/ix?doc=/Archives/edgar/data/1341439/000156459022023675/orcl-10k_20220531.htm" TargetMode="External"/><Relationship Id="rId113" Type="http://schemas.openxmlformats.org/officeDocument/2006/relationships/hyperlink" Target="https://www.sec.gov/ix?doc=/Archives/edgar/data/1341439/000156459022023675/orcl-10k_20220531.htm" TargetMode="External"/><Relationship Id="rId134" Type="http://schemas.openxmlformats.org/officeDocument/2006/relationships/hyperlink" Target="https://www.sec.gov/ix?doc=/Archives/edgar/data/1341439/000156459022023675/orcl-10k_20220531.htm" TargetMode="External"/><Relationship Id="rId80" Type="http://schemas.openxmlformats.org/officeDocument/2006/relationships/hyperlink" Target="https://www.sec.gov/ix?doc=/Archives/edgar/data/1341439/000156459022023675/orcl-10k_20220531.htm" TargetMode="External"/><Relationship Id="rId155" Type="http://schemas.openxmlformats.org/officeDocument/2006/relationships/hyperlink" Target="https://www.sec.gov/ix?doc=/Archives/edgar/data/1341439/000156459022023675/orcl-10k_20220531.htm" TargetMode="External"/><Relationship Id="rId176" Type="http://schemas.openxmlformats.org/officeDocument/2006/relationships/hyperlink" Target="https://www.sec.gov/ix?doc=/Archives/edgar/data/1341439/000156459022023675/orcl-10k_20220531.htm" TargetMode="External"/><Relationship Id="rId197" Type="http://schemas.openxmlformats.org/officeDocument/2006/relationships/hyperlink" Target="https://www.sec.gov/ix?doc=/Archives/edgar/data/1341439/000156459022023675/orcl-10k_20220531.htm" TargetMode="External"/><Relationship Id="rId201" Type="http://schemas.openxmlformats.org/officeDocument/2006/relationships/hyperlink" Target="https://www.sec.gov/ix?doc=/Archives/edgar/data/1341439/000156459022023675/orcl-10k_20220531.htm" TargetMode="External"/><Relationship Id="rId222" Type="http://schemas.openxmlformats.org/officeDocument/2006/relationships/hyperlink" Target="https://www.sec.gov/ix?doc=/Archives/edgar/data/1341439/000156459022023675/orcl-10k_20220531.htm" TargetMode="External"/><Relationship Id="rId243" Type="http://schemas.openxmlformats.org/officeDocument/2006/relationships/hyperlink" Target="https://www.sec.gov/ix?doc=/Archives/edgar/data/1341439/000156459022023675/orcl-10k_20220531.htm" TargetMode="External"/><Relationship Id="rId264" Type="http://schemas.openxmlformats.org/officeDocument/2006/relationships/hyperlink" Target="http://www.sec.gov/Archives/edgar/data/1341439/000119312510213084/dex408.htm" TargetMode="External"/><Relationship Id="rId285" Type="http://schemas.openxmlformats.org/officeDocument/2006/relationships/hyperlink" Target="http://www.sec.gov/Archives/edgar/data/0001341439/000119312515235239/d920711dex1006.htm" TargetMode="External"/><Relationship Id="rId17" Type="http://schemas.openxmlformats.org/officeDocument/2006/relationships/hyperlink" Target="https://www.sec.gov/ix?doc=/Archives/edgar/data/1341439/000156459022023675/orcl-10k_20220531.htm" TargetMode="External"/><Relationship Id="rId38" Type="http://schemas.openxmlformats.org/officeDocument/2006/relationships/hyperlink" Target="https://www.sec.gov/ix?doc=/Archives/edgar/data/1341439/000156459022023675/orcl-10k_20220531.htm" TargetMode="External"/><Relationship Id="rId59" Type="http://schemas.openxmlformats.org/officeDocument/2006/relationships/hyperlink" Target="https://www.sec.gov/ix?doc=/Archives/edgar/data/1341439/000156459022023675/orcl-10k_20220531.htm" TargetMode="External"/><Relationship Id="rId103" Type="http://schemas.openxmlformats.org/officeDocument/2006/relationships/hyperlink" Target="https://www.sec.gov/ix?doc=/Archives/edgar/data/1341439/000156459022023675/orcl-10k_20220531.htm" TargetMode="External"/><Relationship Id="rId124" Type="http://schemas.openxmlformats.org/officeDocument/2006/relationships/hyperlink" Target="https://www.sec.gov/ix?doc=/Archives/edgar/data/1341439/000156459022023675/orcl-10k_20220531.htm" TargetMode="External"/><Relationship Id="rId310" Type="http://schemas.openxmlformats.org/officeDocument/2006/relationships/theme" Target="theme/theme1.xml"/><Relationship Id="rId70" Type="http://schemas.openxmlformats.org/officeDocument/2006/relationships/hyperlink" Target="https://www.sec.gov/ix?doc=/Archives/edgar/data/1341439/000156459022023675/orcl-10k_20220531.htm" TargetMode="External"/><Relationship Id="rId91" Type="http://schemas.openxmlformats.org/officeDocument/2006/relationships/hyperlink" Target="https://www.sec.gov/ix?doc=/Archives/edgar/data/1341439/000156459022023675/orcl-10k_20220531.htm" TargetMode="External"/><Relationship Id="rId145" Type="http://schemas.openxmlformats.org/officeDocument/2006/relationships/hyperlink" Target="https://www.sec.gov/ix?doc=/Archives/edgar/data/1341439/000156459022023675/orcl-10k_20220531.htm" TargetMode="External"/><Relationship Id="rId166" Type="http://schemas.openxmlformats.org/officeDocument/2006/relationships/hyperlink" Target="https://www.sec.gov/ix?doc=/Archives/edgar/data/1341439/000156459022023675/orcl-10k_20220531.htm" TargetMode="External"/><Relationship Id="rId187" Type="http://schemas.openxmlformats.org/officeDocument/2006/relationships/hyperlink" Target="https://www.sec.gov/ix?doc=/Archives/edgar/data/1341439/000156459022023675/orcl-10k_20220531.htm" TargetMode="External"/><Relationship Id="rId1" Type="http://schemas.openxmlformats.org/officeDocument/2006/relationships/styles" Target="styles.xml"/><Relationship Id="rId212" Type="http://schemas.openxmlformats.org/officeDocument/2006/relationships/hyperlink" Target="https://www.sec.gov/ix?doc=/Archives/edgar/data/1341439/000156459022023675/orcl-10k_20220531.htm" TargetMode="External"/><Relationship Id="rId233" Type="http://schemas.openxmlformats.org/officeDocument/2006/relationships/hyperlink" Target="https://www.sec.gov/ix?doc=/Archives/edgar/data/1341439/000156459022023675/orcl-10k_20220531.htm" TargetMode="External"/><Relationship Id="rId254" Type="http://schemas.openxmlformats.org/officeDocument/2006/relationships/hyperlink" Target="https://www.sec.gov/ix?doc=/Archives/edgar/data/1341439/000156459022023675/orcl-10k_20220531.htm" TargetMode="External"/><Relationship Id="rId28" Type="http://schemas.openxmlformats.org/officeDocument/2006/relationships/hyperlink" Target="https://www.sec.gov/ix?doc=/Archives/edgar/data/1341439/000156459022023675/orcl-10k_20220531.htm" TargetMode="External"/><Relationship Id="rId49" Type="http://schemas.openxmlformats.org/officeDocument/2006/relationships/hyperlink" Target="https://www.sec.gov/ix?doc=/Archives/edgar/data/1341439/000156459022023675/orcl-10k_20220531.htm" TargetMode="External"/><Relationship Id="rId114" Type="http://schemas.openxmlformats.org/officeDocument/2006/relationships/hyperlink" Target="https://www.sec.gov/ix?doc=/Archives/edgar/data/1341439/000156459022023675/orcl-10k_20220531.htm" TargetMode="External"/><Relationship Id="rId275" Type="http://schemas.openxmlformats.org/officeDocument/2006/relationships/hyperlink" Target="https://www.sec.gov/ix?doc=/Archives/edgar/data/1341439/000156459022023675/orcl-10k_20220531.htm" TargetMode="External"/><Relationship Id="rId296" Type="http://schemas.openxmlformats.org/officeDocument/2006/relationships/hyperlink" Target="http://www.sec.gov/Archives/edgar/data/1341439/000156459020056896/orcl-ex1016_102.htm" TargetMode="External"/><Relationship Id="rId300" Type="http://schemas.openxmlformats.org/officeDocument/2006/relationships/hyperlink" Target="http://www.sec.gov/Archives/edgar/data/1341439/000156459022009859/orcl-ex1017_323.htm" TargetMode="External"/><Relationship Id="rId60" Type="http://schemas.openxmlformats.org/officeDocument/2006/relationships/hyperlink" Target="https://www.sec.gov/ix?doc=/Archives/edgar/data/1341439/000156459022023675/orcl-10k_20220531.htm" TargetMode="External"/><Relationship Id="rId81" Type="http://schemas.openxmlformats.org/officeDocument/2006/relationships/hyperlink" Target="https://www.sec.gov/ix?doc=/Archives/edgar/data/1341439/000156459022023675/orcl-10k_20220531.htm" TargetMode="External"/><Relationship Id="rId135" Type="http://schemas.openxmlformats.org/officeDocument/2006/relationships/hyperlink" Target="https://www.sec.gov/ix?doc=/Archives/edgar/data/1341439/000156459022023675/orcl-10k_20220531.htm" TargetMode="External"/><Relationship Id="rId156" Type="http://schemas.openxmlformats.org/officeDocument/2006/relationships/hyperlink" Target="https://www.sec.gov/ix?doc=/Archives/edgar/data/1341439/000156459022023675/orcl-10k_20220531.htm" TargetMode="External"/><Relationship Id="rId177" Type="http://schemas.openxmlformats.org/officeDocument/2006/relationships/hyperlink" Target="https://www.sec.gov/ix?doc=/Archives/edgar/data/1341439/000156459022023675/orcl-10k_20220531.htm" TargetMode="External"/><Relationship Id="rId198" Type="http://schemas.openxmlformats.org/officeDocument/2006/relationships/hyperlink" Target="https://www.sec.gov/ix?doc=/Archives/edgar/data/1341439/000156459022023675/orcl-10k_20220531.htm" TargetMode="External"/><Relationship Id="rId202" Type="http://schemas.openxmlformats.org/officeDocument/2006/relationships/hyperlink" Target="https://www.sec.gov/ix?doc=/Archives/edgar/data/1341439/000156459022023675/orcl-10k_20220531.htm" TargetMode="External"/><Relationship Id="rId223" Type="http://schemas.openxmlformats.org/officeDocument/2006/relationships/hyperlink" Target="https://www.sec.gov/ix?doc=/Archives/edgar/data/1341439/000156459022023675/orcl-10k_20220531.htm" TargetMode="External"/><Relationship Id="rId244" Type="http://schemas.openxmlformats.org/officeDocument/2006/relationships/hyperlink" Target="https://www.sec.gov/ix?doc=/Archives/edgar/data/1341439/000156459022023675/orcl-10k_20220531.htm" TargetMode="External"/><Relationship Id="rId18" Type="http://schemas.openxmlformats.org/officeDocument/2006/relationships/hyperlink" Target="https://www.sec.gov/ix?doc=/Archives/edgar/data/1341439/000156459022023675/orcl-10k_20220531.htm" TargetMode="External"/><Relationship Id="rId39" Type="http://schemas.openxmlformats.org/officeDocument/2006/relationships/hyperlink" Target="https://www.sec.gov/ix?doc=/Archives/edgar/data/1341439/000156459022023675/orcl-10k_20220531.htm" TargetMode="External"/><Relationship Id="rId265" Type="http://schemas.openxmlformats.org/officeDocument/2006/relationships/hyperlink" Target="https://www.sec.gov/ix?doc=/Archives/edgar/data/1341439/000156459022023675/orcl-10k_20220531.htm" TargetMode="External"/><Relationship Id="rId286" Type="http://schemas.openxmlformats.org/officeDocument/2006/relationships/hyperlink" Target="https://www.sec.gov/ix?doc=/Archives/edgar/data/1341439/000156459022023675/orcl-10k_20220531.htm" TargetMode="External"/><Relationship Id="rId50" Type="http://schemas.openxmlformats.org/officeDocument/2006/relationships/hyperlink" Target="https://www.sec.gov/ix?doc=/Archives/edgar/data/1341439/000156459022023675/orcl-10k_20220531.htm" TargetMode="External"/><Relationship Id="rId104" Type="http://schemas.openxmlformats.org/officeDocument/2006/relationships/hyperlink" Target="https://www.sec.gov/ix?doc=/Archives/edgar/data/1341439/000156459022023675/orcl-10k_20220531.htm" TargetMode="External"/><Relationship Id="rId125" Type="http://schemas.openxmlformats.org/officeDocument/2006/relationships/hyperlink" Target="https://www.sec.gov/ix?doc=/Archives/edgar/data/1341439/000156459022023675/orcl-10k_20220531.htm" TargetMode="External"/><Relationship Id="rId146" Type="http://schemas.openxmlformats.org/officeDocument/2006/relationships/hyperlink" Target="https://www.sec.gov/ix?doc=/Archives/edgar/data/1341439/000156459022023675/orcl-10k_20220531.htm" TargetMode="External"/><Relationship Id="rId167" Type="http://schemas.openxmlformats.org/officeDocument/2006/relationships/hyperlink" Target="https://www.sec.gov/ix?doc=/Archives/edgar/data/1341439/000156459022023675/orcl-10k_20220531.htm" TargetMode="External"/><Relationship Id="rId188" Type="http://schemas.openxmlformats.org/officeDocument/2006/relationships/hyperlink" Target="https://www.sec.gov/ix?doc=/Archives/edgar/data/1341439/000156459022023675/orcl-10k_20220531.htm" TargetMode="External"/><Relationship Id="rId71" Type="http://schemas.openxmlformats.org/officeDocument/2006/relationships/hyperlink" Target="https://www.sec.gov/ix?doc=/Archives/edgar/data/1341439/000156459022023675/orcl-10k_20220531.htm" TargetMode="External"/><Relationship Id="rId92" Type="http://schemas.openxmlformats.org/officeDocument/2006/relationships/hyperlink" Target="https://www.sec.gov/ix?doc=/Archives/edgar/data/1341439/000156459022023675/orcl-10k_20220531.htm" TargetMode="External"/><Relationship Id="rId213" Type="http://schemas.openxmlformats.org/officeDocument/2006/relationships/hyperlink" Target="https://www.sec.gov/ix?doc=/Archives/edgar/data/1341439/000156459022023675/orcl-10k_20220531.htm" TargetMode="External"/><Relationship Id="rId234" Type="http://schemas.openxmlformats.org/officeDocument/2006/relationships/hyperlink" Target="https://www.sec.gov/ix?doc=/Archives/edgar/data/1341439/000156459022023675/orcl-10k_20220531.htm" TargetMode="External"/><Relationship Id="rId2" Type="http://schemas.openxmlformats.org/officeDocument/2006/relationships/settings" Target="settings.xml"/><Relationship Id="rId29" Type="http://schemas.openxmlformats.org/officeDocument/2006/relationships/hyperlink" Target="https://www.sec.gov/ix?doc=/Archives/edgar/data/1341439/000156459022023675/orcl-10k_20220531.htm" TargetMode="External"/><Relationship Id="rId255" Type="http://schemas.openxmlformats.org/officeDocument/2006/relationships/hyperlink" Target="https://www.sec.gov/ix?doc=/Archives/edgar/data/1341439/000156459022023675/orcl-10k_20220531.htm" TargetMode="External"/><Relationship Id="rId276" Type="http://schemas.openxmlformats.org/officeDocument/2006/relationships/hyperlink" Target="https://www.sec.gov/ix?doc=/Archives/edgar/data/1341439/000156459022023675/orcl-10k_20220531.htm" TargetMode="External"/><Relationship Id="rId297" Type="http://schemas.openxmlformats.org/officeDocument/2006/relationships/hyperlink" Target="https://www.sec.gov/ix?doc=/Archives/edgar/data/1341439/000156459022023675/orcl-10k_20220531.htm" TargetMode="External"/><Relationship Id="rId40" Type="http://schemas.openxmlformats.org/officeDocument/2006/relationships/hyperlink" Target="https://www.sec.gov/ix?doc=/Archives/edgar/data/1341439/000156459022023675/orcl-10k_20220531.htm" TargetMode="External"/><Relationship Id="rId115" Type="http://schemas.openxmlformats.org/officeDocument/2006/relationships/hyperlink" Target="https://www.sec.gov/ix?doc=/Archives/edgar/data/1341439/000156459022023675/orcl-10k_20220531.htm" TargetMode="External"/><Relationship Id="rId136" Type="http://schemas.openxmlformats.org/officeDocument/2006/relationships/hyperlink" Target="https://www.sec.gov/ix?doc=/Archives/edgar/data/1341439/000156459022023675/orcl-10k_20220531.htm" TargetMode="External"/><Relationship Id="rId157" Type="http://schemas.openxmlformats.org/officeDocument/2006/relationships/hyperlink" Target="https://www.sec.gov/ix?doc=/Archives/edgar/data/1341439/000156459022023675/orcl-10k_20220531.htm" TargetMode="External"/><Relationship Id="rId178" Type="http://schemas.openxmlformats.org/officeDocument/2006/relationships/hyperlink" Target="https://www.sec.gov/ix?doc=/Archives/edgar/data/1341439/000156459022023675/orcl-10k_20220531.htm" TargetMode="External"/><Relationship Id="rId301" Type="http://schemas.openxmlformats.org/officeDocument/2006/relationships/hyperlink" Target="https://www.sec.gov/Archives/edgar/data/1341439/000156459022023675/orcl-ex2101_8.htm" TargetMode="External"/><Relationship Id="rId61" Type="http://schemas.openxmlformats.org/officeDocument/2006/relationships/hyperlink" Target="https://www.sec.gov/ix?doc=/Archives/edgar/data/1341439/000156459022023675/orcl-10k_20220531.htm" TargetMode="External"/><Relationship Id="rId82" Type="http://schemas.openxmlformats.org/officeDocument/2006/relationships/hyperlink" Target="https://www.sec.gov/ix?doc=/Archives/edgar/data/1341439/000156459022023675/orcl-10k_20220531.htm" TargetMode="External"/><Relationship Id="rId199" Type="http://schemas.openxmlformats.org/officeDocument/2006/relationships/hyperlink" Target="https://www.sec.gov/ix?doc=/Archives/edgar/data/1341439/000156459022023675/orcl-10k_20220531.htm" TargetMode="External"/><Relationship Id="rId203" Type="http://schemas.openxmlformats.org/officeDocument/2006/relationships/hyperlink" Target="https://www.sec.gov/ix?doc=/Archives/edgar/data/1341439/000156459022023675/orcl-10k_20220531.htm" TargetMode="External"/><Relationship Id="rId19" Type="http://schemas.openxmlformats.org/officeDocument/2006/relationships/hyperlink" Target="https://www.sec.gov/ix?doc=/Archives/edgar/data/1341439/000156459022023675/orcl-10k_20220531.htm" TargetMode="External"/><Relationship Id="rId224" Type="http://schemas.openxmlformats.org/officeDocument/2006/relationships/hyperlink" Target="https://www.sec.gov/ix?doc=/Archives/edgar/data/1341439/000156459022023675/orcl-10k_20220531.htm" TargetMode="External"/><Relationship Id="rId245" Type="http://schemas.openxmlformats.org/officeDocument/2006/relationships/hyperlink" Target="https://www.sec.gov/ix?doc=/Archives/edgar/data/1341439/000156459022023675/orcl-10k_20220531.htm" TargetMode="External"/><Relationship Id="rId266" Type="http://schemas.openxmlformats.org/officeDocument/2006/relationships/hyperlink" Target="https://www.sec.gov/ix?doc=/Archives/edgar/data/1341439/000156459022023675/orcl-10k_20220531.htm" TargetMode="External"/><Relationship Id="rId287" Type="http://schemas.openxmlformats.org/officeDocument/2006/relationships/hyperlink" Target="https://www.sec.gov/ix?doc=/Archives/edgar/data/1341439/000156459022023675/orcl-10k_20220531.htm" TargetMode="External"/><Relationship Id="rId30" Type="http://schemas.openxmlformats.org/officeDocument/2006/relationships/hyperlink" Target="https://www.sec.gov/ix?doc=/Archives/edgar/data/1341439/000156459022023675/orcl-10k_20220531.htm" TargetMode="External"/><Relationship Id="rId105" Type="http://schemas.openxmlformats.org/officeDocument/2006/relationships/hyperlink" Target="https://www.sec.gov/ix?doc=/Archives/edgar/data/1341439/000156459022023675/orcl-10k_20220531.htm" TargetMode="External"/><Relationship Id="rId126" Type="http://schemas.openxmlformats.org/officeDocument/2006/relationships/hyperlink" Target="https://www.sec.gov/ix?doc=/Archives/edgar/data/1341439/000156459022023675/orcl-10k_20220531.htm" TargetMode="External"/><Relationship Id="rId147" Type="http://schemas.openxmlformats.org/officeDocument/2006/relationships/hyperlink" Target="https://www.sec.gov/ix?doc=/Archives/edgar/data/1341439/000156459022023675/orcl-10k_20220531.htm" TargetMode="External"/><Relationship Id="rId168" Type="http://schemas.openxmlformats.org/officeDocument/2006/relationships/hyperlink" Target="https://www.sec.gov/ix?doc=/Archives/edgar/data/1341439/000156459022023675/orcl-10k_20220531.htm" TargetMode="External"/><Relationship Id="rId51" Type="http://schemas.openxmlformats.org/officeDocument/2006/relationships/hyperlink" Target="https://www.sec.gov/ix?doc=/Archives/edgar/data/1341439/000156459022023675/orcl-10k_20220531.htm" TargetMode="External"/><Relationship Id="rId72" Type="http://schemas.openxmlformats.org/officeDocument/2006/relationships/hyperlink" Target="https://www.sec.gov/ix?doc=/Archives/edgar/data/1341439/000156459022023675/orcl-10k_20220531.htm" TargetMode="External"/><Relationship Id="rId93" Type="http://schemas.openxmlformats.org/officeDocument/2006/relationships/hyperlink" Target="https://www.sec.gov/ix?doc=/Archives/edgar/data/1341439/000156459022023675/orcl-10k_20220531.htm" TargetMode="External"/><Relationship Id="rId189" Type="http://schemas.openxmlformats.org/officeDocument/2006/relationships/hyperlink" Target="https://www.sec.gov/ix?doc=/Archives/edgar/data/1341439/000156459022023675/orcl-10k_20220531.htm" TargetMode="External"/><Relationship Id="rId3" Type="http://schemas.openxmlformats.org/officeDocument/2006/relationships/webSettings" Target="webSettings.xml"/><Relationship Id="rId214" Type="http://schemas.openxmlformats.org/officeDocument/2006/relationships/hyperlink" Target="https://www.sec.gov/ix?doc=/Archives/edgar/data/1341439/000156459022023675/orcl-10k_20220531.htm" TargetMode="External"/><Relationship Id="rId235" Type="http://schemas.openxmlformats.org/officeDocument/2006/relationships/hyperlink" Target="https://www.sec.gov/ix?doc=/Archives/edgar/data/1341439/000156459022023675/orcl-10k_20220531.htm" TargetMode="External"/><Relationship Id="rId256" Type="http://schemas.openxmlformats.org/officeDocument/2006/relationships/hyperlink" Target="http://www.sec.gov/Archives/edgar/data/0001341439/000119312521363742/d235675dex21.htm" TargetMode="External"/><Relationship Id="rId277" Type="http://schemas.openxmlformats.org/officeDocument/2006/relationships/hyperlink" Target="http://www.sec.gov/Archives/edgar/data/1341439/000119312520094641/d905931dex41.htm" TargetMode="External"/><Relationship Id="rId298" Type="http://schemas.openxmlformats.org/officeDocument/2006/relationships/hyperlink" Target="https://www.sec.gov/ix?doc=/Archives/edgar/data/1341439/000156459022023675/orcl-10k_20220531.htm" TargetMode="External"/><Relationship Id="rId116" Type="http://schemas.openxmlformats.org/officeDocument/2006/relationships/hyperlink" Target="https://www.sec.gov/ix?doc=/Archives/edgar/data/1341439/000156459022023675/orcl-10k_20220531.htm" TargetMode="External"/><Relationship Id="rId137" Type="http://schemas.openxmlformats.org/officeDocument/2006/relationships/hyperlink" Target="https://www.sec.gov/ix?doc=/Archives/edgar/data/1341439/000156459022023675/orcl-10k_20220531.htm" TargetMode="External"/><Relationship Id="rId158" Type="http://schemas.openxmlformats.org/officeDocument/2006/relationships/hyperlink" Target="https://www.sec.gov/ix?doc=/Archives/edgar/data/1341439/000156459022023675/orcl-10k_20220531.htm" TargetMode="External"/><Relationship Id="rId302" Type="http://schemas.openxmlformats.org/officeDocument/2006/relationships/hyperlink" Target="https://www.sec.gov/Archives/edgar/data/1341439/000156459022023675/orcl-ex2301_7.htm" TargetMode="External"/><Relationship Id="rId20" Type="http://schemas.openxmlformats.org/officeDocument/2006/relationships/hyperlink" Target="https://www.sec.gov/ix?doc=/Archives/edgar/data/1341439/000156459022023675/orcl-10k_20220531.htm" TargetMode="External"/><Relationship Id="rId41" Type="http://schemas.openxmlformats.org/officeDocument/2006/relationships/hyperlink" Target="https://www.sec.gov/ix?doc=/Archives/edgar/data/1341439/000156459022023675/orcl-10k_20220531.htm" TargetMode="External"/><Relationship Id="rId62" Type="http://schemas.openxmlformats.org/officeDocument/2006/relationships/hyperlink" Target="https://www.sec.gov/ix?doc=/Archives/edgar/data/1341439/000156459022023675/orcl-10k_20220531.htm" TargetMode="External"/><Relationship Id="rId83" Type="http://schemas.openxmlformats.org/officeDocument/2006/relationships/hyperlink" Target="https://www.sec.gov/ix?doc=/Archives/edgar/data/1341439/000156459022023675/orcl-10k_20220531.htm" TargetMode="External"/><Relationship Id="rId179" Type="http://schemas.openxmlformats.org/officeDocument/2006/relationships/hyperlink" Target="https://www.sec.gov/ix?doc=/Archives/edgar/data/1341439/000156459022023675/orcl-10k_20220531.htm" TargetMode="External"/><Relationship Id="rId190" Type="http://schemas.openxmlformats.org/officeDocument/2006/relationships/hyperlink" Target="https://www.sec.gov/ix?doc=/Archives/edgar/data/1341439/000156459022023675/orcl-10k_20220531.htm" TargetMode="External"/><Relationship Id="rId204" Type="http://schemas.openxmlformats.org/officeDocument/2006/relationships/hyperlink" Target="https://www.sec.gov/ix?doc=/Archives/edgar/data/1341439/000156459022023675/orcl-10k_20220531.htm" TargetMode="External"/><Relationship Id="rId225" Type="http://schemas.openxmlformats.org/officeDocument/2006/relationships/hyperlink" Target="https://www.sec.gov/ix?doc=/Archives/edgar/data/1341439/000156459022023675/orcl-10k_20220531.htm" TargetMode="External"/><Relationship Id="rId246" Type="http://schemas.openxmlformats.org/officeDocument/2006/relationships/hyperlink" Target="https://www.sec.gov/ix?doc=/Archives/edgar/data/1341439/000156459022023675/orcl-10k_20220531.htm" TargetMode="External"/><Relationship Id="rId267" Type="http://schemas.openxmlformats.org/officeDocument/2006/relationships/hyperlink" Target="http://www.sec.gov/Archives/edgar/data/1341439/000119312511227635/dex45.htm" TargetMode="External"/><Relationship Id="rId288" Type="http://schemas.openxmlformats.org/officeDocument/2006/relationships/hyperlink" Target="http://www.sec.gov/Archives/edgar/data/0001341439/000119312511351954/d263957dex107.htm" TargetMode="External"/><Relationship Id="rId106" Type="http://schemas.openxmlformats.org/officeDocument/2006/relationships/hyperlink" Target="https://www.sec.gov/ix?doc=/Archives/edgar/data/1341439/000156459022023675/orcl-10k_20220531.htm" TargetMode="External"/><Relationship Id="rId127" Type="http://schemas.openxmlformats.org/officeDocument/2006/relationships/hyperlink" Target="https://www.sec.gov/ix?doc=/Archives/edgar/data/1341439/000156459022023675/orcl-10k_20220531.htm" TargetMode="External"/><Relationship Id="rId10" Type="http://schemas.openxmlformats.org/officeDocument/2006/relationships/hyperlink" Target="https://www.sec.gov/ix?doc=/Archives/edgar/data/1341439/000156459022023675/orcl-10k_20220531.htm" TargetMode="External"/><Relationship Id="rId31" Type="http://schemas.openxmlformats.org/officeDocument/2006/relationships/hyperlink" Target="https://www.sec.gov/ix?doc=/Archives/edgar/data/1341439/000156459022023675/orcl-10k_20220531.htm" TargetMode="External"/><Relationship Id="rId52" Type="http://schemas.openxmlformats.org/officeDocument/2006/relationships/hyperlink" Target="https://www.sec.gov/ix?doc=/Archives/edgar/data/1341439/000156459022023675/orcl-10k_20220531.htm" TargetMode="External"/><Relationship Id="rId73" Type="http://schemas.openxmlformats.org/officeDocument/2006/relationships/hyperlink" Target="https://www.sec.gov/ix?doc=/Archives/edgar/data/1341439/000156459022023675/orcl-10k_20220531.htm" TargetMode="External"/><Relationship Id="rId94" Type="http://schemas.openxmlformats.org/officeDocument/2006/relationships/hyperlink" Target="https://www.sec.gov/ix?doc=/Archives/edgar/data/1341439/000156459022023675/orcl-10k_20220531.htm" TargetMode="External"/><Relationship Id="rId148" Type="http://schemas.openxmlformats.org/officeDocument/2006/relationships/hyperlink" Target="https://www.sec.gov/ix?doc=/Archives/edgar/data/1341439/000156459022023675/orcl-10k_20220531.htm" TargetMode="External"/><Relationship Id="rId169" Type="http://schemas.openxmlformats.org/officeDocument/2006/relationships/hyperlink" Target="https://www.sec.gov/ix?doc=/Archives/edgar/data/1341439/000156459022023675/orcl-10k_20220531.htm" TargetMode="External"/><Relationship Id="rId4" Type="http://schemas.openxmlformats.org/officeDocument/2006/relationships/footnotes" Target="footnotes.xml"/><Relationship Id="rId180" Type="http://schemas.openxmlformats.org/officeDocument/2006/relationships/hyperlink" Target="https://www.sec.gov/ix?doc=/Archives/edgar/data/1341439/000156459022023675/orcl-10k_20220531.htm" TargetMode="External"/><Relationship Id="rId215" Type="http://schemas.openxmlformats.org/officeDocument/2006/relationships/hyperlink" Target="https://www.sec.gov/ix?doc=/Archives/edgar/data/1341439/000156459022023675/orcl-10k_20220531.htm" TargetMode="External"/><Relationship Id="rId236" Type="http://schemas.openxmlformats.org/officeDocument/2006/relationships/hyperlink" Target="https://www.sec.gov/ix?doc=/Archives/edgar/data/1341439/000156459022023675/orcl-10k_20220531.htm" TargetMode="External"/><Relationship Id="rId257" Type="http://schemas.openxmlformats.org/officeDocument/2006/relationships/hyperlink" Target="http://www.sec.gov/Archives/edgar/data/1341439/000119312506020874/dex31.htm" TargetMode="External"/><Relationship Id="rId278" Type="http://schemas.openxmlformats.org/officeDocument/2006/relationships/hyperlink" Target="http://www.sec.gov/Archives/edgar/data/1341439/000119312521092631/d165814dex41.htm" TargetMode="External"/><Relationship Id="rId303" Type="http://schemas.openxmlformats.org/officeDocument/2006/relationships/hyperlink" Target="https://www.sec.gov/Archives/edgar/data/1341439/000156459022023675/orcl-ex3101_6.htm" TargetMode="External"/><Relationship Id="rId42" Type="http://schemas.openxmlformats.org/officeDocument/2006/relationships/hyperlink" Target="https://www.sec.gov/ix?doc=/Archives/edgar/data/1341439/000156459022023675/orcl-10k_20220531.htm" TargetMode="External"/><Relationship Id="rId84" Type="http://schemas.openxmlformats.org/officeDocument/2006/relationships/hyperlink" Target="https://www.sec.gov/ix?doc=/Archives/edgar/data/1341439/000156459022023675/orcl-10k_20220531.htm" TargetMode="External"/><Relationship Id="rId138" Type="http://schemas.openxmlformats.org/officeDocument/2006/relationships/hyperlink" Target="https://www.sec.gov/ix?doc=/Archives/edgar/data/1341439/000156459022023675/orcl-10k_20220531.htm" TargetMode="External"/><Relationship Id="rId191" Type="http://schemas.openxmlformats.org/officeDocument/2006/relationships/hyperlink" Target="https://www.sec.gov/ix?doc=/Archives/edgar/data/1341439/000156459022023675/orcl-10k_20220531.htm" TargetMode="External"/><Relationship Id="rId205" Type="http://schemas.openxmlformats.org/officeDocument/2006/relationships/hyperlink" Target="https://www.sec.gov/ix?doc=/Archives/edgar/data/1341439/000156459022023675/orcl-10k_20220531.htm" TargetMode="External"/><Relationship Id="rId247" Type="http://schemas.openxmlformats.org/officeDocument/2006/relationships/hyperlink" Target="https://www.sec.gov/ix?doc=/Archives/edgar/data/1341439/000156459022023675/orcl-10k_20220531.htm" TargetMode="External"/><Relationship Id="rId107" Type="http://schemas.openxmlformats.org/officeDocument/2006/relationships/hyperlink" Target="https://www.sec.gov/ix?doc=/Archives/edgar/data/1341439/000156459022023675/orcl-10k_20220531.htm" TargetMode="External"/><Relationship Id="rId289" Type="http://schemas.openxmlformats.org/officeDocument/2006/relationships/hyperlink" Target="http://www.sec.gov/Archives/edgar/data/0001341439/000156459019008273/orcl-ex1009_117.htm" TargetMode="External"/><Relationship Id="rId11" Type="http://schemas.openxmlformats.org/officeDocument/2006/relationships/hyperlink" Target="https://www.sec.gov/ix?doc=/Archives/edgar/data/1341439/000156459022023675/orcl-10k_20220531.htm" TargetMode="External"/><Relationship Id="rId53" Type="http://schemas.openxmlformats.org/officeDocument/2006/relationships/hyperlink" Target="https://www.sec.gov/ix?doc=/Archives/edgar/data/1341439/000156459022023675/orcl-10k_20220531.htm" TargetMode="External"/><Relationship Id="rId149" Type="http://schemas.openxmlformats.org/officeDocument/2006/relationships/hyperlink" Target="https://www.sec.gov/ix?doc=/Archives/edgar/data/1341439/000156459022023675/orcl-10k_20220531.htm" TargetMode="External"/><Relationship Id="rId95" Type="http://schemas.openxmlformats.org/officeDocument/2006/relationships/hyperlink" Target="https://www.sec.gov/ix?doc=/Archives/edgar/data/1341439/000156459022023675/orcl-10k_20220531.htm" TargetMode="External"/><Relationship Id="rId160" Type="http://schemas.openxmlformats.org/officeDocument/2006/relationships/hyperlink" Target="https://www.sec.gov/ix?doc=/Archives/edgar/data/1341439/000156459022023675/orcl-10k_20220531.htm" TargetMode="External"/><Relationship Id="rId216" Type="http://schemas.openxmlformats.org/officeDocument/2006/relationships/hyperlink" Target="https://www.sec.gov/ix?doc=/Archives/edgar/data/1341439/000156459022023675/orcl-10k_20220531.htm" TargetMode="External"/><Relationship Id="rId258" Type="http://schemas.openxmlformats.org/officeDocument/2006/relationships/hyperlink" Target="http://www.sec.gov/Archives/edgar/data/1341439/000119312516623620/d200599dex302.htm" TargetMode="External"/><Relationship Id="rId22" Type="http://schemas.openxmlformats.org/officeDocument/2006/relationships/hyperlink" Target="https://www.sec.gov/ix?doc=/Archives/edgar/data/1341439/000156459022023675/orcl-10k_20220531.htm" TargetMode="External"/><Relationship Id="rId64" Type="http://schemas.openxmlformats.org/officeDocument/2006/relationships/hyperlink" Target="https://www.sec.gov/ix?doc=/Archives/edgar/data/1341439/000156459022023675/orcl-10k_20220531.htm" TargetMode="External"/><Relationship Id="rId118" Type="http://schemas.openxmlformats.org/officeDocument/2006/relationships/hyperlink" Target="https://www.sec.gov/ix?doc=/Archives/edgar/data/1341439/000156459022023675/orcl-10k_20220531.htm" TargetMode="External"/><Relationship Id="rId171" Type="http://schemas.openxmlformats.org/officeDocument/2006/relationships/hyperlink" Target="https://www.sec.gov/ix?doc=/Archives/edgar/data/1341439/000156459022023675/orcl-10k_20220531.htm" TargetMode="External"/><Relationship Id="rId227" Type="http://schemas.openxmlformats.org/officeDocument/2006/relationships/hyperlink" Target="https://www.sec.gov/ix?doc=/Archives/edgar/data/1341439/000156459022023675/orcl-10k_20220531.htm" TargetMode="External"/><Relationship Id="rId269" Type="http://schemas.openxmlformats.org/officeDocument/2006/relationships/hyperlink" Target="http://www.sec.gov/Archives/edgar/data/1341439/000119312513287255/d566107dex411.htm" TargetMode="External"/><Relationship Id="rId33" Type="http://schemas.openxmlformats.org/officeDocument/2006/relationships/hyperlink" Target="https://www.sec.gov/ix?doc=/Archives/edgar/data/1341439/000156459022023675/orcl-10k_20220531.htm" TargetMode="External"/><Relationship Id="rId129" Type="http://schemas.openxmlformats.org/officeDocument/2006/relationships/hyperlink" Target="https://www.sec.gov/ix?doc=/Archives/edgar/data/1341439/000156459022023675/orcl-10k_20220531.htm" TargetMode="External"/><Relationship Id="rId280" Type="http://schemas.openxmlformats.org/officeDocument/2006/relationships/hyperlink" Target="http://www.sec.gov/Archives/edgar/data/1341439/000119312515323532/d64286dex1001.htm" TargetMode="External"/><Relationship Id="rId75" Type="http://schemas.openxmlformats.org/officeDocument/2006/relationships/hyperlink" Target="https://www.sec.gov/ix?doc=/Archives/edgar/data/1341439/000156459022023675/orcl-10k_20220531.htm" TargetMode="External"/><Relationship Id="rId140" Type="http://schemas.openxmlformats.org/officeDocument/2006/relationships/hyperlink" Target="https://www.sec.gov/ix?doc=/Archives/edgar/data/1341439/000156459022023675/orcl-10k_20220531.htm" TargetMode="External"/><Relationship Id="rId182" Type="http://schemas.openxmlformats.org/officeDocument/2006/relationships/hyperlink" Target="https://www.sec.gov/ix?doc=/Archives/edgar/data/1341439/000156459022023675/orcl-10k_20220531.htm" TargetMode="External"/><Relationship Id="rId6" Type="http://schemas.openxmlformats.org/officeDocument/2006/relationships/hyperlink" Target="https://www.sec.gov/ix?doc=/Archives/edgar/data/1341439/000156459022023675/orcl-10k_20220531.htm" TargetMode="External"/><Relationship Id="rId238" Type="http://schemas.openxmlformats.org/officeDocument/2006/relationships/hyperlink" Target="https://www.sec.gov/ix?doc=/Archives/edgar/data/1341439/000156459022023675/orcl-10k_20220531.htm" TargetMode="External"/><Relationship Id="rId291" Type="http://schemas.openxmlformats.org/officeDocument/2006/relationships/hyperlink" Target="http://www.sec.gov/Archives/edgar/data/0001341439/000119312515235239/d920711dex1017.htm" TargetMode="External"/><Relationship Id="rId305" Type="http://schemas.openxmlformats.org/officeDocument/2006/relationships/hyperlink" Target="https://www.sec.gov/ix?doc=/Archives/edgar/data/1341439/000156459022023675/orcl-10k_202205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72892</Words>
  <Characters>415487</Characters>
  <Application>Microsoft Office Word</Application>
  <DocSecurity>0</DocSecurity>
  <Lines>3462</Lines>
  <Paragraphs>974</Paragraphs>
  <ScaleCrop>false</ScaleCrop>
  <Company/>
  <LinksUpToDate>false</LinksUpToDate>
  <CharactersWithSpaces>487405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A229A258ABC93DF6C9A5E76316B2B88E</vt:lpwstr>
  </property>
</Properties>
</file>