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33C21">
      <w:pPr>
        <w:pStyle w:val="a3"/>
        <w:pBdr>
          <w:bottom w:val="double" w:sz="6" w:space="1" w:color="auto"/>
        </w:pBdr>
        <w:spacing w:before="0" w:beforeAutospacing="0" w:after="0" w:afterAutospacing="0"/>
        <w:rPr>
          <w:b/>
          <w:bCs/>
          <w:sz w:val="2"/>
          <w:szCs w:val="2"/>
        </w:rPr>
      </w:pPr>
      <w:r>
        <w:rPr>
          <w:b/>
          <w:bCs/>
          <w:sz w:val="2"/>
          <w:szCs w:val="2"/>
        </w:rPr>
        <w:t> </w:t>
      </w:r>
    </w:p>
    <w:p w:rsidR="00000000" w:rsidRDefault="00D33C21">
      <w:pPr>
        <w:pStyle w:val="a3"/>
        <w:spacing w:before="0" w:beforeAutospacing="0" w:after="0" w:afterAutospacing="0"/>
        <w:rPr>
          <w:sz w:val="8"/>
          <w:szCs w:val="8"/>
        </w:rPr>
      </w:pPr>
      <w:r>
        <w:rPr>
          <w:sz w:val="8"/>
          <w:szCs w:val="8"/>
        </w:rPr>
        <w:t> </w:t>
      </w:r>
    </w:p>
    <w:p w:rsidR="00000000" w:rsidRDefault="00D33C21">
      <w:pPr>
        <w:pStyle w:val="a3"/>
        <w:spacing w:before="0" w:beforeAutospacing="0" w:after="0" w:afterAutospacing="0"/>
        <w:jc w:val="center"/>
        <w:rPr>
          <w:b/>
          <w:bCs/>
          <w:sz w:val="36"/>
          <w:szCs w:val="36"/>
        </w:rPr>
      </w:pPr>
      <w:r>
        <w:rPr>
          <w:b/>
          <w:bCs/>
          <w:sz w:val="36"/>
          <w:szCs w:val="36"/>
        </w:rPr>
        <w:t>UNITED STATES</w:t>
      </w:r>
    </w:p>
    <w:p w:rsidR="00000000" w:rsidRDefault="00D33C21">
      <w:pPr>
        <w:pStyle w:val="a3"/>
        <w:spacing w:before="0" w:beforeAutospacing="0" w:after="0" w:afterAutospacing="0"/>
        <w:jc w:val="center"/>
        <w:rPr>
          <w:b/>
          <w:bCs/>
          <w:sz w:val="36"/>
          <w:szCs w:val="36"/>
        </w:rPr>
      </w:pPr>
      <w:r>
        <w:rPr>
          <w:b/>
          <w:bCs/>
          <w:sz w:val="36"/>
          <w:szCs w:val="36"/>
        </w:rPr>
        <w:t>SECURITIES AND EXCHANGE COMMISSION</w:t>
      </w:r>
    </w:p>
    <w:p w:rsidR="00000000" w:rsidRDefault="00D33C21">
      <w:pPr>
        <w:pStyle w:val="a3"/>
        <w:spacing w:before="0" w:beforeAutospacing="0" w:after="0" w:afterAutospacing="0"/>
        <w:jc w:val="center"/>
        <w:rPr>
          <w:b/>
          <w:bCs/>
        </w:rPr>
      </w:pPr>
      <w:r>
        <w:rPr>
          <w:b/>
          <w:bCs/>
        </w:rPr>
        <w:t>WASHINGTON, DC 20549</w:t>
      </w:r>
    </w:p>
    <w:p w:rsidR="00000000" w:rsidRDefault="00D33C21">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D33C21">
      <w:pPr>
        <w:pStyle w:val="a3"/>
        <w:spacing w:before="120" w:beforeAutospacing="0" w:after="0" w:afterAutospacing="0"/>
        <w:jc w:val="center"/>
        <w:rPr>
          <w:b/>
          <w:bCs/>
          <w:sz w:val="36"/>
          <w:szCs w:val="36"/>
        </w:rPr>
      </w:pPr>
      <w:r>
        <w:rPr>
          <w:b/>
          <w:bCs/>
          <w:sz w:val="36"/>
          <w:szCs w:val="36"/>
        </w:rPr>
        <w:t>FORM 10-Q</w:t>
      </w:r>
    </w:p>
    <w:p w:rsidR="00000000" w:rsidRDefault="00D33C21">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D33C21">
      <w:pPr>
        <w:pStyle w:val="a3"/>
        <w:spacing w:before="120" w:beforeAutospacing="0" w:after="0" w:afterAutospacing="0"/>
        <w:rPr>
          <w:b/>
          <w:bCs/>
          <w:sz w:val="16"/>
          <w:szCs w:val="16"/>
        </w:rPr>
      </w:pPr>
      <w:r>
        <w:rPr>
          <w:b/>
          <w:bCs/>
          <w:sz w:val="16"/>
          <w:szCs w:val="16"/>
        </w:rPr>
        <w:t>(Mark One)</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D33C21">
            <w:pPr>
              <w:pStyle w:val="a3"/>
              <w:spacing w:before="0" w:beforeAutospacing="0" w:after="0" w:afterAutospacing="0"/>
              <w:rPr>
                <w:b/>
                <w:bCs/>
                <w:sz w:val="20"/>
                <w:szCs w:val="20"/>
              </w:rPr>
            </w:pPr>
            <w:r>
              <w:rPr>
                <w:rFonts w:ascii="Segoe UI Symbol" w:hAnsi="Segoe UI Symbol" w:cs="Segoe UI Symbol"/>
                <w:b/>
                <w:bCs/>
                <w:sz w:val="20"/>
                <w:szCs w:val="20"/>
              </w:rPr>
              <w:t>☒</w:t>
            </w:r>
          </w:p>
        </w:tc>
        <w:tc>
          <w:tcPr>
            <w:tcW w:w="0" w:type="auto"/>
            <w:hideMark/>
          </w:tcPr>
          <w:p w:rsidR="00000000" w:rsidRDefault="00D33C21">
            <w:pPr>
              <w:pStyle w:val="a3"/>
              <w:spacing w:before="0" w:beforeAutospacing="0" w:after="0" w:afterAutospacing="0"/>
              <w:rPr>
                <w:b/>
                <w:bCs/>
                <w:sz w:val="20"/>
                <w:szCs w:val="20"/>
              </w:rPr>
            </w:pPr>
            <w:r>
              <w:rPr>
                <w:b/>
                <w:bCs/>
                <w:sz w:val="20"/>
                <w:szCs w:val="20"/>
              </w:rPr>
              <w:t>QUARTERLY REPORT PURSUANT TO SECTION 13 OR 15(d) OF THE SECURITIES EXCHANGE ACT OF 1934</w:t>
            </w:r>
          </w:p>
        </w:tc>
      </w:tr>
    </w:tbl>
    <w:p w:rsidR="00000000" w:rsidRDefault="00D33C21">
      <w:pPr>
        <w:pStyle w:val="a3"/>
        <w:spacing w:before="120" w:beforeAutospacing="0" w:after="0" w:afterAutospacing="0"/>
        <w:jc w:val="center"/>
        <w:rPr>
          <w:b/>
          <w:bCs/>
          <w:sz w:val="20"/>
          <w:szCs w:val="20"/>
        </w:rPr>
      </w:pPr>
      <w:r>
        <w:rPr>
          <w:b/>
          <w:bCs/>
          <w:sz w:val="20"/>
          <w:szCs w:val="20"/>
        </w:rPr>
        <w:t>For the quarterly period ended June 30, 2019</w:t>
      </w:r>
    </w:p>
    <w:p w:rsidR="00000000" w:rsidRDefault="00D33C21">
      <w:pPr>
        <w:pStyle w:val="a3"/>
        <w:spacing w:before="1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D33C21">
            <w:pPr>
              <w:pStyle w:val="a3"/>
              <w:spacing w:before="120" w:beforeAutospacing="0" w:after="0" w:afterAutospacing="0"/>
              <w:rPr>
                <w:b/>
                <w:bCs/>
                <w:sz w:val="20"/>
                <w:szCs w:val="20"/>
              </w:rPr>
            </w:pPr>
            <w:r>
              <w:rPr>
                <w:rFonts w:ascii="Segoe UI Symbol" w:hAnsi="Segoe UI Symbol" w:cs="Segoe UI Symbol"/>
                <w:b/>
                <w:bCs/>
                <w:sz w:val="20"/>
                <w:szCs w:val="20"/>
              </w:rPr>
              <w:t>☐</w:t>
            </w:r>
          </w:p>
        </w:tc>
        <w:tc>
          <w:tcPr>
            <w:tcW w:w="0" w:type="auto"/>
            <w:hideMark/>
          </w:tcPr>
          <w:p w:rsidR="00000000" w:rsidRDefault="00D33C21">
            <w:pPr>
              <w:pStyle w:val="a3"/>
              <w:spacing w:before="120" w:beforeAutospacing="0" w:after="0" w:afterAutospacing="0"/>
              <w:rPr>
                <w:b/>
                <w:bCs/>
                <w:sz w:val="20"/>
                <w:szCs w:val="20"/>
              </w:rPr>
            </w:pPr>
            <w:r>
              <w:rPr>
                <w:b/>
                <w:bCs/>
                <w:sz w:val="20"/>
                <w:szCs w:val="20"/>
              </w:rPr>
              <w:t>TRANSITION REPORT PURSUANT TO SECTION 13 OR 15(d) OF THE SECURITIES EXCHANGE ACT OF 1934</w:t>
            </w:r>
          </w:p>
        </w:tc>
      </w:tr>
    </w:tbl>
    <w:p w:rsidR="00000000" w:rsidRDefault="00D33C21">
      <w:pPr>
        <w:pStyle w:val="a3"/>
        <w:spacing w:before="120" w:beforeAutospacing="0" w:after="0" w:afterAutospacing="0"/>
        <w:jc w:val="center"/>
        <w:rPr>
          <w:b/>
          <w:bCs/>
          <w:sz w:val="20"/>
          <w:szCs w:val="20"/>
        </w:rPr>
      </w:pPr>
      <w:r>
        <w:rPr>
          <w:b/>
          <w:bCs/>
          <w:sz w:val="20"/>
          <w:szCs w:val="20"/>
        </w:rPr>
        <w:t>For the transition period from ______________________ to ______________________</w:t>
      </w:r>
    </w:p>
    <w:p w:rsidR="00000000" w:rsidRDefault="00D33C21">
      <w:pPr>
        <w:pStyle w:val="a3"/>
        <w:spacing w:before="120" w:beforeAutospacing="0" w:after="0" w:afterAutospacing="0"/>
        <w:jc w:val="center"/>
        <w:rPr>
          <w:b/>
          <w:bCs/>
          <w:sz w:val="20"/>
          <w:szCs w:val="20"/>
        </w:rPr>
      </w:pPr>
      <w:r>
        <w:rPr>
          <w:b/>
          <w:bCs/>
          <w:sz w:val="20"/>
          <w:szCs w:val="20"/>
        </w:rPr>
        <w:t xml:space="preserve">Commission File Number: </w:t>
      </w:r>
      <w:r>
        <w:rPr>
          <w:b/>
          <w:bCs/>
          <w:color w:val="000000"/>
          <w:sz w:val="20"/>
          <w:szCs w:val="20"/>
          <w:shd w:val="clear" w:color="auto" w:fill="FFFFFF"/>
        </w:rPr>
        <w:t>001-38085</w:t>
      </w:r>
    </w:p>
    <w:p w:rsidR="00000000" w:rsidRDefault="00D33C21">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D33C21">
      <w:pPr>
        <w:pStyle w:val="a3"/>
        <w:spacing w:before="120" w:beforeAutospacing="0" w:after="0" w:afterAutospacing="0"/>
        <w:jc w:val="center"/>
        <w:rPr>
          <w:b/>
          <w:bCs/>
          <w:color w:val="000000"/>
          <w:sz w:val="48"/>
          <w:szCs w:val="48"/>
        </w:rPr>
      </w:pPr>
      <w:r>
        <w:rPr>
          <w:b/>
          <w:bCs/>
          <w:color w:val="000000"/>
          <w:sz w:val="48"/>
          <w:szCs w:val="48"/>
          <w:shd w:val="clear" w:color="auto" w:fill="FFFFFF"/>
        </w:rPr>
        <w:t>Ovid Therapeutics Inc.</w:t>
      </w:r>
    </w:p>
    <w:p w:rsidR="00000000" w:rsidRDefault="00D33C21">
      <w:pPr>
        <w:pStyle w:val="a3"/>
        <w:spacing w:before="0" w:beforeAutospacing="0" w:after="0" w:afterAutospacing="0"/>
        <w:jc w:val="center"/>
        <w:rPr>
          <w:b/>
          <w:bCs/>
          <w:sz w:val="20"/>
          <w:szCs w:val="20"/>
        </w:rPr>
      </w:pPr>
      <w:r>
        <w:rPr>
          <w:b/>
          <w:bCs/>
          <w:sz w:val="20"/>
          <w:szCs w:val="20"/>
        </w:rPr>
        <w:t>(Exact Name of Registrant a</w:t>
      </w:r>
      <w:r>
        <w:rPr>
          <w:b/>
          <w:bCs/>
          <w:sz w:val="20"/>
          <w:szCs w:val="20"/>
        </w:rPr>
        <w:t>s Specified in its Charter)</w:t>
      </w:r>
    </w:p>
    <w:p w:rsidR="00000000" w:rsidRDefault="00D33C21">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D33C21">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574659361"/>
          <w:trHeight w:val="171"/>
          <w:jc w:val="center"/>
        </w:trPr>
        <w:tc>
          <w:tcPr>
            <w:tcW w:w="2500" w:type="pct"/>
            <w:vAlign w:val="bottom"/>
            <w:hideMark/>
          </w:tcPr>
          <w:p w:rsidR="00000000" w:rsidRDefault="00D33C21">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rsidR="00000000" w:rsidRDefault="00D33C21">
            <w:pPr>
              <w:pStyle w:val="a3"/>
              <w:spacing w:before="0" w:beforeAutospacing="0" w:after="0" w:afterAutospacing="0"/>
              <w:jc w:val="center"/>
              <w:rPr>
                <w:b/>
                <w:bCs/>
                <w:color w:val="000000"/>
                <w:sz w:val="20"/>
                <w:szCs w:val="20"/>
              </w:rPr>
            </w:pPr>
            <w:r>
              <w:rPr>
                <w:b/>
                <w:bCs/>
                <w:color w:val="000000"/>
                <w:sz w:val="20"/>
                <w:szCs w:val="20"/>
                <w:shd w:val="clear" w:color="auto" w:fill="FFFFFF"/>
              </w:rPr>
              <w:t>46-5270895</w:t>
            </w:r>
          </w:p>
        </w:tc>
      </w:tr>
      <w:tr w:rsidR="00000000">
        <w:trPr>
          <w:divId w:val="1574659361"/>
          <w:jc w:val="center"/>
        </w:trPr>
        <w:tc>
          <w:tcPr>
            <w:tcW w:w="2500" w:type="pct"/>
            <w:vAlign w:val="bottom"/>
            <w:hideMark/>
          </w:tcPr>
          <w:p w:rsidR="00000000" w:rsidRDefault="00D33C21">
            <w:pPr>
              <w:pStyle w:val="a3"/>
              <w:spacing w:before="0" w:beforeAutospacing="0" w:after="0" w:afterAutospacing="0"/>
              <w:jc w:val="center"/>
              <w:rPr>
                <w:b/>
                <w:bCs/>
                <w:sz w:val="14"/>
                <w:szCs w:val="14"/>
              </w:rPr>
            </w:pPr>
            <w:r>
              <w:rPr>
                <w:b/>
                <w:bCs/>
                <w:sz w:val="14"/>
                <w:szCs w:val="14"/>
              </w:rPr>
              <w:t>(State or other jurisdiction of</w:t>
            </w:r>
          </w:p>
          <w:p w:rsidR="00000000" w:rsidRDefault="00D33C21">
            <w:pPr>
              <w:pStyle w:val="a3"/>
              <w:spacing w:before="0" w:beforeAutospacing="0" w:after="0" w:afterAutospacing="0"/>
              <w:jc w:val="center"/>
              <w:rPr>
                <w:b/>
                <w:bCs/>
                <w:sz w:val="14"/>
                <w:szCs w:val="14"/>
              </w:rPr>
            </w:pPr>
            <w:r>
              <w:rPr>
                <w:b/>
                <w:bCs/>
                <w:sz w:val="14"/>
                <w:szCs w:val="14"/>
              </w:rPr>
              <w:t>incorporation or organization)</w:t>
            </w:r>
          </w:p>
        </w:tc>
        <w:tc>
          <w:tcPr>
            <w:tcW w:w="2500" w:type="pct"/>
            <w:vAlign w:val="bottom"/>
            <w:hideMark/>
          </w:tcPr>
          <w:p w:rsidR="00000000" w:rsidRDefault="00D33C21">
            <w:pPr>
              <w:pStyle w:val="a3"/>
              <w:spacing w:before="0" w:beforeAutospacing="0" w:after="0" w:afterAutospacing="0"/>
              <w:jc w:val="center"/>
              <w:rPr>
                <w:b/>
                <w:bCs/>
                <w:sz w:val="14"/>
                <w:szCs w:val="14"/>
              </w:rPr>
            </w:pPr>
            <w:r>
              <w:rPr>
                <w:b/>
                <w:bCs/>
                <w:sz w:val="14"/>
                <w:szCs w:val="14"/>
              </w:rPr>
              <w:t>(I.R.S. Employer</w:t>
            </w:r>
            <w:r>
              <w:rPr>
                <w:b/>
                <w:bCs/>
                <w:sz w:val="14"/>
                <w:szCs w:val="14"/>
              </w:rPr>
              <w:br/>
              <w:t>Identification No.)</w:t>
            </w:r>
          </w:p>
        </w:tc>
      </w:tr>
      <w:tr w:rsidR="00000000">
        <w:trPr>
          <w:divId w:val="1574659361"/>
          <w:jc w:val="center"/>
        </w:trPr>
        <w:tc>
          <w:tcPr>
            <w:tcW w:w="2500" w:type="pct"/>
            <w:vAlign w:val="bottom"/>
            <w:hideMark/>
          </w:tcPr>
          <w:p w:rsidR="00000000" w:rsidRDefault="00D33C21">
            <w:pPr>
              <w:pStyle w:val="a3"/>
              <w:spacing w:before="0" w:beforeAutospacing="0" w:after="0" w:afterAutospacing="0"/>
              <w:jc w:val="center"/>
              <w:rPr>
                <w:b/>
                <w:bCs/>
                <w:sz w:val="12"/>
                <w:szCs w:val="12"/>
              </w:rPr>
            </w:pPr>
            <w:r>
              <w:rPr>
                <w:b/>
                <w:bCs/>
                <w:sz w:val="12"/>
                <w:szCs w:val="12"/>
              </w:rPr>
              <w:t> </w:t>
            </w:r>
          </w:p>
        </w:tc>
        <w:tc>
          <w:tcPr>
            <w:tcW w:w="2500" w:type="pct"/>
            <w:vAlign w:val="bottom"/>
            <w:hideMark/>
          </w:tcPr>
          <w:p w:rsidR="00000000" w:rsidRDefault="00D33C21">
            <w:pPr>
              <w:pStyle w:val="a3"/>
              <w:spacing w:before="0" w:beforeAutospacing="0" w:after="0" w:afterAutospacing="0"/>
              <w:jc w:val="center"/>
              <w:rPr>
                <w:b/>
                <w:bCs/>
                <w:sz w:val="12"/>
                <w:szCs w:val="12"/>
              </w:rPr>
            </w:pPr>
            <w:r>
              <w:rPr>
                <w:b/>
                <w:bCs/>
                <w:sz w:val="12"/>
                <w:szCs w:val="12"/>
              </w:rPr>
              <w:t> </w:t>
            </w:r>
          </w:p>
        </w:tc>
      </w:tr>
      <w:tr w:rsidR="00000000">
        <w:trPr>
          <w:divId w:val="1574659361"/>
          <w:jc w:val="center"/>
        </w:trPr>
        <w:tc>
          <w:tcPr>
            <w:tcW w:w="2500" w:type="pct"/>
            <w:vAlign w:val="bottom"/>
            <w:hideMark/>
          </w:tcPr>
          <w:p w:rsidR="00000000" w:rsidRDefault="00D33C21">
            <w:pPr>
              <w:pStyle w:val="a3"/>
              <w:spacing w:before="0" w:beforeAutospacing="0" w:after="0" w:afterAutospacing="0"/>
              <w:jc w:val="center"/>
              <w:rPr>
                <w:b/>
                <w:bCs/>
                <w:color w:val="000000"/>
                <w:sz w:val="20"/>
                <w:szCs w:val="20"/>
              </w:rPr>
            </w:pPr>
            <w:r>
              <w:rPr>
                <w:b/>
                <w:bCs/>
                <w:color w:val="000000"/>
                <w:sz w:val="20"/>
                <w:szCs w:val="20"/>
                <w:shd w:val="clear" w:color="auto" w:fill="FFFFFF"/>
              </w:rPr>
              <w:t>1460 Broadway, Suite 15044</w:t>
            </w:r>
          </w:p>
          <w:p w:rsidR="00000000" w:rsidRDefault="00D33C21">
            <w:pPr>
              <w:pStyle w:val="a3"/>
              <w:spacing w:before="0" w:beforeAutospacing="0" w:after="0" w:afterAutospacing="0"/>
              <w:jc w:val="center"/>
              <w:rPr>
                <w:b/>
                <w:bCs/>
                <w:color w:val="000000"/>
                <w:sz w:val="20"/>
                <w:szCs w:val="20"/>
              </w:rPr>
            </w:pPr>
            <w:r>
              <w:rPr>
                <w:b/>
                <w:bCs/>
                <w:color w:val="000000"/>
                <w:sz w:val="20"/>
                <w:szCs w:val="20"/>
                <w:shd w:val="clear" w:color="auto" w:fill="FFFFFF"/>
              </w:rPr>
              <w:t xml:space="preserve">New York, New York </w:t>
            </w:r>
          </w:p>
        </w:tc>
        <w:tc>
          <w:tcPr>
            <w:tcW w:w="2500" w:type="pct"/>
            <w:vAlign w:val="bottom"/>
            <w:hideMark/>
          </w:tcPr>
          <w:p w:rsidR="00000000" w:rsidRDefault="00D33C21">
            <w:pPr>
              <w:pStyle w:val="a3"/>
              <w:spacing w:before="0" w:beforeAutospacing="0" w:after="0" w:afterAutospacing="0"/>
              <w:jc w:val="center"/>
              <w:rPr>
                <w:b/>
                <w:bCs/>
                <w:color w:val="000000"/>
                <w:sz w:val="20"/>
                <w:szCs w:val="20"/>
              </w:rPr>
            </w:pPr>
            <w:r>
              <w:rPr>
                <w:b/>
                <w:bCs/>
                <w:color w:val="000000"/>
                <w:sz w:val="20"/>
                <w:szCs w:val="20"/>
                <w:shd w:val="clear" w:color="auto" w:fill="FFFFFF"/>
              </w:rPr>
              <w:t>10036</w:t>
            </w:r>
          </w:p>
        </w:tc>
      </w:tr>
      <w:tr w:rsidR="00000000">
        <w:trPr>
          <w:divId w:val="1574659361"/>
          <w:jc w:val="center"/>
        </w:trPr>
        <w:tc>
          <w:tcPr>
            <w:tcW w:w="2500" w:type="pct"/>
            <w:vAlign w:val="bottom"/>
            <w:hideMark/>
          </w:tcPr>
          <w:p w:rsidR="00000000" w:rsidRDefault="00D33C21">
            <w:pPr>
              <w:pStyle w:val="a3"/>
              <w:spacing w:before="0" w:beforeAutospacing="0" w:after="0" w:afterAutospacing="0"/>
              <w:jc w:val="center"/>
              <w:rPr>
                <w:b/>
                <w:bCs/>
                <w:sz w:val="14"/>
                <w:szCs w:val="14"/>
              </w:rPr>
            </w:pPr>
            <w:r>
              <w:rPr>
                <w:b/>
                <w:bCs/>
                <w:sz w:val="14"/>
                <w:szCs w:val="14"/>
              </w:rPr>
              <w:t>(Address of principal executive offices)</w:t>
            </w:r>
          </w:p>
        </w:tc>
        <w:tc>
          <w:tcPr>
            <w:tcW w:w="2500" w:type="pct"/>
            <w:vAlign w:val="bottom"/>
            <w:hideMark/>
          </w:tcPr>
          <w:p w:rsidR="00000000" w:rsidRDefault="00D33C21">
            <w:pPr>
              <w:pStyle w:val="a3"/>
              <w:spacing w:before="0" w:beforeAutospacing="0" w:after="0" w:afterAutospacing="0"/>
              <w:jc w:val="center"/>
              <w:rPr>
                <w:b/>
                <w:bCs/>
                <w:sz w:val="14"/>
                <w:szCs w:val="14"/>
              </w:rPr>
            </w:pPr>
            <w:r>
              <w:rPr>
                <w:b/>
                <w:bCs/>
                <w:sz w:val="14"/>
                <w:szCs w:val="14"/>
              </w:rPr>
              <w:t>(Zip Code)</w:t>
            </w:r>
          </w:p>
        </w:tc>
      </w:tr>
    </w:tbl>
    <w:p w:rsidR="00000000" w:rsidRDefault="00D33C21">
      <w:pPr>
        <w:pStyle w:val="a3"/>
        <w:spacing w:before="120" w:beforeAutospacing="0" w:after="0" w:afterAutospacing="0"/>
        <w:jc w:val="center"/>
        <w:rPr>
          <w:b/>
          <w:bCs/>
          <w:sz w:val="20"/>
          <w:szCs w:val="20"/>
        </w:rPr>
      </w:pPr>
      <w:r>
        <w:rPr>
          <w:b/>
          <w:bCs/>
          <w:sz w:val="20"/>
          <w:szCs w:val="20"/>
        </w:rPr>
        <w:t xml:space="preserve">Registrant’s telephone number, including area code: </w:t>
      </w:r>
      <w:r>
        <w:rPr>
          <w:b/>
          <w:bCs/>
          <w:color w:val="000000"/>
          <w:sz w:val="20"/>
          <w:szCs w:val="20"/>
          <w:shd w:val="clear" w:color="auto" w:fill="FFFFFF"/>
        </w:rPr>
        <w:t>(646) 661-7661</w:t>
      </w:r>
    </w:p>
    <w:p w:rsidR="00000000" w:rsidRDefault="00D33C21">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D33C21">
      <w:pPr>
        <w:pStyle w:val="a3"/>
        <w:spacing w:before="80" w:beforeAutospacing="0" w:after="0" w:afterAutospacing="0"/>
        <w:ind w:firstLine="652"/>
        <w:rPr>
          <w:sz w:val="18"/>
          <w:szCs w:val="18"/>
        </w:rPr>
      </w:pPr>
      <w:r>
        <w:rPr>
          <w:sz w:val="18"/>
          <w:szCs w:val="18"/>
        </w:rPr>
        <w:t xml:space="preserve">Securities registered pursuant to Section 12(b) of the Act: </w:t>
      </w:r>
    </w:p>
    <w:tbl>
      <w:tblPr>
        <w:tblW w:w="5000" w:type="pct"/>
        <w:tblCellMar>
          <w:left w:w="0" w:type="dxa"/>
          <w:right w:w="0" w:type="dxa"/>
        </w:tblCellMar>
        <w:tblLook w:val="04A0" w:firstRow="1" w:lastRow="0" w:firstColumn="1" w:lastColumn="0" w:noHBand="0" w:noVBand="1"/>
      </w:tblPr>
      <w:tblGrid>
        <w:gridCol w:w="3156"/>
        <w:gridCol w:w="83"/>
        <w:gridCol w:w="1246"/>
        <w:gridCol w:w="83"/>
        <w:gridCol w:w="3738"/>
      </w:tblGrid>
      <w:tr w:rsidR="00000000">
        <w:tc>
          <w:tcPr>
            <w:tcW w:w="1900" w:type="pct"/>
            <w:tcBorders>
              <w:bottom w:val="single" w:sz="6" w:space="0" w:color="000000"/>
            </w:tcBorders>
            <w:vAlign w:val="bottom"/>
            <w:hideMark/>
          </w:tcPr>
          <w:p w:rsidR="00000000" w:rsidRDefault="00D33C21">
            <w:pPr>
              <w:pStyle w:val="a3"/>
              <w:spacing w:before="0" w:beforeAutospacing="0" w:after="0" w:afterAutospacing="0"/>
              <w:jc w:val="center"/>
              <w:rPr>
                <w:b/>
                <w:bCs/>
                <w:sz w:val="16"/>
                <w:szCs w:val="16"/>
              </w:rPr>
            </w:pPr>
            <w:r>
              <w:rPr>
                <w:b/>
                <w:bCs/>
                <w:sz w:val="16"/>
                <w:szCs w:val="16"/>
              </w:rPr>
              <w:t>Title of each class</w:t>
            </w:r>
          </w:p>
        </w:tc>
        <w:tc>
          <w:tcPr>
            <w:tcW w:w="50" w:type="pct"/>
            <w:vAlign w:val="bottom"/>
            <w:hideMark/>
          </w:tcPr>
          <w:p w:rsidR="00000000" w:rsidRDefault="00D33C21">
            <w:pPr>
              <w:pStyle w:val="a3"/>
              <w:spacing w:before="0" w:beforeAutospacing="0" w:after="0" w:afterAutospacing="0"/>
              <w:jc w:val="center"/>
              <w:rPr>
                <w:b/>
                <w:bCs/>
                <w:sz w:val="16"/>
                <w:szCs w:val="16"/>
              </w:rPr>
            </w:pPr>
            <w:r>
              <w:rPr>
                <w:b/>
                <w:bCs/>
                <w:sz w:val="16"/>
                <w:szCs w:val="16"/>
              </w:rPr>
              <w:t> </w:t>
            </w:r>
          </w:p>
        </w:tc>
        <w:tc>
          <w:tcPr>
            <w:tcW w:w="750" w:type="pct"/>
            <w:tcBorders>
              <w:bottom w:val="single" w:sz="6" w:space="0" w:color="000000"/>
            </w:tcBorders>
            <w:vAlign w:val="bottom"/>
            <w:hideMark/>
          </w:tcPr>
          <w:p w:rsidR="00000000" w:rsidRDefault="00D33C21">
            <w:pPr>
              <w:pStyle w:val="a3"/>
              <w:spacing w:before="0" w:beforeAutospacing="0" w:after="0" w:afterAutospacing="0"/>
              <w:jc w:val="center"/>
              <w:rPr>
                <w:b/>
                <w:bCs/>
                <w:sz w:val="16"/>
                <w:szCs w:val="16"/>
              </w:rPr>
            </w:pPr>
            <w:r>
              <w:rPr>
                <w:b/>
                <w:bCs/>
                <w:sz w:val="16"/>
                <w:szCs w:val="16"/>
              </w:rPr>
              <w:t>Trading</w:t>
            </w:r>
          </w:p>
          <w:p w:rsidR="00000000" w:rsidRDefault="00D33C21">
            <w:pPr>
              <w:pStyle w:val="a3"/>
              <w:spacing w:before="0" w:beforeAutospacing="0" w:after="0" w:afterAutospacing="0"/>
              <w:jc w:val="center"/>
              <w:rPr>
                <w:b/>
                <w:bCs/>
                <w:sz w:val="16"/>
                <w:szCs w:val="16"/>
              </w:rPr>
            </w:pPr>
            <w:r>
              <w:rPr>
                <w:b/>
                <w:bCs/>
                <w:sz w:val="16"/>
                <w:szCs w:val="16"/>
              </w:rPr>
              <w:t>Symbol(s)</w:t>
            </w:r>
          </w:p>
        </w:tc>
        <w:tc>
          <w:tcPr>
            <w:tcW w:w="50" w:type="pct"/>
            <w:vAlign w:val="bottom"/>
            <w:hideMark/>
          </w:tcPr>
          <w:p w:rsidR="00000000" w:rsidRDefault="00D33C21">
            <w:pPr>
              <w:pStyle w:val="a3"/>
              <w:spacing w:before="0" w:beforeAutospacing="0" w:after="0" w:afterAutospacing="0"/>
              <w:jc w:val="center"/>
              <w:rPr>
                <w:b/>
                <w:bCs/>
                <w:sz w:val="16"/>
                <w:szCs w:val="16"/>
              </w:rPr>
            </w:pPr>
            <w:r>
              <w:rPr>
                <w:b/>
                <w:bCs/>
                <w:sz w:val="16"/>
                <w:szCs w:val="16"/>
              </w:rPr>
              <w:t> </w:t>
            </w:r>
          </w:p>
        </w:tc>
        <w:tc>
          <w:tcPr>
            <w:tcW w:w="2250" w:type="pct"/>
            <w:tcBorders>
              <w:bottom w:val="single" w:sz="6" w:space="0" w:color="000000"/>
            </w:tcBorders>
            <w:vAlign w:val="bottom"/>
            <w:hideMark/>
          </w:tcPr>
          <w:p w:rsidR="00000000" w:rsidRDefault="00D33C21">
            <w:pPr>
              <w:pStyle w:val="a3"/>
              <w:spacing w:before="0" w:beforeAutospacing="0" w:after="0" w:afterAutospacing="0"/>
              <w:jc w:val="center"/>
              <w:rPr>
                <w:b/>
                <w:bCs/>
                <w:sz w:val="16"/>
                <w:szCs w:val="16"/>
              </w:rPr>
            </w:pPr>
            <w:r>
              <w:rPr>
                <w:b/>
                <w:bCs/>
                <w:sz w:val="16"/>
                <w:szCs w:val="16"/>
              </w:rPr>
              <w:t>Name of each exchange on which registered</w:t>
            </w:r>
          </w:p>
        </w:tc>
      </w:tr>
      <w:tr w:rsidR="00000000">
        <w:tc>
          <w:tcPr>
            <w:tcW w:w="1900" w:type="pct"/>
            <w:tcBorders>
              <w:top w:val="single" w:sz="6" w:space="0" w:color="000000"/>
            </w:tcBorders>
            <w:hideMark/>
          </w:tcPr>
          <w:p w:rsidR="00000000" w:rsidRDefault="00D33C21">
            <w:pPr>
              <w:pStyle w:val="a3"/>
              <w:spacing w:before="0" w:beforeAutospacing="0" w:after="0" w:afterAutospacing="0"/>
              <w:jc w:val="center"/>
              <w:rPr>
                <w:sz w:val="18"/>
                <w:szCs w:val="18"/>
              </w:rPr>
            </w:pPr>
            <w:r>
              <w:rPr>
                <w:sz w:val="18"/>
                <w:szCs w:val="18"/>
              </w:rPr>
              <w:t>Common Stock, par value $0.001 per share</w:t>
            </w:r>
          </w:p>
        </w:tc>
        <w:tc>
          <w:tcPr>
            <w:tcW w:w="50" w:type="pct"/>
            <w:vAlign w:val="bottom"/>
            <w:hideMark/>
          </w:tcPr>
          <w:p w:rsidR="00000000" w:rsidRDefault="00D33C21">
            <w:pPr>
              <w:pStyle w:val="a3"/>
              <w:spacing w:before="0" w:beforeAutospacing="0" w:after="0" w:afterAutospacing="0"/>
              <w:jc w:val="center"/>
              <w:rPr>
                <w:sz w:val="18"/>
                <w:szCs w:val="18"/>
              </w:rPr>
            </w:pPr>
            <w:r>
              <w:rPr>
                <w:sz w:val="18"/>
                <w:szCs w:val="18"/>
              </w:rPr>
              <w:t> </w:t>
            </w:r>
          </w:p>
        </w:tc>
        <w:tc>
          <w:tcPr>
            <w:tcW w:w="750" w:type="pct"/>
            <w:tcBorders>
              <w:top w:val="single" w:sz="6" w:space="0" w:color="000000"/>
            </w:tcBorders>
            <w:vAlign w:val="bottom"/>
            <w:hideMark/>
          </w:tcPr>
          <w:p w:rsidR="00000000" w:rsidRDefault="00D33C21">
            <w:pPr>
              <w:pStyle w:val="a3"/>
              <w:spacing w:before="0" w:beforeAutospacing="0" w:after="0" w:afterAutospacing="0"/>
              <w:jc w:val="center"/>
              <w:rPr>
                <w:sz w:val="18"/>
                <w:szCs w:val="18"/>
              </w:rPr>
            </w:pPr>
            <w:r>
              <w:rPr>
                <w:sz w:val="18"/>
                <w:szCs w:val="18"/>
              </w:rPr>
              <w:t>OVID</w:t>
            </w:r>
          </w:p>
        </w:tc>
        <w:tc>
          <w:tcPr>
            <w:tcW w:w="50" w:type="pct"/>
            <w:vAlign w:val="bottom"/>
            <w:hideMark/>
          </w:tcPr>
          <w:p w:rsidR="00000000" w:rsidRDefault="00D33C21">
            <w:pPr>
              <w:pStyle w:val="a3"/>
              <w:spacing w:before="0" w:beforeAutospacing="0" w:after="0" w:afterAutospacing="0"/>
              <w:jc w:val="center"/>
              <w:rPr>
                <w:sz w:val="18"/>
                <w:szCs w:val="18"/>
              </w:rPr>
            </w:pPr>
            <w:r>
              <w:rPr>
                <w:sz w:val="18"/>
                <w:szCs w:val="18"/>
              </w:rPr>
              <w:t> </w:t>
            </w:r>
          </w:p>
        </w:tc>
        <w:tc>
          <w:tcPr>
            <w:tcW w:w="2250" w:type="pct"/>
            <w:tcBorders>
              <w:top w:val="single" w:sz="6" w:space="0" w:color="000000"/>
            </w:tcBorders>
            <w:vAlign w:val="bottom"/>
            <w:hideMark/>
          </w:tcPr>
          <w:p w:rsidR="00000000" w:rsidRDefault="00D33C21">
            <w:pPr>
              <w:pStyle w:val="a3"/>
              <w:spacing w:before="0" w:beforeAutospacing="0" w:after="0" w:afterAutospacing="0"/>
              <w:jc w:val="center"/>
              <w:rPr>
                <w:sz w:val="18"/>
                <w:szCs w:val="18"/>
              </w:rPr>
            </w:pPr>
            <w:r>
              <w:rPr>
                <w:sz w:val="18"/>
                <w:szCs w:val="18"/>
              </w:rPr>
              <w:t>The Nasdaq Stock Market LLC</w:t>
            </w:r>
          </w:p>
        </w:tc>
      </w:tr>
    </w:tbl>
    <w:p w:rsidR="00000000" w:rsidRDefault="00D33C21">
      <w:pPr>
        <w:pStyle w:val="a3"/>
        <w:spacing w:before="120" w:beforeAutospacing="0" w:after="0" w:afterAutospacing="0"/>
        <w:ind w:firstLine="556"/>
        <w:jc w:val="both"/>
        <w:rPr>
          <w:sz w:val="20"/>
          <w:szCs w:val="20"/>
        </w:rPr>
      </w:pPr>
      <w:r>
        <w:rPr>
          <w:sz w:val="20"/>
          <w:szCs w:val="20"/>
        </w:rPr>
        <w:t xml:space="preserve">Indicate by check mark whether the registrant (1) has filed all reports required to be filed by Section 13 or 15(d) of the Securities </w:t>
      </w:r>
      <w:r>
        <w:rPr>
          <w:sz w:val="20"/>
          <w:szCs w:val="20"/>
        </w:rPr>
        <w:t>Exchange Act of 1934 during the preceding 12 months (or for such shorter period that the registrant was required to file such reports), and (2) has been subject to such filing requirements for the past 90 days.     Yes  </w:t>
      </w:r>
      <w:r>
        <w:rPr>
          <w:rFonts w:ascii="Segoe UI Symbol" w:hAnsi="Segoe UI Symbol"/>
          <w:color w:val="000000"/>
          <w:sz w:val="20"/>
          <w:szCs w:val="20"/>
          <w:shd w:val="clear" w:color="auto" w:fill="FFFFFF"/>
        </w:rPr>
        <w:t>☒</w:t>
      </w:r>
      <w:r>
        <w:rPr>
          <w:sz w:val="20"/>
          <w:szCs w:val="20"/>
        </w:rPr>
        <w:t xml:space="preserve">    No </w:t>
      </w:r>
      <w:r>
        <w:rPr>
          <w:rFonts w:ascii="Segoe UI Symbol" w:hAnsi="Segoe UI Symbol" w:cs="Segoe UI Symbol"/>
          <w:sz w:val="20"/>
          <w:szCs w:val="20"/>
        </w:rPr>
        <w:t>☐</w:t>
      </w:r>
    </w:p>
    <w:p w:rsidR="00000000" w:rsidRDefault="00D33C21">
      <w:pPr>
        <w:pStyle w:val="a3"/>
        <w:spacing w:before="120" w:beforeAutospacing="0" w:after="0" w:afterAutospacing="0"/>
        <w:ind w:firstLine="556"/>
        <w:jc w:val="both"/>
        <w:rPr>
          <w:sz w:val="20"/>
          <w:szCs w:val="20"/>
        </w:rPr>
      </w:pPr>
      <w:r>
        <w:rPr>
          <w:sz w:val="20"/>
          <w:szCs w:val="20"/>
        </w:rPr>
        <w:t>Indicate by check mark whe</w:t>
      </w:r>
      <w:r>
        <w:rPr>
          <w:sz w:val="20"/>
          <w:szCs w:val="20"/>
        </w:rPr>
        <w:t>ther the registrant has submitted electronically every Interactive Data File required to be submitted pursuant to Rule 405 of Regulation S-T (§ 232.405 of this chapter) during the preceding 12 months (or for such shorter period that the registrant was requ</w:t>
      </w:r>
      <w:r>
        <w:rPr>
          <w:sz w:val="20"/>
          <w:szCs w:val="20"/>
        </w:rPr>
        <w:t>ired to submit such files).    Yes  </w:t>
      </w:r>
      <w:r>
        <w:rPr>
          <w:rFonts w:ascii="Segoe UI Symbol" w:hAnsi="Segoe UI Symbol"/>
          <w:color w:val="000000"/>
          <w:sz w:val="20"/>
          <w:szCs w:val="20"/>
          <w:shd w:val="clear" w:color="auto" w:fill="FFFFFF"/>
        </w:rPr>
        <w:t>☒</w:t>
      </w:r>
      <w:r>
        <w:rPr>
          <w:sz w:val="20"/>
          <w:szCs w:val="20"/>
        </w:rPr>
        <w:t>    No  </w:t>
      </w:r>
      <w:r>
        <w:rPr>
          <w:rFonts w:ascii="Segoe UI Symbol" w:hAnsi="Segoe UI Symbol" w:cs="Segoe UI Symbol"/>
          <w:sz w:val="20"/>
          <w:szCs w:val="20"/>
        </w:rPr>
        <w:t>☐</w:t>
      </w:r>
    </w:p>
    <w:p w:rsidR="00000000" w:rsidRDefault="00D33C21">
      <w:pPr>
        <w:pStyle w:val="a3"/>
        <w:spacing w:before="120" w:beforeAutospacing="0" w:after="0" w:afterAutospacing="0"/>
        <w:ind w:firstLine="556"/>
        <w:jc w:val="both"/>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w:t>
      </w:r>
      <w:r>
        <w:rPr>
          <w:sz w:val="20"/>
          <w:szCs w:val="20"/>
        </w:rPr>
        <w:t>rge accelerated filer,” “accelerated filer,” “smaller reporting company,” and “emerging growth company” in Rule 12b-2 of the Exchange Act.</w:t>
      </w:r>
    </w:p>
    <w:p w:rsidR="00000000" w:rsidRDefault="00D33C21">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1799"/>
        <w:gridCol w:w="50"/>
        <w:gridCol w:w="3945"/>
        <w:gridCol w:w="100"/>
        <w:gridCol w:w="2189"/>
        <w:gridCol w:w="50"/>
        <w:gridCol w:w="173"/>
      </w:tblGrid>
      <w:tr w:rsidR="00000000">
        <w:trPr>
          <w:divId w:val="1826163781"/>
          <w:jc w:val="center"/>
        </w:trPr>
        <w:tc>
          <w:tcPr>
            <w:tcW w:w="1052" w:type="pct"/>
            <w:hideMark/>
          </w:tcPr>
          <w:p w:rsidR="00000000" w:rsidRDefault="00D33C21">
            <w:pPr>
              <w:pStyle w:val="a3"/>
              <w:spacing w:before="0" w:beforeAutospacing="0" w:after="0" w:afterAutospacing="0"/>
              <w:rPr>
                <w:sz w:val="20"/>
                <w:szCs w:val="20"/>
              </w:rPr>
            </w:pPr>
            <w:r>
              <w:rPr>
                <w:sz w:val="20"/>
                <w:szCs w:val="20"/>
              </w:rPr>
              <w:t>Large accelerated filer</w:t>
            </w:r>
          </w:p>
        </w:tc>
        <w:tc>
          <w:tcPr>
            <w:tcW w:w="42" w:type="pct"/>
            <w:hideMark/>
          </w:tcPr>
          <w:p w:rsidR="00000000" w:rsidRDefault="00D33C21">
            <w:pPr>
              <w:pStyle w:val="a3"/>
              <w:spacing w:before="0" w:beforeAutospacing="0" w:after="0" w:afterAutospacing="0"/>
              <w:rPr>
                <w:sz w:val="20"/>
                <w:szCs w:val="20"/>
              </w:rPr>
            </w:pPr>
            <w:r>
              <w:rPr>
                <w:sz w:val="20"/>
                <w:szCs w:val="20"/>
              </w:rPr>
              <w:t> </w:t>
            </w:r>
          </w:p>
        </w:tc>
        <w:tc>
          <w:tcPr>
            <w:tcW w:w="2599" w:type="pct"/>
            <w:hideMark/>
          </w:tcPr>
          <w:p w:rsidR="00000000" w:rsidRDefault="00D33C2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53" w:type="pct"/>
            <w:hideMark/>
          </w:tcPr>
          <w:p w:rsidR="00000000" w:rsidRDefault="00D33C21">
            <w:pPr>
              <w:pStyle w:val="a3"/>
              <w:spacing w:before="0" w:beforeAutospacing="0" w:after="0" w:afterAutospacing="0"/>
              <w:rPr>
                <w:sz w:val="20"/>
                <w:szCs w:val="20"/>
              </w:rPr>
            </w:pPr>
            <w:r>
              <w:rPr>
                <w:sz w:val="20"/>
                <w:szCs w:val="20"/>
              </w:rPr>
              <w:t>  </w:t>
            </w:r>
          </w:p>
        </w:tc>
        <w:tc>
          <w:tcPr>
            <w:tcW w:w="1123" w:type="pct"/>
            <w:hideMark/>
          </w:tcPr>
          <w:p w:rsidR="00000000" w:rsidRDefault="00D33C21">
            <w:pPr>
              <w:pStyle w:val="a3"/>
              <w:spacing w:before="0" w:beforeAutospacing="0" w:after="0" w:afterAutospacing="0"/>
              <w:rPr>
                <w:sz w:val="20"/>
                <w:szCs w:val="20"/>
              </w:rPr>
            </w:pPr>
            <w:r>
              <w:rPr>
                <w:sz w:val="20"/>
                <w:szCs w:val="20"/>
              </w:rPr>
              <w:t>Accelerated filer</w:t>
            </w:r>
          </w:p>
        </w:tc>
        <w:tc>
          <w:tcPr>
            <w:tcW w:w="30" w:type="pct"/>
            <w:hideMark/>
          </w:tcPr>
          <w:p w:rsidR="00000000" w:rsidRDefault="00D33C21">
            <w:pPr>
              <w:pStyle w:val="a3"/>
              <w:spacing w:before="0" w:beforeAutospacing="0" w:after="0" w:afterAutospacing="0"/>
              <w:rPr>
                <w:sz w:val="20"/>
                <w:szCs w:val="20"/>
              </w:rPr>
            </w:pPr>
            <w:r>
              <w:rPr>
                <w:sz w:val="20"/>
                <w:szCs w:val="20"/>
              </w:rPr>
              <w:t> </w:t>
            </w:r>
          </w:p>
        </w:tc>
        <w:tc>
          <w:tcPr>
            <w:tcW w:w="101" w:type="pct"/>
            <w:hideMark/>
          </w:tcPr>
          <w:p w:rsidR="00000000" w:rsidRDefault="00D33C21">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r>
      <w:tr w:rsidR="00000000">
        <w:trPr>
          <w:divId w:val="1826163781"/>
          <w:jc w:val="center"/>
        </w:trPr>
        <w:tc>
          <w:tcPr>
            <w:tcW w:w="1052" w:type="pct"/>
            <w:hideMark/>
          </w:tcPr>
          <w:p w:rsidR="00000000" w:rsidRDefault="00D33C21">
            <w:pPr>
              <w:pStyle w:val="a3"/>
              <w:spacing w:before="0" w:beforeAutospacing="0" w:after="0" w:afterAutospacing="0"/>
              <w:rPr>
                <w:sz w:val="20"/>
                <w:szCs w:val="20"/>
              </w:rPr>
            </w:pPr>
            <w:r>
              <w:rPr>
                <w:sz w:val="20"/>
                <w:szCs w:val="20"/>
              </w:rPr>
              <w:t>Non-accelerated filer</w:t>
            </w:r>
          </w:p>
        </w:tc>
        <w:tc>
          <w:tcPr>
            <w:tcW w:w="42" w:type="pct"/>
            <w:hideMark/>
          </w:tcPr>
          <w:p w:rsidR="00000000" w:rsidRDefault="00D33C21">
            <w:pPr>
              <w:pStyle w:val="a3"/>
              <w:spacing w:before="0" w:beforeAutospacing="0" w:after="0" w:afterAutospacing="0"/>
              <w:rPr>
                <w:sz w:val="20"/>
                <w:szCs w:val="20"/>
              </w:rPr>
            </w:pPr>
            <w:r>
              <w:rPr>
                <w:sz w:val="20"/>
                <w:szCs w:val="20"/>
              </w:rPr>
              <w:t> </w:t>
            </w:r>
          </w:p>
        </w:tc>
        <w:tc>
          <w:tcPr>
            <w:tcW w:w="2599" w:type="pct"/>
            <w:hideMark/>
          </w:tcPr>
          <w:p w:rsidR="00000000" w:rsidRDefault="00D33C2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53" w:type="pct"/>
            <w:hideMark/>
          </w:tcPr>
          <w:p w:rsidR="00000000" w:rsidRDefault="00D33C21">
            <w:pPr>
              <w:pStyle w:val="a3"/>
              <w:spacing w:before="0" w:beforeAutospacing="0" w:after="0" w:afterAutospacing="0"/>
              <w:rPr>
                <w:sz w:val="20"/>
                <w:szCs w:val="20"/>
              </w:rPr>
            </w:pPr>
            <w:r>
              <w:rPr>
                <w:sz w:val="20"/>
                <w:szCs w:val="20"/>
              </w:rPr>
              <w:t>  </w:t>
            </w:r>
          </w:p>
        </w:tc>
        <w:tc>
          <w:tcPr>
            <w:tcW w:w="1123" w:type="pct"/>
            <w:hideMark/>
          </w:tcPr>
          <w:p w:rsidR="00000000" w:rsidRDefault="00D33C21">
            <w:pPr>
              <w:pStyle w:val="a3"/>
              <w:spacing w:before="0" w:beforeAutospacing="0" w:after="0" w:afterAutospacing="0"/>
              <w:rPr>
                <w:sz w:val="20"/>
                <w:szCs w:val="20"/>
              </w:rPr>
            </w:pPr>
            <w:r>
              <w:rPr>
                <w:sz w:val="20"/>
                <w:szCs w:val="20"/>
              </w:rPr>
              <w:t>Smaller reporting company</w:t>
            </w:r>
          </w:p>
        </w:tc>
        <w:tc>
          <w:tcPr>
            <w:tcW w:w="30" w:type="pct"/>
            <w:hideMark/>
          </w:tcPr>
          <w:p w:rsidR="00000000" w:rsidRDefault="00D33C21">
            <w:pPr>
              <w:pStyle w:val="a3"/>
              <w:spacing w:before="0" w:beforeAutospacing="0" w:after="0" w:afterAutospacing="0"/>
              <w:rPr>
                <w:sz w:val="20"/>
                <w:szCs w:val="20"/>
              </w:rPr>
            </w:pPr>
            <w:r>
              <w:rPr>
                <w:sz w:val="20"/>
                <w:szCs w:val="20"/>
              </w:rPr>
              <w:t> </w:t>
            </w:r>
          </w:p>
        </w:tc>
        <w:tc>
          <w:tcPr>
            <w:tcW w:w="101" w:type="pct"/>
            <w:hideMark/>
          </w:tcPr>
          <w:p w:rsidR="00000000" w:rsidRDefault="00D33C21">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r>
      <w:tr w:rsidR="00000000">
        <w:trPr>
          <w:divId w:val="1826163781"/>
          <w:jc w:val="center"/>
        </w:trPr>
        <w:tc>
          <w:tcPr>
            <w:tcW w:w="1052" w:type="pct"/>
            <w:hideMark/>
          </w:tcPr>
          <w:p w:rsidR="00000000" w:rsidRDefault="00D33C21">
            <w:pPr>
              <w:pStyle w:val="a3"/>
              <w:spacing w:before="0" w:beforeAutospacing="0" w:after="0" w:afterAutospacing="0"/>
              <w:rPr>
                <w:sz w:val="20"/>
                <w:szCs w:val="20"/>
              </w:rPr>
            </w:pPr>
            <w:r>
              <w:rPr>
                <w:sz w:val="20"/>
                <w:szCs w:val="20"/>
              </w:rPr>
              <w:t>Emerging growth company</w:t>
            </w:r>
          </w:p>
        </w:tc>
        <w:tc>
          <w:tcPr>
            <w:tcW w:w="42" w:type="pct"/>
            <w:hideMark/>
          </w:tcPr>
          <w:p w:rsidR="00000000" w:rsidRDefault="00D33C21">
            <w:pPr>
              <w:pStyle w:val="a3"/>
              <w:spacing w:before="0" w:beforeAutospacing="0" w:after="0" w:afterAutospacing="0"/>
              <w:rPr>
                <w:sz w:val="20"/>
                <w:szCs w:val="20"/>
              </w:rPr>
            </w:pPr>
            <w:r>
              <w:rPr>
                <w:sz w:val="20"/>
                <w:szCs w:val="20"/>
              </w:rPr>
              <w:t> </w:t>
            </w:r>
          </w:p>
        </w:tc>
        <w:tc>
          <w:tcPr>
            <w:tcW w:w="2599" w:type="pct"/>
            <w:hideMark/>
          </w:tcPr>
          <w:p w:rsidR="00000000" w:rsidRDefault="00D33C21">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c>
          <w:tcPr>
            <w:tcW w:w="53" w:type="pct"/>
            <w:hideMark/>
          </w:tcPr>
          <w:p w:rsidR="00000000" w:rsidRDefault="00D33C21">
            <w:pPr>
              <w:pStyle w:val="a3"/>
              <w:spacing w:before="0" w:beforeAutospacing="0" w:after="0" w:afterAutospacing="0"/>
              <w:rPr>
                <w:sz w:val="20"/>
                <w:szCs w:val="20"/>
              </w:rPr>
            </w:pPr>
            <w:r>
              <w:rPr>
                <w:sz w:val="20"/>
                <w:szCs w:val="20"/>
              </w:rPr>
              <w:t> </w:t>
            </w:r>
          </w:p>
        </w:tc>
        <w:tc>
          <w:tcPr>
            <w:tcW w:w="1123" w:type="pct"/>
            <w:hideMark/>
          </w:tcPr>
          <w:p w:rsidR="00000000" w:rsidRDefault="00D33C21">
            <w:pPr>
              <w:pStyle w:val="a3"/>
              <w:spacing w:before="0" w:beforeAutospacing="0" w:after="0" w:afterAutospacing="0"/>
              <w:rPr>
                <w:sz w:val="20"/>
                <w:szCs w:val="20"/>
              </w:rPr>
            </w:pPr>
            <w:r>
              <w:rPr>
                <w:sz w:val="20"/>
                <w:szCs w:val="20"/>
              </w:rPr>
              <w:t> </w:t>
            </w:r>
          </w:p>
        </w:tc>
        <w:tc>
          <w:tcPr>
            <w:tcW w:w="30" w:type="pct"/>
            <w:hideMark/>
          </w:tcPr>
          <w:p w:rsidR="00000000" w:rsidRDefault="00D33C21">
            <w:pPr>
              <w:pStyle w:val="a3"/>
              <w:spacing w:before="0" w:beforeAutospacing="0" w:after="0" w:afterAutospacing="0"/>
              <w:rPr>
                <w:sz w:val="20"/>
                <w:szCs w:val="20"/>
              </w:rPr>
            </w:pPr>
            <w:r>
              <w:rPr>
                <w:sz w:val="20"/>
                <w:szCs w:val="20"/>
              </w:rPr>
              <w:t> </w:t>
            </w:r>
          </w:p>
        </w:tc>
        <w:tc>
          <w:tcPr>
            <w:tcW w:w="101" w:type="pct"/>
            <w:hideMark/>
          </w:tcPr>
          <w:p w:rsidR="00000000" w:rsidRDefault="00D33C21">
            <w:pPr>
              <w:pStyle w:val="a3"/>
              <w:spacing w:before="0" w:beforeAutospacing="0" w:after="0" w:afterAutospacing="0"/>
              <w:rPr>
                <w:sz w:val="20"/>
                <w:szCs w:val="20"/>
              </w:rPr>
            </w:pPr>
            <w:r>
              <w:rPr>
                <w:sz w:val="20"/>
                <w:szCs w:val="20"/>
              </w:rPr>
              <w:t> </w:t>
            </w:r>
          </w:p>
        </w:tc>
      </w:tr>
    </w:tbl>
    <w:p w:rsidR="00000000" w:rsidRDefault="00D33C21">
      <w:pPr>
        <w:pStyle w:val="a3"/>
        <w:spacing w:before="0" w:beforeAutospacing="0" w:after="0" w:afterAutospacing="0"/>
        <w:rPr>
          <w:sz w:val="12"/>
          <w:szCs w:val="12"/>
        </w:rPr>
      </w:pPr>
      <w:r>
        <w:rPr>
          <w:sz w:val="12"/>
          <w:szCs w:val="12"/>
        </w:rPr>
        <w:t> </w:t>
      </w:r>
    </w:p>
    <w:p w:rsidR="00000000" w:rsidRDefault="00D33C21">
      <w:pPr>
        <w:pStyle w:val="a3"/>
        <w:spacing w:before="0" w:beforeAutospacing="0" w:after="0" w:afterAutospacing="0"/>
        <w:ind w:firstLine="556"/>
        <w:jc w:val="both"/>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olor w:val="000000"/>
          <w:sz w:val="20"/>
          <w:szCs w:val="20"/>
          <w:shd w:val="clear" w:color="auto" w:fill="FFFFFF"/>
        </w:rPr>
        <w:t>☒</w:t>
      </w:r>
    </w:p>
    <w:p w:rsidR="00000000" w:rsidRDefault="00D33C21">
      <w:pPr>
        <w:pStyle w:val="a3"/>
        <w:spacing w:before="120" w:beforeAutospacing="0" w:after="0" w:afterAutospacing="0"/>
        <w:ind w:firstLine="556"/>
        <w:jc w:val="both"/>
        <w:rPr>
          <w:sz w:val="20"/>
          <w:szCs w:val="20"/>
        </w:rPr>
      </w:pPr>
      <w:r>
        <w:rPr>
          <w:sz w:val="20"/>
          <w:szCs w:val="20"/>
        </w:rPr>
        <w:t>Ind</w:t>
      </w:r>
      <w:r>
        <w:rPr>
          <w:sz w:val="20"/>
          <w:szCs w:val="20"/>
        </w:rPr>
        <w:t>icate by check mark whether the registrant is a shell company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olor w:val="000000"/>
          <w:sz w:val="20"/>
          <w:szCs w:val="20"/>
          <w:shd w:val="clear" w:color="auto" w:fill="FFFFFF"/>
        </w:rPr>
        <w:t>☒</w:t>
      </w:r>
    </w:p>
    <w:p w:rsidR="00000000" w:rsidRDefault="00D33C21">
      <w:pPr>
        <w:pStyle w:val="a3"/>
        <w:pBdr>
          <w:bottom w:val="double" w:sz="6" w:space="1" w:color="auto"/>
        </w:pBdr>
        <w:spacing w:before="0" w:beforeAutospacing="0" w:after="0" w:afterAutospacing="0"/>
        <w:jc w:val="center"/>
        <w:rPr>
          <w:sz w:val="20"/>
          <w:szCs w:val="20"/>
        </w:rPr>
      </w:pPr>
      <w:r>
        <w:rPr>
          <w:sz w:val="20"/>
          <w:szCs w:val="20"/>
        </w:rPr>
        <w:t>As of July 30, 2019, the registrant had 38,693,018 shares of common stock, $0.001 par value per share, outstanding.</w:t>
      </w:r>
    </w:p>
    <w:p w:rsidR="00000000" w:rsidRDefault="00D33C21">
      <w:pPr>
        <w:pStyle w:val="a3"/>
        <w:pBdr>
          <w:bottom w:val="double" w:sz="6" w:space="1" w:color="auto"/>
        </w:pBdr>
        <w:spacing w:before="0" w:beforeAutospacing="0" w:after="0" w:afterAutospacing="0"/>
        <w:jc w:val="center"/>
        <w:rPr>
          <w:sz w:val="8"/>
          <w:szCs w:val="8"/>
        </w:rPr>
      </w:pPr>
      <w:r>
        <w:rPr>
          <w:sz w:val="8"/>
          <w:szCs w:val="8"/>
        </w:rPr>
        <w:t> </w:t>
      </w:r>
    </w:p>
    <w:p w:rsidR="00000000" w:rsidRDefault="00D33C21">
      <w:pPr>
        <w:pStyle w:val="a3"/>
        <w:spacing w:before="0" w:beforeAutospacing="0" w:after="0" w:afterAutospacing="0"/>
        <w:rPr>
          <w:sz w:val="2"/>
          <w:szCs w:val="2"/>
        </w:rPr>
      </w:pPr>
      <w:r>
        <w:rPr>
          <w:sz w:val="2"/>
          <w:szCs w:val="2"/>
        </w:rPr>
        <w:t> </w:t>
      </w:r>
    </w:p>
    <w:p w:rsidR="00000000" w:rsidRDefault="00D33C21">
      <w:pPr>
        <w:pStyle w:val="a3"/>
        <w:spacing w:before="0" w:beforeAutospacing="0" w:after="0" w:afterAutospacing="0"/>
        <w:rPr>
          <w:sz w:val="2"/>
          <w:szCs w:val="2"/>
        </w:rPr>
      </w:pPr>
      <w:r>
        <w:rPr>
          <w:sz w:val="2"/>
          <w:szCs w:val="2"/>
        </w:rPr>
        <w:t> </w:t>
      </w:r>
    </w:p>
    <w:p w:rsidR="00000000" w:rsidRDefault="00D33C21">
      <w:pPr>
        <w:pStyle w:val="a3"/>
        <w:spacing w:before="0" w:beforeAutospacing="0" w:after="0" w:afterAutospacing="0"/>
        <w:rPr>
          <w:sz w:val="2"/>
          <w:szCs w:val="2"/>
        </w:rPr>
      </w:pPr>
      <w:r>
        <w:rPr>
          <w:sz w:val="2"/>
          <w:szCs w:val="2"/>
        </w:rPr>
        <w:t> </w:t>
      </w:r>
    </w:p>
    <w:p w:rsidR="00000000" w:rsidRDefault="00D33C21">
      <w:pPr>
        <w:pStyle w:val="a3"/>
        <w:spacing w:before="240" w:beforeAutospacing="0" w:after="0" w:afterAutospacing="0"/>
        <w:jc w:val="center"/>
        <w:rPr>
          <w:sz w:val="20"/>
          <w:szCs w:val="20"/>
        </w:rPr>
      </w:pPr>
      <w:r>
        <w:rPr>
          <w:sz w:val="20"/>
          <w:szCs w:val="20"/>
        </w:rPr>
        <w:t> </w:t>
      </w:r>
    </w:p>
    <w:p w:rsidR="00000000" w:rsidRDefault="00D33C21">
      <w:pPr>
        <w:rPr>
          <w:rFonts w:eastAsia="Times New Roman"/>
        </w:rPr>
      </w:pPr>
      <w:r>
        <w:rPr>
          <w:rFonts w:eastAsia="Times New Roman"/>
        </w:rPr>
        <w:pict>
          <v:rect id="_x0000_i1025" style="width:415.3pt;height:1.5pt" o:hralign="center" o:hrstd="t" o:hr="t" fillcolor="#a0a0a0" stroked="f"/>
        </w:pict>
      </w:r>
    </w:p>
    <w:p w:rsidR="00000000" w:rsidRDefault="00D33C21">
      <w:pPr>
        <w:pStyle w:val="a3"/>
        <w:spacing w:before="120" w:beforeAutospacing="0" w:after="0" w:afterAutospacing="0"/>
        <w:jc w:val="both"/>
        <w:rPr>
          <w:sz w:val="2"/>
          <w:szCs w:val="2"/>
        </w:rPr>
      </w:pPr>
      <w:r>
        <w:rPr>
          <w:sz w:val="2"/>
          <w:szCs w:val="2"/>
        </w:rPr>
        <w:t> </w: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jc w:val="center"/>
        <w:rPr>
          <w:b/>
          <w:bCs/>
          <w:sz w:val="20"/>
          <w:szCs w:val="20"/>
        </w:rPr>
      </w:pPr>
      <w:r>
        <w:rPr>
          <w:b/>
          <w:bCs/>
          <w:sz w:val="20"/>
          <w:szCs w:val="20"/>
        </w:rPr>
        <w:t>Table of Contents</w:t>
      </w:r>
    </w:p>
    <w:p w:rsidR="00000000" w:rsidRDefault="00D33C21">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657"/>
        <w:gridCol w:w="50"/>
        <w:gridCol w:w="7068"/>
        <w:gridCol w:w="178"/>
        <w:gridCol w:w="353"/>
      </w:tblGrid>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ind w:left="137"/>
              <w:rPr>
                <w:color w:val="000000"/>
                <w:sz w:val="16"/>
                <w:szCs w:val="16"/>
              </w:rPr>
            </w:pPr>
            <w:r>
              <w:rPr>
                <w:color w:val="000000"/>
                <w:sz w:val="16"/>
                <w:szCs w:val="16"/>
              </w:rPr>
              <w:t> </w:t>
            </w:r>
          </w:p>
        </w:tc>
        <w:tc>
          <w:tcPr>
            <w:tcW w:w="33" w:type="pct"/>
            <w:shd w:val="clear" w:color="auto" w:fill="FFFFFF"/>
            <w:hideMark/>
          </w:tcPr>
          <w:p w:rsidR="00000000" w:rsidRDefault="00D33C21">
            <w:pPr>
              <w:pStyle w:val="a3"/>
              <w:spacing w:before="0" w:beforeAutospacing="0" w:after="0" w:afterAutospacing="0"/>
              <w:rPr>
                <w:sz w:val="16"/>
                <w:szCs w:val="16"/>
              </w:rPr>
            </w:pPr>
            <w:r>
              <w:rPr>
                <w:sz w:val="16"/>
                <w:szCs w:val="16"/>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hideMark/>
          </w:tcPr>
          <w:p w:rsidR="00000000" w:rsidRDefault="00D33C21">
            <w:pPr>
              <w:pStyle w:val="a3"/>
              <w:spacing w:before="0" w:beforeAutospacing="0" w:after="0" w:afterAutospacing="0"/>
              <w:ind w:left="137"/>
              <w:jc w:val="center"/>
              <w:rPr>
                <w:b/>
                <w:bCs/>
                <w:sz w:val="16"/>
                <w:szCs w:val="16"/>
              </w:rPr>
            </w:pPr>
            <w:r>
              <w:rPr>
                <w:b/>
                <w:bCs/>
                <w:sz w:val="16"/>
                <w:szCs w:val="16"/>
              </w:rPr>
              <w:t> </w:t>
            </w:r>
          </w:p>
        </w:tc>
        <w:tc>
          <w:tcPr>
            <w:tcW w:w="225" w:type="pct"/>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Page</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b/>
                <w:bCs/>
                <w:color w:val="000000"/>
                <w:sz w:val="20"/>
                <w:szCs w:val="20"/>
              </w:rPr>
            </w:pPr>
            <w:r>
              <w:rPr>
                <w:b/>
                <w:bCs/>
                <w:color w:val="000000"/>
                <w:sz w:val="20"/>
                <w:szCs w:val="20"/>
              </w:rPr>
              <w:t>PART I.</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b/>
                <w:bCs/>
                <w:sz w:val="20"/>
                <w:szCs w:val="20"/>
              </w:rPr>
            </w:pPr>
            <w:hyperlink w:anchor="PART_IFINANCIAL_INFORMATION" w:history="1">
              <w:r>
                <w:rPr>
                  <w:rStyle w:val="a4"/>
                  <w:b/>
                  <w:bCs/>
                  <w:sz w:val="20"/>
                  <w:szCs w:val="20"/>
                </w:rPr>
                <w:t>FINANCIAL INFORMATION</w:t>
              </w:r>
            </w:hyperlink>
          </w:p>
        </w:tc>
        <w:tc>
          <w:tcPr>
            <w:tcW w:w="55" w:type="pct"/>
            <w:shd w:val="clear" w:color="auto" w:fill="FFFFFF"/>
            <w:hideMark/>
          </w:tcPr>
          <w:p w:rsidR="00000000" w:rsidRDefault="00D33C21">
            <w:pPr>
              <w:pStyle w:val="a3"/>
              <w:spacing w:before="0" w:beforeAutospacing="0" w:after="0" w:afterAutospacing="0"/>
              <w:jc w:val="right"/>
              <w:rPr>
                <w:sz w:val="20"/>
                <w:szCs w:val="20"/>
              </w:rPr>
            </w:pPr>
            <w:r>
              <w:rPr>
                <w:sz w:val="20"/>
                <w:szCs w:val="20"/>
              </w:rPr>
              <w:t> </w:t>
            </w:r>
          </w:p>
        </w:tc>
        <w:tc>
          <w:tcPr>
            <w:tcW w:w="225"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Item 1.</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ITEM_1_FINANCIAL_STATEMENTS" w:history="1">
              <w:r>
                <w:rPr>
                  <w:rStyle w:val="a4"/>
                  <w:sz w:val="20"/>
                  <w:szCs w:val="20"/>
                </w:rPr>
                <w:t>Financial Statements (Unaudited)</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3</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CONDENSED_CONSOLIDATED_BALANCE_SHEETS" w:history="1">
              <w:r>
                <w:rPr>
                  <w:rStyle w:val="a4"/>
                  <w:sz w:val="20"/>
                  <w:szCs w:val="20"/>
                </w:rPr>
                <w:t>Condensed Consolidated Balance Sheets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3</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CONDENSED_CONSOLIDATED_STATEMENTS_OPERA" w:history="1">
              <w:r>
                <w:rPr>
                  <w:rStyle w:val="a4"/>
                  <w:sz w:val="20"/>
                  <w:szCs w:val="20"/>
                </w:rPr>
                <w:t>Condensed Consolidated Statements of Operations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4</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ind w:left="137"/>
              <w:rPr>
                <w:sz w:val="20"/>
                <w:szCs w:val="20"/>
              </w:rPr>
            </w:pPr>
            <w:r>
              <w:rPr>
                <w:sz w:val="20"/>
                <w:szCs w:val="20"/>
              </w:rPr>
              <w:t> </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CONDENSED_CONSOLIDATED_STATEMENTS_COMPR" w:history="1">
              <w:r>
                <w:rPr>
                  <w:rStyle w:val="a4"/>
                  <w:sz w:val="20"/>
                  <w:szCs w:val="20"/>
                </w:rPr>
                <w:t>Condensed Consolidated Statements of Comprehensive Loss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5</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ind w:left="137"/>
              <w:rPr>
                <w:sz w:val="20"/>
                <w:szCs w:val="20"/>
              </w:rPr>
            </w:pPr>
            <w:r>
              <w:rPr>
                <w:sz w:val="20"/>
                <w:szCs w:val="20"/>
              </w:rPr>
              <w:t> </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CONDENSED_CONSOLIDATED_STATEMENTS_STOCK" w:history="1">
              <w:r>
                <w:rPr>
                  <w:rStyle w:val="a4"/>
                  <w:sz w:val="20"/>
                  <w:szCs w:val="20"/>
                </w:rPr>
                <w:t>Condensed Consolidated Statements of Stockholders’ Equity</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6</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CONDENSED_CONSOLIDATED_STATEMENTS_CASH_" w:history="1">
              <w:r>
                <w:rPr>
                  <w:rStyle w:val="a4"/>
                  <w:sz w:val="20"/>
                  <w:szCs w:val="20"/>
                </w:rPr>
                <w:t>Condensed Consolidated Statements of Cash Flows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7</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NOTES_TO_CONDENSED_CONSOLIDATED_FINANCI" w:history="1">
              <w:r>
                <w:rPr>
                  <w:rStyle w:val="a4"/>
                  <w:sz w:val="20"/>
                  <w:szCs w:val="20"/>
                </w:rPr>
                <w:t>Notes to Unaudited Condensed Consolidated Financial Statements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8</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Item 2.</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MANAGEMENTS_DISCUSSION_ANALYSIS" w:history="1">
              <w:r>
                <w:rPr>
                  <w:rStyle w:val="a4"/>
                  <w:sz w:val="20"/>
                  <w:szCs w:val="20"/>
                </w:rPr>
                <w:t>Management’s Discussion and Analysis of Financial Condition an</w:t>
              </w:r>
              <w:r>
                <w:rPr>
                  <w:rStyle w:val="a4"/>
                  <w:sz w:val="20"/>
                  <w:szCs w:val="20"/>
                </w:rPr>
                <w:t>d Results of Operations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18</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Item 3.</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Risk</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25</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Item 4.</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20"/>
                <w:szCs w:val="20"/>
              </w:rPr>
            </w:pPr>
            <w:hyperlink w:anchor="ITEM_4_CONTROLS_PROCEDURES" w:history="1">
              <w:r>
                <w:rPr>
                  <w:rStyle w:val="a4"/>
                  <w:sz w:val="20"/>
                  <w:szCs w:val="20"/>
                </w:rPr>
                <w:t>Controls and Procedures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25</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b/>
                <w:bCs/>
                <w:color w:val="000000"/>
                <w:sz w:val="20"/>
                <w:szCs w:val="20"/>
              </w:rPr>
            </w:pPr>
            <w:r>
              <w:rPr>
                <w:b/>
                <w:bCs/>
                <w:color w:val="000000"/>
                <w:sz w:val="20"/>
                <w:szCs w:val="20"/>
              </w:rPr>
              <w:t>PART II.</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b/>
                <w:bCs/>
                <w:sz w:val="20"/>
                <w:szCs w:val="20"/>
              </w:rPr>
            </w:pPr>
            <w:hyperlink w:anchor="PART_II_OTHER_INFORMATION" w:history="1">
              <w:r>
                <w:rPr>
                  <w:rStyle w:val="a4"/>
                  <w:b/>
                  <w:bCs/>
                  <w:sz w:val="20"/>
                  <w:szCs w:val="20"/>
                </w:rPr>
                <w:t>OTHER INFORMATION</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sz w:val="20"/>
                <w:szCs w:val="20"/>
              </w:rPr>
            </w:pPr>
            <w:r>
              <w:rPr>
                <w:sz w:val="20"/>
                <w:szCs w:val="20"/>
              </w:rPr>
              <w:t> </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Item 1.</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26</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Item 1A.</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26</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Item 2.</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58</w:t>
            </w:r>
          </w:p>
        </w:tc>
      </w:tr>
      <w:tr w:rsidR="00000000">
        <w:trPr>
          <w:divId w:val="536042983"/>
          <w:jc w:val="center"/>
        </w:trPr>
        <w:tc>
          <w:tcPr>
            <w:tcW w:w="40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Item 6.</w:t>
            </w:r>
          </w:p>
        </w:tc>
        <w:tc>
          <w:tcPr>
            <w:tcW w:w="33"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ITEM_6_EXHIBITS" w:history="1">
              <w:r>
                <w:rPr>
                  <w:rStyle w:val="a4"/>
                  <w:sz w:val="20"/>
                  <w:szCs w:val="20"/>
                </w:rPr>
                <w:t>Exhibits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59</w:t>
            </w:r>
          </w:p>
        </w:tc>
      </w:tr>
      <w:tr w:rsidR="00000000">
        <w:trPr>
          <w:divId w:val="536042983"/>
          <w:jc w:val="center"/>
        </w:trPr>
        <w:tc>
          <w:tcPr>
            <w:tcW w:w="4720" w:type="pct"/>
            <w:gridSpan w:val="3"/>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hyperlink w:anchor="SIGNATURES" w:history="1">
              <w:r>
                <w:rPr>
                  <w:rStyle w:val="a4"/>
                  <w:sz w:val="20"/>
                  <w:szCs w:val="20"/>
                </w:rPr>
                <w:t>Signatures</w:t>
              </w:r>
            </w:hyperlink>
          </w:p>
        </w:tc>
        <w:tc>
          <w:tcPr>
            <w:tcW w:w="55" w:type="pct"/>
            <w:shd w:val="clear" w:color="auto" w:fill="FFFFFF"/>
            <w:hideMark/>
          </w:tcPr>
          <w:p w:rsidR="00000000" w:rsidRDefault="00D33C2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sz w:val="20"/>
                <w:szCs w:val="20"/>
              </w:rPr>
            </w:pPr>
            <w:r>
              <w:rPr>
                <w:sz w:val="20"/>
                <w:szCs w:val="20"/>
              </w:rPr>
              <w:t> </w:t>
            </w:r>
          </w:p>
        </w:tc>
      </w:tr>
    </w:tbl>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center"/>
        <w:rPr>
          <w:sz w:val="20"/>
          <w:szCs w:val="20"/>
        </w:rPr>
      </w:pPr>
      <w:r>
        <w:rPr>
          <w:sz w:val="20"/>
          <w:szCs w:val="20"/>
        </w:rPr>
        <w:t>i</w:t>
      </w:r>
    </w:p>
    <w:p w:rsidR="00000000" w:rsidRDefault="00D33C21">
      <w:pPr>
        <w:rPr>
          <w:rFonts w:eastAsia="Times New Roman"/>
        </w:rPr>
      </w:pPr>
      <w:r>
        <w:rPr>
          <w:rFonts w:eastAsia="Times New Roman"/>
        </w:rPr>
        <w:pict>
          <v:rect id="_x0000_i1026" style="width:415.3pt;height:1.5pt" o:hralign="center" o:hrstd="t" o:hr="t" fillcolor="#a0a0a0" stroked="f"/>
        </w:pict>
      </w:r>
    </w:p>
    <w:p w:rsidR="00000000" w:rsidRDefault="00D33C21">
      <w:pPr>
        <w:pStyle w:val="a3"/>
        <w:spacing w:before="0" w:beforeAutospacing="0" w:after="0" w:afterAutospacing="0"/>
        <w:jc w:val="center"/>
        <w:rPr>
          <w:b/>
          <w:bCs/>
          <w:color w:val="000000"/>
          <w:sz w:val="20"/>
          <w:szCs w:val="20"/>
        </w:rPr>
      </w:pPr>
      <w:bookmarkStart w:id="0" w:name="_AEIOULastRenderedPageBreakAEIOU2"/>
      <w:bookmarkEnd w:id="0"/>
      <w:r>
        <w:rPr>
          <w:b/>
          <w:bCs/>
          <w:color w:val="000000"/>
          <w:sz w:val="20"/>
          <w:szCs w:val="20"/>
        </w:rPr>
        <w:t>SPECIAL NOTE REGARDING FORWARD-LOOKING STATEMENTS</w:t>
      </w:r>
    </w:p>
    <w:p w:rsidR="00000000" w:rsidRDefault="00D33C21">
      <w:pPr>
        <w:pStyle w:val="a3"/>
        <w:spacing w:before="240" w:beforeAutospacing="0" w:after="0" w:afterAutospacing="0"/>
        <w:ind w:firstLine="556"/>
        <w:jc w:val="both"/>
        <w:rPr>
          <w:color w:val="000000"/>
          <w:sz w:val="20"/>
          <w:szCs w:val="20"/>
        </w:rPr>
      </w:pPr>
      <w:r>
        <w:rPr>
          <w:color w:val="000000"/>
          <w:sz w:val="20"/>
          <w:szCs w:val="20"/>
        </w:rPr>
        <w:t>This Quarterly Report on F</w:t>
      </w:r>
      <w:r>
        <w:rPr>
          <w:color w:val="000000"/>
          <w:sz w:val="20"/>
          <w:szCs w:val="20"/>
        </w:rPr>
        <w:t>orm 10-Q contains forward-looking statements within the meaning of Section 27A of the Securities Act of 1933, as amended, and Section 21E of the Securities Exchange Act of 1934, as amended. In some cases, you can identify forward-looking statements by term</w:t>
      </w:r>
      <w:r>
        <w:rPr>
          <w:color w:val="000000"/>
          <w:sz w:val="20"/>
          <w:szCs w:val="20"/>
        </w:rPr>
        <w:t>inology such as “aim,” “anticipate,” “assume,” “believe,” “contemplate,” “continue,” “could,” “design,” “due,” “estimate,” “expect,” “goal,” “intend,” “may,” “objective,” “plan,” “predict,” “positioned,” “potential,” “seek,” “should,” “target,” “will,” “wo</w:t>
      </w:r>
      <w:r>
        <w:rPr>
          <w:color w:val="000000"/>
          <w:sz w:val="20"/>
          <w:szCs w:val="20"/>
        </w:rPr>
        <w:t>uld” and other similar expressions that are predictions of or indicate future events and future trends, or the negative of these terms or other comparable terminology. We have based these forward-looking statements largely on our current expectations and p</w:t>
      </w:r>
      <w:r>
        <w:rPr>
          <w:color w:val="000000"/>
          <w:sz w:val="20"/>
          <w:szCs w:val="20"/>
        </w:rPr>
        <w:t>rojections about future events and financial trends that we believe may affect our financial condition, results of operations, business strategy and financial needs. These forward-looking statements are subject to a number of known and unknown risks, uncer</w:t>
      </w:r>
      <w:r>
        <w:rPr>
          <w:color w:val="000000"/>
          <w:sz w:val="20"/>
          <w:szCs w:val="20"/>
        </w:rPr>
        <w:t>tainties and assumptions, including risks described in the section titled “Risk Factors” and elsewhere in this report, regarding,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the initiation, timing, progress and results of our current and future preclinical studies and clinical trials and our research and development programs;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lastRenderedPageBreak/>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 xml:space="preserve">our estimates regarding expenses, future revenue, capital requirements and needs for additional </w:t>
            </w:r>
            <w:r>
              <w:rPr>
                <w:color w:val="000000"/>
                <w:sz w:val="20"/>
                <w:szCs w:val="20"/>
              </w:rPr>
              <w:t>financing;</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our ability to identify additional novel compounds with significant commercial potential to acquire or in-license;</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our ability to successfully acquire or in-license additional drug candidates on reasonable terms;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our ability to obtain regulatory approval of our current and future drug candidates;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our expectations regarding the potential market size and the rate and degree of market acceptance of such drug candidates;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our ability to fund our working capi</w:t>
            </w:r>
            <w:r>
              <w:rPr>
                <w:color w:val="000000"/>
                <w:sz w:val="20"/>
                <w:szCs w:val="20"/>
              </w:rPr>
              <w:t>tal requirements;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the implementation of our business model and strategic plans for our business and drug candidates;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developments or disputes concerning our intellectual property or other proprietary rights;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our ability to maintain and establish collaborations or obtain additional funding;</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our expectations regarding government and third-party payor coverage and reimbursement;</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our ability to compete in the markets we serve;</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the impact of gover</w:t>
            </w:r>
            <w:r>
              <w:rPr>
                <w:color w:val="000000"/>
                <w:sz w:val="20"/>
                <w:szCs w:val="20"/>
              </w:rPr>
              <w:t>nment laws and regulations;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developments relating to our competitors and our industry; and</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the factors that may impact our financial results.</w:t>
            </w:r>
          </w:p>
        </w:tc>
      </w:tr>
    </w:tbl>
    <w:p w:rsidR="00000000" w:rsidRDefault="00D33C21">
      <w:pPr>
        <w:pStyle w:val="a3"/>
        <w:spacing w:before="240" w:beforeAutospacing="0" w:after="0" w:afterAutospacing="0"/>
        <w:ind w:firstLine="556"/>
        <w:jc w:val="both"/>
        <w:rPr>
          <w:color w:val="000000"/>
          <w:sz w:val="20"/>
          <w:szCs w:val="20"/>
        </w:rPr>
      </w:pPr>
      <w:r>
        <w:rPr>
          <w:color w:val="000000"/>
          <w:sz w:val="20"/>
          <w:szCs w:val="20"/>
        </w:rPr>
        <w:t xml:space="preserve">You should not rely upon forward-looking statements as predictions of future events.  Although we believe that the expectations reflected in the forward-looking statements are reasonable, we cannot guarantee future results, levels of activity, performance </w:t>
      </w:r>
      <w:r>
        <w:rPr>
          <w:color w:val="000000"/>
          <w:sz w:val="20"/>
          <w:szCs w:val="20"/>
        </w:rPr>
        <w:t>or achievements. Except as required by law, we are under no duty to update or revise any of the forward-looking statements, whether because of new information, future events or otherwise, after the date of this report.</w:t>
      </w:r>
    </w:p>
    <w:p w:rsidR="00000000" w:rsidRDefault="00D33C21">
      <w:pPr>
        <w:pStyle w:val="a3"/>
        <w:spacing w:before="0" w:beforeAutospacing="0" w:after="0" w:afterAutospacing="0"/>
        <w:jc w:val="both"/>
        <w:rPr>
          <w:sz w:val="20"/>
          <w:szCs w:val="20"/>
        </w:rPr>
      </w:pPr>
      <w:r>
        <w:rPr>
          <w:sz w:val="20"/>
          <w:szCs w:val="20"/>
        </w:rPr>
        <w:t> </w: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center"/>
        <w:rPr>
          <w:sz w:val="20"/>
          <w:szCs w:val="20"/>
        </w:rPr>
      </w:pPr>
      <w:r>
        <w:rPr>
          <w:sz w:val="20"/>
          <w:szCs w:val="20"/>
        </w:rPr>
        <w:t>ii</w:t>
      </w:r>
    </w:p>
    <w:p w:rsidR="00000000" w:rsidRDefault="00D33C21">
      <w:pPr>
        <w:rPr>
          <w:rFonts w:eastAsia="Times New Roman"/>
        </w:rPr>
      </w:pPr>
      <w:r>
        <w:rPr>
          <w:rFonts w:eastAsia="Times New Roman"/>
        </w:rPr>
        <w:pict>
          <v:rect id="_x0000_i1027" style="width:415.3pt;height:1.5pt" o:hralign="center" o:hrstd="t" o:hr="t" fillcolor="#a0a0a0" stroked="f"/>
        </w:pict>
      </w:r>
    </w:p>
    <w:p w:rsidR="00000000" w:rsidRDefault="00D33C21">
      <w:pPr>
        <w:pStyle w:val="a3"/>
        <w:spacing w:before="0" w:beforeAutospacing="0" w:after="0" w:afterAutospacing="0"/>
        <w:jc w:val="center"/>
        <w:rPr>
          <w:b/>
          <w:bCs/>
          <w:sz w:val="20"/>
          <w:szCs w:val="20"/>
        </w:rPr>
      </w:pPr>
      <w:bookmarkStart w:id="1" w:name="_AEIOULastRenderedPageBreakAEIOU3"/>
      <w:bookmarkStart w:id="2" w:name="PART_IFINANCIAL_INFORMATION"/>
      <w:bookmarkEnd w:id="1"/>
      <w:r>
        <w:rPr>
          <w:b/>
          <w:bCs/>
          <w:sz w:val="20"/>
          <w:szCs w:val="20"/>
        </w:rPr>
        <w:t>PART I—FINA</w:t>
      </w:r>
      <w:bookmarkEnd w:id="2"/>
      <w:r>
        <w:rPr>
          <w:b/>
          <w:bCs/>
          <w:sz w:val="20"/>
          <w:szCs w:val="20"/>
        </w:rPr>
        <w:t>NCIAL INFORMATION</w:t>
      </w:r>
    </w:p>
    <w:p w:rsidR="00000000" w:rsidRDefault="00D33C21">
      <w:pPr>
        <w:pStyle w:val="a3"/>
        <w:spacing w:before="240" w:beforeAutospacing="0" w:after="0" w:afterAutospacing="0"/>
        <w:rPr>
          <w:b/>
          <w:bCs/>
          <w:sz w:val="20"/>
          <w:szCs w:val="20"/>
        </w:rPr>
      </w:pPr>
      <w:bookmarkStart w:id="3" w:name="ITEM_1_FINANCIAL_STATEMENTS"/>
      <w:bookmarkEnd w:id="3"/>
      <w:r>
        <w:rPr>
          <w:b/>
          <w:bCs/>
          <w:sz w:val="20"/>
          <w:szCs w:val="20"/>
        </w:rPr>
        <w:t>Item 1. Financial Statements.</w:t>
      </w:r>
    </w:p>
    <w:p w:rsidR="00000000" w:rsidRDefault="00D33C21">
      <w:pPr>
        <w:pStyle w:val="a3"/>
        <w:spacing w:before="240" w:beforeAutospacing="0" w:after="0" w:afterAutospacing="0"/>
        <w:jc w:val="center"/>
        <w:rPr>
          <w:b/>
          <w:bCs/>
          <w:color w:val="000000"/>
          <w:sz w:val="20"/>
          <w:szCs w:val="20"/>
        </w:rPr>
      </w:pPr>
      <w:r>
        <w:rPr>
          <w:b/>
          <w:bCs/>
          <w:color w:val="000000"/>
          <w:sz w:val="20"/>
          <w:szCs w:val="20"/>
        </w:rPr>
        <w:t>OVID THERAPEUTICS INC.</w:t>
      </w:r>
    </w:p>
    <w:p w:rsidR="00000000" w:rsidRDefault="00D33C21">
      <w:pPr>
        <w:pStyle w:val="a3"/>
        <w:spacing w:before="0" w:beforeAutospacing="0" w:after="0" w:afterAutospacing="0"/>
        <w:jc w:val="center"/>
        <w:rPr>
          <w:b/>
          <w:bCs/>
          <w:color w:val="000000"/>
          <w:sz w:val="20"/>
          <w:szCs w:val="20"/>
        </w:rPr>
      </w:pPr>
      <w:bookmarkStart w:id="4" w:name="CONDENSED_CONSOLIDATED_BALANCE_SHEETS"/>
      <w:r>
        <w:rPr>
          <w:b/>
          <w:bCs/>
          <w:color w:val="000000"/>
          <w:sz w:val="20"/>
          <w:szCs w:val="20"/>
        </w:rPr>
        <w:t xml:space="preserve">Condensed </w:t>
      </w:r>
      <w:bookmarkEnd w:id="4"/>
      <w:r>
        <w:rPr>
          <w:b/>
          <w:bCs/>
          <w:color w:val="000000"/>
          <w:sz w:val="20"/>
          <w:szCs w:val="20"/>
        </w:rPr>
        <w:t>Consolidated Balance Sheets</w:t>
      </w:r>
    </w:p>
    <w:p w:rsidR="00000000" w:rsidRDefault="00D33C2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618"/>
        <w:gridCol w:w="65"/>
        <w:gridCol w:w="115"/>
        <w:gridCol w:w="1082"/>
        <w:gridCol w:w="82"/>
        <w:gridCol w:w="65"/>
        <w:gridCol w:w="115"/>
        <w:gridCol w:w="1082"/>
        <w:gridCol w:w="82"/>
      </w:tblGrid>
      <w:tr w:rsidR="00000000">
        <w:trPr>
          <w:divId w:val="1231308862"/>
          <w:jc w:val="center"/>
        </w:trPr>
        <w:tc>
          <w:tcPr>
            <w:tcW w:w="3660"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0"/>
                <w:szCs w:val="20"/>
              </w:rPr>
            </w:pPr>
            <w:r>
              <w:rPr>
                <w:b/>
                <w:bCs/>
                <w:color w:val="000000"/>
                <w:sz w:val="20"/>
                <w:szCs w:val="20"/>
              </w:rPr>
              <w:t>Assets</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0"/>
                <w:szCs w:val="20"/>
              </w:rPr>
            </w:pPr>
            <w:r>
              <w:rPr>
                <w:b/>
                <w:bCs/>
                <w:color w:val="000000"/>
                <w:sz w:val="20"/>
                <w:szCs w:val="20"/>
              </w:rPr>
              <w:t> </w:t>
            </w:r>
          </w:p>
        </w:tc>
        <w:tc>
          <w:tcPr>
            <w:tcW w:w="554" w:type="pct"/>
            <w:gridSpan w:val="2"/>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0"/>
                <w:szCs w:val="20"/>
              </w:rPr>
            </w:pPr>
            <w:r>
              <w:rPr>
                <w:b/>
                <w:bCs/>
                <w:color w:val="000000"/>
                <w:sz w:val="20"/>
                <w:szCs w:val="20"/>
              </w:rPr>
              <w:t>(unaudited)</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0"/>
                <w:szCs w:val="20"/>
              </w:rPr>
            </w:pPr>
            <w:r>
              <w:rPr>
                <w:b/>
                <w:bCs/>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0"/>
                <w:szCs w:val="20"/>
              </w:rPr>
            </w:pPr>
            <w:r>
              <w:rPr>
                <w:b/>
                <w:bCs/>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0"/>
                <w:szCs w:val="20"/>
              </w:rPr>
            </w:pPr>
            <w:r>
              <w:rPr>
                <w:b/>
                <w:bCs/>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Current assets:</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Cash and cash equivalents</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47,361,966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Short-term investments</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Related party receivable</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1,594,437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600,104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Prepaid expenses and other current assets</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4,650,735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2,167,391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547"/>
              <w:rPr>
                <w:color w:val="000000"/>
                <w:sz w:val="20"/>
                <w:szCs w:val="20"/>
              </w:rPr>
            </w:pPr>
            <w:bookmarkStart w:id="5" w:name="Balance_Sheet"/>
            <w:bookmarkEnd w:id="5"/>
            <w:r>
              <w:rPr>
                <w:color w:val="000000"/>
                <w:sz w:val="20"/>
                <w:szCs w:val="20"/>
              </w:rPr>
              <w:t>Total current assets</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53,607,138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44,268,147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Long-term prepaid expenses</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857,868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2,797,561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Security deposit</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113,550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122,155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Property and equipment, net</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58,775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69,867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Other assets</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270,947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391,872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821"/>
              <w:rPr>
                <w:color w:val="000000"/>
                <w:sz w:val="20"/>
                <w:szCs w:val="20"/>
              </w:rPr>
            </w:pPr>
            <w:r>
              <w:rPr>
                <w:color w:val="000000"/>
                <w:sz w:val="20"/>
                <w:szCs w:val="20"/>
              </w:rPr>
              <w:t>Total assets</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54,908,278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47,649,602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0"/>
                <w:szCs w:val="20"/>
              </w:rPr>
            </w:pPr>
            <w:r>
              <w:rPr>
                <w:b/>
                <w:bCs/>
                <w:color w:val="000000"/>
                <w:sz w:val="20"/>
                <w:szCs w:val="20"/>
              </w:rPr>
              <w:lastRenderedPageBreak/>
              <w:t>Liabilities and Stockholders' Equity</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Current liabilities:</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Accounts payable</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2,048,130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3,755,595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Accrued expenses</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7,135,687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5,088,862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547"/>
              <w:rPr>
                <w:color w:val="000000"/>
                <w:sz w:val="20"/>
                <w:szCs w:val="20"/>
              </w:rPr>
            </w:pPr>
            <w:r>
              <w:rPr>
                <w:color w:val="000000"/>
                <w:sz w:val="20"/>
                <w:szCs w:val="20"/>
              </w:rPr>
              <w:t>Total current liabilities</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9,183,817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8,844,457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Related party payable - noncurrent</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286,562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547"/>
              <w:rPr>
                <w:color w:val="000000"/>
                <w:sz w:val="20"/>
                <w:szCs w:val="20"/>
              </w:rPr>
            </w:pPr>
            <w:r>
              <w:rPr>
                <w:color w:val="000000"/>
                <w:sz w:val="20"/>
                <w:szCs w:val="20"/>
              </w:rPr>
              <w:t>Total liabilities</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9,470,379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8,844,457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547"/>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547"/>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Stockholders' equity:</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hideMark/>
          </w:tcPr>
          <w:p w:rsidR="00000000" w:rsidRDefault="00D33C21">
            <w:pPr>
              <w:pStyle w:val="a3"/>
              <w:spacing w:before="0" w:beforeAutospacing="0" w:after="0" w:afterAutospacing="0"/>
              <w:ind w:left="274"/>
              <w:rPr>
                <w:color w:val="000000"/>
                <w:sz w:val="20"/>
                <w:szCs w:val="20"/>
              </w:rPr>
            </w:pPr>
            <w:r>
              <w:rPr>
                <w:color w:val="000000"/>
                <w:sz w:val="20"/>
                <w:szCs w:val="20"/>
              </w:rPr>
              <w:t>Preferred stock, $0.001 par value; 10,000,000 shares authorized; Series A convertible preferred stock 2,500 and zero shares issued and outstanding at June 30, 2019 and December 31, 2018</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ind w:left="274"/>
              <w:rPr>
                <w:color w:val="000000"/>
                <w:sz w:val="20"/>
                <w:szCs w:val="20"/>
              </w:rPr>
            </w:pPr>
            <w:r>
              <w:rPr>
                <w:color w:val="000000"/>
                <w:sz w:val="20"/>
                <w:szCs w:val="20"/>
              </w:rPr>
              <w:t>Common stock, $0.001 par value; 125,000,000 shares authorized; 38,693,018 and 24,654,114 shares issued and outstanding at June 30, 2019 and December 31, 2018, respectively</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38,693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24,654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Additional paid-in-capital</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224,951,943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191,477,</w:t>
            </w:r>
            <w:r>
              <w:rPr>
                <w:color w:val="000000"/>
                <w:sz w:val="20"/>
                <w:szCs w:val="20"/>
              </w:rPr>
              <w:t>598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Accumulated deficit</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(179,552,740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(152,695,278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231308862"/>
          <w:jc w:val="center"/>
        </w:trPr>
        <w:tc>
          <w:tcPr>
            <w:tcW w:w="366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547"/>
              <w:rPr>
                <w:color w:val="000000"/>
                <w:sz w:val="20"/>
                <w:szCs w:val="20"/>
              </w:rPr>
            </w:pPr>
            <w:r>
              <w:rPr>
                <w:color w:val="000000"/>
                <w:sz w:val="20"/>
                <w:szCs w:val="20"/>
              </w:rPr>
              <w:t>Total stockholders' equity</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45,437,899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38,805,145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31308862"/>
          <w:jc w:val="center"/>
        </w:trPr>
        <w:tc>
          <w:tcPr>
            <w:tcW w:w="366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821"/>
              <w:rPr>
                <w:color w:val="000000"/>
                <w:sz w:val="20"/>
                <w:szCs w:val="20"/>
              </w:rPr>
            </w:pPr>
            <w:r>
              <w:rPr>
                <w:color w:val="000000"/>
                <w:sz w:val="20"/>
                <w:szCs w:val="20"/>
              </w:rPr>
              <w:t>Total liabilities and stockholders' equity</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54,908,278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47,649,602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4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center"/>
        <w:rPr>
          <w:sz w:val="20"/>
          <w:szCs w:val="20"/>
        </w:rPr>
      </w:pPr>
      <w:r>
        <w:rPr>
          <w:sz w:val="20"/>
          <w:szCs w:val="20"/>
        </w:rPr>
        <w:t>3</w:t>
      </w:r>
    </w:p>
    <w:p w:rsidR="00000000" w:rsidRDefault="00D33C21">
      <w:pPr>
        <w:rPr>
          <w:rFonts w:eastAsia="Times New Roman"/>
        </w:rPr>
      </w:pPr>
      <w:r>
        <w:rPr>
          <w:rFonts w:eastAsia="Times New Roman"/>
        </w:rPr>
        <w:pict>
          <v:rect id="_x0000_i1028"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jc w:val="center"/>
        <w:rPr>
          <w:b/>
          <w:bCs/>
          <w:color w:val="000000"/>
          <w:sz w:val="20"/>
          <w:szCs w:val="20"/>
        </w:rPr>
      </w:pPr>
      <w:bookmarkStart w:id="6" w:name="_AEIOULastRenderedPageBreakAEIOU4"/>
      <w:bookmarkEnd w:id="6"/>
      <w:r>
        <w:rPr>
          <w:b/>
          <w:bCs/>
          <w:color w:val="000000"/>
          <w:sz w:val="20"/>
          <w:szCs w:val="20"/>
        </w:rPr>
        <w:t>OVID THERAPEUTICS INC.</w:t>
      </w:r>
    </w:p>
    <w:p w:rsidR="00000000" w:rsidRDefault="00D33C21">
      <w:pPr>
        <w:pStyle w:val="a3"/>
        <w:spacing w:before="0" w:beforeAutospacing="0" w:after="0" w:afterAutospacing="0"/>
        <w:jc w:val="center"/>
        <w:rPr>
          <w:b/>
          <w:bCs/>
          <w:color w:val="000000"/>
          <w:sz w:val="20"/>
          <w:szCs w:val="20"/>
        </w:rPr>
      </w:pPr>
      <w:bookmarkStart w:id="7" w:name="CONDENSED_CONSOLIDATED_STATEMENTS_OPERAT"/>
      <w:r>
        <w:rPr>
          <w:b/>
          <w:bCs/>
          <w:color w:val="000000"/>
          <w:sz w:val="20"/>
          <w:szCs w:val="20"/>
        </w:rPr>
        <w:t xml:space="preserve">Condensed Consolidated </w:t>
      </w:r>
      <w:bookmarkEnd w:id="7"/>
      <w:r>
        <w:rPr>
          <w:b/>
          <w:bCs/>
          <w:color w:val="000000"/>
          <w:sz w:val="20"/>
          <w:szCs w:val="20"/>
        </w:rPr>
        <w:t xml:space="preserve">Statements of Operations </w:t>
      </w:r>
    </w:p>
    <w:p w:rsidR="00000000" w:rsidRDefault="00D33C21">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D33C2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778"/>
        <w:gridCol w:w="203"/>
        <w:gridCol w:w="115"/>
        <w:gridCol w:w="982"/>
        <w:gridCol w:w="82"/>
        <w:gridCol w:w="203"/>
        <w:gridCol w:w="115"/>
        <w:gridCol w:w="982"/>
        <w:gridCol w:w="82"/>
        <w:gridCol w:w="203"/>
        <w:gridCol w:w="115"/>
        <w:gridCol w:w="982"/>
        <w:gridCol w:w="82"/>
        <w:gridCol w:w="203"/>
        <w:gridCol w:w="115"/>
        <w:gridCol w:w="982"/>
        <w:gridCol w:w="82"/>
      </w:tblGrid>
      <w:tr w:rsidR="00000000">
        <w:trPr>
          <w:divId w:val="184445892"/>
          <w:jc w:val="center"/>
        </w:trPr>
        <w:tc>
          <w:tcPr>
            <w:tcW w:w="252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sz w:val="20"/>
                <w:szCs w:val="20"/>
              </w:rPr>
            </w:pPr>
            <w:bookmarkStart w:id="8" w:name="Statement_of_Operations"/>
            <w:bookmarkEnd w:id="8"/>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2"/>
                <w:szCs w:val="22"/>
              </w:rPr>
            </w:pPr>
            <w:r>
              <w:rPr>
                <w:color w:val="000000"/>
                <w:sz w:val="22"/>
                <w:szCs w:val="22"/>
              </w:rPr>
              <w:t> </w:t>
            </w:r>
          </w:p>
        </w:tc>
        <w:tc>
          <w:tcPr>
            <w:tcW w:w="51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For the Three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1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For the Three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2"/>
                <w:szCs w:val="22"/>
              </w:rPr>
            </w:pPr>
            <w:r>
              <w:rPr>
                <w:color w:val="000000"/>
                <w:sz w:val="22"/>
                <w:szCs w:val="22"/>
              </w:rPr>
              <w:t> </w:t>
            </w:r>
          </w:p>
        </w:tc>
        <w:tc>
          <w:tcPr>
            <w:tcW w:w="51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For the Six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1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For the Six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84445892"/>
          <w:jc w:val="center"/>
        </w:trPr>
        <w:tc>
          <w:tcPr>
            <w:tcW w:w="252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84445892"/>
          <w:jc w:val="center"/>
        </w:trPr>
        <w:tc>
          <w:tcPr>
            <w:tcW w:w="2529"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Operating expenses:</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84445892"/>
          <w:jc w:val="center"/>
        </w:trPr>
        <w:tc>
          <w:tcPr>
            <w:tcW w:w="252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Research and development</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9,117,495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8,116,385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18,454,804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16,590,942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84445892"/>
          <w:jc w:val="center"/>
        </w:trPr>
        <w:tc>
          <w:tcPr>
            <w:tcW w:w="2529"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General and administrative</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4,204,771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5,093,311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8,920,999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10,048,615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84445892"/>
          <w:jc w:val="center"/>
        </w:trPr>
        <w:tc>
          <w:tcPr>
            <w:tcW w:w="252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547"/>
              <w:rPr>
                <w:color w:val="000000"/>
                <w:sz w:val="20"/>
                <w:szCs w:val="20"/>
              </w:rPr>
            </w:pPr>
            <w:r>
              <w:rPr>
                <w:color w:val="000000"/>
                <w:sz w:val="20"/>
                <w:szCs w:val="20"/>
              </w:rPr>
              <w:t>Total operating expenses</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13,322,266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13,209,696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27,375,803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26,639,557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84445892"/>
          <w:jc w:val="center"/>
        </w:trPr>
        <w:tc>
          <w:tcPr>
            <w:tcW w:w="2529"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Loss from operations</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(13,322,266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(13,209,696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(27,375,803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(26,639,557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84445892"/>
          <w:jc w:val="center"/>
        </w:trPr>
        <w:tc>
          <w:tcPr>
            <w:tcW w:w="252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Interest income</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264,999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274,556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518,341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521,662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84445892"/>
          <w:jc w:val="center"/>
        </w:trPr>
        <w:tc>
          <w:tcPr>
            <w:tcW w:w="2529"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Net loss</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(13,057,267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(12,935,140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(26,857,462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(26,117,895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84445892"/>
          <w:jc w:val="center"/>
        </w:trPr>
        <w:tc>
          <w:tcPr>
            <w:tcW w:w="252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Net loss attributable to common stockholders</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(13,057,267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(12,935,140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(26,857,462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(26,117,895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84445892"/>
          <w:jc w:val="center"/>
        </w:trPr>
        <w:tc>
          <w:tcPr>
            <w:tcW w:w="2529"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Net loss per share attributable to common stockholders, basic</w:t>
            </w:r>
          </w:p>
          <w:p w:rsidR="00000000" w:rsidRDefault="00D33C21">
            <w:pPr>
              <w:pStyle w:val="a3"/>
              <w:spacing w:before="0" w:beforeAutospacing="0" w:after="0" w:afterAutospacing="0"/>
              <w:rPr>
                <w:color w:val="000000"/>
                <w:sz w:val="20"/>
                <w:szCs w:val="20"/>
              </w:rPr>
            </w:pPr>
            <w:r>
              <w:rPr>
                <w:color w:val="000000"/>
                <w:sz w:val="20"/>
                <w:szCs w:val="20"/>
              </w:rPr>
              <w:t>   and diluted</w:t>
            </w:r>
          </w:p>
        </w:tc>
        <w:tc>
          <w:tcPr>
            <w:tcW w:w="55"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(0.34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(0.53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(0.78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84445892"/>
          <w:jc w:val="center"/>
        </w:trPr>
        <w:tc>
          <w:tcPr>
            <w:tcW w:w="2529"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Weighted-average common shares outstanding basic and diluted</w:t>
            </w:r>
          </w:p>
        </w:tc>
        <w:tc>
          <w:tcPr>
            <w:tcW w:w="55"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38,693,018</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24,625,966</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34,534,432</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24,617,555</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D33C21">
      <w:pPr>
        <w:pStyle w:val="a3"/>
        <w:spacing w:before="240" w:beforeAutospacing="0" w:after="0" w:afterAutospacing="0"/>
        <w:jc w:val="center"/>
        <w:rPr>
          <w:sz w:val="20"/>
          <w:szCs w:val="20"/>
        </w:rPr>
      </w:pPr>
      <w:r>
        <w:rPr>
          <w:sz w:val="20"/>
          <w:szCs w:val="20"/>
        </w:rPr>
        <w:t>4</w:t>
      </w:r>
    </w:p>
    <w:p w:rsidR="00000000" w:rsidRDefault="00D33C21">
      <w:pPr>
        <w:rPr>
          <w:rFonts w:eastAsia="Times New Roman"/>
        </w:rPr>
      </w:pPr>
      <w:r>
        <w:rPr>
          <w:rFonts w:eastAsia="Times New Roman"/>
        </w:rPr>
        <w:pict>
          <v:rect id="_x0000_i1029"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jc w:val="center"/>
        <w:rPr>
          <w:b/>
          <w:bCs/>
          <w:color w:val="000000"/>
          <w:sz w:val="20"/>
          <w:szCs w:val="20"/>
        </w:rPr>
      </w:pPr>
      <w:bookmarkStart w:id="9" w:name="_AEIOULastRenderedPageBreakAEIOU5"/>
      <w:bookmarkEnd w:id="9"/>
      <w:r>
        <w:rPr>
          <w:b/>
          <w:bCs/>
          <w:color w:val="000000"/>
          <w:sz w:val="20"/>
          <w:szCs w:val="20"/>
        </w:rPr>
        <w:lastRenderedPageBreak/>
        <w:t>OVID THERAPEUTICS INC.</w:t>
      </w:r>
    </w:p>
    <w:p w:rsidR="00000000" w:rsidRDefault="00D33C21">
      <w:pPr>
        <w:pStyle w:val="a3"/>
        <w:spacing w:before="0" w:beforeAutospacing="0" w:after="0" w:afterAutospacing="0"/>
        <w:jc w:val="center"/>
        <w:rPr>
          <w:b/>
          <w:bCs/>
          <w:color w:val="000000"/>
          <w:sz w:val="20"/>
          <w:szCs w:val="20"/>
        </w:rPr>
      </w:pPr>
      <w:bookmarkStart w:id="10" w:name="CONDENSED_CONSOLIDATED_STATEMENTS_COMPRE"/>
      <w:r>
        <w:rPr>
          <w:b/>
          <w:bCs/>
          <w:color w:val="000000"/>
          <w:sz w:val="20"/>
          <w:szCs w:val="20"/>
        </w:rPr>
        <w:t xml:space="preserve">Condensed Consolidated </w:t>
      </w:r>
      <w:bookmarkEnd w:id="10"/>
      <w:r>
        <w:rPr>
          <w:b/>
          <w:bCs/>
          <w:color w:val="000000"/>
          <w:sz w:val="20"/>
          <w:szCs w:val="20"/>
        </w:rPr>
        <w:t xml:space="preserve">Statements of Comprehensive </w:t>
      </w:r>
      <w:r>
        <w:rPr>
          <w:b/>
          <w:bCs/>
          <w:color w:val="000000"/>
          <w:sz w:val="20"/>
          <w:szCs w:val="20"/>
        </w:rPr>
        <w:t>Loss</w:t>
      </w:r>
    </w:p>
    <w:p w:rsidR="00000000" w:rsidRDefault="00D33C21">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D33C21">
      <w:pPr>
        <w:pStyle w:val="a3"/>
        <w:spacing w:before="0" w:beforeAutospacing="0" w:after="0" w:afterAutospacing="0"/>
        <w:rPr>
          <w:sz w:val="20"/>
          <w:szCs w:val="20"/>
        </w:rPr>
      </w:pPr>
      <w:bookmarkStart w:id="11" w:name="Statement_of_Operations_and_Comprehensiv"/>
      <w:bookmarkEnd w:id="11"/>
      <w:r>
        <w:rPr>
          <w:sz w:val="20"/>
          <w:szCs w:val="20"/>
        </w:rPr>
        <w:t> </w:t>
      </w:r>
    </w:p>
    <w:tbl>
      <w:tblPr>
        <w:tblW w:w="5000" w:type="pct"/>
        <w:jc w:val="center"/>
        <w:tblCellMar>
          <w:left w:w="0" w:type="dxa"/>
          <w:right w:w="0" w:type="dxa"/>
        </w:tblCellMar>
        <w:tblLook w:val="04A0" w:firstRow="1" w:lastRow="0" w:firstColumn="1" w:lastColumn="0" w:noHBand="0" w:noVBand="1"/>
      </w:tblPr>
      <w:tblGrid>
        <w:gridCol w:w="3325"/>
        <w:gridCol w:w="70"/>
        <w:gridCol w:w="115"/>
        <w:gridCol w:w="982"/>
        <w:gridCol w:w="82"/>
        <w:gridCol w:w="65"/>
        <w:gridCol w:w="115"/>
        <w:gridCol w:w="982"/>
        <w:gridCol w:w="82"/>
        <w:gridCol w:w="65"/>
        <w:gridCol w:w="115"/>
        <w:gridCol w:w="982"/>
        <w:gridCol w:w="82"/>
        <w:gridCol w:w="65"/>
        <w:gridCol w:w="115"/>
        <w:gridCol w:w="982"/>
        <w:gridCol w:w="82"/>
      </w:tblGrid>
      <w:tr w:rsidR="00000000">
        <w:trPr>
          <w:divId w:val="1432895245"/>
          <w:jc w:val="center"/>
        </w:trPr>
        <w:tc>
          <w:tcPr>
            <w:tcW w:w="252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2"/>
                <w:szCs w:val="22"/>
              </w:rPr>
            </w:pPr>
            <w:r>
              <w:rPr>
                <w:color w:val="000000"/>
                <w:sz w:val="22"/>
                <w:szCs w:val="22"/>
              </w:rPr>
              <w:t> </w:t>
            </w:r>
          </w:p>
        </w:tc>
        <w:tc>
          <w:tcPr>
            <w:tcW w:w="51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For the Three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1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For the Three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For the Six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1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For the Six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432895245"/>
          <w:jc w:val="center"/>
        </w:trPr>
        <w:tc>
          <w:tcPr>
            <w:tcW w:w="252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432895245"/>
          <w:jc w:val="center"/>
        </w:trPr>
        <w:tc>
          <w:tcPr>
            <w:tcW w:w="2529"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Net loss</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(13,057,267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(12,935,140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(26,857,462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(26,117,895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432895245"/>
          <w:jc w:val="center"/>
        </w:trPr>
        <w:tc>
          <w:tcPr>
            <w:tcW w:w="252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Other comprehensive loss:</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432895245"/>
          <w:jc w:val="center"/>
        </w:trPr>
        <w:tc>
          <w:tcPr>
            <w:tcW w:w="2529"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Unrealized (loss) gain on available-for-sale securities</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(1,350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19,892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(16,022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432895245"/>
          <w:jc w:val="center"/>
        </w:trPr>
        <w:tc>
          <w:tcPr>
            <w:tcW w:w="252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Comprehensive loss</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(13,058,617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(12,915,248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(26,855,633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(26,133,917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bl>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D33C21">
      <w:pPr>
        <w:pStyle w:val="a3"/>
        <w:spacing w:before="0" w:beforeAutospacing="0" w:after="0" w:afterAutospacing="0"/>
        <w:rPr>
          <w:sz w:val="20"/>
          <w:szCs w:val="20"/>
        </w:rPr>
      </w:pPr>
    </w:p>
    <w:p w:rsidR="00000000" w:rsidRDefault="00D33C21">
      <w:pPr>
        <w:pStyle w:val="a3"/>
        <w:spacing w:before="240" w:beforeAutospacing="0" w:after="0" w:afterAutospacing="0"/>
        <w:jc w:val="center"/>
        <w:rPr>
          <w:sz w:val="20"/>
          <w:szCs w:val="20"/>
        </w:rPr>
      </w:pPr>
      <w:r>
        <w:rPr>
          <w:sz w:val="20"/>
          <w:szCs w:val="20"/>
        </w:rPr>
        <w:t>5</w:t>
      </w:r>
    </w:p>
    <w:p w:rsidR="00000000" w:rsidRDefault="00D33C21">
      <w:pPr>
        <w:rPr>
          <w:rFonts w:eastAsia="Times New Roman"/>
        </w:rPr>
      </w:pPr>
      <w:r>
        <w:rPr>
          <w:rFonts w:eastAsia="Times New Roman"/>
        </w:rPr>
        <w:pict>
          <v:rect id="_x0000_i1030"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jc w:val="center"/>
        <w:rPr>
          <w:sz w:val="20"/>
          <w:szCs w:val="20"/>
        </w:rPr>
      </w:pPr>
      <w:r>
        <w:rPr>
          <w:sz w:val="20"/>
          <w:szCs w:val="20"/>
        </w:rPr>
        <w:t> </w:t>
      </w:r>
    </w:p>
    <w:p w:rsidR="00000000" w:rsidRDefault="00D33C21">
      <w:pPr>
        <w:pStyle w:val="a3"/>
        <w:spacing w:before="0" w:beforeAutospacing="0" w:after="0" w:afterAutospacing="0"/>
        <w:jc w:val="center"/>
        <w:rPr>
          <w:b/>
          <w:bCs/>
          <w:color w:val="000000"/>
          <w:sz w:val="20"/>
          <w:szCs w:val="20"/>
        </w:rPr>
      </w:pPr>
      <w:r>
        <w:rPr>
          <w:b/>
          <w:bCs/>
          <w:color w:val="000000"/>
          <w:sz w:val="20"/>
          <w:szCs w:val="20"/>
        </w:rPr>
        <w:t>OVID THERAPEUTICS INC.</w:t>
      </w:r>
    </w:p>
    <w:p w:rsidR="00000000" w:rsidRDefault="00D33C21">
      <w:pPr>
        <w:pStyle w:val="a3"/>
        <w:spacing w:before="0" w:beforeAutospacing="0" w:after="0" w:afterAutospacing="0"/>
        <w:jc w:val="center"/>
        <w:rPr>
          <w:b/>
          <w:bCs/>
          <w:color w:val="000000"/>
          <w:sz w:val="20"/>
          <w:szCs w:val="20"/>
        </w:rPr>
      </w:pPr>
      <w:bookmarkStart w:id="12" w:name="CONDENSED_CONSOLIDATED_STATEMENTS_STOCKH"/>
      <w:bookmarkEnd w:id="12"/>
      <w:r>
        <w:rPr>
          <w:b/>
          <w:bCs/>
          <w:color w:val="000000"/>
          <w:sz w:val="20"/>
          <w:szCs w:val="20"/>
        </w:rPr>
        <w:t>Condensed Consolidated Statements of Stockholders’ Equity</w:t>
      </w:r>
    </w:p>
    <w:p w:rsidR="00000000" w:rsidRDefault="00D33C21">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D33C2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984"/>
        <w:gridCol w:w="70"/>
        <w:gridCol w:w="118"/>
        <w:gridCol w:w="377"/>
        <w:gridCol w:w="86"/>
        <w:gridCol w:w="150"/>
        <w:gridCol w:w="206"/>
        <w:gridCol w:w="370"/>
        <w:gridCol w:w="70"/>
        <w:gridCol w:w="70"/>
        <w:gridCol w:w="70"/>
        <w:gridCol w:w="735"/>
        <w:gridCol w:w="70"/>
        <w:gridCol w:w="70"/>
        <w:gridCol w:w="96"/>
        <w:gridCol w:w="484"/>
        <w:gridCol w:w="70"/>
        <w:gridCol w:w="70"/>
        <w:gridCol w:w="95"/>
        <w:gridCol w:w="815"/>
        <w:gridCol w:w="70"/>
        <w:gridCol w:w="70"/>
        <w:gridCol w:w="125"/>
        <w:gridCol w:w="957"/>
        <w:gridCol w:w="70"/>
        <w:gridCol w:w="70"/>
        <w:gridCol w:w="95"/>
        <w:gridCol w:w="869"/>
        <w:gridCol w:w="70"/>
        <w:gridCol w:w="70"/>
        <w:gridCol w:w="95"/>
        <w:gridCol w:w="789"/>
        <w:gridCol w:w="70"/>
      </w:tblGrid>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sz w:val="20"/>
                <w:szCs w:val="20"/>
              </w:rPr>
            </w:pPr>
            <w:r>
              <w:rPr>
                <w:sz w:val="20"/>
                <w:szCs w:val="20"/>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15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2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26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3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15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2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26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3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2"/>
                <w:szCs w:val="22"/>
              </w:rPr>
            </w:pPr>
            <w:r>
              <w:rPr>
                <w:b/>
                <w:bCs/>
                <w:color w:val="000000"/>
                <w:sz w:val="22"/>
                <w:szCs w:val="22"/>
              </w:rPr>
              <w:t> </w:t>
            </w:r>
          </w:p>
        </w:tc>
      </w:tr>
      <w:tr w:rsidR="00000000">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48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Convertible Preferred Stock</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75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36"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D33C21">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36"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D33C21">
            <w:pPr>
              <w:pStyle w:val="a3"/>
              <w:spacing w:before="0" w:beforeAutospacing="0" w:after="0" w:afterAutospacing="0"/>
              <w:jc w:val="center"/>
              <w:rPr>
                <w:b/>
                <w:bCs/>
                <w:color w:val="000000"/>
                <w:sz w:val="16"/>
                <w:szCs w:val="16"/>
              </w:rPr>
            </w:pPr>
            <w:r>
              <w:rPr>
                <w:b/>
                <w:bCs/>
                <w:color w:val="000000"/>
                <w:sz w:val="16"/>
                <w:szCs w:val="16"/>
              </w:rPr>
              <w:t>Other</w:t>
            </w:r>
          </w:p>
          <w:p w:rsidR="00000000" w:rsidRDefault="00D33C21">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1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20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13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3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31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3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3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Income/(Loss)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3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Balance, December 31, 2018</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24,654,114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26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24,654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191,477,598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(1,829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36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(152,695,278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38,805,145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Proceeds from February Offering, net of underwriting costs and commissions</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2,500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13,993,778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13,994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30,508,031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30,522,028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Stock-based compensation expense</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1,642,540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1,642,540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Issuance of common stock from ESPP purchase</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45,126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45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bookmarkStart w:id="13" w:name="Statement_of_Stocholders_Equity"/>
            <w:bookmarkEnd w:id="13"/>
            <w:r>
              <w:rPr>
                <w:color w:val="000000"/>
                <w:sz w:val="16"/>
                <w:szCs w:val="16"/>
              </w:rPr>
              <w:t>73,059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73,104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Other comprehensive gain</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3,179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3,179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Net loss</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(13,800,195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(13,800,195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Balance, March 31, 2019</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2,500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38,693,018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38,693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223,701,228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1,350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(166,495,473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57,245,801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Underwriting costs of February Offering</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(1,193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(1,193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Stock-based compensation expense</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1,251,908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1,251,908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Other comprehensive loss</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(1,350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(1,350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Net loss</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(13,057,267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(13,057,267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lastRenderedPageBreak/>
              <w:t>Balance, June 30, 2019</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2,500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38,693,018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38,693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224,951,943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(179,552,740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45,437,899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15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8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2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26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3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r>
      <w:tr w:rsidR="00000000">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48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Convertible Preferred Stock</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75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36"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D33C21">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36"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D33C21">
            <w:pPr>
              <w:pStyle w:val="a3"/>
              <w:spacing w:before="0" w:beforeAutospacing="0" w:after="0" w:afterAutospacing="0"/>
              <w:jc w:val="center"/>
              <w:rPr>
                <w:b/>
                <w:bCs/>
                <w:color w:val="000000"/>
                <w:sz w:val="16"/>
                <w:szCs w:val="16"/>
              </w:rPr>
            </w:pPr>
            <w:r>
              <w:rPr>
                <w:b/>
                <w:bCs/>
                <w:color w:val="000000"/>
                <w:sz w:val="16"/>
                <w:szCs w:val="16"/>
              </w:rPr>
              <w:t>Other</w:t>
            </w:r>
          </w:p>
          <w:p w:rsidR="00000000" w:rsidRDefault="00D33C21">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1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20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13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3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31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3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3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Income/(Loss)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43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Balance, December 31, 2017</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24,606,256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26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24,606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184,127,565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36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(100,715,668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83,436,503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Stock-based compensation expense</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1,794,967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1,794,967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Issuance of common stock from exercise of stock options</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1,751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12,676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12,678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Issuance of common stock from ESPP purchase</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9,972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62,713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62,723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Other comprehensive loss</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(35,914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(35,914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Net loss</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(13,182,758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(13,182,758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Balance, March, 31, 2018</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24,617,979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24,618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185,997,921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(35,914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(113,898,426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72,088,199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Stock-based compensation expense</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1,844,205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1,844,205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Issuance of common stock from exercise of stock options</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13,993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98,687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98,701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Other comprehensive gain</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19,892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19,892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D33C21">
        <w:trPr>
          <w:divId w:val="1677730864"/>
          <w:jc w:val="center"/>
        </w:trPr>
        <w:tc>
          <w:tcPr>
            <w:tcW w:w="12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Net loss</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(12,935,140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(12,935,140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r>
      <w:tr w:rsidR="00D33C21">
        <w:trPr>
          <w:divId w:val="1677730864"/>
          <w:jc w:val="center"/>
        </w:trPr>
        <w:tc>
          <w:tcPr>
            <w:tcW w:w="12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Balance, June 30, 2018</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5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24,631,972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6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24,632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187,940,813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(16,022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(126,833,566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w:t>
            </w:r>
          </w:p>
        </w:tc>
        <w:tc>
          <w:tcPr>
            <w:tcW w:w="8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38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6"/>
                <w:szCs w:val="16"/>
              </w:rPr>
            </w:pPr>
            <w:r>
              <w:rPr>
                <w:color w:val="000000"/>
                <w:sz w:val="16"/>
                <w:szCs w:val="16"/>
              </w:rPr>
              <w:t>61,115,857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jc w:val="center"/>
        <w:rPr>
          <w:sz w:val="20"/>
          <w:szCs w:val="20"/>
        </w:rPr>
      </w:pPr>
      <w:r>
        <w:rPr>
          <w:sz w:val="20"/>
          <w:szCs w:val="20"/>
        </w:rPr>
        <w:t> </w:t>
      </w:r>
    </w:p>
    <w:p w:rsidR="00000000" w:rsidRDefault="00D33C21">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D33C21">
      <w:pPr>
        <w:pStyle w:val="a3"/>
        <w:spacing w:before="240" w:beforeAutospacing="0" w:after="0" w:afterAutospacing="0"/>
        <w:jc w:val="center"/>
        <w:rPr>
          <w:sz w:val="20"/>
          <w:szCs w:val="20"/>
        </w:rPr>
      </w:pPr>
      <w:r>
        <w:rPr>
          <w:sz w:val="20"/>
          <w:szCs w:val="20"/>
        </w:rPr>
        <w:t>6</w:t>
      </w:r>
    </w:p>
    <w:p w:rsidR="00000000" w:rsidRDefault="00D33C21">
      <w:pPr>
        <w:rPr>
          <w:rFonts w:eastAsia="Times New Roman"/>
        </w:rPr>
      </w:pPr>
      <w:r>
        <w:rPr>
          <w:rFonts w:eastAsia="Times New Roman"/>
        </w:rPr>
        <w:pict>
          <v:rect id="_x0000_i1031"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jc w:val="center"/>
        <w:rPr>
          <w:b/>
          <w:bCs/>
          <w:color w:val="000000"/>
          <w:sz w:val="20"/>
          <w:szCs w:val="20"/>
        </w:rPr>
      </w:pPr>
      <w:bookmarkStart w:id="14" w:name="_AEIOULastRenderedPageBreakAEIOU6"/>
      <w:bookmarkEnd w:id="14"/>
      <w:r>
        <w:rPr>
          <w:b/>
          <w:bCs/>
          <w:color w:val="000000"/>
          <w:sz w:val="20"/>
          <w:szCs w:val="20"/>
        </w:rPr>
        <w:t>OVID THERAPEUTICS INC.</w:t>
      </w:r>
    </w:p>
    <w:p w:rsidR="00000000" w:rsidRDefault="00D33C21">
      <w:pPr>
        <w:pStyle w:val="a3"/>
        <w:spacing w:before="0" w:beforeAutospacing="0" w:after="0" w:afterAutospacing="0"/>
        <w:jc w:val="center"/>
        <w:rPr>
          <w:b/>
          <w:bCs/>
          <w:color w:val="000000"/>
          <w:sz w:val="20"/>
          <w:szCs w:val="20"/>
        </w:rPr>
      </w:pPr>
      <w:bookmarkStart w:id="15" w:name="CONDENSED_CONSOLIDATED_STATEMENTS_CASH_F"/>
      <w:r>
        <w:rPr>
          <w:b/>
          <w:bCs/>
          <w:color w:val="000000"/>
          <w:sz w:val="20"/>
          <w:szCs w:val="20"/>
        </w:rPr>
        <w:t xml:space="preserve">Condensed Consolidated </w:t>
      </w:r>
      <w:bookmarkEnd w:id="15"/>
      <w:r>
        <w:rPr>
          <w:b/>
          <w:bCs/>
          <w:color w:val="000000"/>
          <w:sz w:val="20"/>
          <w:szCs w:val="20"/>
        </w:rPr>
        <w:t>Statements of Cash Flows</w:t>
      </w:r>
    </w:p>
    <w:p w:rsidR="00000000" w:rsidRDefault="00D33C21">
      <w:pPr>
        <w:pStyle w:val="a3"/>
        <w:spacing w:before="0" w:beforeAutospacing="0" w:after="0" w:afterAutospacing="0"/>
        <w:jc w:val="center"/>
        <w:rPr>
          <w:b/>
          <w:bCs/>
          <w:color w:val="000000"/>
          <w:sz w:val="20"/>
          <w:szCs w:val="20"/>
        </w:rPr>
      </w:pPr>
      <w:r>
        <w:rPr>
          <w:b/>
          <w:bCs/>
          <w:color w:val="000000"/>
          <w:sz w:val="20"/>
          <w:szCs w:val="20"/>
        </w:rPr>
        <w:t>(un</w:t>
      </w:r>
      <w:r>
        <w:rPr>
          <w:b/>
          <w:bCs/>
          <w:color w:val="000000"/>
          <w:sz w:val="20"/>
          <w:szCs w:val="20"/>
        </w:rPr>
        <w:t>audited)</w:t>
      </w:r>
    </w:p>
    <w:p w:rsidR="00000000" w:rsidRDefault="00D33C2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320"/>
        <w:gridCol w:w="124"/>
        <w:gridCol w:w="115"/>
        <w:gridCol w:w="1157"/>
        <w:gridCol w:w="82"/>
        <w:gridCol w:w="117"/>
        <w:gridCol w:w="115"/>
        <w:gridCol w:w="1194"/>
        <w:gridCol w:w="82"/>
      </w:tblGrid>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75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775"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75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77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Cash flows from operating activities:</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Net loss</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70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(26,857,462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72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(26,117,895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Adjustments to reconcile net loss to cash used in operating activities:</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547"/>
              <w:rPr>
                <w:color w:val="000000"/>
                <w:sz w:val="20"/>
                <w:szCs w:val="20"/>
              </w:rPr>
            </w:pPr>
            <w:r>
              <w:rPr>
                <w:color w:val="000000"/>
                <w:sz w:val="20"/>
                <w:szCs w:val="20"/>
              </w:rPr>
              <w:t>Stock-based compensation expense</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2,894,448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3,639,173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547"/>
              <w:rPr>
                <w:color w:val="000000"/>
                <w:sz w:val="20"/>
                <w:szCs w:val="20"/>
              </w:rPr>
            </w:pPr>
            <w:r>
              <w:rPr>
                <w:color w:val="000000"/>
                <w:sz w:val="20"/>
                <w:szCs w:val="20"/>
              </w:rPr>
              <w:t>Depreciation and amortization expense</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145,797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51,692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547"/>
              <w:rPr>
                <w:color w:val="000000"/>
                <w:sz w:val="20"/>
                <w:szCs w:val="20"/>
              </w:rPr>
            </w:pPr>
            <w:r>
              <w:rPr>
                <w:color w:val="000000"/>
                <w:sz w:val="20"/>
                <w:szCs w:val="20"/>
              </w:rPr>
              <w:t>Change in accrued interest and accretion of discount on short-term investments</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bookmarkStart w:id="16" w:name="Statements_of_Cash_Flow"/>
            <w:bookmarkEnd w:id="16"/>
            <w:r>
              <w:rPr>
                <w:color w:val="000000"/>
                <w:sz w:val="20"/>
                <w:szCs w:val="20"/>
              </w:rPr>
              <w:t>12,863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(60,341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547"/>
              <w:rPr>
                <w:color w:val="000000"/>
                <w:sz w:val="20"/>
                <w:szCs w:val="20"/>
              </w:rPr>
            </w:pPr>
            <w:r>
              <w:rPr>
                <w:color w:val="000000"/>
                <w:sz w:val="20"/>
                <w:szCs w:val="20"/>
              </w:rPr>
              <w:t>Change in operating assets and liabilities:</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821"/>
              <w:rPr>
                <w:color w:val="000000"/>
                <w:sz w:val="20"/>
                <w:szCs w:val="20"/>
              </w:rPr>
            </w:pPr>
            <w:r>
              <w:rPr>
                <w:color w:val="000000"/>
                <w:sz w:val="20"/>
                <w:szCs w:val="20"/>
              </w:rPr>
              <w:t>Prepaid expenses and other current assets</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(2,483,344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(1,132,232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821"/>
              <w:rPr>
                <w:color w:val="000000"/>
                <w:sz w:val="20"/>
                <w:szCs w:val="20"/>
              </w:rPr>
            </w:pPr>
            <w:r>
              <w:rPr>
                <w:color w:val="000000"/>
                <w:sz w:val="20"/>
                <w:szCs w:val="20"/>
              </w:rPr>
              <w:t>Security deposit</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8,605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(32,965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821"/>
              <w:rPr>
                <w:color w:val="000000"/>
                <w:sz w:val="20"/>
                <w:szCs w:val="20"/>
              </w:rPr>
            </w:pPr>
            <w:r>
              <w:rPr>
                <w:color w:val="000000"/>
                <w:sz w:val="20"/>
                <w:szCs w:val="20"/>
              </w:rPr>
              <w:t>Related party receivable</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(994,333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821"/>
              <w:rPr>
                <w:color w:val="000000"/>
                <w:sz w:val="20"/>
                <w:szCs w:val="20"/>
              </w:rPr>
            </w:pPr>
            <w:r>
              <w:rPr>
                <w:color w:val="000000"/>
                <w:sz w:val="20"/>
                <w:szCs w:val="20"/>
              </w:rPr>
              <w:t>Long-term prepaid expenses</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1,939,693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(2,315,275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821"/>
              <w:rPr>
                <w:color w:val="000000"/>
                <w:sz w:val="20"/>
                <w:szCs w:val="20"/>
              </w:rPr>
            </w:pPr>
            <w:r>
              <w:rPr>
                <w:color w:val="000000"/>
                <w:sz w:val="20"/>
                <w:szCs w:val="20"/>
              </w:rPr>
              <w:t>Accounts payable</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(1,707,650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1,349,506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821"/>
              <w:rPr>
                <w:color w:val="000000"/>
                <w:sz w:val="20"/>
                <w:szCs w:val="20"/>
              </w:rPr>
            </w:pPr>
            <w:r>
              <w:rPr>
                <w:color w:val="000000"/>
                <w:sz w:val="20"/>
                <w:szCs w:val="20"/>
              </w:rPr>
              <w:t>Accrued expenses</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2,046,825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71,506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821"/>
              <w:rPr>
                <w:color w:val="000000"/>
                <w:sz w:val="20"/>
                <w:szCs w:val="20"/>
              </w:rPr>
            </w:pPr>
            <w:r>
              <w:rPr>
                <w:color w:val="000000"/>
                <w:sz w:val="20"/>
                <w:szCs w:val="20"/>
              </w:rPr>
              <w:t>Related party payable</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286,562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1094"/>
              <w:rPr>
                <w:color w:val="000000"/>
                <w:sz w:val="20"/>
                <w:szCs w:val="20"/>
              </w:rPr>
            </w:pPr>
            <w:r>
              <w:rPr>
                <w:color w:val="000000"/>
                <w:sz w:val="20"/>
                <w:szCs w:val="20"/>
              </w:rPr>
              <w:t>Net cash used in operating activities</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(24,707,996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(24,546,831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Cash flows from investing activities:</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Purchases of short-term investments</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(45,014,899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Proceeds from maturities of short-term investments</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5,000,000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5,000,000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Purchase of property and equipment</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(7,700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(28,857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Software development and other assets</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(5,895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(173,736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1094"/>
              <w:rPr>
                <w:color w:val="000000"/>
                <w:sz w:val="20"/>
                <w:szCs w:val="20"/>
              </w:rPr>
            </w:pPr>
            <w:r>
              <w:rPr>
                <w:color w:val="000000"/>
                <w:sz w:val="20"/>
                <w:szCs w:val="20"/>
              </w:rPr>
              <w:t>Net cash provided by (used in) investing activities</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4,986,405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(40,217,492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Cash flows from financing activities:</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Proceeds from February Offering, net of offering expenses</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30,520,835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Proceeds from employee stock purchase plan</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73,104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62,724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ind w:left="274"/>
              <w:rPr>
                <w:color w:val="000000"/>
                <w:sz w:val="20"/>
                <w:szCs w:val="20"/>
              </w:rPr>
            </w:pPr>
            <w:r>
              <w:rPr>
                <w:color w:val="000000"/>
                <w:sz w:val="20"/>
                <w:szCs w:val="20"/>
              </w:rPr>
              <w:t>Proceeds from exercise of options</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111,377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ind w:left="1094"/>
              <w:rPr>
                <w:color w:val="000000"/>
                <w:sz w:val="20"/>
                <w:szCs w:val="20"/>
              </w:rPr>
            </w:pPr>
            <w:r>
              <w:rPr>
                <w:color w:val="000000"/>
                <w:sz w:val="20"/>
                <w:szCs w:val="20"/>
              </w:rPr>
              <w:t>Net cash provided by financing activities</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30,593,939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174,101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Net increase (decrease) in cash and cash equivalents</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10,872,348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(64,590,222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44092198"/>
          <w:jc w:val="center"/>
        </w:trPr>
        <w:tc>
          <w:tcPr>
            <w:tcW w:w="320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Cash and cash equivalents, at beginning of period</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0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87,125,600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44092198"/>
          <w:jc w:val="center"/>
        </w:trPr>
        <w:tc>
          <w:tcPr>
            <w:tcW w:w="320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Cash and cash equivalents, at end of period</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70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47,361,966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7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22,535,378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4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D33C21">
      <w:pPr>
        <w:pStyle w:val="a3"/>
        <w:spacing w:before="240" w:beforeAutospacing="0" w:after="0" w:afterAutospacing="0"/>
        <w:jc w:val="center"/>
        <w:rPr>
          <w:sz w:val="20"/>
          <w:szCs w:val="20"/>
        </w:rPr>
      </w:pPr>
      <w:r>
        <w:rPr>
          <w:sz w:val="20"/>
          <w:szCs w:val="20"/>
        </w:rPr>
        <w:t>7</w:t>
      </w:r>
    </w:p>
    <w:p w:rsidR="00000000" w:rsidRDefault="00D33C21">
      <w:pPr>
        <w:rPr>
          <w:rFonts w:eastAsia="Times New Roman"/>
        </w:rPr>
      </w:pPr>
      <w:r>
        <w:rPr>
          <w:rFonts w:eastAsia="Times New Roman"/>
        </w:rPr>
        <w:pict>
          <v:rect id="_x0000_i1032"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jc w:val="center"/>
        <w:rPr>
          <w:b/>
          <w:bCs/>
          <w:sz w:val="20"/>
          <w:szCs w:val="20"/>
        </w:rPr>
      </w:pPr>
      <w:bookmarkStart w:id="17" w:name="_AEIOULastRenderedPageBreakAEIOU7"/>
      <w:bookmarkEnd w:id="17"/>
      <w:r>
        <w:rPr>
          <w:b/>
          <w:bCs/>
          <w:sz w:val="20"/>
          <w:szCs w:val="20"/>
        </w:rPr>
        <w:t>OVID THERAPEUTICS INC.</w:t>
      </w:r>
    </w:p>
    <w:p w:rsidR="00000000" w:rsidRDefault="00D33C21">
      <w:pPr>
        <w:pStyle w:val="a3"/>
        <w:spacing w:before="0" w:beforeAutospacing="0" w:after="0" w:afterAutospacing="0"/>
        <w:jc w:val="center"/>
        <w:rPr>
          <w:b/>
          <w:bCs/>
          <w:sz w:val="20"/>
          <w:szCs w:val="20"/>
        </w:rPr>
      </w:pPr>
      <w:bookmarkStart w:id="18" w:name="NOTES_TO_CONDENSED_CONSOLIDATED_FINANCIA"/>
      <w:r>
        <w:rPr>
          <w:b/>
          <w:bCs/>
          <w:sz w:val="20"/>
          <w:szCs w:val="20"/>
        </w:rPr>
        <w:t xml:space="preserve">NOTES TO CONDENSED </w:t>
      </w:r>
      <w:bookmarkEnd w:id="18"/>
      <w:r>
        <w:rPr>
          <w:b/>
          <w:bCs/>
          <w:sz w:val="20"/>
          <w:szCs w:val="20"/>
        </w:rPr>
        <w:t>CONSOLIDATED FINANCIAL STATEMENTS</w:t>
      </w:r>
    </w:p>
    <w:p w:rsidR="00000000" w:rsidRDefault="00D33C21">
      <w:pPr>
        <w:pStyle w:val="a3"/>
        <w:spacing w:before="0" w:beforeAutospacing="0" w:after="0" w:afterAutospacing="0"/>
        <w:jc w:val="center"/>
        <w:rPr>
          <w:b/>
          <w:bCs/>
          <w:sz w:val="20"/>
          <w:szCs w:val="20"/>
        </w:rPr>
      </w:pPr>
      <w:r>
        <w:rPr>
          <w:b/>
          <w:bCs/>
          <w:sz w:val="20"/>
          <w:szCs w:val="20"/>
        </w:rPr>
        <w:t>(unaudited)</w: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rPr>
          <w:b/>
          <w:bCs/>
          <w:sz w:val="20"/>
          <w:szCs w:val="20"/>
        </w:rPr>
      </w:pPr>
      <w:bookmarkStart w:id="19" w:name="NOTE_1_NATURE_OPERATIONS"/>
      <w:r>
        <w:rPr>
          <w:b/>
          <w:bCs/>
          <w:sz w:val="20"/>
          <w:szCs w:val="20"/>
        </w:rPr>
        <w:t>NOTE 1</w:t>
      </w:r>
      <w:bookmarkEnd w:id="19"/>
      <w:r>
        <w:rPr>
          <w:b/>
          <w:bCs/>
          <w:color w:val="000000"/>
          <w:sz w:val="20"/>
          <w:szCs w:val="20"/>
        </w:rPr>
        <w:t xml:space="preserve"> – NATURE OF OPERATIONS</w:t>
      </w:r>
    </w:p>
    <w:p w:rsidR="00000000" w:rsidRDefault="00D33C21">
      <w:pPr>
        <w:pStyle w:val="a3"/>
        <w:spacing w:before="200" w:beforeAutospacing="0" w:after="0" w:afterAutospacing="0"/>
        <w:jc w:val="both"/>
        <w:rPr>
          <w:sz w:val="20"/>
          <w:szCs w:val="20"/>
        </w:rPr>
      </w:pPr>
      <w:r>
        <w:rPr>
          <w:sz w:val="20"/>
          <w:szCs w:val="20"/>
        </w:rPr>
        <w:t>Ovid Therapeutics Inc. (the “Company”</w:t>
      </w:r>
      <w:r>
        <w:rPr>
          <w:sz w:val="20"/>
          <w:szCs w:val="20"/>
        </w:rPr>
        <w:t>) was incorporated under the laws of the state of Delaware on April 1, 2014 and maintains its principal executive office in New York, New York. The Company commenced operations on April 1, 2014 (date of inception). The Company is a biopharmaceutical compan</w:t>
      </w:r>
      <w:r>
        <w:rPr>
          <w:sz w:val="20"/>
          <w:szCs w:val="20"/>
        </w:rPr>
        <w:t>y focused exclusively on developing impactful medicines for patients and families living with rare neurological disorders.</w:t>
      </w:r>
    </w:p>
    <w:p w:rsidR="00000000" w:rsidRDefault="00D33C21">
      <w:pPr>
        <w:pStyle w:val="a3"/>
        <w:spacing w:before="200" w:beforeAutospacing="0" w:after="0" w:afterAutospacing="0"/>
        <w:jc w:val="both"/>
        <w:rPr>
          <w:sz w:val="20"/>
          <w:szCs w:val="20"/>
        </w:rPr>
      </w:pPr>
      <w:r>
        <w:rPr>
          <w:sz w:val="20"/>
          <w:szCs w:val="20"/>
        </w:rPr>
        <w:t>Since its inception, the Company has devoted substantially all of its efforts to business development, research and development, recr</w:t>
      </w:r>
      <w:r>
        <w:rPr>
          <w:sz w:val="20"/>
          <w:szCs w:val="20"/>
        </w:rPr>
        <w:t>uiting management and technical staff, and raising capital, and has financed its operations through issuance of convertible preferred stock (“Preferred Stock”), common stock and other equity instruments. The Company is subject to risks and uncertainties co</w:t>
      </w:r>
      <w:r>
        <w:rPr>
          <w:sz w:val="20"/>
          <w:szCs w:val="20"/>
        </w:rPr>
        <w:t xml:space="preserve">mmon to early-stage companies in the biotechnology industry, including, but not limited to, development and regulatory success, development by competitors of new technological innovations, dependence on key personnel, protection of proprietary technology, </w:t>
      </w:r>
      <w:r>
        <w:rPr>
          <w:sz w:val="20"/>
          <w:szCs w:val="20"/>
        </w:rPr>
        <w:t>compliance with government regulations, and ability to secure additional capital to fund operations.</w:t>
      </w:r>
    </w:p>
    <w:p w:rsidR="00000000" w:rsidRDefault="00D33C21">
      <w:pPr>
        <w:pStyle w:val="a3"/>
        <w:spacing w:before="200" w:beforeAutospacing="0" w:after="0" w:afterAutospacing="0"/>
        <w:jc w:val="both"/>
        <w:rPr>
          <w:color w:val="000000"/>
          <w:sz w:val="20"/>
          <w:szCs w:val="20"/>
        </w:rPr>
      </w:pPr>
      <w:r>
        <w:rPr>
          <w:color w:val="000000"/>
          <w:sz w:val="20"/>
          <w:szCs w:val="20"/>
        </w:rPr>
        <w:t xml:space="preserve">In February 2019 (“February Offering”), the Company sold 13,993,778 shares of its common stock and 2,500 shares of Series A Convertible Preferred Stock at </w:t>
      </w:r>
      <w:r>
        <w:rPr>
          <w:color w:val="000000"/>
          <w:sz w:val="20"/>
          <w:szCs w:val="20"/>
        </w:rPr>
        <w:t>a public offering price of $2.00 and $2,000 per share, respectively, for gross proceeds of $33.0 million and net proceeds of $30.5 million after deducting underwriting discounts and commission and other offering expenses payable by the Company.</w:t>
      </w:r>
    </w:p>
    <w:p w:rsidR="00000000" w:rsidRDefault="00D33C21">
      <w:pPr>
        <w:pStyle w:val="a3"/>
        <w:spacing w:before="0" w:beforeAutospacing="0" w:after="0" w:afterAutospacing="0"/>
        <w:jc w:val="both"/>
        <w:rPr>
          <w:sz w:val="20"/>
          <w:szCs w:val="20"/>
        </w:rPr>
      </w:pPr>
      <w:r>
        <w:rPr>
          <w:sz w:val="20"/>
          <w:szCs w:val="20"/>
        </w:rPr>
        <w:t> </w:t>
      </w:r>
    </w:p>
    <w:p w:rsidR="00000000" w:rsidRDefault="00D33C21">
      <w:pPr>
        <w:pStyle w:val="a3"/>
        <w:spacing w:before="0" w:beforeAutospacing="0" w:after="0" w:afterAutospacing="0"/>
        <w:jc w:val="both"/>
        <w:rPr>
          <w:color w:val="000000"/>
          <w:sz w:val="20"/>
          <w:szCs w:val="20"/>
        </w:rPr>
      </w:pPr>
      <w:r>
        <w:rPr>
          <w:color w:val="000000"/>
          <w:sz w:val="20"/>
          <w:szCs w:val="20"/>
        </w:rPr>
        <w:t>The Compa</w:t>
      </w:r>
      <w:r>
        <w:rPr>
          <w:color w:val="000000"/>
          <w:sz w:val="20"/>
          <w:szCs w:val="20"/>
        </w:rPr>
        <w:t>ny has not generated any revenue since inception. As a result, the Company has incurred recurring losses and requires significant cash resources to execute its business plans. The Company has an accumulated deficit of $179.6 million as of June 30, 2019 and</w:t>
      </w:r>
      <w:r>
        <w:rPr>
          <w:color w:val="000000"/>
          <w:sz w:val="20"/>
          <w:szCs w:val="20"/>
        </w:rPr>
        <w:t xml:space="preserve"> had cash outflows from operating activities of $24.7 million for the six months ended June 30, 2019. These losses are expected to continue for an extended period of time. </w:t>
      </w:r>
    </w:p>
    <w:p w:rsidR="00000000" w:rsidRDefault="00D33C21">
      <w:pPr>
        <w:pStyle w:val="a3"/>
        <w:spacing w:before="0" w:beforeAutospacing="0" w:after="0" w:afterAutospacing="0"/>
        <w:ind w:firstLine="816"/>
        <w:jc w:val="both"/>
        <w:rPr>
          <w:sz w:val="20"/>
          <w:szCs w:val="20"/>
        </w:rPr>
      </w:pPr>
      <w:r>
        <w:rPr>
          <w:sz w:val="20"/>
          <w:szCs w:val="20"/>
        </w:rPr>
        <w:t> </w:t>
      </w:r>
    </w:p>
    <w:p w:rsidR="00000000" w:rsidRDefault="00D33C21">
      <w:pPr>
        <w:pStyle w:val="a3"/>
        <w:spacing w:before="0" w:beforeAutospacing="0" w:after="0" w:afterAutospacing="0"/>
        <w:jc w:val="both"/>
        <w:rPr>
          <w:color w:val="000000"/>
          <w:sz w:val="20"/>
          <w:szCs w:val="20"/>
        </w:rPr>
      </w:pPr>
      <w:r>
        <w:rPr>
          <w:color w:val="000000"/>
          <w:sz w:val="20"/>
          <w:szCs w:val="20"/>
        </w:rPr>
        <w:t>Historically, the Company’s major sources of cash have comprised proceeds from va</w:t>
      </w:r>
      <w:r>
        <w:rPr>
          <w:color w:val="000000"/>
          <w:sz w:val="20"/>
          <w:szCs w:val="20"/>
        </w:rPr>
        <w:t>rious public and private offerings of its common stock and preferred stock and interest income. As of June 30, 2019, the Company had approximately $47.4 million in cash and cash equivalents. Management’s plans to mitigate an expected shortfall of capital t</w:t>
      </w:r>
      <w:r>
        <w:rPr>
          <w:color w:val="000000"/>
          <w:sz w:val="20"/>
          <w:szCs w:val="20"/>
        </w:rPr>
        <w:t>o support future operations include raising additional funds. There is no assurance that additional financing will be available when needed or that management will be able to obtain financing on terms acceptable to the Company or whether the Company will b</w:t>
      </w:r>
      <w:r>
        <w:rPr>
          <w:color w:val="000000"/>
          <w:sz w:val="20"/>
          <w:szCs w:val="20"/>
        </w:rPr>
        <w:t>ecome profitable and generate positive operating cash flow.  If the Company is unable to raise additional capital in sufficient amounts or on terms acceptable to the Company or identify commercial partners to support development of the Company’s product ca</w:t>
      </w:r>
      <w:r>
        <w:rPr>
          <w:color w:val="000000"/>
          <w:sz w:val="20"/>
          <w:szCs w:val="20"/>
        </w:rPr>
        <w:t>ndidates, the Company we may have to significantly delay, scale back or discontinue the Company research and development programs or future commercialization efforts. The actual amount of cash that the Company will need to operate is subject to many factor</w:t>
      </w:r>
      <w:r>
        <w:rPr>
          <w:color w:val="000000"/>
          <w:sz w:val="20"/>
          <w:szCs w:val="20"/>
        </w:rPr>
        <w:t>s.</w:t>
      </w:r>
    </w:p>
    <w:p w:rsidR="00000000" w:rsidRDefault="00D33C21">
      <w:pPr>
        <w:pStyle w:val="a3"/>
        <w:spacing w:before="0" w:beforeAutospacing="0" w:after="0" w:afterAutospacing="0"/>
        <w:jc w:val="both"/>
        <w:rPr>
          <w:sz w:val="20"/>
          <w:szCs w:val="20"/>
        </w:rPr>
      </w:pPr>
      <w:r>
        <w:rPr>
          <w:sz w:val="20"/>
          <w:szCs w:val="20"/>
        </w:rPr>
        <w:t> </w:t>
      </w:r>
    </w:p>
    <w:p w:rsidR="00000000" w:rsidRDefault="00D33C21">
      <w:pPr>
        <w:pStyle w:val="a3"/>
        <w:spacing w:before="0" w:beforeAutospacing="0" w:after="0" w:afterAutospacing="0"/>
        <w:jc w:val="both"/>
        <w:rPr>
          <w:color w:val="000000"/>
          <w:sz w:val="20"/>
          <w:szCs w:val="20"/>
        </w:rPr>
      </w:pPr>
      <w:r>
        <w:rPr>
          <w:color w:val="000000"/>
          <w:sz w:val="20"/>
          <w:szCs w:val="20"/>
        </w:rPr>
        <w:t>The aforementioned factors raise substantial doubt about the Company’s ability to continue as a going concern 12 months from the date of this 10-Q filing. The accompanying financial statements have been prepared on a going concern basis, which contemp</w:t>
      </w:r>
      <w:r>
        <w:rPr>
          <w:color w:val="000000"/>
          <w:sz w:val="20"/>
          <w:szCs w:val="20"/>
        </w:rPr>
        <w:t>lates the realization of assets and the satisfaction of liabilities in the normal course of business. The financial statements do not include any adjustments relating to the recoverability and classification of asset amounts or the classification of liabil</w:t>
      </w:r>
      <w:r>
        <w:rPr>
          <w:color w:val="000000"/>
          <w:sz w:val="20"/>
          <w:szCs w:val="20"/>
        </w:rPr>
        <w:t>ities that might be necessary should the Company be unable to continue as a going concern.</w:t>
      </w:r>
    </w:p>
    <w:p w:rsidR="00000000" w:rsidRDefault="00D33C21">
      <w:pPr>
        <w:pStyle w:val="a3"/>
        <w:spacing w:before="360" w:beforeAutospacing="0" w:after="0" w:afterAutospacing="0"/>
        <w:jc w:val="both"/>
        <w:rPr>
          <w:b/>
          <w:bCs/>
          <w:sz w:val="20"/>
          <w:szCs w:val="20"/>
        </w:rPr>
      </w:pPr>
      <w:r>
        <w:rPr>
          <w:b/>
          <w:bCs/>
          <w:sz w:val="20"/>
          <w:szCs w:val="20"/>
        </w:rPr>
        <w:t>NOTE 2</w:t>
      </w:r>
      <w:r>
        <w:rPr>
          <w:b/>
          <w:bCs/>
          <w:color w:val="000000"/>
          <w:sz w:val="20"/>
          <w:szCs w:val="20"/>
        </w:rPr>
        <w:t xml:space="preserve"> – SUMMARY OF SIGNIFICANT ACCOUNTING POLICIES</w:t>
      </w:r>
    </w:p>
    <w:p w:rsidR="00000000" w:rsidRDefault="00D33C21">
      <w:pPr>
        <w:pStyle w:val="a3"/>
        <w:spacing w:before="120" w:beforeAutospacing="0" w:after="0" w:afterAutospacing="0"/>
        <w:jc w:val="both"/>
        <w:rPr>
          <w:sz w:val="20"/>
          <w:szCs w:val="20"/>
        </w:rPr>
      </w:pPr>
      <w:r>
        <w:rPr>
          <w:sz w:val="20"/>
          <w:szCs w:val="20"/>
        </w:rPr>
        <w:t>The Company’s significant accounting policies are described in Note 2, “Summary of Significant Accounting Policie</w:t>
      </w:r>
      <w:r>
        <w:rPr>
          <w:sz w:val="20"/>
          <w:szCs w:val="20"/>
        </w:rPr>
        <w:t>s,” in the Company’s Annual Report on Form 10-K filed with the U.S. Securities and Exchange Commission (“SEC”) on March 7, 2019. There have been no material changes to the significant accounting policies during the period ended June 30, 2019, except for it</w:t>
      </w:r>
      <w:r>
        <w:rPr>
          <w:sz w:val="20"/>
          <w:szCs w:val="20"/>
        </w:rPr>
        <w:t>ems mentioned below.</w:t>
      </w:r>
    </w:p>
    <w:p w:rsidR="00000000" w:rsidRDefault="00D33C21">
      <w:pPr>
        <w:pStyle w:val="a3"/>
        <w:spacing w:before="360" w:beforeAutospacing="0" w:after="0" w:afterAutospacing="0"/>
        <w:jc w:val="both"/>
        <w:rPr>
          <w:b/>
          <w:bCs/>
          <w:sz w:val="20"/>
          <w:szCs w:val="20"/>
        </w:rPr>
      </w:pPr>
      <w:r>
        <w:rPr>
          <w:b/>
          <w:bCs/>
          <w:sz w:val="20"/>
          <w:szCs w:val="20"/>
        </w:rPr>
        <w:t xml:space="preserve">(A) </w:t>
      </w:r>
      <w:r>
        <w:rPr>
          <w:b/>
          <w:bCs/>
          <w:color w:val="000000"/>
          <w:sz w:val="20"/>
          <w:szCs w:val="20"/>
          <w:shd w:val="clear" w:color="auto" w:fill="FFFFFF"/>
        </w:rPr>
        <w:t>Unaudited Interim Condensed Financial Statements</w:t>
      </w:r>
    </w:p>
    <w:p w:rsidR="00000000" w:rsidRDefault="00D33C21">
      <w:pPr>
        <w:pStyle w:val="a3"/>
        <w:shd w:val="clear" w:color="auto" w:fill="FFFFFF"/>
        <w:spacing w:before="120" w:beforeAutospacing="0" w:after="0" w:afterAutospacing="0"/>
        <w:jc w:val="both"/>
        <w:rPr>
          <w:sz w:val="20"/>
          <w:szCs w:val="20"/>
        </w:rPr>
      </w:pPr>
      <w:bookmarkStart w:id="20" w:name="_AEIOULastRenderedPageBreakAEIOU8"/>
      <w:bookmarkEnd w:id="20"/>
      <w:r>
        <w:rPr>
          <w:sz w:val="20"/>
          <w:szCs w:val="20"/>
        </w:rPr>
        <w:t xml:space="preserve">The interim condensed balance sheet at June 30, 2019, the condensed statements of operations, comprehensive loss and stockholders’ equity for the three and six months ended June 30, </w:t>
      </w:r>
      <w:r>
        <w:rPr>
          <w:sz w:val="20"/>
          <w:szCs w:val="20"/>
        </w:rPr>
        <w:t>2019 and 2018, and the condensed statements of cash flows for the six months ended June 30, 2019 and 2018 are unaudited. The accompanying unaudited condensed financial statements have been prepared in accordance with U.S. generally accepted accounting prin</w:t>
      </w:r>
      <w:r>
        <w:rPr>
          <w:sz w:val="20"/>
          <w:szCs w:val="20"/>
        </w:rPr>
        <w:t>ciples (“GAAP”) and following the requirements of the SEC for interim reporting. As permitted under those rules, certain footnotes or other financial information that are normally required by GAAP are condensed or omitted. These condensed financial stateme</w:t>
      </w:r>
      <w:r>
        <w:rPr>
          <w:sz w:val="20"/>
          <w:szCs w:val="20"/>
        </w:rPr>
        <w:t xml:space="preserve">nts have been prepared on the same basis as the Company’s annual financial </w:t>
      </w:r>
    </w:p>
    <w:p w:rsidR="00000000" w:rsidRDefault="00D33C21">
      <w:pPr>
        <w:pStyle w:val="a3"/>
        <w:spacing w:before="240" w:beforeAutospacing="0" w:after="0" w:afterAutospacing="0"/>
        <w:jc w:val="center"/>
        <w:rPr>
          <w:sz w:val="20"/>
          <w:szCs w:val="20"/>
        </w:rPr>
      </w:pPr>
      <w:r>
        <w:rPr>
          <w:sz w:val="20"/>
          <w:szCs w:val="20"/>
        </w:rPr>
        <w:t>8</w:t>
      </w:r>
    </w:p>
    <w:p w:rsidR="00000000" w:rsidRDefault="00D33C21">
      <w:pPr>
        <w:rPr>
          <w:rFonts w:eastAsia="Times New Roman"/>
        </w:rPr>
      </w:pPr>
      <w:r>
        <w:rPr>
          <w:rFonts w:eastAsia="Times New Roman"/>
        </w:rPr>
        <w:pict>
          <v:rect id="_x0000_i1033"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hd w:val="clear" w:color="auto" w:fill="FFFFFF"/>
        <w:spacing w:before="120" w:beforeAutospacing="0" w:after="0" w:afterAutospacing="0"/>
        <w:jc w:val="both"/>
        <w:rPr>
          <w:sz w:val="20"/>
          <w:szCs w:val="20"/>
        </w:rPr>
      </w:pPr>
      <w:r>
        <w:rPr>
          <w:sz w:val="20"/>
          <w:szCs w:val="20"/>
        </w:rPr>
        <w:t>statements and, in the opinion of management, reflect all adjustments, consisting only of normal recurring adjustments that are necessary for a fair statement of its financial information. The results of operations for the three and six months ended June 3</w:t>
      </w:r>
      <w:r>
        <w:rPr>
          <w:sz w:val="20"/>
          <w:szCs w:val="20"/>
        </w:rPr>
        <w:t>0, 2019 and 2018 are not necessarily indicative of the results to be expected for the year ending December 31, 2019 or for any other future annual or interim period. The balance sheet as of December 31, 2018 included herein was derived from the audited fin</w:t>
      </w:r>
      <w:r>
        <w:rPr>
          <w:sz w:val="20"/>
          <w:szCs w:val="20"/>
        </w:rPr>
        <w:t>ancial statements as of that date. These interim condensed financial statements should be read in conjunction with the Company’s audited financial statements as of and for the year ended December 31, 2018 included in the Company’s Annual Report on Form 10-</w:t>
      </w:r>
      <w:r>
        <w:rPr>
          <w:sz w:val="20"/>
          <w:szCs w:val="20"/>
        </w:rPr>
        <w:t>K.</w:t>
      </w:r>
    </w:p>
    <w:p w:rsidR="00000000" w:rsidRDefault="00D33C21">
      <w:pPr>
        <w:pStyle w:val="a3"/>
        <w:spacing w:before="200" w:beforeAutospacing="0" w:after="0" w:afterAutospacing="0"/>
        <w:jc w:val="both"/>
        <w:rPr>
          <w:b/>
          <w:bCs/>
          <w:sz w:val="20"/>
          <w:szCs w:val="20"/>
        </w:rPr>
      </w:pPr>
      <w:r>
        <w:rPr>
          <w:b/>
          <w:bCs/>
          <w:sz w:val="20"/>
          <w:szCs w:val="20"/>
        </w:rPr>
        <w:t>(B) Basis of Presentation and Consolidation</w:t>
      </w:r>
    </w:p>
    <w:p w:rsidR="00000000" w:rsidRDefault="00D33C21">
      <w:pPr>
        <w:pStyle w:val="a3"/>
        <w:spacing w:before="0" w:beforeAutospacing="0" w:after="0" w:afterAutospacing="0"/>
        <w:rPr>
          <w:color w:val="000000"/>
          <w:sz w:val="20"/>
          <w:szCs w:val="20"/>
        </w:rPr>
      </w:pPr>
      <w:r>
        <w:rPr>
          <w:color w:val="000000"/>
          <w:sz w:val="20"/>
          <w:szCs w:val="20"/>
        </w:rPr>
        <w:t> </w:t>
      </w:r>
    </w:p>
    <w:p w:rsidR="00000000" w:rsidRDefault="00D33C21">
      <w:pPr>
        <w:pStyle w:val="a3"/>
        <w:spacing w:before="0" w:beforeAutospacing="0" w:after="0" w:afterAutospacing="0"/>
        <w:rPr>
          <w:color w:val="000000"/>
          <w:sz w:val="20"/>
          <w:szCs w:val="20"/>
        </w:rPr>
      </w:pPr>
      <w:r>
        <w:rPr>
          <w:color w:val="000000"/>
          <w:sz w:val="20"/>
          <w:szCs w:val="20"/>
          <w:shd w:val="clear" w:color="auto" w:fill="FFFFFF"/>
        </w:rPr>
        <w:t>The accompanying consolidated financial statements have been prepared in conformity with GAAP and include the accounts of Ovid Therapeutics Inc. and its wholly owned subsidiary, Ovid Therapeutics Hong Kong L</w:t>
      </w:r>
      <w:r>
        <w:rPr>
          <w:color w:val="000000"/>
          <w:sz w:val="20"/>
          <w:szCs w:val="20"/>
          <w:shd w:val="clear" w:color="auto" w:fill="FFFFFF"/>
        </w:rPr>
        <w:t>imited.  All intercompany transactions and balances have been eliminated in consolidation.</w:t>
      </w:r>
    </w:p>
    <w:p w:rsidR="00000000" w:rsidRDefault="00D33C21">
      <w:pPr>
        <w:pStyle w:val="a3"/>
        <w:spacing w:before="360" w:beforeAutospacing="0" w:after="0" w:afterAutospacing="0"/>
        <w:jc w:val="both"/>
        <w:rPr>
          <w:b/>
          <w:bCs/>
          <w:color w:val="000000"/>
          <w:sz w:val="20"/>
          <w:szCs w:val="20"/>
        </w:rPr>
      </w:pPr>
      <w:r>
        <w:rPr>
          <w:b/>
          <w:bCs/>
          <w:color w:val="000000"/>
          <w:sz w:val="20"/>
          <w:szCs w:val="20"/>
        </w:rPr>
        <w:t>(C) Use of Estimates</w:t>
      </w:r>
    </w:p>
    <w:p w:rsidR="00000000" w:rsidRDefault="00D33C21">
      <w:pPr>
        <w:pStyle w:val="a3"/>
        <w:spacing w:before="120" w:beforeAutospacing="0" w:after="0" w:afterAutospacing="0"/>
        <w:jc w:val="both"/>
        <w:rPr>
          <w:color w:val="000000"/>
          <w:sz w:val="20"/>
          <w:szCs w:val="20"/>
        </w:rPr>
      </w:pPr>
      <w:r>
        <w:rPr>
          <w:color w:val="000000"/>
          <w:sz w:val="20"/>
          <w:szCs w:val="20"/>
          <w:shd w:val="clear" w:color="auto" w:fill="FFFFFF"/>
        </w:rPr>
        <w:t>The preparation of financial statements in conformity with GAAP requires management to make estimates and assumptions that affect the reported a</w:t>
      </w:r>
      <w:r>
        <w:rPr>
          <w:color w:val="000000"/>
          <w:sz w:val="20"/>
          <w:szCs w:val="20"/>
          <w:shd w:val="clear" w:color="auto" w:fill="FFFFFF"/>
        </w:rPr>
        <w:t>mounts of assets and liabilities and disclosure of contingent assets and liabilities at the date of the financial statements and the reported amounts of income and expenses during the reporting period. Actual results could differ materially from those esti</w:t>
      </w:r>
      <w:r>
        <w:rPr>
          <w:color w:val="000000"/>
          <w:sz w:val="20"/>
          <w:szCs w:val="20"/>
          <w:shd w:val="clear" w:color="auto" w:fill="FFFFFF"/>
        </w:rPr>
        <w:t>mates.</w:t>
      </w:r>
    </w:p>
    <w:p w:rsidR="00000000" w:rsidRDefault="00D33C21">
      <w:pPr>
        <w:pStyle w:val="a3"/>
        <w:spacing w:before="360" w:beforeAutospacing="0" w:after="0" w:afterAutospacing="0"/>
        <w:jc w:val="both"/>
        <w:rPr>
          <w:b/>
          <w:bCs/>
          <w:sz w:val="20"/>
          <w:szCs w:val="20"/>
        </w:rPr>
      </w:pPr>
      <w:r>
        <w:rPr>
          <w:b/>
          <w:bCs/>
          <w:sz w:val="20"/>
          <w:szCs w:val="20"/>
        </w:rPr>
        <w:t>(D) Fair Value of Financial Instruments</w:t>
      </w:r>
    </w:p>
    <w:p w:rsidR="00000000" w:rsidRDefault="00D33C21">
      <w:pPr>
        <w:pStyle w:val="a3"/>
        <w:spacing w:before="120" w:beforeAutospacing="0" w:after="0" w:afterAutospacing="0"/>
        <w:jc w:val="both"/>
        <w:rPr>
          <w:color w:val="000000"/>
          <w:sz w:val="20"/>
          <w:szCs w:val="20"/>
        </w:rPr>
      </w:pPr>
      <w:r>
        <w:rPr>
          <w:color w:val="000000"/>
          <w:sz w:val="20"/>
          <w:szCs w:val="20"/>
        </w:rPr>
        <w:t xml:space="preserve">Financial Accounting Standards Board (“FASB”) guidance specifies a hierarchy of valuation techniques based on whether the inputs to those valuation techniques are observable or unobservable. Observable inputs </w:t>
      </w:r>
      <w:r>
        <w:rPr>
          <w:color w:val="000000"/>
          <w:sz w:val="20"/>
          <w:szCs w:val="20"/>
        </w:rPr>
        <w:t>reflect market data obtained from independent sources, while unobservable inputs reflect market assumptions. The hierarchy gives the highest priority to unadjusted quoted prices in active markets for identical assets or liabilities (Level 1 measurement) an</w:t>
      </w:r>
      <w:r>
        <w:rPr>
          <w:color w:val="000000"/>
          <w:sz w:val="20"/>
          <w:szCs w:val="20"/>
        </w:rPr>
        <w:t>d the lowest priority to unobservable inputs (Level 3 measurement).</w:t>
      </w:r>
    </w:p>
    <w:p w:rsidR="00000000" w:rsidRDefault="00D33C21">
      <w:pPr>
        <w:pStyle w:val="a3"/>
        <w:spacing w:before="240" w:beforeAutospacing="0" w:after="0" w:afterAutospacing="0"/>
        <w:jc w:val="both"/>
        <w:rPr>
          <w:color w:val="000000"/>
          <w:sz w:val="20"/>
          <w:szCs w:val="20"/>
        </w:rPr>
      </w:pPr>
      <w:r>
        <w:rPr>
          <w:color w:val="000000"/>
          <w:sz w:val="20"/>
          <w:szCs w:val="20"/>
        </w:rPr>
        <w:t>The three levels of the fair value hierarchy are as follows: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Level 1—Unadjusted quoted prices in active markets for identical assets or liabilities that the reporting entity has the ab</w:t>
            </w:r>
            <w:r>
              <w:rPr>
                <w:color w:val="000000"/>
                <w:sz w:val="20"/>
                <w:szCs w:val="20"/>
              </w:rPr>
              <w:t>ility to access at the measurement date. Level 1 primarily consists of financial instruments whose value is based on quoted market prices such as exchange-traded instruments and listed equities.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Level 2—</w:t>
            </w:r>
            <w:r>
              <w:rPr>
                <w:color w:val="000000"/>
                <w:sz w:val="20"/>
                <w:szCs w:val="20"/>
              </w:rPr>
              <w:t xml:space="preserve">Inputs other than quoted prices included within Level 1 that are observable for the asset or liability, either directly or indirectly (e.g., quoted prices of similar assets or liabilities in active markets, or quoted prices for identical or similar assets </w:t>
            </w:r>
            <w:r>
              <w:rPr>
                <w:color w:val="000000"/>
                <w:sz w:val="20"/>
                <w:szCs w:val="20"/>
              </w:rPr>
              <w:t>or liabilities in markets that are not active). Level 2 includes financial instruments that are valued using models or other valuation methodologies.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pacing w:before="120" w:beforeAutospacing="0" w:after="0" w:afterAutospacing="0"/>
              <w:jc w:val="both"/>
              <w:rPr>
                <w:color w:val="000000"/>
                <w:sz w:val="20"/>
                <w:szCs w:val="20"/>
              </w:rPr>
            </w:pPr>
            <w:r>
              <w:rPr>
                <w:color w:val="000000"/>
                <w:sz w:val="20"/>
                <w:szCs w:val="20"/>
              </w:rPr>
              <w:t>Level 3—Unobservable inputs for the asset or liability. Financial instruments are considered Level 3</w:t>
            </w:r>
            <w:r>
              <w:rPr>
                <w:color w:val="000000"/>
                <w:sz w:val="20"/>
                <w:szCs w:val="20"/>
              </w:rPr>
              <w:t xml:space="preserve"> when their fair values are determined using pricing models, discounted cash flows or similar techniques and at least one significant model assumption or input is unobservable.</w:t>
            </w:r>
          </w:p>
        </w:tc>
      </w:tr>
    </w:tbl>
    <w:p w:rsidR="00000000" w:rsidRDefault="00D33C21">
      <w:pPr>
        <w:pStyle w:val="a3"/>
        <w:spacing w:before="240" w:beforeAutospacing="0" w:after="0" w:afterAutospacing="0"/>
        <w:jc w:val="both"/>
        <w:rPr>
          <w:color w:val="000000"/>
          <w:sz w:val="20"/>
          <w:szCs w:val="20"/>
        </w:rPr>
      </w:pPr>
      <w:r>
        <w:rPr>
          <w:color w:val="000000"/>
          <w:sz w:val="20"/>
          <w:szCs w:val="20"/>
          <w:shd w:val="clear" w:color="auto" w:fill="FFFFFF"/>
        </w:rPr>
        <w:t>The carrying amounts reported in the balance sheets for cash and cash equivale</w:t>
      </w:r>
      <w:r>
        <w:rPr>
          <w:color w:val="000000"/>
          <w:sz w:val="20"/>
          <w:szCs w:val="20"/>
          <w:shd w:val="clear" w:color="auto" w:fill="FFFFFF"/>
        </w:rPr>
        <w:t>nts, related party receivables, other current assets, accounts payable, accrued expenses, and current related party payables approximate their fair value based on the short-term maturity of these instruments.</w:t>
      </w:r>
    </w:p>
    <w:p w:rsidR="00000000" w:rsidRDefault="00D33C21">
      <w:pPr>
        <w:pStyle w:val="a3"/>
        <w:spacing w:before="360" w:beforeAutospacing="0" w:after="0" w:afterAutospacing="0"/>
        <w:jc w:val="both"/>
        <w:rPr>
          <w:sz w:val="20"/>
          <w:szCs w:val="20"/>
        </w:rPr>
      </w:pPr>
      <w:r>
        <w:rPr>
          <w:sz w:val="20"/>
          <w:szCs w:val="20"/>
        </w:rPr>
        <w:t>(</w:t>
      </w:r>
      <w:r>
        <w:rPr>
          <w:b/>
          <w:bCs/>
          <w:sz w:val="20"/>
          <w:szCs w:val="20"/>
        </w:rPr>
        <w:t>E) Recent Accounting Pronouncements</w:t>
      </w:r>
    </w:p>
    <w:p w:rsidR="00000000" w:rsidRDefault="00D33C21">
      <w:pPr>
        <w:pStyle w:val="a3"/>
        <w:spacing w:before="120" w:beforeAutospacing="0" w:after="0" w:afterAutospacing="0"/>
        <w:jc w:val="both"/>
        <w:rPr>
          <w:sz w:val="20"/>
          <w:szCs w:val="20"/>
        </w:rPr>
      </w:pPr>
      <w:r>
        <w:rPr>
          <w:sz w:val="20"/>
          <w:szCs w:val="20"/>
          <w:u w:val="single"/>
        </w:rPr>
        <w:t>Recent acc</w:t>
      </w:r>
      <w:r>
        <w:rPr>
          <w:sz w:val="20"/>
          <w:szCs w:val="20"/>
          <w:u w:val="single"/>
        </w:rPr>
        <w:t>ounting standards which have been adopted</w:t>
      </w:r>
    </w:p>
    <w:p w:rsidR="00000000" w:rsidRDefault="00D33C21">
      <w:pPr>
        <w:pStyle w:val="a3"/>
        <w:spacing w:before="240" w:beforeAutospacing="0" w:after="0" w:afterAutospacing="0"/>
        <w:jc w:val="both"/>
        <w:rPr>
          <w:sz w:val="20"/>
          <w:szCs w:val="20"/>
        </w:rPr>
      </w:pPr>
      <w:bookmarkStart w:id="21" w:name="_AEIOULastRenderedPageBreakAEIOU9"/>
      <w:bookmarkEnd w:id="21"/>
      <w:r>
        <w:rPr>
          <w:sz w:val="20"/>
          <w:szCs w:val="20"/>
        </w:rPr>
        <w:t>On June 20, 2018, the FASB issued Accounting Standards Update (“ASU”) 2018-07, Compensation – Stock Compensation (Topic 718): Improvements to Nonemployee Share-Based Payment Accounting. This new standard simplifies</w:t>
      </w:r>
      <w:r>
        <w:rPr>
          <w:sz w:val="20"/>
          <w:szCs w:val="20"/>
        </w:rPr>
        <w:t xml:space="preserve"> the accounting for share-based payments granted to nonemployees for goods and services. The standard supersedes Accounting Standards Codification (“ASC”) 505-50 and expands the scope of ASC 718 to include all share-based payment arrangements related to th</w:t>
      </w:r>
      <w:r>
        <w:rPr>
          <w:sz w:val="20"/>
          <w:szCs w:val="20"/>
        </w:rPr>
        <w:t>e acquisition of goods and services from both nonemployees and employees. As such, among others, the measurement date for nonemployee awards would generally be the grant date, which is the same as the measurement date for employee equity awards and for per</w:t>
      </w:r>
      <w:r>
        <w:rPr>
          <w:sz w:val="20"/>
          <w:szCs w:val="20"/>
        </w:rPr>
        <w:t>formance-based awards, an entity is now required to recognize any cost on the basis of the probable outcome of the performance conditions using the grant-date fair value of the award. ASU 2018-07 is effective for fiscal years beginning after December 15, 2</w:t>
      </w:r>
      <w:r>
        <w:rPr>
          <w:sz w:val="20"/>
          <w:szCs w:val="20"/>
        </w:rPr>
        <w:t xml:space="preserve">018, including interim </w:t>
      </w:r>
    </w:p>
    <w:p w:rsidR="00000000" w:rsidRDefault="00D33C21">
      <w:pPr>
        <w:pStyle w:val="a3"/>
        <w:spacing w:before="240" w:beforeAutospacing="0" w:after="0" w:afterAutospacing="0"/>
        <w:jc w:val="center"/>
        <w:rPr>
          <w:sz w:val="20"/>
          <w:szCs w:val="20"/>
        </w:rPr>
      </w:pPr>
      <w:r>
        <w:rPr>
          <w:sz w:val="20"/>
          <w:szCs w:val="20"/>
        </w:rPr>
        <w:t>9</w:t>
      </w:r>
    </w:p>
    <w:p w:rsidR="00000000" w:rsidRDefault="00D33C21">
      <w:pPr>
        <w:rPr>
          <w:rFonts w:eastAsia="Times New Roman"/>
        </w:rPr>
      </w:pPr>
      <w:r>
        <w:rPr>
          <w:rFonts w:eastAsia="Times New Roman"/>
        </w:rPr>
        <w:pict>
          <v:rect id="_x0000_i1034"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both"/>
        <w:rPr>
          <w:sz w:val="20"/>
          <w:szCs w:val="20"/>
        </w:rPr>
      </w:pPr>
      <w:r>
        <w:rPr>
          <w:sz w:val="20"/>
          <w:szCs w:val="20"/>
        </w:rPr>
        <w:t>periods within those fiscal years.  T</w:t>
      </w:r>
      <w:r>
        <w:rPr>
          <w:color w:val="000000"/>
          <w:sz w:val="20"/>
          <w:szCs w:val="20"/>
          <w:shd w:val="clear" w:color="auto" w:fill="FFFFFF"/>
        </w:rPr>
        <w:t>he adoption of ASU 2018-07 on January 1, 2019 did not have a material impact on the Company’s financial statements.</w:t>
      </w:r>
    </w:p>
    <w:p w:rsidR="00000000" w:rsidRDefault="00D33C21">
      <w:pPr>
        <w:pStyle w:val="a3"/>
        <w:spacing w:before="240" w:beforeAutospacing="0" w:after="0" w:afterAutospacing="0"/>
        <w:jc w:val="both"/>
        <w:rPr>
          <w:sz w:val="20"/>
          <w:szCs w:val="20"/>
        </w:rPr>
      </w:pPr>
      <w:r>
        <w:rPr>
          <w:sz w:val="20"/>
          <w:szCs w:val="20"/>
        </w:rPr>
        <w:t>On March 30, 2017, the FASB issued ASU 2017-08, Receivables – Nonrefundable Fees and Other Costs (Subto</w:t>
      </w:r>
      <w:r>
        <w:rPr>
          <w:sz w:val="20"/>
          <w:szCs w:val="20"/>
        </w:rPr>
        <w:t xml:space="preserve">pic 310-20): Premium Amortization and Purchased Callable Debt Securities.  This new standard requires premiums on callable debt securities, that have explicit, non-contingent call features that are callable at fixed prices on preset dates, to be amortized </w:t>
      </w:r>
      <w:r>
        <w:rPr>
          <w:sz w:val="20"/>
          <w:szCs w:val="20"/>
        </w:rPr>
        <w:t>to the earliest call date. The amortization period for callable debt securities purchased at a discount will not be impacted. Under current GAAP, premiums on callable debt securities are generally amortized over the contractual life of the security. The gu</w:t>
      </w:r>
      <w:r>
        <w:rPr>
          <w:sz w:val="20"/>
          <w:szCs w:val="20"/>
        </w:rPr>
        <w:t xml:space="preserve">idance was applicable to the Company </w:t>
      </w:r>
      <w:r>
        <w:rPr>
          <w:color w:val="000000"/>
          <w:sz w:val="20"/>
          <w:szCs w:val="20"/>
          <w:shd w:val="clear" w:color="auto" w:fill="FFFFFF"/>
        </w:rPr>
        <w:t>beginning on January 1, 2019.  The adoption of ASU 2017-08 did not have a material impact on the Company’s financial statements.</w:t>
      </w:r>
    </w:p>
    <w:p w:rsidR="00000000" w:rsidRDefault="00D33C21">
      <w:pPr>
        <w:pStyle w:val="a3"/>
        <w:spacing w:before="240" w:beforeAutospacing="0" w:after="0" w:afterAutospacing="0"/>
        <w:jc w:val="both"/>
        <w:rPr>
          <w:color w:val="000000"/>
          <w:sz w:val="20"/>
          <w:szCs w:val="20"/>
        </w:rPr>
      </w:pPr>
      <w:r>
        <w:rPr>
          <w:color w:val="000000"/>
          <w:sz w:val="20"/>
          <w:szCs w:val="20"/>
          <w:shd w:val="clear" w:color="auto" w:fill="FFFFFF"/>
        </w:rPr>
        <w:t>In February 2016, the FASB issued ASU 2016-02, Leases (Topic 842). This new standard was i</w:t>
      </w:r>
      <w:r>
        <w:rPr>
          <w:color w:val="000000"/>
          <w:sz w:val="20"/>
          <w:szCs w:val="20"/>
          <w:shd w:val="clear" w:color="auto" w:fill="FFFFFF"/>
        </w:rPr>
        <w:t xml:space="preserve">ssued to increase transparency and comparability among entities by recognizing for all leases lease assets and lease liabilities on the balance sheet and disclosing key information about lease arrangements. </w:t>
      </w:r>
      <w:r>
        <w:rPr>
          <w:color w:val="000000"/>
          <w:sz w:val="20"/>
          <w:szCs w:val="20"/>
        </w:rPr>
        <w:t xml:space="preserve">This new standard is </w:t>
      </w:r>
      <w:r>
        <w:rPr>
          <w:color w:val="000000"/>
          <w:sz w:val="20"/>
          <w:szCs w:val="20"/>
          <w:shd w:val="clear" w:color="auto" w:fill="FFFFFF"/>
        </w:rPr>
        <w:t>effective for public compani</w:t>
      </w:r>
      <w:r>
        <w:rPr>
          <w:color w:val="000000"/>
          <w:sz w:val="20"/>
          <w:szCs w:val="20"/>
          <w:shd w:val="clear" w:color="auto" w:fill="FFFFFF"/>
        </w:rPr>
        <w:t>es for fiscal years, and interim periods within those fiscal years, beginning after December 15, 2018. The adoption of ASU 2016-02 did not have a material impact on the Company’s financial statements.</w:t>
      </w:r>
    </w:p>
    <w:p w:rsidR="00000000" w:rsidRDefault="00D33C21">
      <w:pPr>
        <w:pStyle w:val="a3"/>
        <w:spacing w:before="240" w:beforeAutospacing="0" w:after="0" w:afterAutospacing="0"/>
        <w:jc w:val="both"/>
        <w:rPr>
          <w:sz w:val="20"/>
          <w:szCs w:val="20"/>
        </w:rPr>
      </w:pPr>
      <w:r>
        <w:rPr>
          <w:sz w:val="20"/>
          <w:szCs w:val="20"/>
          <w:u w:val="single"/>
        </w:rPr>
        <w:t>New accounting standards which have not yet been adopte</w:t>
      </w:r>
      <w:r>
        <w:rPr>
          <w:sz w:val="20"/>
          <w:szCs w:val="20"/>
          <w:u w:val="single"/>
        </w:rPr>
        <w:t>d</w:t>
      </w:r>
    </w:p>
    <w:p w:rsidR="00000000" w:rsidRDefault="00D33C21">
      <w:pPr>
        <w:pStyle w:val="a3"/>
        <w:spacing w:before="120" w:beforeAutospacing="0" w:after="0" w:afterAutospacing="0"/>
        <w:jc w:val="both"/>
        <w:rPr>
          <w:sz w:val="20"/>
          <w:szCs w:val="20"/>
        </w:rPr>
      </w:pPr>
      <w:r>
        <w:rPr>
          <w:sz w:val="20"/>
          <w:szCs w:val="20"/>
        </w:rPr>
        <w:t>On August 29, 2018, the FASB issued ASU No. 2018-15, Intangibles – Goodwill and Other - Internal-Use Software (Subtopic 350-40) - which amends ASC 350-40 to address a customer’s accounting for implementation costs incurred in a cloud computing arrangemen</w:t>
      </w:r>
      <w:r>
        <w:rPr>
          <w:sz w:val="20"/>
          <w:szCs w:val="20"/>
        </w:rPr>
        <w:t>t (“CCA”) that is a service contract. ASU No. 2018-15 aligns the accounting for costs incurred to implement a CCA that is a service arrangement with the guidance on capitalizing costs associated with developing or obtaining internal-use software. Specifica</w:t>
      </w:r>
      <w:r>
        <w:rPr>
          <w:sz w:val="20"/>
          <w:szCs w:val="20"/>
        </w:rPr>
        <w:t>lly, the ASU amends ASC 350 to include in its scope implementation costs of a CCA that is a service contract and clarifies that a customer should apply ASC 350-40 to determine which implementation costs should be capitalized in a CCA that is considered a s</w:t>
      </w:r>
      <w:r>
        <w:rPr>
          <w:sz w:val="20"/>
          <w:szCs w:val="20"/>
        </w:rPr>
        <w:t>ervice contract. According to the standard the balance sheet line item for the presentation of capitalized implementation costs should be the same as that for the prepayment of fees related to the hosting arrangement and the manner in which an entity class</w:t>
      </w:r>
      <w:r>
        <w:rPr>
          <w:sz w:val="20"/>
          <w:szCs w:val="20"/>
        </w:rPr>
        <w:t>ifies the cash flows related to capitalized implementation costs should be the same as that in which it classifies the cash flows for the fees related to the hosting arrangement. ASU 2018-15 is effective for the Company for fiscal years beginning after Dec</w:t>
      </w:r>
      <w:r>
        <w:rPr>
          <w:sz w:val="20"/>
          <w:szCs w:val="20"/>
        </w:rPr>
        <w:t>ember 15, 2019, including interim periods therein. Entities are permitted to apply either a retrospective or prospective transition approach to adopt the guidance. When prospective transition is chosen, entities must apply the transition requirements to an</w:t>
      </w:r>
      <w:r>
        <w:rPr>
          <w:sz w:val="20"/>
          <w:szCs w:val="20"/>
        </w:rPr>
        <w:t>y eligible costs incurred after adoption. The Company is in the process of assessing the impact of this standard on its financial statements.</w:t>
      </w:r>
    </w:p>
    <w:p w:rsidR="00000000" w:rsidRDefault="00D33C21">
      <w:pPr>
        <w:pStyle w:val="a3"/>
        <w:spacing w:before="240" w:beforeAutospacing="0" w:after="0" w:afterAutospacing="0"/>
        <w:jc w:val="both"/>
        <w:rPr>
          <w:sz w:val="20"/>
          <w:szCs w:val="20"/>
        </w:rPr>
      </w:pPr>
      <w:r>
        <w:rPr>
          <w:sz w:val="20"/>
          <w:szCs w:val="20"/>
        </w:rPr>
        <w:t>On August 28, 2018, the FASB issued ASU No. 2018-13, Fair Value Measurement (Topic 820): Disclosure Framework — Ch</w:t>
      </w:r>
      <w:r>
        <w:rPr>
          <w:sz w:val="20"/>
          <w:szCs w:val="20"/>
        </w:rPr>
        <w:t xml:space="preserve">anges to the Disclosure Requirements for Fair Value Measurement.  This standard changes the fair value measurement disclosure requirements of ASC 820. The new standard eliminates certain disclosures, adds new disclosures with regard to unrealized gains or </w:t>
      </w:r>
      <w:r>
        <w:rPr>
          <w:sz w:val="20"/>
          <w:szCs w:val="20"/>
        </w:rPr>
        <w:t>losses included in other comprehensive income for recurring Level 3 fair value measurements held at the end of the reporting period and the range and weighted average used to develop significant unobservable inputs for Level 3 fair value measurements, as w</w:t>
      </w:r>
      <w:r>
        <w:rPr>
          <w:sz w:val="20"/>
          <w:szCs w:val="20"/>
        </w:rPr>
        <w:t>ell as modifies certain disclosure. ASU 2018-13 is effective for all entities for fiscal years beginning after December 15, 2019, including interim periods therein. Early adoption is permitted. The ASU requires application of the prospective method of tran</w:t>
      </w:r>
      <w:r>
        <w:rPr>
          <w:sz w:val="20"/>
          <w:szCs w:val="20"/>
        </w:rPr>
        <w:t xml:space="preserve">sition for the aforementioned new disclosure requirements and for modified disclosure with regard to measurement uncertainty while all other amendments made by the ASU must be applied retrospectively to all periods presented. The Company is in the process </w:t>
      </w:r>
      <w:r>
        <w:rPr>
          <w:sz w:val="20"/>
          <w:szCs w:val="20"/>
        </w:rPr>
        <w:t>of assessing the impact of this standard on its financial statements.</w:t>
      </w:r>
    </w:p>
    <w:p w:rsidR="00000000" w:rsidRDefault="00D33C21">
      <w:pPr>
        <w:pStyle w:val="a3"/>
        <w:spacing w:before="240" w:beforeAutospacing="0" w:after="0" w:afterAutospacing="0"/>
        <w:jc w:val="both"/>
        <w:rPr>
          <w:sz w:val="20"/>
          <w:szCs w:val="20"/>
        </w:rPr>
      </w:pPr>
      <w:r>
        <w:rPr>
          <w:sz w:val="20"/>
          <w:szCs w:val="20"/>
        </w:rPr>
        <w:t>In June 2016, the FASB issued ASU No. 2016-13, Financial Instruments – Credit Losses (Topic 326): Measurement of Credit Losses on Financial Instruments.  This new standard requires the m</w:t>
      </w:r>
      <w:r>
        <w:rPr>
          <w:sz w:val="20"/>
          <w:szCs w:val="20"/>
        </w:rPr>
        <w:t>easurement and recognition of expected credit losses for financial assets held at amortized cost, including loans and trade and other receivables. ASU 2016-13 replaces the existing incurred loss impairment model with an expected loss methodology, which wil</w:t>
      </w:r>
      <w:r>
        <w:rPr>
          <w:sz w:val="20"/>
          <w:szCs w:val="20"/>
        </w:rPr>
        <w:t>l result in more timely recognition of credit losses. The standard also amends the impairment model for available-for-sale debt securities and requires entities to determine whether all or a portion of the unrealized loss on an available-for-sale debt secu</w:t>
      </w:r>
      <w:r>
        <w:rPr>
          <w:sz w:val="20"/>
          <w:szCs w:val="20"/>
        </w:rPr>
        <w:t>rity is a credit loss. Under the new guidance, an entity will recognize an allowance for credit losses on available-for-sale debt securities as a contra-account to the amortized cost basis rather than as a direct reduction of the amortized cost basis of th</w:t>
      </w:r>
      <w:r>
        <w:rPr>
          <w:sz w:val="20"/>
          <w:szCs w:val="20"/>
        </w:rPr>
        <w:t>e investment, as is currently required. ASU 2016-13 is effective for annual reporting periods, and interim periods within those years, beginning after December 15, 2019. The Company does not expect this standard to have a material impact on its financial s</w:t>
      </w:r>
      <w:r>
        <w:rPr>
          <w:sz w:val="20"/>
          <w:szCs w:val="20"/>
        </w:rPr>
        <w:t>tatements due to the immaterial level of its unrealized losses on available-for-sale securities and its immaterial level of loans and receivables.</w:t>
      </w:r>
    </w:p>
    <w:p w:rsidR="00000000" w:rsidRDefault="00D33C21">
      <w:pPr>
        <w:pStyle w:val="a3"/>
        <w:spacing w:before="240" w:beforeAutospacing="0" w:after="0" w:afterAutospacing="0"/>
        <w:jc w:val="center"/>
        <w:rPr>
          <w:sz w:val="20"/>
          <w:szCs w:val="20"/>
        </w:rPr>
      </w:pPr>
      <w:r>
        <w:rPr>
          <w:sz w:val="20"/>
          <w:szCs w:val="20"/>
        </w:rPr>
        <w:t>10</w:t>
      </w:r>
    </w:p>
    <w:p w:rsidR="00000000" w:rsidRDefault="00D33C21">
      <w:pPr>
        <w:rPr>
          <w:rFonts w:eastAsia="Times New Roman"/>
        </w:rPr>
      </w:pPr>
      <w:r>
        <w:rPr>
          <w:rFonts w:eastAsia="Times New Roman"/>
        </w:rPr>
        <w:pict>
          <v:rect id="_x0000_i1035"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rPr>
          <w:b/>
          <w:bCs/>
          <w:sz w:val="20"/>
          <w:szCs w:val="20"/>
        </w:rPr>
      </w:pPr>
      <w:bookmarkStart w:id="22" w:name="_AEIOULastRenderedPageBreakAEIOU10"/>
      <w:bookmarkEnd w:id="22"/>
      <w:r>
        <w:rPr>
          <w:b/>
          <w:bCs/>
          <w:sz w:val="20"/>
          <w:szCs w:val="20"/>
        </w:rPr>
        <w:t>NOTE 3 – CASH EQUIVALENTS AND SHORT-TERM INVESTMENTS</w:t>
      </w:r>
    </w:p>
    <w:p w:rsidR="00000000" w:rsidRDefault="00D33C21">
      <w:pPr>
        <w:pStyle w:val="a3"/>
        <w:spacing w:before="120" w:beforeAutospacing="0" w:after="0" w:afterAutospacing="0"/>
        <w:jc w:val="both"/>
        <w:rPr>
          <w:sz w:val="20"/>
          <w:szCs w:val="20"/>
        </w:rPr>
      </w:pPr>
      <w:r>
        <w:rPr>
          <w:sz w:val="20"/>
          <w:szCs w:val="20"/>
        </w:rPr>
        <w:t>All</w:t>
      </w:r>
      <w:r>
        <w:rPr>
          <w:color w:val="000000"/>
          <w:sz w:val="20"/>
          <w:szCs w:val="20"/>
        </w:rPr>
        <w:t xml:space="preserve"> </w:t>
      </w:r>
      <w:r>
        <w:rPr>
          <w:color w:val="000000"/>
          <w:sz w:val="20"/>
          <w:szCs w:val="20"/>
        </w:rPr>
        <w:t>short-term investments are classified as available-for-sale. The following tables summarize the fair value of cash, cash equivalents, and short-term investments, as well as gross unrealized holding gains and losses as of June 30, 2019 and December 31, 2018</w:t>
      </w:r>
      <w:r>
        <w:rPr>
          <w:color w:val="000000"/>
          <w:sz w:val="20"/>
          <w:szCs w:val="20"/>
        </w:rPr>
        <w:t>:</w:t>
      </w:r>
    </w:p>
    <w:p w:rsidR="00000000" w:rsidRDefault="00D33C21">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032"/>
        <w:gridCol w:w="120"/>
        <w:gridCol w:w="115"/>
        <w:gridCol w:w="990"/>
        <w:gridCol w:w="73"/>
        <w:gridCol w:w="120"/>
        <w:gridCol w:w="116"/>
        <w:gridCol w:w="990"/>
        <w:gridCol w:w="73"/>
        <w:gridCol w:w="120"/>
        <w:gridCol w:w="116"/>
        <w:gridCol w:w="1065"/>
        <w:gridCol w:w="73"/>
        <w:gridCol w:w="120"/>
        <w:gridCol w:w="115"/>
        <w:gridCol w:w="995"/>
        <w:gridCol w:w="73"/>
      </w:tblGrid>
      <w:tr w:rsidR="00000000">
        <w:trPr>
          <w:divId w:val="964506191"/>
          <w:jc w:val="center"/>
        </w:trPr>
        <w:tc>
          <w:tcPr>
            <w:tcW w:w="1832"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7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3039"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b/>
                <w:bCs/>
                <w:color w:val="000000"/>
                <w:sz w:val="20"/>
                <w:szCs w:val="20"/>
              </w:rPr>
            </w:pPr>
            <w:r>
              <w:rPr>
                <w:b/>
                <w:bCs/>
                <w:color w:val="000000"/>
                <w:sz w:val="20"/>
                <w:szCs w:val="20"/>
              </w:rPr>
              <w:t>June 30, 2019</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b/>
                <w:bCs/>
                <w:color w:val="000000"/>
                <w:sz w:val="20"/>
                <w:szCs w:val="20"/>
              </w:rPr>
            </w:pPr>
            <w:r>
              <w:rPr>
                <w:b/>
                <w:bCs/>
                <w:color w:val="000000"/>
                <w:sz w:val="20"/>
                <w:szCs w:val="20"/>
              </w:rPr>
              <w:t> </w:t>
            </w:r>
          </w:p>
        </w:tc>
      </w:tr>
      <w:tr w:rsidR="00000000">
        <w:trPr>
          <w:divId w:val="964506191"/>
          <w:jc w:val="center"/>
        </w:trPr>
        <w:tc>
          <w:tcPr>
            <w:tcW w:w="1832"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2"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Amortized</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652"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697"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652"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Fair</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964506191"/>
          <w:jc w:val="center"/>
        </w:trPr>
        <w:tc>
          <w:tcPr>
            <w:tcW w:w="1832"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2"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cost</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652"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holding gains</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69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holding losses</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652"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value</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964506191"/>
          <w:jc w:val="center"/>
        </w:trPr>
        <w:tc>
          <w:tcPr>
            <w:tcW w:w="1832"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Cash</w:t>
            </w:r>
          </w:p>
        </w:tc>
        <w:tc>
          <w:tcPr>
            <w:tcW w:w="78"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2"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1,001,873</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2"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7"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2"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1,001,873</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964506191"/>
          <w:jc w:val="center"/>
        </w:trPr>
        <w:tc>
          <w:tcPr>
            <w:tcW w:w="1832"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r>
              <w:rPr>
                <w:color w:val="000000"/>
                <w:sz w:val="20"/>
                <w:szCs w:val="20"/>
              </w:rPr>
              <w:t>Money market funds (a)</w:t>
            </w:r>
          </w:p>
        </w:tc>
        <w:tc>
          <w:tcPr>
            <w:tcW w:w="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46,360,093</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7"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46,360,093</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964506191"/>
          <w:jc w:val="center"/>
        </w:trPr>
        <w:tc>
          <w:tcPr>
            <w:tcW w:w="1832"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Total cash and cash equivalents</w:t>
            </w:r>
          </w:p>
        </w:tc>
        <w:tc>
          <w:tcPr>
            <w:tcW w:w="78"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47,361,966</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7"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47,361,966</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964506191"/>
          <w:jc w:val="center"/>
        </w:trPr>
        <w:tc>
          <w:tcPr>
            <w:tcW w:w="1832"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964506191"/>
          <w:jc w:val="center"/>
        </w:trPr>
        <w:tc>
          <w:tcPr>
            <w:tcW w:w="4950" w:type="pct"/>
            <w:gridSpan w:val="16"/>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(a)  As of June </w:t>
            </w:r>
            <w:r>
              <w:rPr>
                <w:color w:val="000000"/>
                <w:sz w:val="20"/>
                <w:szCs w:val="20"/>
              </w:rPr>
              <w:t>30, 2019, the Company's Level 1 assets consisted of money market funds totaling $46.4 million. The Company had no level 2 or level 3 assets or liabilities as of June 30, 2019.</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bl>
    <w:p w:rsidR="00000000" w:rsidRDefault="00D33C21">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3030"/>
        <w:gridCol w:w="118"/>
        <w:gridCol w:w="115"/>
        <w:gridCol w:w="988"/>
        <w:gridCol w:w="73"/>
        <w:gridCol w:w="118"/>
        <w:gridCol w:w="116"/>
        <w:gridCol w:w="988"/>
        <w:gridCol w:w="73"/>
        <w:gridCol w:w="118"/>
        <w:gridCol w:w="116"/>
        <w:gridCol w:w="1071"/>
        <w:gridCol w:w="82"/>
        <w:gridCol w:w="109"/>
        <w:gridCol w:w="115"/>
        <w:gridCol w:w="1002"/>
        <w:gridCol w:w="74"/>
      </w:tblGrid>
      <w:tr w:rsidR="00000000">
        <w:trPr>
          <w:divId w:val="632715943"/>
          <w:jc w:val="center"/>
        </w:trPr>
        <w:tc>
          <w:tcPr>
            <w:tcW w:w="183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3041"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b/>
                <w:bCs/>
                <w:color w:val="000000"/>
                <w:sz w:val="20"/>
                <w:szCs w:val="20"/>
              </w:rPr>
            </w:pPr>
            <w:r>
              <w:rPr>
                <w:b/>
                <w:bCs/>
                <w:color w:val="000000"/>
                <w:sz w:val="20"/>
                <w:szCs w:val="20"/>
              </w:rPr>
              <w:t>December 31, 2018</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b/>
                <w:bCs/>
                <w:color w:val="000000"/>
                <w:sz w:val="20"/>
                <w:szCs w:val="20"/>
              </w:rPr>
            </w:pPr>
            <w:r>
              <w:rPr>
                <w:b/>
                <w:bCs/>
                <w:color w:val="000000"/>
                <w:sz w:val="20"/>
                <w:szCs w:val="20"/>
              </w:rPr>
              <w:t> </w:t>
            </w:r>
          </w:p>
        </w:tc>
      </w:tr>
      <w:tr w:rsidR="00000000">
        <w:trPr>
          <w:divId w:val="632715943"/>
          <w:jc w:val="center"/>
        </w:trPr>
        <w:tc>
          <w:tcPr>
            <w:tcW w:w="1830"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Amortized</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70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Fair</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632715943"/>
          <w:jc w:val="center"/>
        </w:trPr>
        <w:tc>
          <w:tcPr>
            <w:tcW w:w="1830"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cost</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holding gains</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70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holding losses</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20"/>
                <w:szCs w:val="20"/>
              </w:rPr>
            </w:pPr>
            <w:r>
              <w:rPr>
                <w:color w:val="000000"/>
                <w:sz w:val="20"/>
                <w:szCs w:val="20"/>
              </w:rPr>
              <w:t>value</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632715943"/>
          <w:jc w:val="center"/>
        </w:trPr>
        <w:tc>
          <w:tcPr>
            <w:tcW w:w="183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Cash</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927,354</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51"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927,354</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632715943"/>
          <w:jc w:val="center"/>
        </w:trPr>
        <w:tc>
          <w:tcPr>
            <w:tcW w:w="183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r>
              <w:rPr>
                <w:color w:val="000000"/>
                <w:sz w:val="20"/>
                <w:szCs w:val="20"/>
              </w:rPr>
              <w:t>Money market funds (a)</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35,562,264</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35,562,264</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632715943"/>
          <w:jc w:val="center"/>
        </w:trPr>
        <w:tc>
          <w:tcPr>
            <w:tcW w:w="183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Total cash and cash equivalents</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5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632715943"/>
          <w:jc w:val="center"/>
        </w:trPr>
        <w:tc>
          <w:tcPr>
            <w:tcW w:w="1830"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1"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632715943"/>
          <w:jc w:val="center"/>
        </w:trPr>
        <w:tc>
          <w:tcPr>
            <w:tcW w:w="183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U.S. treasury notes</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5,012,863</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51"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632715943"/>
          <w:jc w:val="center"/>
        </w:trPr>
        <w:tc>
          <w:tcPr>
            <w:tcW w:w="1830"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Corporate bonds</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1"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632715943"/>
          <w:jc w:val="center"/>
        </w:trPr>
        <w:tc>
          <w:tcPr>
            <w:tcW w:w="183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Total short-term investments</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5,012,863</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5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7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632715943"/>
          <w:jc w:val="center"/>
        </w:trPr>
        <w:tc>
          <w:tcPr>
            <w:tcW w:w="183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5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632715943"/>
          <w:jc w:val="center"/>
        </w:trPr>
        <w:tc>
          <w:tcPr>
            <w:tcW w:w="4950" w:type="pct"/>
            <w:gridSpan w:val="16"/>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(a)  As of December </w:t>
            </w:r>
            <w:r>
              <w:rPr>
                <w:color w:val="000000"/>
                <w:sz w:val="20"/>
                <w:szCs w:val="20"/>
              </w:rPr>
              <w:t>31, 2018, the Company's Level 1 assets consisted of money market funds and U.S. treasury notes totaling $40.6 million.  The Company had no level 2 or level 3 assets or liabilities as of December 31, 2018.</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bl>
    <w:p w:rsidR="00000000" w:rsidRDefault="00D33C21">
      <w:pPr>
        <w:pStyle w:val="a3"/>
        <w:spacing w:before="0" w:beforeAutospacing="0" w:after="0" w:afterAutospacing="0"/>
        <w:jc w:val="both"/>
      </w:pPr>
      <w:r>
        <w:t> </w:t>
      </w:r>
    </w:p>
    <w:p w:rsidR="00000000" w:rsidRDefault="00D33C21">
      <w:pPr>
        <w:pStyle w:val="a3"/>
        <w:spacing w:before="0" w:beforeAutospacing="0" w:after="0" w:afterAutospacing="0"/>
        <w:jc w:val="both"/>
        <w:rPr>
          <w:color w:val="000000"/>
          <w:sz w:val="20"/>
          <w:szCs w:val="20"/>
        </w:rPr>
      </w:pPr>
      <w:r>
        <w:rPr>
          <w:color w:val="000000"/>
          <w:sz w:val="20"/>
          <w:szCs w:val="20"/>
        </w:rPr>
        <w:t>As of June 30, 2019, and December </w:t>
      </w:r>
      <w:r>
        <w:rPr>
          <w:color w:val="000000"/>
          <w:sz w:val="20"/>
          <w:szCs w:val="20"/>
        </w:rPr>
        <w:t>31, 2018, the aggregate fair value of securities that were in an unrealized loss position for less than 12 months was zero and $5.0 million, respectively. The Company did not hold any securities in an unrealized loss position for more than 12 months as of </w:t>
      </w:r>
      <w:r>
        <w:rPr>
          <w:color w:val="000000"/>
          <w:sz w:val="20"/>
          <w:szCs w:val="20"/>
        </w:rPr>
        <w:t>June 30, 2019.</w:t>
      </w:r>
    </w:p>
    <w:p w:rsidR="00000000" w:rsidRDefault="00D33C21">
      <w:pPr>
        <w:pStyle w:val="a3"/>
        <w:spacing w:before="360" w:beforeAutospacing="0" w:after="0" w:afterAutospacing="0"/>
        <w:jc w:val="both"/>
        <w:rPr>
          <w:b/>
          <w:bCs/>
          <w:color w:val="000000"/>
          <w:sz w:val="20"/>
          <w:szCs w:val="20"/>
        </w:rPr>
      </w:pPr>
      <w:r>
        <w:rPr>
          <w:b/>
          <w:bCs/>
          <w:color w:val="000000"/>
          <w:sz w:val="20"/>
          <w:szCs w:val="20"/>
          <w:shd w:val="clear" w:color="auto" w:fill="FFFFFF"/>
        </w:rPr>
        <w:t>NOTE</w:t>
      </w:r>
      <w:r>
        <w:rPr>
          <w:b/>
          <w:bCs/>
          <w:color w:val="000000"/>
          <w:sz w:val="20"/>
          <w:szCs w:val="20"/>
        </w:rPr>
        <w:t xml:space="preserve"> 4 – PROPERTY AND EQUIPMENT AND INTANGIBLE ASSETS</w:t>
      </w:r>
    </w:p>
    <w:p w:rsidR="00000000" w:rsidRDefault="00D33C21">
      <w:pPr>
        <w:pStyle w:val="a3"/>
        <w:spacing w:before="120" w:beforeAutospacing="0" w:after="0" w:afterAutospacing="0"/>
        <w:jc w:val="both"/>
        <w:rPr>
          <w:sz w:val="20"/>
          <w:szCs w:val="20"/>
        </w:rPr>
      </w:pPr>
      <w:r>
        <w:rPr>
          <w:sz w:val="20"/>
          <w:szCs w:val="20"/>
        </w:rPr>
        <w:t>Property and equipment is summarized as follows:</w:t>
      </w:r>
    </w:p>
    <w:p w:rsidR="00000000" w:rsidRDefault="00D33C21">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78"/>
        <w:gridCol w:w="65"/>
        <w:gridCol w:w="115"/>
        <w:gridCol w:w="732"/>
        <w:gridCol w:w="82"/>
        <w:gridCol w:w="65"/>
        <w:gridCol w:w="116"/>
        <w:gridCol w:w="879"/>
        <w:gridCol w:w="82"/>
      </w:tblGrid>
      <w:tr w:rsidR="00000000">
        <w:trPr>
          <w:divId w:val="1061321199"/>
          <w:jc w:val="center"/>
        </w:trPr>
        <w:tc>
          <w:tcPr>
            <w:tcW w:w="33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74"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jc w:val="center"/>
              <w:rPr>
                <w:color w:val="000000"/>
                <w:sz w:val="16"/>
                <w:szCs w:val="16"/>
              </w:rPr>
            </w:pPr>
            <w:r>
              <w:rPr>
                <w:color w:val="000000"/>
                <w:sz w:val="16"/>
                <w:szCs w:val="16"/>
              </w:rPr>
              <w:t> </w:t>
            </w:r>
          </w:p>
        </w:tc>
        <w:tc>
          <w:tcPr>
            <w:tcW w:w="69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061321199"/>
          <w:jc w:val="center"/>
        </w:trPr>
        <w:tc>
          <w:tcPr>
            <w:tcW w:w="336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061321199"/>
          <w:jc w:val="center"/>
        </w:trPr>
        <w:tc>
          <w:tcPr>
            <w:tcW w:w="3365"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Furniture and equipment</w:t>
            </w:r>
          </w:p>
        </w:tc>
        <w:tc>
          <w:tcPr>
            <w:tcW w:w="74"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163,731</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156,031</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061321199"/>
          <w:jc w:val="center"/>
        </w:trPr>
        <w:tc>
          <w:tcPr>
            <w:tcW w:w="3365"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Less accumulated depreciation</w:t>
            </w:r>
          </w:p>
        </w:tc>
        <w:tc>
          <w:tcPr>
            <w:tcW w:w="7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(104,956</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(86,164</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061321199"/>
          <w:jc w:val="center"/>
        </w:trPr>
        <w:tc>
          <w:tcPr>
            <w:tcW w:w="3365"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Total property and equipment, net</w:t>
            </w:r>
          </w:p>
        </w:tc>
        <w:tc>
          <w:tcPr>
            <w:tcW w:w="74"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58,775</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69,867</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jc w:val="both"/>
        <w:rPr>
          <w:sz w:val="20"/>
          <w:szCs w:val="20"/>
        </w:rPr>
      </w:pPr>
      <w:r>
        <w:rPr>
          <w:sz w:val="20"/>
          <w:szCs w:val="20"/>
        </w:rPr>
        <w:t> </w:t>
      </w:r>
    </w:p>
    <w:p w:rsidR="00000000" w:rsidRDefault="00D33C21">
      <w:pPr>
        <w:pStyle w:val="a3"/>
        <w:spacing w:before="40" w:beforeAutospacing="0" w:after="0" w:afterAutospacing="0"/>
        <w:jc w:val="both"/>
        <w:rPr>
          <w:sz w:val="20"/>
          <w:szCs w:val="20"/>
        </w:rPr>
      </w:pPr>
      <w:r>
        <w:rPr>
          <w:sz w:val="20"/>
          <w:szCs w:val="20"/>
        </w:rPr>
        <w:t>Depreciation expense was $19,000 and $15,000 for the six months ended June 30, 2019 and 2018, respectively.  </w:t>
      </w:r>
      <w:r>
        <w:rPr>
          <w:color w:val="000000"/>
          <w:sz w:val="20"/>
          <w:szCs w:val="20"/>
        </w:rPr>
        <w:t>Depreciation expense was $9,000 and $9,000 for the three months ended June 30, 2019 and 2018, respectively.</w:t>
      </w:r>
    </w:p>
    <w:p w:rsidR="00000000" w:rsidRDefault="00D33C21">
      <w:pPr>
        <w:pStyle w:val="a3"/>
        <w:spacing w:before="240" w:beforeAutospacing="0" w:after="0" w:afterAutospacing="0"/>
        <w:jc w:val="both"/>
        <w:rPr>
          <w:sz w:val="20"/>
          <w:szCs w:val="20"/>
        </w:rPr>
      </w:pPr>
      <w:r>
        <w:rPr>
          <w:sz w:val="20"/>
          <w:szCs w:val="20"/>
        </w:rPr>
        <w:t>Intangible assets, net of accumulated a</w:t>
      </w:r>
      <w:r>
        <w:rPr>
          <w:sz w:val="20"/>
          <w:szCs w:val="20"/>
        </w:rPr>
        <w:t>mortization, were $271,000 and $392,000 as of June 30, 2019 and December 31, 2018, respectively, and are included in other assets. Amortization expense was $127,000 and $36,000 for the six months ended June 30, 2019 and 2018, respectively. Amortization exp</w:t>
      </w:r>
      <w:r>
        <w:rPr>
          <w:sz w:val="20"/>
          <w:szCs w:val="20"/>
        </w:rPr>
        <w:t xml:space="preserve">ense was $60,000 and $19,000 for the three months ended June 30, 2019 and 2018, respectively. </w:t>
      </w:r>
    </w:p>
    <w:p w:rsidR="00000000" w:rsidRDefault="00D33C21">
      <w:pPr>
        <w:pStyle w:val="a3"/>
        <w:spacing w:before="240" w:beforeAutospacing="0" w:after="0" w:afterAutospacing="0"/>
        <w:jc w:val="center"/>
        <w:rPr>
          <w:sz w:val="20"/>
          <w:szCs w:val="20"/>
        </w:rPr>
      </w:pPr>
      <w:r>
        <w:rPr>
          <w:sz w:val="20"/>
          <w:szCs w:val="20"/>
        </w:rPr>
        <w:t>11</w:t>
      </w:r>
    </w:p>
    <w:p w:rsidR="00000000" w:rsidRDefault="00D33C21">
      <w:pPr>
        <w:rPr>
          <w:rFonts w:eastAsia="Times New Roman"/>
        </w:rPr>
      </w:pPr>
      <w:r>
        <w:rPr>
          <w:rFonts w:eastAsia="Times New Roman"/>
        </w:rPr>
        <w:pict>
          <v:rect id="_x0000_i1036"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jc w:val="both"/>
        <w:rPr>
          <w:b/>
          <w:bCs/>
          <w:sz w:val="20"/>
          <w:szCs w:val="20"/>
        </w:rPr>
      </w:pPr>
      <w:bookmarkStart w:id="23" w:name="_AEIOULastRenderedPageBreakAEIOU11"/>
      <w:bookmarkEnd w:id="23"/>
      <w:r>
        <w:rPr>
          <w:b/>
          <w:bCs/>
          <w:sz w:val="20"/>
          <w:szCs w:val="20"/>
        </w:rPr>
        <w:t>NOTE 5 – ACCRUED EXPENSES</w:t>
      </w:r>
    </w:p>
    <w:p w:rsidR="00000000" w:rsidRDefault="00D33C21">
      <w:pPr>
        <w:pStyle w:val="a3"/>
        <w:spacing w:before="120" w:beforeAutospacing="0" w:after="0" w:afterAutospacing="0"/>
        <w:jc w:val="both"/>
        <w:rPr>
          <w:sz w:val="20"/>
          <w:szCs w:val="20"/>
        </w:rPr>
      </w:pPr>
      <w:r>
        <w:rPr>
          <w:sz w:val="20"/>
          <w:szCs w:val="20"/>
        </w:rPr>
        <w:t>Accrued expenses consist of the following:</w:t>
      </w:r>
    </w:p>
    <w:p w:rsidR="00000000" w:rsidRDefault="00D33C21">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1944874669"/>
          <w:jc w:val="center"/>
        </w:trPr>
        <w:tc>
          <w:tcPr>
            <w:tcW w:w="334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944874669"/>
          <w:jc w:val="center"/>
        </w:trPr>
        <w:tc>
          <w:tcPr>
            <w:tcW w:w="334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944874669"/>
          <w:jc w:val="center"/>
        </w:trPr>
        <w:tc>
          <w:tcPr>
            <w:tcW w:w="334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Clinical trials accrual</w:t>
            </w:r>
          </w:p>
        </w:tc>
        <w:tc>
          <w:tcPr>
            <w:tcW w:w="81"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3,729,260</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1,352,133</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944874669"/>
          <w:jc w:val="center"/>
        </w:trPr>
        <w:tc>
          <w:tcPr>
            <w:tcW w:w="334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Related party payable</w:t>
            </w:r>
          </w:p>
        </w:tc>
        <w:tc>
          <w:tcPr>
            <w:tcW w:w="81"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1,062,481</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944874669"/>
          <w:jc w:val="center"/>
        </w:trPr>
        <w:tc>
          <w:tcPr>
            <w:tcW w:w="334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Payroll and bonus accrual</w:t>
            </w:r>
          </w:p>
        </w:tc>
        <w:tc>
          <w:tcPr>
            <w:tcW w:w="81"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1,595,950</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2,779,021</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944874669"/>
          <w:jc w:val="center"/>
        </w:trPr>
        <w:tc>
          <w:tcPr>
            <w:tcW w:w="334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Professional fees accrual</w:t>
            </w:r>
          </w:p>
        </w:tc>
        <w:tc>
          <w:tcPr>
            <w:tcW w:w="81"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579,198</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772,785</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944874669"/>
          <w:jc w:val="center"/>
        </w:trPr>
        <w:tc>
          <w:tcPr>
            <w:tcW w:w="3347"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Other</w:t>
            </w:r>
          </w:p>
        </w:tc>
        <w:tc>
          <w:tcPr>
            <w:tcW w:w="81"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168,798</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184,923</w:t>
            </w:r>
          </w:p>
        </w:tc>
        <w:tc>
          <w:tcPr>
            <w:tcW w:w="50" w:type="pct"/>
            <w:shd w:val="clear" w:color="auto" w:fill="FFFFFF"/>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944874669"/>
          <w:jc w:val="center"/>
        </w:trPr>
        <w:tc>
          <w:tcPr>
            <w:tcW w:w="3347"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ind w:left="274"/>
              <w:rPr>
                <w:color w:val="000000"/>
                <w:sz w:val="20"/>
                <w:szCs w:val="20"/>
              </w:rPr>
            </w:pPr>
            <w:r>
              <w:rPr>
                <w:color w:val="000000"/>
                <w:sz w:val="20"/>
                <w:szCs w:val="20"/>
              </w:rPr>
              <w:t>Total</w:t>
            </w:r>
          </w:p>
        </w:tc>
        <w:tc>
          <w:tcPr>
            <w:tcW w:w="81"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7,135,687</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jc w:val="right"/>
              <w:rPr>
                <w:color w:val="000000"/>
                <w:sz w:val="20"/>
                <w:szCs w:val="20"/>
              </w:rPr>
            </w:pPr>
            <w:r>
              <w:rPr>
                <w:color w:val="000000"/>
                <w:sz w:val="20"/>
                <w:szCs w:val="20"/>
              </w:rPr>
              <w:t>5,088,862</w:t>
            </w:r>
          </w:p>
        </w:tc>
        <w:tc>
          <w:tcPr>
            <w:tcW w:w="50" w:type="pct"/>
            <w:shd w:val="clear" w:color="auto" w:fill="CFF0FC"/>
            <w:noWrap/>
            <w:tcMar>
              <w:top w:w="15" w:type="dxa"/>
              <w:left w:w="0" w:type="dxa"/>
              <w:bottom w:w="0" w:type="dxa"/>
              <w:right w:w="15" w:type="dxa"/>
            </w:tcMar>
            <w:vAlign w:val="center"/>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jc w:val="both"/>
        <w:rPr>
          <w:sz w:val="20"/>
          <w:szCs w:val="20"/>
        </w:rPr>
      </w:pPr>
      <w:r>
        <w:rPr>
          <w:sz w:val="20"/>
          <w:szCs w:val="20"/>
        </w:rPr>
        <w:t> </w:t>
      </w:r>
    </w:p>
    <w:p w:rsidR="00000000" w:rsidRDefault="00D33C21">
      <w:pPr>
        <w:pStyle w:val="a3"/>
        <w:spacing w:before="160" w:beforeAutospacing="0" w:after="0" w:afterAutospacing="0"/>
        <w:jc w:val="both"/>
        <w:rPr>
          <w:b/>
          <w:bCs/>
          <w:sz w:val="20"/>
          <w:szCs w:val="20"/>
        </w:rPr>
      </w:pPr>
      <w:r>
        <w:rPr>
          <w:b/>
          <w:bCs/>
          <w:sz w:val="20"/>
          <w:szCs w:val="20"/>
        </w:rPr>
        <w:t xml:space="preserve">NOTE 6 – STOCKHOLDERS’ </w:t>
      </w:r>
      <w:r>
        <w:rPr>
          <w:b/>
          <w:bCs/>
          <w:sz w:val="20"/>
          <w:szCs w:val="20"/>
        </w:rPr>
        <w:t>EQUITY AND PREFERRED STOCK</w:t>
      </w:r>
    </w:p>
    <w:p w:rsidR="00000000" w:rsidRDefault="00D33C21">
      <w:pPr>
        <w:pStyle w:val="a3"/>
        <w:spacing w:before="120" w:beforeAutospacing="0" w:after="0" w:afterAutospacing="0"/>
        <w:jc w:val="both"/>
        <w:rPr>
          <w:sz w:val="20"/>
          <w:szCs w:val="20"/>
        </w:rPr>
      </w:pPr>
      <w:r>
        <w:rPr>
          <w:sz w:val="20"/>
          <w:szCs w:val="20"/>
        </w:rPr>
        <w:t>The Company’s capital structure consists of common stock and preferred stock. Pursuant to the Company’s amended and restated certificate of incorporation, the Company is authorized to issue up to 125,000,000 shares of common stoc</w:t>
      </w:r>
      <w:r>
        <w:rPr>
          <w:sz w:val="20"/>
          <w:szCs w:val="20"/>
        </w:rPr>
        <w:t>k and 10,000,000 shares of preferred stock.</w:t>
      </w:r>
    </w:p>
    <w:p w:rsidR="00000000" w:rsidRDefault="00D33C21">
      <w:pPr>
        <w:pStyle w:val="a3"/>
        <w:spacing w:before="0" w:beforeAutospacing="0" w:after="0" w:afterAutospacing="0"/>
        <w:jc w:val="both"/>
        <w:rPr>
          <w:sz w:val="20"/>
          <w:szCs w:val="20"/>
        </w:rPr>
      </w:pPr>
      <w:r>
        <w:rPr>
          <w:sz w:val="20"/>
          <w:szCs w:val="20"/>
        </w:rPr>
        <w:t> </w:t>
      </w:r>
    </w:p>
    <w:p w:rsidR="00000000" w:rsidRDefault="00D33C21">
      <w:pPr>
        <w:pStyle w:val="a3"/>
        <w:spacing w:before="0" w:beforeAutospacing="0" w:after="0" w:afterAutospacing="0"/>
        <w:jc w:val="both"/>
        <w:rPr>
          <w:color w:val="000000"/>
          <w:sz w:val="20"/>
          <w:szCs w:val="20"/>
        </w:rPr>
      </w:pPr>
      <w:r>
        <w:rPr>
          <w:color w:val="000000"/>
          <w:sz w:val="20"/>
          <w:szCs w:val="20"/>
          <w:shd w:val="clear" w:color="auto" w:fill="FFFFFF"/>
        </w:rPr>
        <w:t>The holders of common stock are entitled to one vote for each share held. The holders of common stock have no preemptive or other subscription rights, and there are no redemption or sinking fund provisions with</w:t>
      </w:r>
      <w:r>
        <w:rPr>
          <w:color w:val="000000"/>
          <w:sz w:val="20"/>
          <w:szCs w:val="20"/>
          <w:shd w:val="clear" w:color="auto" w:fill="FFFFFF"/>
        </w:rPr>
        <w:t xml:space="preserve"> respect to such shares. The common stock is subordinate to all series of Preferred Stock with respect to dividend rights and rights upon liquidation, winding up and dissolution of the Company. The holders of common stock are entitled to liquidation procee</w:t>
      </w:r>
      <w:r>
        <w:rPr>
          <w:color w:val="000000"/>
          <w:sz w:val="20"/>
          <w:szCs w:val="20"/>
          <w:shd w:val="clear" w:color="auto" w:fill="FFFFFF"/>
        </w:rPr>
        <w:t>ds after all liquidation preferences for the Preferred Stock are satisfied.</w:t>
      </w:r>
    </w:p>
    <w:p w:rsidR="00000000" w:rsidRDefault="00D33C21">
      <w:pPr>
        <w:pStyle w:val="a3"/>
        <w:spacing w:before="0" w:beforeAutospacing="0" w:after="0" w:afterAutospacing="0"/>
        <w:jc w:val="both"/>
        <w:rPr>
          <w:sz w:val="20"/>
          <w:szCs w:val="20"/>
        </w:rPr>
      </w:pPr>
      <w:r>
        <w:rPr>
          <w:sz w:val="20"/>
          <w:szCs w:val="20"/>
        </w:rPr>
        <w:t> </w:t>
      </w:r>
    </w:p>
    <w:p w:rsidR="00000000" w:rsidRDefault="00D33C21">
      <w:pPr>
        <w:pStyle w:val="a3"/>
        <w:spacing w:before="0" w:beforeAutospacing="0" w:after="0" w:afterAutospacing="0"/>
        <w:jc w:val="both"/>
        <w:rPr>
          <w:color w:val="000000"/>
          <w:sz w:val="20"/>
          <w:szCs w:val="20"/>
        </w:rPr>
      </w:pPr>
      <w:r>
        <w:rPr>
          <w:color w:val="000000"/>
          <w:sz w:val="20"/>
          <w:szCs w:val="20"/>
        </w:rPr>
        <w:t>In February 2019, the Company sold 13,993,778 shares of its common stock and 2,500 shares of Series A Convertible Preferred Stock at a public offering price of $2.00 and $2,000 p</w:t>
      </w:r>
      <w:r>
        <w:rPr>
          <w:color w:val="000000"/>
          <w:sz w:val="20"/>
          <w:szCs w:val="20"/>
        </w:rPr>
        <w:t>er share, respectively, for gross proceeds of $33.0 million and net proceeds of $30.5 million, after deducting underwriting discounts and commission and other offering expenses payable by the Company. None of these expenses consisted of payments made by th</w:t>
      </w:r>
      <w:r>
        <w:rPr>
          <w:color w:val="000000"/>
          <w:sz w:val="20"/>
          <w:szCs w:val="20"/>
        </w:rPr>
        <w:t>e Company to directors, officers or persons owning 10% or more of the Company’s common stock or to their associates, or to the Company’s affiliates. Each share of non-voting Series A stock is convertible into 1,000 shares of common stock, provided that con</w:t>
      </w:r>
      <w:r>
        <w:rPr>
          <w:color w:val="000000"/>
          <w:sz w:val="20"/>
          <w:szCs w:val="20"/>
        </w:rPr>
        <w:t xml:space="preserve">version will be prohibited, subject to certain exceptions, if, as a result, the holder and its affiliates would beneficially own more than 9.99% or 14.99%, at the holder’s election, of the common stock then outstanding. </w:t>
      </w:r>
    </w:p>
    <w:p w:rsidR="00000000" w:rsidRDefault="00D33C21">
      <w:pPr>
        <w:pStyle w:val="a3"/>
        <w:spacing w:before="0" w:beforeAutospacing="0" w:after="0" w:afterAutospacing="0"/>
        <w:jc w:val="both"/>
      </w:pPr>
      <w:r>
        <w:t> </w:t>
      </w:r>
    </w:p>
    <w:p w:rsidR="00000000" w:rsidRDefault="00D33C21">
      <w:pPr>
        <w:pStyle w:val="a3"/>
        <w:spacing w:before="0" w:beforeAutospacing="0" w:after="0" w:afterAutospacing="0"/>
        <w:jc w:val="both"/>
        <w:rPr>
          <w:b/>
          <w:bCs/>
          <w:color w:val="000000"/>
          <w:sz w:val="20"/>
          <w:szCs w:val="20"/>
        </w:rPr>
      </w:pPr>
      <w:r>
        <w:rPr>
          <w:b/>
          <w:bCs/>
          <w:color w:val="000000"/>
          <w:sz w:val="20"/>
          <w:szCs w:val="20"/>
        </w:rPr>
        <w:t>Dividends</w:t>
      </w:r>
    </w:p>
    <w:p w:rsidR="00000000" w:rsidRDefault="00D33C21">
      <w:pPr>
        <w:pStyle w:val="a3"/>
        <w:shd w:val="clear" w:color="auto" w:fill="FFFFFF"/>
        <w:spacing w:before="0" w:beforeAutospacing="0" w:after="0" w:afterAutospacing="0"/>
        <w:jc w:val="both"/>
        <w:rPr>
          <w:sz w:val="20"/>
          <w:szCs w:val="20"/>
        </w:rPr>
      </w:pPr>
      <w:r>
        <w:rPr>
          <w:sz w:val="20"/>
          <w:szCs w:val="20"/>
        </w:rPr>
        <w:t> </w:t>
      </w:r>
    </w:p>
    <w:p w:rsidR="00000000" w:rsidRDefault="00D33C21">
      <w:pPr>
        <w:pStyle w:val="a3"/>
        <w:shd w:val="clear" w:color="auto" w:fill="FFFFFF"/>
        <w:spacing w:before="0" w:beforeAutospacing="0" w:after="0" w:afterAutospacing="0"/>
        <w:jc w:val="both"/>
        <w:rPr>
          <w:sz w:val="20"/>
          <w:szCs w:val="20"/>
        </w:rPr>
      </w:pPr>
      <w:r>
        <w:rPr>
          <w:sz w:val="20"/>
          <w:szCs w:val="20"/>
        </w:rPr>
        <w:t>No dividends on the common stock shall be declared and paid unless dividends on the Preferred Stock have been declared and paid. Through June 30, 2019</w:t>
      </w:r>
      <w:r>
        <w:rPr>
          <w:color w:val="000000"/>
          <w:sz w:val="20"/>
          <w:szCs w:val="20"/>
        </w:rPr>
        <w:t>, the Company has not declared any dividends.</w:t>
      </w:r>
    </w:p>
    <w:p w:rsidR="00000000" w:rsidRDefault="00D33C21">
      <w:pPr>
        <w:pStyle w:val="a3"/>
        <w:spacing w:before="0" w:beforeAutospacing="0" w:after="0" w:afterAutospacing="0"/>
        <w:jc w:val="both"/>
        <w:rPr>
          <w:sz w:val="2"/>
          <w:szCs w:val="2"/>
        </w:rPr>
      </w:pPr>
      <w:r>
        <w:rPr>
          <w:sz w:val="2"/>
          <w:szCs w:val="2"/>
        </w:rPr>
        <w:t> </w:t>
      </w:r>
    </w:p>
    <w:p w:rsidR="00000000" w:rsidRDefault="00D33C21">
      <w:pPr>
        <w:pStyle w:val="a3"/>
        <w:spacing w:before="340" w:beforeAutospacing="0" w:after="0" w:afterAutospacing="0"/>
        <w:jc w:val="both"/>
        <w:rPr>
          <w:b/>
          <w:bCs/>
          <w:sz w:val="20"/>
          <w:szCs w:val="20"/>
        </w:rPr>
      </w:pPr>
      <w:r>
        <w:rPr>
          <w:b/>
          <w:bCs/>
          <w:sz w:val="20"/>
          <w:szCs w:val="20"/>
        </w:rPr>
        <w:t>NOTE 7 – STOCK-BASED COMPENSATION</w:t>
      </w:r>
    </w:p>
    <w:p w:rsidR="00000000" w:rsidRDefault="00D33C21">
      <w:pPr>
        <w:pStyle w:val="a3"/>
        <w:spacing w:before="120" w:beforeAutospacing="0" w:after="0" w:afterAutospacing="0"/>
        <w:jc w:val="both"/>
        <w:rPr>
          <w:color w:val="000000"/>
          <w:sz w:val="20"/>
          <w:szCs w:val="20"/>
        </w:rPr>
      </w:pPr>
      <w:r>
        <w:rPr>
          <w:color w:val="000000"/>
          <w:sz w:val="20"/>
          <w:szCs w:val="20"/>
        </w:rPr>
        <w:t xml:space="preserve">On August 29, 2014, the </w:t>
      </w:r>
      <w:r>
        <w:rPr>
          <w:color w:val="000000"/>
          <w:sz w:val="20"/>
          <w:szCs w:val="20"/>
        </w:rPr>
        <w:t xml:space="preserve">Company’s Board of Directors adopted and approved the 2014 Equity Incentive Plan (the “2014 Plan”), which authorized the Company to grant shares of common stock in the form of incentive stock options, nonstatutory stock options, stock appreciation rights, </w:t>
      </w:r>
      <w:r>
        <w:rPr>
          <w:color w:val="000000"/>
          <w:sz w:val="20"/>
          <w:szCs w:val="20"/>
        </w:rPr>
        <w:t>restricted stock and restricted stock units.</w:t>
      </w:r>
    </w:p>
    <w:p w:rsidR="00000000" w:rsidRDefault="00D33C21">
      <w:pPr>
        <w:pStyle w:val="a3"/>
        <w:spacing w:before="240" w:beforeAutospacing="0" w:after="0" w:afterAutospacing="0"/>
        <w:jc w:val="both"/>
        <w:rPr>
          <w:color w:val="000000"/>
          <w:sz w:val="20"/>
          <w:szCs w:val="20"/>
        </w:rPr>
      </w:pPr>
      <w:r>
        <w:rPr>
          <w:color w:val="000000"/>
          <w:sz w:val="20"/>
          <w:szCs w:val="20"/>
        </w:rPr>
        <w:t>The Company's Board of Directors adopted, and the Company's stockholders approved the 2017 equity incentive plan (“2017 Plan”), which became effective on May 4, 2017. The initial reserve of shares of common stoc</w:t>
      </w:r>
      <w:r>
        <w:rPr>
          <w:color w:val="000000"/>
          <w:sz w:val="20"/>
          <w:szCs w:val="20"/>
        </w:rPr>
        <w:t>k under the 2017 Plan was 3,052,059 shares.  The 2017 Plan provides for the grant of incentive stock options, non-statutory stock options, restricted stock awards, restricted stock unit awards, stock appreciation rights, performance-based stock awards, and</w:t>
      </w:r>
      <w:r>
        <w:rPr>
          <w:color w:val="000000"/>
          <w:sz w:val="20"/>
          <w:szCs w:val="20"/>
        </w:rPr>
        <w:t xml:space="preserve"> other forms of stock-based awards.  Additionally, the 2017 Plan provides for the grant of performance cash awards. The Company's employees, officers, directors and consultants and advisors are eligible to receive awards under the 2017 Plan.  Upon the adop</w:t>
      </w:r>
      <w:r>
        <w:rPr>
          <w:color w:val="000000"/>
          <w:sz w:val="20"/>
          <w:szCs w:val="20"/>
        </w:rPr>
        <w:t>tion of the 2017 Plan, no further awards can be granted under the 2014 Plan. Pursuant to the terms of the 2017 Plan, on each January 1</w:t>
      </w:r>
      <w:r>
        <w:rPr>
          <w:color w:val="000000"/>
          <w:sz w:val="17"/>
          <w:szCs w:val="17"/>
          <w:vertAlign w:val="superscript"/>
        </w:rPr>
        <w:t>st</w:t>
      </w:r>
      <w:r>
        <w:rPr>
          <w:color w:val="000000"/>
          <w:sz w:val="20"/>
          <w:szCs w:val="20"/>
        </w:rPr>
        <w:t>, the plan limit shall be increased by the lesser of (x) 5% of the number of shares of common stock outstanding as of th</w:t>
      </w:r>
      <w:r>
        <w:rPr>
          <w:color w:val="000000"/>
          <w:sz w:val="20"/>
          <w:szCs w:val="20"/>
        </w:rPr>
        <w:t>e immediately preceding December 31 and (y) such lesser number as the Board of Directors may determine in its discretion.  Accordingly, on January 1, 2019 and January 1, 2018, an additional 1,232,705 and 1,230,312 shares of the Company’s stock were reserve</w:t>
      </w:r>
      <w:r>
        <w:rPr>
          <w:color w:val="000000"/>
          <w:sz w:val="20"/>
          <w:szCs w:val="20"/>
        </w:rPr>
        <w:t>d for issuance under the 2017 Plan, respectively. As of June 30, 2019, there were 3,688,116 shares of the Company’s common stock reserved for issuance under the 2017 Plan. </w:t>
      </w:r>
    </w:p>
    <w:p w:rsidR="00000000" w:rsidRDefault="00D33C21">
      <w:pPr>
        <w:pStyle w:val="a3"/>
        <w:spacing w:before="240" w:beforeAutospacing="0" w:after="0" w:afterAutospacing="0"/>
        <w:jc w:val="both"/>
        <w:rPr>
          <w:color w:val="000000"/>
          <w:sz w:val="20"/>
          <w:szCs w:val="20"/>
        </w:rPr>
      </w:pPr>
      <w:bookmarkStart w:id="24" w:name="_AEIOULastRenderedPageBreakAEIOU12"/>
      <w:bookmarkEnd w:id="24"/>
      <w:r>
        <w:rPr>
          <w:color w:val="000000"/>
          <w:sz w:val="20"/>
          <w:szCs w:val="20"/>
        </w:rPr>
        <w:t>The Company's Board of Directors adopted, and the Company's stockholders approved t</w:t>
      </w:r>
      <w:r>
        <w:rPr>
          <w:color w:val="000000"/>
          <w:sz w:val="20"/>
          <w:szCs w:val="20"/>
        </w:rPr>
        <w:t>he 2017 employee stock purchase plan (the “2017 ESPP”), which became effective immediately prior to the execution of the underwriting agreement related to the Company’s initial public offering on May 4, 2017. The initial reserve of shares of common stock t</w:t>
      </w:r>
      <w:r>
        <w:rPr>
          <w:color w:val="000000"/>
          <w:sz w:val="20"/>
          <w:szCs w:val="20"/>
        </w:rPr>
        <w:t xml:space="preserve">hat may be issued under the 2017 ESPP was 279,069 shares. On September 20, 2017, the Company’s Compensation Committee approved an offering period under the 2017 ESPP, </w:t>
      </w:r>
    </w:p>
    <w:p w:rsidR="00000000" w:rsidRDefault="00D33C21">
      <w:pPr>
        <w:pStyle w:val="a3"/>
        <w:spacing w:before="240" w:beforeAutospacing="0" w:after="0" w:afterAutospacing="0"/>
        <w:jc w:val="center"/>
        <w:rPr>
          <w:sz w:val="20"/>
          <w:szCs w:val="20"/>
        </w:rPr>
      </w:pPr>
      <w:r>
        <w:rPr>
          <w:sz w:val="20"/>
          <w:szCs w:val="20"/>
        </w:rPr>
        <w:t>12</w:t>
      </w:r>
    </w:p>
    <w:p w:rsidR="00000000" w:rsidRDefault="00D33C21">
      <w:pPr>
        <w:rPr>
          <w:rFonts w:eastAsia="Times New Roman"/>
        </w:rPr>
      </w:pPr>
      <w:r>
        <w:rPr>
          <w:rFonts w:eastAsia="Times New Roman"/>
        </w:rPr>
        <w:pict>
          <v:rect id="_x0000_i1037"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both"/>
        <w:rPr>
          <w:color w:val="000000"/>
          <w:sz w:val="20"/>
          <w:szCs w:val="20"/>
        </w:rPr>
      </w:pPr>
      <w:r>
        <w:rPr>
          <w:color w:val="000000"/>
          <w:sz w:val="20"/>
          <w:szCs w:val="20"/>
        </w:rPr>
        <w:t>which began on October 20, 2017. The ESPP allows employees to purchase common stock of the Company at a 15% discount to the market price on designated purchase dates. During the three months ended June 30, 2019 and 2018,  no shares were purchased under the</w:t>
      </w:r>
      <w:r>
        <w:rPr>
          <w:color w:val="000000"/>
          <w:sz w:val="20"/>
          <w:szCs w:val="20"/>
        </w:rPr>
        <w:t xml:space="preserve"> ESPP and the Company recorded expense of $35,203 and $29,759, respectively. During the six months ended June 30, 2019 and 2018, 45,126 and 9,972 shares were purchased under the ESPP and the Company recorded expense of $64,926 and $46,628, respectively.  T</w:t>
      </w:r>
      <w:r>
        <w:rPr>
          <w:color w:val="000000"/>
          <w:sz w:val="20"/>
          <w:szCs w:val="20"/>
        </w:rPr>
        <w:t>he number of shares of common stock reserved for issuance under the 2017 ESPP will automatically increase on January 1 of each year, beginning on January 1, 2018 and continuing through and including January 1, 2027, by the lesser of (i) 1% of the total num</w:t>
      </w:r>
      <w:r>
        <w:rPr>
          <w:color w:val="000000"/>
          <w:sz w:val="20"/>
          <w:szCs w:val="20"/>
        </w:rPr>
        <w:t>ber of shares of the Company’s common stock outstanding on December 31 of the preceding calendar year, (ii) 550,000 shares or (iii) such lesser number of shares determined by our Board. On January 1, 2019 and January 1, 2018, an additional 246,541 and 246,</w:t>
      </w:r>
      <w:r>
        <w:rPr>
          <w:color w:val="000000"/>
          <w:sz w:val="20"/>
          <w:szCs w:val="20"/>
        </w:rPr>
        <w:t>062 shares of the Company’s common stock were reserved for issuance under the 2017 ESPP, respectively. As of June 30, 2019, there were 694,432 shares of the Company’s common stock reserved for issuance under the 2017 ESPP.</w:t>
      </w:r>
    </w:p>
    <w:p w:rsidR="00000000" w:rsidRDefault="00D33C21">
      <w:pPr>
        <w:pStyle w:val="a3"/>
        <w:spacing w:before="240" w:beforeAutospacing="0" w:after="0" w:afterAutospacing="0"/>
        <w:jc w:val="both"/>
        <w:rPr>
          <w:color w:val="000000"/>
          <w:sz w:val="20"/>
          <w:szCs w:val="20"/>
        </w:rPr>
      </w:pPr>
      <w:r>
        <w:rPr>
          <w:color w:val="000000"/>
          <w:sz w:val="20"/>
          <w:szCs w:val="20"/>
        </w:rPr>
        <w:t xml:space="preserve">Unless specified otherwise in an </w:t>
      </w:r>
      <w:r>
        <w:rPr>
          <w:color w:val="000000"/>
          <w:sz w:val="20"/>
          <w:szCs w:val="20"/>
        </w:rPr>
        <w:t>individual option agreement, stock options granted under the 2014 Plan and 2017 Plan generally have a ten-year term and a four-year graded vesting period. The vesting requirement is generally conditioned upon the grantee’s continued service with the Compan</w:t>
      </w:r>
      <w:r>
        <w:rPr>
          <w:color w:val="000000"/>
          <w:sz w:val="20"/>
          <w:szCs w:val="20"/>
        </w:rPr>
        <w:t>y during the vesting period. Once vested, all awards are exercisable from the date of grant until they expire. The option grants are non-transferable. Vested options generally remain exercisable for 90 days subsequent to the termination of the option holde</w:t>
      </w:r>
      <w:r>
        <w:rPr>
          <w:color w:val="000000"/>
          <w:sz w:val="20"/>
          <w:szCs w:val="20"/>
        </w:rPr>
        <w:t>r’s service with the Company. In the event of option holder’s death or disability while employed by or providing service to the Company, the exercisable period extends to 12 months.</w:t>
      </w:r>
    </w:p>
    <w:p w:rsidR="00000000" w:rsidRDefault="00D33C21">
      <w:pPr>
        <w:pStyle w:val="a3"/>
        <w:spacing w:before="240" w:beforeAutospacing="0" w:after="0" w:afterAutospacing="0"/>
        <w:jc w:val="both"/>
        <w:rPr>
          <w:color w:val="000000"/>
          <w:sz w:val="20"/>
          <w:szCs w:val="20"/>
        </w:rPr>
      </w:pPr>
      <w:r>
        <w:rPr>
          <w:color w:val="000000"/>
          <w:sz w:val="20"/>
          <w:szCs w:val="20"/>
        </w:rPr>
        <w:t>Performance-based option awards generally have similar terms, with vesting</w:t>
      </w:r>
      <w:r>
        <w:rPr>
          <w:color w:val="000000"/>
          <w:sz w:val="20"/>
          <w:szCs w:val="20"/>
        </w:rPr>
        <w:t xml:space="preserve"> contingent upon the achievement of specified performance condition and expire in accordance to the specific terms of the agreement. At June 30, 2019, there were 659,625 performance-based options outstanding and unvested.  These awards immediately vest upo</w:t>
      </w:r>
      <w:r>
        <w:rPr>
          <w:color w:val="000000"/>
          <w:sz w:val="20"/>
          <w:szCs w:val="20"/>
        </w:rPr>
        <w:t>n meeting certain clinical milestones.</w:t>
      </w:r>
    </w:p>
    <w:p w:rsidR="00000000" w:rsidRDefault="00D33C21">
      <w:pPr>
        <w:pStyle w:val="a3"/>
        <w:spacing w:before="240" w:beforeAutospacing="0" w:after="0" w:afterAutospacing="0"/>
        <w:jc w:val="both"/>
        <w:rPr>
          <w:color w:val="000000"/>
          <w:sz w:val="20"/>
          <w:szCs w:val="20"/>
        </w:rPr>
      </w:pPr>
      <w:r>
        <w:rPr>
          <w:color w:val="000000"/>
          <w:sz w:val="20"/>
          <w:szCs w:val="20"/>
        </w:rPr>
        <w:t>The fair value of options granted during the six months ended June 30, 2019 and 2018 was estimated using the Black-Scholes option valuation model. The inputs for the Black-Scholes option valuation model require manage</w:t>
      </w:r>
      <w:r>
        <w:rPr>
          <w:color w:val="000000"/>
          <w:sz w:val="20"/>
          <w:szCs w:val="20"/>
        </w:rPr>
        <w:t>ment’s significant assumptions and are detailed in the table below. The risk-free interest rates were based on the rate for U.S. Treasury securities at the date of grant with maturity dates approximately equal to the expected life at the grant date. The ex</w:t>
      </w:r>
      <w:r>
        <w:rPr>
          <w:color w:val="000000"/>
          <w:sz w:val="20"/>
          <w:szCs w:val="20"/>
        </w:rPr>
        <w:t>pected life was based on the simplified method in accordance with the SEC Staff Accounting Bulletin No. Topic 14D. The expected volatility was estimated based on historical volatility information of peer companies that are publicly available.</w:t>
      </w:r>
    </w:p>
    <w:p w:rsidR="00000000" w:rsidRDefault="00D33C21">
      <w:pPr>
        <w:pStyle w:val="a3"/>
        <w:spacing w:before="240" w:beforeAutospacing="0" w:after="0" w:afterAutospacing="0"/>
        <w:jc w:val="both"/>
        <w:rPr>
          <w:color w:val="000000"/>
          <w:sz w:val="20"/>
          <w:szCs w:val="20"/>
        </w:rPr>
      </w:pPr>
      <w:r>
        <w:rPr>
          <w:color w:val="000000"/>
          <w:sz w:val="20"/>
          <w:szCs w:val="20"/>
        </w:rPr>
        <w:t>All assumptio</w:t>
      </w:r>
      <w:r>
        <w:rPr>
          <w:color w:val="000000"/>
          <w:sz w:val="20"/>
          <w:szCs w:val="20"/>
        </w:rPr>
        <w:t>ns used to calculate the grant date fair value of nonemployee options are generally consistent with the assumptions used for options granted to employees. In the event the Company terminates any of its consulting agreements, the unvested options underlying</w:t>
      </w:r>
      <w:r>
        <w:rPr>
          <w:color w:val="000000"/>
          <w:sz w:val="20"/>
          <w:szCs w:val="20"/>
        </w:rPr>
        <w:t xml:space="preserve"> the agreements would also be cancelled. </w:t>
      </w:r>
    </w:p>
    <w:p w:rsidR="00000000" w:rsidRDefault="00D33C21">
      <w:pPr>
        <w:pStyle w:val="a3"/>
        <w:spacing w:before="240" w:beforeAutospacing="0" w:after="0" w:afterAutospacing="0"/>
        <w:jc w:val="both"/>
        <w:rPr>
          <w:color w:val="000000"/>
          <w:sz w:val="20"/>
          <w:szCs w:val="20"/>
        </w:rPr>
      </w:pPr>
      <w:r>
        <w:rPr>
          <w:color w:val="000000"/>
          <w:sz w:val="20"/>
          <w:szCs w:val="20"/>
        </w:rPr>
        <w:t>The Company granted 175,000 and zero stock options to nonemployee consultants for services rendered during the six months ended June 30, 2019 and 2018, respectively. There were 158,939, and 18,896 unvested nonemplo</w:t>
      </w:r>
      <w:r>
        <w:rPr>
          <w:color w:val="000000"/>
          <w:sz w:val="20"/>
          <w:szCs w:val="20"/>
        </w:rPr>
        <w:t>yee options outstanding as of June 30, 2019, and 2018, respectively. During the three months ended June 30, 2019, the Company recognized a credit of $19,620 related to the nonemployee stock options, including the modification of certain options in connecti</w:t>
      </w:r>
      <w:r>
        <w:rPr>
          <w:color w:val="000000"/>
          <w:sz w:val="20"/>
          <w:szCs w:val="20"/>
        </w:rPr>
        <w:t>on with the separation and consulting agreement with Dr. During (see Note 11).  Total expense recognized related to the nonemployee stock options for the three months ended June 30, 2018 was $48,886. During the six months ended June 30, 2019, the Company r</w:t>
      </w:r>
      <w:r>
        <w:rPr>
          <w:color w:val="000000"/>
          <w:sz w:val="20"/>
          <w:szCs w:val="20"/>
        </w:rPr>
        <w:t>ecognized a credit of $18,348 related to the nonemployee stock options including the modification of certain options in connection with the separation and consulting agreement with Dr. During (see Note 11). Total expense recognized related to the nonemploy</w:t>
      </w:r>
      <w:r>
        <w:rPr>
          <w:color w:val="000000"/>
          <w:sz w:val="20"/>
          <w:szCs w:val="20"/>
        </w:rPr>
        <w:t>ee stock options for the six months ended June 30, 2018 was $92,729. Total unrecognized compensation expenses related to the nonemployee stock options was $374,483 as of June 30, 2019. During the six months ended June 30, 2019 and 2018, the Company recogni</w:t>
      </w:r>
      <w:r>
        <w:rPr>
          <w:color w:val="000000"/>
          <w:sz w:val="20"/>
          <w:szCs w:val="20"/>
        </w:rPr>
        <w:t>zed no expense for nonemployee performance-based option awards.</w:t>
      </w:r>
    </w:p>
    <w:p w:rsidR="00000000" w:rsidRDefault="00D33C21">
      <w:pPr>
        <w:pStyle w:val="a3"/>
        <w:spacing w:before="240" w:beforeAutospacing="0" w:after="0" w:afterAutospacing="0"/>
        <w:jc w:val="both"/>
        <w:rPr>
          <w:color w:val="000000"/>
          <w:sz w:val="20"/>
          <w:szCs w:val="20"/>
        </w:rPr>
      </w:pPr>
      <w:r>
        <w:rPr>
          <w:color w:val="000000"/>
          <w:sz w:val="20"/>
          <w:szCs w:val="20"/>
        </w:rPr>
        <w:t>The Company granted 1,690,715 and 1,057,728 stock options to employees during the six months ended June 30, 2019 and 2018 respectively. There were 2,855,165 and 2,852,494 unvested employee opt</w:t>
      </w:r>
      <w:r>
        <w:rPr>
          <w:color w:val="000000"/>
          <w:sz w:val="20"/>
          <w:szCs w:val="20"/>
        </w:rPr>
        <w:t>ions outstanding as of June 30, 2019, and 2018, respectively. Total expense recognized related to the employee stock options for the three months ended June 30, 2019 and 2018 was $1.2 million and $1.8 million, respectively.  Total expense recognized relate</w:t>
      </w:r>
      <w:r>
        <w:rPr>
          <w:color w:val="000000"/>
          <w:sz w:val="20"/>
          <w:szCs w:val="20"/>
        </w:rPr>
        <w:t>d to the employee stock options for the six months ended June 30, 2019 and 2018 was $2.8 million and $3.5 million, respectively.  Total unrecognized compensation expense related to employee stock options was $7.4 million as of June 30, 2019. During the six</w:t>
      </w:r>
      <w:r>
        <w:rPr>
          <w:color w:val="000000"/>
          <w:sz w:val="20"/>
          <w:szCs w:val="20"/>
        </w:rPr>
        <w:t xml:space="preserve"> months ended June 30, 2019 and 2018, the Company recognized $9,391 and zero, respectively in expenses for employee performance-based option awards.</w:t>
      </w:r>
    </w:p>
    <w:p w:rsidR="00000000" w:rsidRDefault="00D33C21">
      <w:pPr>
        <w:pStyle w:val="a3"/>
        <w:spacing w:before="240" w:beforeAutospacing="0" w:after="0" w:afterAutospacing="0"/>
        <w:jc w:val="center"/>
        <w:rPr>
          <w:sz w:val="20"/>
          <w:szCs w:val="20"/>
        </w:rPr>
      </w:pPr>
      <w:r>
        <w:rPr>
          <w:sz w:val="20"/>
          <w:szCs w:val="20"/>
        </w:rPr>
        <w:t>13</w:t>
      </w:r>
    </w:p>
    <w:p w:rsidR="00000000" w:rsidRDefault="00D33C21">
      <w:pPr>
        <w:rPr>
          <w:rFonts w:eastAsia="Times New Roman"/>
        </w:rPr>
      </w:pPr>
      <w:r>
        <w:rPr>
          <w:rFonts w:eastAsia="Times New Roman"/>
        </w:rPr>
        <w:pict>
          <v:rect id="_x0000_i1038"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both"/>
        <w:rPr>
          <w:color w:val="000000"/>
          <w:sz w:val="20"/>
          <w:szCs w:val="20"/>
        </w:rPr>
      </w:pPr>
      <w:bookmarkStart w:id="25" w:name="_AEIOULastRenderedPageBreakAEIOU13"/>
      <w:bookmarkEnd w:id="25"/>
      <w:r>
        <w:rPr>
          <w:color w:val="000000"/>
          <w:sz w:val="20"/>
          <w:szCs w:val="20"/>
        </w:rPr>
        <w:t>The Company’s stock-based compensation expense was recognized in operating</w:t>
      </w:r>
      <w:r>
        <w:rPr>
          <w:color w:val="000000"/>
          <w:sz w:val="20"/>
          <w:szCs w:val="20"/>
        </w:rPr>
        <w:t xml:space="preserve"> expense as follows:</w:t>
      </w:r>
    </w:p>
    <w:p w:rsidR="00000000" w:rsidRDefault="00D33C2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235"/>
        <w:gridCol w:w="65"/>
        <w:gridCol w:w="115"/>
        <w:gridCol w:w="815"/>
        <w:gridCol w:w="65"/>
        <w:gridCol w:w="65"/>
        <w:gridCol w:w="115"/>
        <w:gridCol w:w="815"/>
        <w:gridCol w:w="65"/>
        <w:gridCol w:w="65"/>
        <w:gridCol w:w="115"/>
        <w:gridCol w:w="815"/>
        <w:gridCol w:w="65"/>
        <w:gridCol w:w="65"/>
        <w:gridCol w:w="115"/>
        <w:gridCol w:w="815"/>
        <w:gridCol w:w="65"/>
      </w:tblGrid>
      <w:tr w:rsidR="00000000">
        <w:trPr>
          <w:divId w:val="1919173148"/>
          <w:jc w:val="center"/>
        </w:trPr>
        <w:tc>
          <w:tcPr>
            <w:tcW w:w="248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117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111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919173148"/>
          <w:jc w:val="center"/>
        </w:trPr>
        <w:tc>
          <w:tcPr>
            <w:tcW w:w="248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6"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919173148"/>
          <w:jc w:val="center"/>
        </w:trPr>
        <w:tc>
          <w:tcPr>
            <w:tcW w:w="248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Research and development</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509,112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766,699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1,326,876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1,505,488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919173148"/>
          <w:jc w:val="center"/>
        </w:trPr>
        <w:tc>
          <w:tcPr>
            <w:tcW w:w="248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General and administrative</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742,795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1,077,507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1,567,572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2,133,685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919173148"/>
          <w:jc w:val="center"/>
        </w:trPr>
        <w:tc>
          <w:tcPr>
            <w:tcW w:w="2488" w:type="pct"/>
            <w:shd w:val="clear" w:color="auto" w:fill="CFF0FC"/>
            <w:tcMar>
              <w:top w:w="15" w:type="dxa"/>
              <w:left w:w="0" w:type="dxa"/>
              <w:bottom w:w="0" w:type="dxa"/>
              <w:right w:w="15" w:type="dxa"/>
            </w:tcMar>
            <w:hideMark/>
          </w:tcPr>
          <w:p w:rsidR="00000000" w:rsidRDefault="00D33C21">
            <w:pPr>
              <w:pStyle w:val="a3"/>
              <w:spacing w:before="0" w:beforeAutospacing="0" w:after="0" w:afterAutospacing="0"/>
              <w:ind w:left="274"/>
              <w:rPr>
                <w:color w:val="000000"/>
                <w:sz w:val="20"/>
                <w:szCs w:val="20"/>
              </w:rPr>
            </w:pPr>
            <w:r>
              <w:rPr>
                <w:color w:val="000000"/>
                <w:sz w:val="20"/>
                <w:szCs w:val="20"/>
              </w:rPr>
              <w:t>Total</w:t>
            </w:r>
          </w:p>
        </w:tc>
        <w:tc>
          <w:tcPr>
            <w:tcW w:w="55" w:type="pct"/>
            <w:shd w:val="clear" w:color="auto" w:fill="CFF0FC"/>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1,251,907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1,844,206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2,894,448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3,639,173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235"/>
        <w:gridCol w:w="65"/>
        <w:gridCol w:w="115"/>
        <w:gridCol w:w="815"/>
        <w:gridCol w:w="65"/>
        <w:gridCol w:w="65"/>
        <w:gridCol w:w="115"/>
        <w:gridCol w:w="815"/>
        <w:gridCol w:w="65"/>
        <w:gridCol w:w="65"/>
        <w:gridCol w:w="115"/>
        <w:gridCol w:w="815"/>
        <w:gridCol w:w="65"/>
        <w:gridCol w:w="65"/>
        <w:gridCol w:w="115"/>
        <w:gridCol w:w="815"/>
        <w:gridCol w:w="65"/>
      </w:tblGrid>
      <w:tr w:rsidR="00000000">
        <w:trPr>
          <w:divId w:val="1633634368"/>
          <w:jc w:val="center"/>
        </w:trPr>
        <w:tc>
          <w:tcPr>
            <w:tcW w:w="251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Thre</w:t>
            </w:r>
            <w:r>
              <w:rPr>
                <w:b/>
                <w:bCs/>
                <w:color w:val="000000"/>
                <w:sz w:val="16"/>
                <w:szCs w:val="16"/>
              </w:rPr>
              <w:t>e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633634368"/>
          <w:jc w:val="center"/>
        </w:trPr>
        <w:tc>
          <w:tcPr>
            <w:tcW w:w="251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633634368"/>
          <w:jc w:val="center"/>
        </w:trPr>
        <w:tc>
          <w:tcPr>
            <w:tcW w:w="2519"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Stock options</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1,216,704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1,814,447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2,829,522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3,592,545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633634368"/>
          <w:jc w:val="center"/>
        </w:trPr>
        <w:tc>
          <w:tcPr>
            <w:tcW w:w="2519"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Employee Stock Purchase Plan</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35,203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29,759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64,926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46,628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633634368"/>
          <w:jc w:val="center"/>
        </w:trPr>
        <w:tc>
          <w:tcPr>
            <w:tcW w:w="2519" w:type="pct"/>
            <w:shd w:val="clear" w:color="auto" w:fill="CFF0FC"/>
            <w:tcMar>
              <w:top w:w="15" w:type="dxa"/>
              <w:left w:w="0" w:type="dxa"/>
              <w:bottom w:w="0" w:type="dxa"/>
              <w:right w:w="15" w:type="dxa"/>
            </w:tcMar>
            <w:hideMark/>
          </w:tcPr>
          <w:p w:rsidR="00000000" w:rsidRDefault="00D33C21">
            <w:pPr>
              <w:pStyle w:val="a3"/>
              <w:spacing w:before="0" w:beforeAutospacing="0" w:after="0" w:afterAutospacing="0"/>
              <w:ind w:left="274"/>
              <w:rPr>
                <w:color w:val="000000"/>
                <w:sz w:val="20"/>
                <w:szCs w:val="20"/>
              </w:rPr>
            </w:pPr>
            <w:r>
              <w:rPr>
                <w:color w:val="000000"/>
                <w:sz w:val="20"/>
                <w:szCs w:val="20"/>
              </w:rPr>
              <w:t>Total</w:t>
            </w:r>
          </w:p>
        </w:tc>
        <w:tc>
          <w:tcPr>
            <w:tcW w:w="54" w:type="pct"/>
            <w:shd w:val="clear" w:color="auto" w:fill="CFF0FC"/>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1,251,907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1,844,206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2,894,448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3,639,173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40" w:beforeAutospacing="0" w:after="0" w:afterAutospacing="0"/>
        <w:jc w:val="both"/>
        <w:rPr>
          <w:color w:val="000000"/>
          <w:sz w:val="20"/>
          <w:szCs w:val="20"/>
        </w:rPr>
      </w:pPr>
      <w:r>
        <w:rPr>
          <w:color w:val="000000"/>
          <w:sz w:val="20"/>
          <w:szCs w:val="20"/>
        </w:rPr>
        <w:t>The fair</w:t>
      </w:r>
      <w:r>
        <w:rPr>
          <w:color w:val="000000"/>
          <w:sz w:val="20"/>
          <w:szCs w:val="20"/>
        </w:rPr>
        <w:t xml:space="preserve"> value of employee options granted during the six months ended June 30, 2019 and 2018 was estimated by utilizing the following assumptions:</w:t>
      </w:r>
    </w:p>
    <w:p w:rsidR="00000000" w:rsidRDefault="00D33C2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593"/>
        <w:gridCol w:w="65"/>
        <w:gridCol w:w="116"/>
        <w:gridCol w:w="607"/>
        <w:gridCol w:w="182"/>
        <w:gridCol w:w="65"/>
        <w:gridCol w:w="116"/>
        <w:gridCol w:w="608"/>
        <w:gridCol w:w="182"/>
        <w:gridCol w:w="65"/>
        <w:gridCol w:w="116"/>
        <w:gridCol w:w="607"/>
        <w:gridCol w:w="182"/>
        <w:gridCol w:w="65"/>
        <w:gridCol w:w="116"/>
        <w:gridCol w:w="608"/>
        <w:gridCol w:w="182"/>
      </w:tblGrid>
      <w:tr w:rsidR="00000000">
        <w:trPr>
          <w:divId w:val="911895560"/>
          <w:jc w:val="center"/>
        </w:trPr>
        <w:tc>
          <w:tcPr>
            <w:tcW w:w="25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113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113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911895560"/>
          <w:jc w:val="center"/>
        </w:trPr>
        <w:tc>
          <w:tcPr>
            <w:tcW w:w="25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911895560"/>
          <w:jc w:val="center"/>
        </w:trPr>
        <w:tc>
          <w:tcPr>
            <w:tcW w:w="25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D33C2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D33C2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D33C2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D33C2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911895560"/>
          <w:jc w:val="center"/>
        </w:trPr>
        <w:tc>
          <w:tcPr>
            <w:tcW w:w="25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Volatility</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73.91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87.44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84.84</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83.31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911895560"/>
          <w:jc w:val="center"/>
        </w:trPr>
        <w:tc>
          <w:tcPr>
            <w:tcW w:w="25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Expected term in years</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6.02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5.91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6.07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6.07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911895560"/>
          <w:jc w:val="center"/>
        </w:trPr>
        <w:tc>
          <w:tcPr>
            <w:tcW w:w="25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Dividend rate</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911895560"/>
          <w:jc w:val="center"/>
        </w:trPr>
        <w:tc>
          <w:tcPr>
            <w:tcW w:w="25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Risk-free interest rate</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2.29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2.76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2.47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2.54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911895560"/>
          <w:jc w:val="center"/>
        </w:trPr>
        <w:tc>
          <w:tcPr>
            <w:tcW w:w="25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Fair value of option on grant date</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1.21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5.79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1.53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6.41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40" w:beforeAutospacing="0" w:after="0" w:afterAutospacing="0"/>
        <w:jc w:val="both"/>
        <w:rPr>
          <w:color w:val="000000"/>
          <w:sz w:val="20"/>
          <w:szCs w:val="20"/>
        </w:rPr>
      </w:pPr>
      <w:r>
        <w:rPr>
          <w:color w:val="000000"/>
          <w:sz w:val="20"/>
          <w:szCs w:val="20"/>
        </w:rPr>
        <w:t>The fair value of nonemployee options granted and remeasured during the six months ended June 30, 2019 and 2018 was estimated by utilizing the following assumptions:</w:t>
      </w:r>
    </w:p>
    <w:p w:rsidR="00000000" w:rsidRDefault="00D33C2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593"/>
        <w:gridCol w:w="65"/>
        <w:gridCol w:w="116"/>
        <w:gridCol w:w="607"/>
        <w:gridCol w:w="182"/>
        <w:gridCol w:w="65"/>
        <w:gridCol w:w="116"/>
        <w:gridCol w:w="608"/>
        <w:gridCol w:w="182"/>
        <w:gridCol w:w="65"/>
        <w:gridCol w:w="116"/>
        <w:gridCol w:w="607"/>
        <w:gridCol w:w="182"/>
        <w:gridCol w:w="65"/>
        <w:gridCol w:w="116"/>
        <w:gridCol w:w="608"/>
        <w:gridCol w:w="182"/>
      </w:tblGrid>
      <w:tr w:rsidR="00000000">
        <w:trPr>
          <w:divId w:val="639575100"/>
          <w:jc w:val="center"/>
        </w:trPr>
        <w:tc>
          <w:tcPr>
            <w:tcW w:w="25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113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113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639575100"/>
          <w:jc w:val="center"/>
        </w:trPr>
        <w:tc>
          <w:tcPr>
            <w:tcW w:w="25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639575100"/>
          <w:jc w:val="center"/>
        </w:trPr>
        <w:tc>
          <w:tcPr>
            <w:tcW w:w="25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D33C2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D33C2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D33C2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D33C2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639575100"/>
          <w:jc w:val="center"/>
        </w:trPr>
        <w:tc>
          <w:tcPr>
            <w:tcW w:w="25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Volatility</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73.90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84.16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74.56</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84.16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639575100"/>
          <w:jc w:val="center"/>
        </w:trPr>
        <w:tc>
          <w:tcPr>
            <w:tcW w:w="25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Expected term in years</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5.58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3.38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3.38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639575100"/>
          <w:jc w:val="center"/>
        </w:trPr>
        <w:tc>
          <w:tcPr>
            <w:tcW w:w="25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Dividend rate</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639575100"/>
          <w:jc w:val="center"/>
        </w:trPr>
        <w:tc>
          <w:tcPr>
            <w:tcW w:w="251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Risk-free interest rate</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2.36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2.37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639575100"/>
          <w:jc w:val="center"/>
        </w:trPr>
        <w:tc>
          <w:tcPr>
            <w:tcW w:w="251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Fair value of option on measurement date</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1.13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5.28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462"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5.28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40" w:beforeAutospacing="0" w:after="0" w:afterAutospacing="0"/>
        <w:jc w:val="both"/>
        <w:rPr>
          <w:color w:val="000000"/>
          <w:sz w:val="20"/>
          <w:szCs w:val="20"/>
        </w:rPr>
      </w:pPr>
      <w:r>
        <w:rPr>
          <w:color w:val="000000"/>
          <w:sz w:val="20"/>
          <w:szCs w:val="20"/>
        </w:rPr>
        <w:t>The following table summarizes the number of options outstanding and the weighted average exercise price:</w:t>
      </w:r>
    </w:p>
    <w:p w:rsidR="00000000" w:rsidRDefault="00D33C2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27"/>
        <w:gridCol w:w="77"/>
        <w:gridCol w:w="60"/>
        <w:gridCol w:w="735"/>
        <w:gridCol w:w="75"/>
        <w:gridCol w:w="75"/>
        <w:gridCol w:w="106"/>
        <w:gridCol w:w="669"/>
        <w:gridCol w:w="60"/>
        <w:gridCol w:w="77"/>
        <w:gridCol w:w="83"/>
        <w:gridCol w:w="759"/>
        <w:gridCol w:w="60"/>
        <w:gridCol w:w="77"/>
        <w:gridCol w:w="106"/>
        <w:gridCol w:w="669"/>
        <w:gridCol w:w="60"/>
      </w:tblGrid>
      <w:tr w:rsidR="00000000">
        <w:trPr>
          <w:divId w:val="229124087"/>
          <w:jc w:val="center"/>
        </w:trPr>
        <w:tc>
          <w:tcPr>
            <w:tcW w:w="250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Weighted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229124087"/>
          <w:jc w:val="center"/>
        </w:trPr>
        <w:tc>
          <w:tcPr>
            <w:tcW w:w="250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Weighted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229124087"/>
          <w:jc w:val="center"/>
        </w:trPr>
        <w:tc>
          <w:tcPr>
            <w:tcW w:w="250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Remaining</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Aggregate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229124087"/>
          <w:jc w:val="center"/>
        </w:trPr>
        <w:tc>
          <w:tcPr>
            <w:tcW w:w="250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Exercise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Contractual</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Intrinsic</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229124087"/>
          <w:jc w:val="center"/>
        </w:trPr>
        <w:tc>
          <w:tcPr>
            <w:tcW w:w="250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Price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Life in Years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229124087"/>
          <w:jc w:val="center"/>
        </w:trPr>
        <w:tc>
          <w:tcPr>
            <w:tcW w:w="250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Options Outstanding December 31, 2018</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4,714,383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8.10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7.89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153,485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r>
      <w:tr w:rsidR="00000000">
        <w:trPr>
          <w:divId w:val="229124087"/>
          <w:jc w:val="center"/>
        </w:trPr>
        <w:tc>
          <w:tcPr>
            <w:tcW w:w="250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Granted</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1,865,715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2.01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9.70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r>
      <w:tr w:rsidR="00000000">
        <w:trPr>
          <w:divId w:val="229124087"/>
          <w:jc w:val="center"/>
        </w:trPr>
        <w:tc>
          <w:tcPr>
            <w:tcW w:w="250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Exercised</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r>
      <w:tr w:rsidR="00000000">
        <w:trPr>
          <w:divId w:val="229124087"/>
          <w:jc w:val="center"/>
        </w:trPr>
        <w:tc>
          <w:tcPr>
            <w:tcW w:w="250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Forfeited or expired</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(663,154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6.50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r>
      <w:tr w:rsidR="00000000">
        <w:trPr>
          <w:divId w:val="229124087"/>
          <w:jc w:val="center"/>
        </w:trPr>
        <w:tc>
          <w:tcPr>
            <w:tcW w:w="250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Options Outstanding June 30, 2019</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5,916,944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6.36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7.87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w:t>
            </w:r>
          </w:p>
        </w:tc>
        <w:tc>
          <w:tcPr>
            <w:tcW w:w="459"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142,994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r>
      <w:tr w:rsidR="00000000">
        <w:trPr>
          <w:divId w:val="229124087"/>
          <w:jc w:val="center"/>
        </w:trPr>
        <w:tc>
          <w:tcPr>
            <w:tcW w:w="250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Vested and exercisable at June 30, 2019</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2,902,840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7.99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6.72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8"/>
                <w:szCs w:val="18"/>
              </w:rPr>
            </w:pPr>
            <w:r>
              <w:rPr>
                <w:color w:val="000000"/>
                <w:sz w:val="18"/>
                <w:szCs w:val="18"/>
              </w:rPr>
              <w:t>$</w:t>
            </w:r>
          </w:p>
        </w:tc>
        <w:tc>
          <w:tcPr>
            <w:tcW w:w="459"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18"/>
                <w:szCs w:val="18"/>
              </w:rPr>
            </w:pPr>
            <w:r>
              <w:rPr>
                <w:color w:val="000000"/>
                <w:sz w:val="18"/>
                <w:szCs w:val="18"/>
              </w:rPr>
              <w:t>115,687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jc w:val="both"/>
        <w:rPr>
          <w:sz w:val="20"/>
          <w:szCs w:val="20"/>
        </w:rPr>
      </w:pPr>
      <w:r>
        <w:rPr>
          <w:sz w:val="20"/>
          <w:szCs w:val="20"/>
        </w:rPr>
        <w:t> </w:t>
      </w:r>
    </w:p>
    <w:p w:rsidR="00000000" w:rsidRDefault="00D33C21">
      <w:pPr>
        <w:pStyle w:val="a3"/>
        <w:spacing w:before="40" w:beforeAutospacing="0" w:after="0" w:afterAutospacing="0"/>
        <w:jc w:val="both"/>
        <w:rPr>
          <w:color w:val="000000"/>
          <w:sz w:val="20"/>
          <w:szCs w:val="20"/>
        </w:rPr>
      </w:pPr>
      <w:r>
        <w:rPr>
          <w:color w:val="000000"/>
          <w:sz w:val="20"/>
          <w:szCs w:val="20"/>
        </w:rPr>
        <w:t>At June 30, 2019 there was approximately $7.4 million of unamortized share–</w:t>
      </w:r>
      <w:r>
        <w:rPr>
          <w:color w:val="000000"/>
          <w:sz w:val="20"/>
          <w:szCs w:val="20"/>
        </w:rPr>
        <w:t>based compensation expense, which is expected to be recognized over a remaining average vesting period of 2.15 years.</w:t>
      </w:r>
    </w:p>
    <w:p w:rsidR="00000000" w:rsidRDefault="00D33C21">
      <w:pPr>
        <w:pStyle w:val="a3"/>
        <w:spacing w:before="240" w:beforeAutospacing="0" w:after="0" w:afterAutospacing="0"/>
        <w:jc w:val="center"/>
        <w:rPr>
          <w:sz w:val="20"/>
          <w:szCs w:val="20"/>
        </w:rPr>
      </w:pPr>
      <w:r>
        <w:rPr>
          <w:sz w:val="20"/>
          <w:szCs w:val="20"/>
        </w:rPr>
        <w:t>14</w:t>
      </w:r>
    </w:p>
    <w:p w:rsidR="00000000" w:rsidRDefault="00D33C21">
      <w:pPr>
        <w:rPr>
          <w:rFonts w:eastAsia="Times New Roman"/>
        </w:rPr>
      </w:pPr>
      <w:r>
        <w:rPr>
          <w:rFonts w:eastAsia="Times New Roman"/>
        </w:rPr>
        <w:pict>
          <v:rect id="_x0000_i1039"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jc w:val="both"/>
        <w:rPr>
          <w:b/>
          <w:bCs/>
          <w:sz w:val="20"/>
          <w:szCs w:val="20"/>
        </w:rPr>
      </w:pPr>
      <w:bookmarkStart w:id="26" w:name="_AEIOULastRenderedPageBreakAEIOU14"/>
      <w:bookmarkEnd w:id="26"/>
      <w:r>
        <w:rPr>
          <w:b/>
          <w:bCs/>
          <w:sz w:val="20"/>
          <w:szCs w:val="20"/>
        </w:rPr>
        <w:t>NOTE 8 – INCOME TAXES</w:t>
      </w:r>
    </w:p>
    <w:p w:rsidR="00000000" w:rsidRDefault="00D33C21">
      <w:pPr>
        <w:pStyle w:val="a3"/>
        <w:spacing w:before="120" w:beforeAutospacing="0" w:after="0" w:afterAutospacing="0"/>
        <w:jc w:val="both"/>
        <w:rPr>
          <w:color w:val="000000"/>
          <w:sz w:val="20"/>
          <w:szCs w:val="20"/>
        </w:rPr>
      </w:pPr>
      <w:r>
        <w:rPr>
          <w:color w:val="000000"/>
          <w:sz w:val="20"/>
          <w:szCs w:val="20"/>
        </w:rPr>
        <w:t>The Company did not record a federal or state income tax provision for the periods presented as it has incurred net losses since inception. In addition, the net deferred tax assets gener</w:t>
      </w:r>
      <w:r>
        <w:rPr>
          <w:color w:val="000000"/>
          <w:sz w:val="20"/>
          <w:szCs w:val="20"/>
        </w:rPr>
        <w:t>ated from the net operating losses have been fully reserved as the Company believes it is not more likely than not that the benefit will be realized.</w:t>
      </w:r>
    </w:p>
    <w:p w:rsidR="00000000" w:rsidRDefault="00D33C21">
      <w:pPr>
        <w:pStyle w:val="a3"/>
        <w:spacing w:before="240" w:beforeAutospacing="0" w:after="0" w:afterAutospacing="0"/>
        <w:jc w:val="both"/>
        <w:rPr>
          <w:color w:val="000000"/>
          <w:sz w:val="20"/>
          <w:szCs w:val="20"/>
        </w:rPr>
      </w:pPr>
      <w:r>
        <w:rPr>
          <w:color w:val="000000"/>
          <w:sz w:val="20"/>
          <w:szCs w:val="20"/>
          <w:shd w:val="clear" w:color="auto" w:fill="FFFFFF"/>
        </w:rPr>
        <w:t>During the six months ended June 30, 2018, the Company recorded a $186,000 refundable credit towards futur</w:t>
      </w:r>
      <w:r>
        <w:rPr>
          <w:color w:val="000000"/>
          <w:sz w:val="20"/>
          <w:szCs w:val="20"/>
          <w:shd w:val="clear" w:color="auto" w:fill="FFFFFF"/>
        </w:rPr>
        <w:t>e New York City tax expense as a reduction to operating expenses. The credit is for qualified emerging technology companies focused on biotechnology located in New York City.</w:t>
      </w:r>
      <w:r>
        <w:rPr>
          <w:color w:val="000000"/>
          <w:sz w:val="20"/>
          <w:szCs w:val="20"/>
        </w:rPr>
        <w:t xml:space="preserve"> </w:t>
      </w:r>
    </w:p>
    <w:p w:rsidR="00000000" w:rsidRDefault="00D33C21">
      <w:pPr>
        <w:pStyle w:val="a3"/>
        <w:spacing w:before="360" w:beforeAutospacing="0" w:after="0" w:afterAutospacing="0"/>
        <w:jc w:val="both"/>
        <w:rPr>
          <w:b/>
          <w:bCs/>
          <w:sz w:val="20"/>
          <w:szCs w:val="20"/>
        </w:rPr>
      </w:pPr>
      <w:r>
        <w:rPr>
          <w:b/>
          <w:bCs/>
          <w:sz w:val="20"/>
          <w:szCs w:val="20"/>
        </w:rPr>
        <w:t>NOTE 9 –</w:t>
      </w:r>
      <w:r>
        <w:rPr>
          <w:b/>
          <w:bCs/>
          <w:color w:val="000000"/>
          <w:sz w:val="20"/>
          <w:szCs w:val="20"/>
        </w:rPr>
        <w:t xml:space="preserve"> </w:t>
      </w:r>
      <w:r>
        <w:rPr>
          <w:b/>
          <w:bCs/>
          <w:sz w:val="20"/>
          <w:szCs w:val="20"/>
        </w:rPr>
        <w:t>COMMITMENTS AND CONTINGENCIES</w:t>
      </w:r>
    </w:p>
    <w:p w:rsidR="00000000" w:rsidRDefault="00D33C21">
      <w:pPr>
        <w:pStyle w:val="a3"/>
        <w:spacing w:before="120" w:beforeAutospacing="0" w:after="0" w:afterAutospacing="0"/>
        <w:jc w:val="both"/>
        <w:rPr>
          <w:b/>
          <w:bCs/>
          <w:color w:val="000000"/>
          <w:sz w:val="20"/>
          <w:szCs w:val="20"/>
        </w:rPr>
      </w:pPr>
      <w:r>
        <w:rPr>
          <w:b/>
          <w:bCs/>
          <w:color w:val="000000"/>
          <w:sz w:val="20"/>
          <w:szCs w:val="20"/>
        </w:rPr>
        <w:t>License Agreements</w:t>
      </w:r>
    </w:p>
    <w:p w:rsidR="00000000" w:rsidRDefault="00D33C21">
      <w:pPr>
        <w:pStyle w:val="a3"/>
        <w:spacing w:before="200" w:beforeAutospacing="0" w:after="0" w:afterAutospacing="0"/>
        <w:jc w:val="both"/>
        <w:rPr>
          <w:color w:val="000000"/>
          <w:sz w:val="20"/>
          <w:szCs w:val="20"/>
        </w:rPr>
      </w:pPr>
      <w:r>
        <w:rPr>
          <w:color w:val="000000"/>
          <w:sz w:val="20"/>
          <w:szCs w:val="20"/>
          <w:shd w:val="clear" w:color="auto" w:fill="FFFFFF"/>
        </w:rPr>
        <w:t>On March </w:t>
      </w:r>
      <w:r>
        <w:rPr>
          <w:color w:val="000000"/>
          <w:sz w:val="20"/>
          <w:szCs w:val="20"/>
          <w:shd w:val="clear" w:color="auto" w:fill="FFFFFF"/>
        </w:rPr>
        <w:t xml:space="preserve">26, 2015, the Company entered into an exclusive agreement with H. Lundbeck A/S (“Lundbeck”) for a worldwide perpetual licensing right related the research, development and commercialization of OV101 (the “Lundbeck Agreement”). </w:t>
      </w:r>
      <w:r>
        <w:rPr>
          <w:color w:val="000000"/>
          <w:sz w:val="20"/>
          <w:szCs w:val="20"/>
        </w:rPr>
        <w:t xml:space="preserve">On May 10, 2019, the parties </w:t>
      </w:r>
      <w:r>
        <w:rPr>
          <w:color w:val="000000"/>
          <w:sz w:val="20"/>
          <w:szCs w:val="20"/>
        </w:rPr>
        <w:t>agreed to amend the Lundbeck License</w:t>
      </w:r>
      <w:r>
        <w:rPr>
          <w:color w:val="000000"/>
          <w:sz w:val="20"/>
          <w:szCs w:val="20"/>
          <w:shd w:val="clear" w:color="auto" w:fill="FFFFFF"/>
        </w:rPr>
        <w:t>.</w:t>
      </w:r>
    </w:p>
    <w:p w:rsidR="00000000" w:rsidRDefault="00D33C21">
      <w:pPr>
        <w:pStyle w:val="a3"/>
        <w:shd w:val="clear" w:color="auto" w:fill="FFFFFF"/>
        <w:spacing w:before="0" w:beforeAutospacing="0" w:after="0" w:afterAutospacing="0"/>
        <w:jc w:val="both"/>
      </w:pPr>
      <w:r>
        <w:t> </w:t>
      </w:r>
    </w:p>
    <w:p w:rsidR="00000000" w:rsidRDefault="00D33C21">
      <w:pPr>
        <w:pStyle w:val="a3"/>
        <w:shd w:val="clear" w:color="auto" w:fill="FFFFFF"/>
        <w:spacing w:before="0" w:beforeAutospacing="0" w:after="0" w:afterAutospacing="0"/>
        <w:jc w:val="both"/>
        <w:rPr>
          <w:color w:val="000000"/>
          <w:sz w:val="20"/>
          <w:szCs w:val="20"/>
        </w:rPr>
      </w:pPr>
      <w:r>
        <w:rPr>
          <w:color w:val="000000"/>
          <w:sz w:val="20"/>
          <w:szCs w:val="20"/>
        </w:rPr>
        <w:t>Pursuant to the amended Lundbeck license agreement, the Company agreed to make milestone payments totaling up to $189.0 million upon the achievement of certain development, regulatory and sales milestones. As amended</w:t>
      </w:r>
      <w:r>
        <w:rPr>
          <w:color w:val="000000"/>
          <w:sz w:val="20"/>
          <w:szCs w:val="20"/>
        </w:rPr>
        <w:t>, the first payment of $1.0 million is due upon the successful completion of the first Phase 3 trial for a product in which OV101 is an active ingredient. In addition, the agreement called for the Company to pay royalties for an initial term based on a low</w:t>
      </w:r>
      <w:r>
        <w:rPr>
          <w:color w:val="000000"/>
          <w:sz w:val="20"/>
          <w:szCs w:val="20"/>
        </w:rPr>
        <w:t xml:space="preserve"> double-digit percentage of sales. The Lundbeck Amendment reduced such royalties from a low-double digit percentage of sales to single-digit and a low-double digit percentage of sales. In addition, the Lundbeck Agreement, as amended, removed the right of f</w:t>
      </w:r>
      <w:r>
        <w:rPr>
          <w:color w:val="000000"/>
          <w:sz w:val="20"/>
          <w:szCs w:val="20"/>
        </w:rPr>
        <w:t xml:space="preserve">irst negotiation that was granted by the Company to Lundbeck.  Finally, the Lundbeck Agreement, as amended, removed the distinction for countries in the Asian Major Markets, now the Asian Major Markets will be treated the same as the rest of the world and </w:t>
      </w:r>
      <w:r>
        <w:rPr>
          <w:color w:val="000000"/>
          <w:sz w:val="20"/>
          <w:szCs w:val="20"/>
        </w:rPr>
        <w:t>the Company agreed to add certain regulatory milestones in the Asian Major Markets and such additional regulatory milestones are included in the total milestone payments of $189.0 million reported above.</w:t>
      </w:r>
    </w:p>
    <w:p w:rsidR="00000000" w:rsidRDefault="00D33C21">
      <w:pPr>
        <w:pStyle w:val="a3"/>
        <w:spacing w:before="200" w:beforeAutospacing="0" w:after="0" w:afterAutospacing="0"/>
        <w:jc w:val="both"/>
        <w:rPr>
          <w:sz w:val="20"/>
          <w:szCs w:val="20"/>
        </w:rPr>
      </w:pPr>
      <w:r>
        <w:rPr>
          <w:sz w:val="20"/>
          <w:szCs w:val="20"/>
        </w:rPr>
        <w:t>In December 2016, the Company entered into a license</w:t>
      </w:r>
      <w:r>
        <w:rPr>
          <w:sz w:val="20"/>
          <w:szCs w:val="20"/>
        </w:rPr>
        <w:t xml:space="preserve"> agreement with Northwestern University (“Northwestern”), pursuant to which Northwestern granted the Company an exclusive, worldwide license to patent rights in certain inventions (the “Northwestern Patent Rights”) which relate to a specific compound and r</w:t>
      </w:r>
      <w:r>
        <w:rPr>
          <w:sz w:val="20"/>
          <w:szCs w:val="20"/>
        </w:rPr>
        <w:t>elated methods of use for such compound, along with certain Know-How related to the practice of the inventions claimed in the Northwestern Patents.  </w:t>
      </w:r>
    </w:p>
    <w:p w:rsidR="00000000" w:rsidRDefault="00D33C21">
      <w:pPr>
        <w:pStyle w:val="a3"/>
        <w:spacing w:before="240" w:beforeAutospacing="0" w:after="0" w:afterAutospacing="0"/>
        <w:jc w:val="both"/>
        <w:rPr>
          <w:sz w:val="20"/>
          <w:szCs w:val="20"/>
        </w:rPr>
      </w:pPr>
      <w:r>
        <w:rPr>
          <w:sz w:val="20"/>
          <w:szCs w:val="20"/>
        </w:rPr>
        <w:t>Under the Northwestern agreement, the Company was granted exclusive rights to research, develop, manufactu</w:t>
      </w:r>
      <w:r>
        <w:rPr>
          <w:sz w:val="20"/>
          <w:szCs w:val="20"/>
        </w:rPr>
        <w:t>re and commercialize products utilizing the Northwestern Patent Rights for all uses. The Company has agreed that it will not use the Northwestern Patent Rights to develop any products for the treatment of cancer, but Northwestern may not grant rights in th</w:t>
      </w:r>
      <w:r>
        <w:rPr>
          <w:sz w:val="20"/>
          <w:szCs w:val="20"/>
        </w:rPr>
        <w:t xml:space="preserve">e technology to others for use in cancer. The Company also has an option, exercisable during the term of the agreement to an exclusive license under certain intellectual property rights covering novel compounds with the same or similar mechanism of action </w:t>
      </w:r>
      <w:r>
        <w:rPr>
          <w:sz w:val="20"/>
          <w:szCs w:val="20"/>
        </w:rPr>
        <w:t>as the primary compound that is the subject of the license agreement.  Northwestern has retained the right, on behalf of itself and other non-profit institutions, to use the Northwestern Patent Rights and practice the inventions claimed therein for educati</w:t>
      </w:r>
      <w:r>
        <w:rPr>
          <w:sz w:val="20"/>
          <w:szCs w:val="20"/>
        </w:rPr>
        <w:t>onal and research purposes and to publish information about the inventions covered by the Northwestern Patent Rights.  </w:t>
      </w:r>
    </w:p>
    <w:p w:rsidR="00000000" w:rsidRDefault="00D33C21">
      <w:pPr>
        <w:pStyle w:val="a3"/>
        <w:spacing w:before="240" w:beforeAutospacing="0" w:after="0" w:afterAutospacing="0"/>
        <w:jc w:val="both"/>
        <w:rPr>
          <w:sz w:val="20"/>
          <w:szCs w:val="20"/>
        </w:rPr>
      </w:pPr>
      <w:r>
        <w:rPr>
          <w:sz w:val="20"/>
          <w:szCs w:val="20"/>
        </w:rPr>
        <w:t xml:space="preserve">Upon entry into the Northwestern agreement, the Company paid an upfront non-creditable one-time license issuance fee of $75,000, and is </w:t>
      </w:r>
      <w:r>
        <w:rPr>
          <w:sz w:val="20"/>
          <w:szCs w:val="20"/>
        </w:rPr>
        <w:t>required to pay an annual license maintenance fee of $20,000, which will be creditable against any royalties payable to Northwestern following first commercial sale of licensed products under the agreement.  The Company is responsible for all ongoing costs</w:t>
      </w:r>
      <w:r>
        <w:rPr>
          <w:sz w:val="20"/>
          <w:szCs w:val="20"/>
        </w:rPr>
        <w:t xml:space="preserve"> of filing, prosecuting and maintaining the Northwestern Patents, but also has the right to control such activities using its own patent counsel.  In consideration for the rights granted to the Company under the Northwestern agreement, the Company is requi</w:t>
      </w:r>
      <w:r>
        <w:rPr>
          <w:sz w:val="20"/>
          <w:szCs w:val="20"/>
        </w:rPr>
        <w:t>red to pay to Northwestern up to an aggregate of $5.3 million upon the achievement of certain development and regulatory milestones for the first product covered by the Northwestern Patents, and, upon commercialization of any such products, will be require</w:t>
      </w:r>
      <w:r>
        <w:rPr>
          <w:sz w:val="20"/>
          <w:szCs w:val="20"/>
        </w:rPr>
        <w:t xml:space="preserve">d to pay to Northwestern a tiered royalty on net sales of such products by the Company, its affiliates or sublicensees, at percentages in the low to mid single-digits, subject to standard reductions and offsets.  The Company’s royalty obligations continue </w:t>
      </w:r>
      <w:r>
        <w:rPr>
          <w:sz w:val="20"/>
          <w:szCs w:val="20"/>
        </w:rPr>
        <w:t>on a product-by-product and country-by-country basis until the later of the expiration of the last-to-expire valid claim in a licensed patent covering the applicable product in such country and 10 years following the first commercial sale of such product i</w:t>
      </w:r>
      <w:r>
        <w:rPr>
          <w:sz w:val="20"/>
          <w:szCs w:val="20"/>
        </w:rPr>
        <w:t>n such country.  If the Company sublicenses a Northwestern Patent Right, it will be obligated to pay to Northwestern a specified percentage of sublicense revenue received by the Company, ranging from the high single digits to the low-teens. </w:t>
      </w:r>
      <w:r>
        <w:rPr>
          <w:color w:val="000000"/>
          <w:sz w:val="20"/>
          <w:szCs w:val="20"/>
        </w:rPr>
        <w:t>  </w:t>
      </w:r>
    </w:p>
    <w:p w:rsidR="00000000" w:rsidRDefault="00D33C21">
      <w:pPr>
        <w:pStyle w:val="a3"/>
        <w:spacing w:before="200" w:beforeAutospacing="0" w:after="0" w:afterAutospacing="0"/>
        <w:jc w:val="both"/>
        <w:rPr>
          <w:sz w:val="20"/>
          <w:szCs w:val="20"/>
        </w:rPr>
      </w:pPr>
      <w:r>
        <w:rPr>
          <w:sz w:val="20"/>
          <w:szCs w:val="20"/>
        </w:rPr>
        <w:t>The Northwes</w:t>
      </w:r>
      <w:r>
        <w:rPr>
          <w:sz w:val="20"/>
          <w:szCs w:val="20"/>
        </w:rPr>
        <w:t>tern agreement requires that the Company use commercially reasonable efforts to develop and commercialize at least one product that is covered by the Northwestern Patent Rights.  </w:t>
      </w:r>
    </w:p>
    <w:p w:rsidR="00000000" w:rsidRDefault="00D33C21">
      <w:pPr>
        <w:pStyle w:val="a3"/>
        <w:spacing w:before="240" w:beforeAutospacing="0" w:after="0" w:afterAutospacing="0"/>
        <w:jc w:val="center"/>
        <w:rPr>
          <w:sz w:val="20"/>
          <w:szCs w:val="20"/>
        </w:rPr>
      </w:pPr>
      <w:r>
        <w:rPr>
          <w:sz w:val="20"/>
          <w:szCs w:val="20"/>
        </w:rPr>
        <w:t>15</w:t>
      </w:r>
    </w:p>
    <w:p w:rsidR="00000000" w:rsidRDefault="00D33C21">
      <w:pPr>
        <w:rPr>
          <w:rFonts w:eastAsia="Times New Roman"/>
        </w:rPr>
      </w:pPr>
      <w:r>
        <w:rPr>
          <w:rFonts w:eastAsia="Times New Roman"/>
        </w:rPr>
        <w:pict>
          <v:rect id="_x0000_i1040"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00" w:beforeAutospacing="0" w:after="0" w:afterAutospacing="0"/>
        <w:jc w:val="both"/>
        <w:rPr>
          <w:sz w:val="20"/>
          <w:szCs w:val="20"/>
        </w:rPr>
      </w:pPr>
      <w:bookmarkStart w:id="27" w:name="_AEIOULastRenderedPageBreakAEIOU15"/>
      <w:bookmarkEnd w:id="27"/>
      <w:r>
        <w:rPr>
          <w:sz w:val="20"/>
          <w:szCs w:val="20"/>
        </w:rPr>
        <w:t>Unless earlier terminated, the Northwestern agreement will remain in force</w:t>
      </w:r>
      <w:r>
        <w:rPr>
          <w:sz w:val="20"/>
          <w:szCs w:val="20"/>
        </w:rPr>
        <w:t xml:space="preserve"> until the expiration of the Company’s payment obligations thereunder.  The Company has the right to terminate the agreement for any reason upon prior written notice or for an uncured material breach by Northwestern.  Northwestern may terminate the agreeme</w:t>
      </w:r>
      <w:r>
        <w:rPr>
          <w:sz w:val="20"/>
          <w:szCs w:val="20"/>
        </w:rPr>
        <w:t>nt for the Company’s uncured material breach or insolvency.</w:t>
      </w:r>
    </w:p>
    <w:p w:rsidR="00000000" w:rsidRDefault="00D33C21">
      <w:pPr>
        <w:pStyle w:val="a3"/>
        <w:spacing w:before="200" w:beforeAutospacing="0" w:after="0" w:afterAutospacing="0"/>
        <w:jc w:val="both"/>
        <w:rPr>
          <w:color w:val="000000"/>
          <w:sz w:val="20"/>
          <w:szCs w:val="20"/>
        </w:rPr>
      </w:pPr>
      <w:r>
        <w:rPr>
          <w:color w:val="000000"/>
          <w:sz w:val="20"/>
          <w:szCs w:val="20"/>
        </w:rPr>
        <w:t>As of June 30, 2019, none of these contingent payments were considered probable.</w:t>
      </w:r>
    </w:p>
    <w:p w:rsidR="00000000" w:rsidRDefault="00D33C21">
      <w:pPr>
        <w:pStyle w:val="a3"/>
        <w:spacing w:before="200" w:beforeAutospacing="0" w:after="0" w:afterAutospacing="0"/>
        <w:jc w:val="both"/>
        <w:rPr>
          <w:b/>
          <w:bCs/>
          <w:sz w:val="20"/>
          <w:szCs w:val="20"/>
        </w:rPr>
      </w:pPr>
      <w:r>
        <w:rPr>
          <w:b/>
          <w:bCs/>
          <w:sz w:val="20"/>
          <w:szCs w:val="20"/>
        </w:rPr>
        <w:t>Contingencies</w:t>
      </w:r>
    </w:p>
    <w:p w:rsidR="00000000" w:rsidRDefault="00D33C21">
      <w:pPr>
        <w:pStyle w:val="a3"/>
        <w:spacing w:before="200" w:beforeAutospacing="0" w:after="0" w:afterAutospacing="0"/>
        <w:jc w:val="both"/>
        <w:rPr>
          <w:sz w:val="20"/>
          <w:szCs w:val="20"/>
        </w:rPr>
      </w:pPr>
      <w:r>
        <w:rPr>
          <w:sz w:val="20"/>
          <w:szCs w:val="20"/>
        </w:rPr>
        <w:t>Liabilities for loss contingencies arising from claims, assessments, litigation, fines, and penalties</w:t>
      </w:r>
      <w:r>
        <w:rPr>
          <w:sz w:val="20"/>
          <w:szCs w:val="20"/>
        </w:rPr>
        <w:t xml:space="preserve"> and other sources are recorded when it is probable that a liability has been incurred and the amount can be reasonably estimated. Legal costs incurred in connection with loss contingencies are expensed as incurred. The Company is not currently involved in</w:t>
      </w:r>
      <w:r>
        <w:rPr>
          <w:sz w:val="20"/>
          <w:szCs w:val="20"/>
        </w:rPr>
        <w:t xml:space="preserve"> any legal matters arising in the normal course of business.</w:t>
      </w:r>
    </w:p>
    <w:p w:rsidR="00000000" w:rsidRDefault="00D33C21">
      <w:pPr>
        <w:pStyle w:val="a3"/>
        <w:spacing w:before="200" w:beforeAutospacing="0" w:after="0" w:afterAutospacing="0"/>
        <w:jc w:val="both"/>
        <w:rPr>
          <w:sz w:val="20"/>
          <w:szCs w:val="20"/>
        </w:rPr>
      </w:pPr>
      <w:r>
        <w:rPr>
          <w:sz w:val="20"/>
          <w:szCs w:val="20"/>
        </w:rPr>
        <w:t>Under the terms of their respective employment agreements, certain of our executive officers are eligible to receive severance payments and benefits upon a termination without “cause” or due to “</w:t>
      </w:r>
      <w:r>
        <w:rPr>
          <w:sz w:val="20"/>
          <w:szCs w:val="20"/>
        </w:rPr>
        <w:t>permanent disability,” or upon “resignation for good reason,” contingent upon the executive officer’s delivery to the Company of a satisfactory release of claims, and subject to the executive officer’s compliance with non-competition and non-solicitation r</w:t>
      </w:r>
      <w:r>
        <w:rPr>
          <w:sz w:val="20"/>
          <w:szCs w:val="20"/>
        </w:rPr>
        <w:t xml:space="preserve">estrictive covenants. </w:t>
      </w:r>
    </w:p>
    <w:p w:rsidR="00000000" w:rsidRDefault="00D33C21">
      <w:pPr>
        <w:pStyle w:val="a3"/>
        <w:spacing w:before="200" w:beforeAutospacing="0" w:after="0" w:afterAutospacing="0"/>
        <w:jc w:val="both"/>
        <w:rPr>
          <w:sz w:val="20"/>
          <w:szCs w:val="20"/>
        </w:rPr>
      </w:pPr>
      <w:r>
        <w:rPr>
          <w:sz w:val="20"/>
          <w:szCs w:val="20"/>
        </w:rPr>
        <w:t>Pursuant to the Northwestern agreement, Northwestern granted the Company an exclusive license to certain patent rights and know-how, including a patent application covering a specified composition of matter (the “Patent Application”)</w:t>
      </w:r>
      <w:r>
        <w:rPr>
          <w:sz w:val="20"/>
          <w:szCs w:val="20"/>
        </w:rPr>
        <w:t>.  Northwestern previously entered into a license agreement with Catalyst Pharmaceuticals, Inc. (“Catalyst”), dated August 27, 2009, pursuant to which Northwestern granted Catalyst rights under certain intellectual property rights covering a different comp</w:t>
      </w:r>
      <w:r>
        <w:rPr>
          <w:sz w:val="20"/>
          <w:szCs w:val="20"/>
        </w:rPr>
        <w:t xml:space="preserve">osition of matter (the “Catalyst License”).  In addition, the Company is a party to a confidential disclosure agreement with Catalyst, dated September 16, 2016 (the “CDA”). On June 25, 2018, Catalyst sent a letter to Northwestern and the Company alleging, </w:t>
      </w:r>
      <w:r>
        <w:rPr>
          <w:sz w:val="20"/>
          <w:szCs w:val="20"/>
        </w:rPr>
        <w:t>among other things, that Northwestern breached the Catalyst License by licensing the Patent Application to the Company. Catalyst’s letter also asserted that the Company had breached its obligations under the CDA by allegedly failing to disclose that the Co</w:t>
      </w:r>
      <w:r>
        <w:rPr>
          <w:sz w:val="20"/>
          <w:szCs w:val="20"/>
        </w:rPr>
        <w:t>mpany had a license to the Patent Application, and that a further breach would occur if the Company makes any use of information obtained under the CDA in connection with its development program arising from the rights granted under the license agreement. </w:t>
      </w:r>
      <w:r>
        <w:rPr>
          <w:sz w:val="20"/>
          <w:szCs w:val="20"/>
        </w:rPr>
        <w:t> Catalyst has asserted that the combined conduct of Northwestern and the Company gives rise to various claims, including breach of contract, fraud, and tortious interference. The Company believes that Catalyst’s claims are without merit and responded by le</w:t>
      </w:r>
      <w:r>
        <w:rPr>
          <w:sz w:val="20"/>
          <w:szCs w:val="20"/>
        </w:rPr>
        <w:t xml:space="preserve">tter dated June 28, 2018, which denies any and all liability to Catalyst, and further denies that Catalyst has been damaged in any way. On May 20, 2019, the Company entered into a Settlement Agreement with Catalyst, pursuant to which Catalyst released the </w:t>
      </w:r>
      <w:r>
        <w:rPr>
          <w:sz w:val="20"/>
          <w:szCs w:val="20"/>
        </w:rPr>
        <w:t>Company from any and all claims, known or unknown, arising from or related to the dispute between Catalyst and Northwestern, the License Agreement, and/or the claims that Catalyst asserted against the Company in the June 25, 2018 letter.  Under the settlem</w:t>
      </w:r>
      <w:r>
        <w:rPr>
          <w:sz w:val="20"/>
          <w:szCs w:val="20"/>
        </w:rPr>
        <w:t>ent the Company retains all rights and privileges previously granted to the Company under the Northwestern Licensing Agreement.</w:t>
      </w:r>
    </w:p>
    <w:p w:rsidR="00000000" w:rsidRDefault="00D33C21">
      <w:pPr>
        <w:pStyle w:val="a3"/>
        <w:spacing w:before="360" w:beforeAutospacing="0" w:after="0" w:afterAutospacing="0"/>
        <w:jc w:val="both"/>
        <w:rPr>
          <w:b/>
          <w:bCs/>
          <w:sz w:val="20"/>
          <w:szCs w:val="20"/>
        </w:rPr>
      </w:pPr>
      <w:r>
        <w:rPr>
          <w:b/>
          <w:bCs/>
          <w:sz w:val="20"/>
          <w:szCs w:val="20"/>
        </w:rPr>
        <w:t>NOTE 10 – COLLABORATION AGREEMENT</w:t>
      </w:r>
    </w:p>
    <w:p w:rsidR="00000000" w:rsidRDefault="00D33C21">
      <w:pPr>
        <w:pStyle w:val="a3"/>
        <w:spacing w:before="120" w:beforeAutospacing="0" w:after="0" w:afterAutospacing="0"/>
        <w:jc w:val="both"/>
        <w:rPr>
          <w:b/>
          <w:bCs/>
          <w:sz w:val="20"/>
          <w:szCs w:val="20"/>
        </w:rPr>
      </w:pPr>
      <w:r>
        <w:rPr>
          <w:b/>
          <w:bCs/>
          <w:sz w:val="20"/>
          <w:szCs w:val="20"/>
        </w:rPr>
        <w:t>Takeda Collaboration</w:t>
      </w:r>
    </w:p>
    <w:p w:rsidR="00000000" w:rsidRDefault="00D33C21">
      <w:pPr>
        <w:pStyle w:val="a3"/>
        <w:spacing w:before="120" w:beforeAutospacing="0" w:after="0" w:afterAutospacing="0"/>
        <w:jc w:val="both"/>
        <w:rPr>
          <w:sz w:val="20"/>
          <w:szCs w:val="20"/>
        </w:rPr>
      </w:pPr>
      <w:r>
        <w:rPr>
          <w:sz w:val="20"/>
          <w:szCs w:val="20"/>
        </w:rPr>
        <w:t xml:space="preserve">On January 6, 2017, the Company entered into a license and collaboration </w:t>
      </w:r>
      <w:r>
        <w:rPr>
          <w:sz w:val="20"/>
          <w:szCs w:val="20"/>
        </w:rPr>
        <w:t>agreement with Takeda, pursuant to which Takeda granted the Company an exclusive license to commercialize the compound TAK-935, which the Company now refers to as OV935, in certain territories, and a co-exclusive worldwide license, together with Takeda, to</w:t>
      </w:r>
      <w:r>
        <w:rPr>
          <w:sz w:val="20"/>
          <w:szCs w:val="20"/>
        </w:rPr>
        <w:t xml:space="preserve"> develop OV935. Under the Takeda collaboration, the Company is obligated to pay Takeda future payments if and when certain milestones are achieved. Upon the first patient enrollment in the first Phase 3 trial for the first of the initial indications the Co</w:t>
      </w:r>
      <w:r>
        <w:rPr>
          <w:sz w:val="20"/>
          <w:szCs w:val="20"/>
        </w:rPr>
        <w:t>mpany and Takeda are focusing on in the Takeda collaboration, the Company is obligated to issue to Takeda the number of unregistered shares of the Company’s common stock equal to the lesser of (a) 8% of the Company outstanding capital stock (including pref</w:t>
      </w:r>
      <w:r>
        <w:rPr>
          <w:sz w:val="20"/>
          <w:szCs w:val="20"/>
        </w:rPr>
        <w:t>erred stock on an as-converted basis) on the issuance date or (b) $50.0 million divided by the applicable share price. The remaining potential global commercial and regulatory milestone payments equal approximately $35.0 million and can be satisfied in cas</w:t>
      </w:r>
      <w:r>
        <w:rPr>
          <w:sz w:val="20"/>
          <w:szCs w:val="20"/>
        </w:rPr>
        <w:t>h or unregistered shares of the Company’s common stock at its election, unless certain events occur.  In the event a payment settled in shares of the Company’s common stock would cause Takeda to own over 19.99% of the Company’s outstanding capital stock or</w:t>
      </w:r>
      <w:r>
        <w:rPr>
          <w:sz w:val="20"/>
          <w:szCs w:val="20"/>
        </w:rPr>
        <w:t xml:space="preserve"> certain other events occur, such payment must be paid in cash.  None of these potential milestone payments mentioned above are deemed probable at June 30, 2019. </w:t>
      </w:r>
    </w:p>
    <w:p w:rsidR="00000000" w:rsidRDefault="00D33C21">
      <w:pPr>
        <w:pStyle w:val="a3"/>
        <w:spacing w:before="240" w:beforeAutospacing="0" w:after="0" w:afterAutospacing="0"/>
        <w:jc w:val="both"/>
        <w:rPr>
          <w:sz w:val="20"/>
          <w:szCs w:val="20"/>
        </w:rPr>
      </w:pPr>
      <w:bookmarkStart w:id="28" w:name="_Hlk520970133"/>
      <w:bookmarkStart w:id="29" w:name="_Hlk15395554"/>
      <w:bookmarkStart w:id="30" w:name="_Hlk520969581"/>
      <w:bookmarkEnd w:id="28"/>
      <w:bookmarkEnd w:id="29"/>
      <w:r>
        <w:rPr>
          <w:sz w:val="20"/>
          <w:szCs w:val="20"/>
        </w:rPr>
        <w:t>During the six months ended June 30, 2019, the Company recognized a credit in research and de</w:t>
      </w:r>
      <w:r>
        <w:rPr>
          <w:sz w:val="20"/>
          <w:szCs w:val="20"/>
        </w:rPr>
        <w:t>velopment expenses of $2.9</w:t>
      </w:r>
      <w:r>
        <w:rPr>
          <w:color w:val="000000"/>
          <w:sz w:val="20"/>
          <w:szCs w:val="20"/>
        </w:rPr>
        <w:t xml:space="preserve"> million representing costs to be </w:t>
      </w:r>
      <w:bookmarkEnd w:id="30"/>
      <w:r>
        <w:rPr>
          <w:color w:val="000000"/>
          <w:sz w:val="20"/>
          <w:szCs w:val="20"/>
        </w:rPr>
        <w:t>reimbursed to the Company from Takeda</w:t>
      </w:r>
      <w:r>
        <w:rPr>
          <w:sz w:val="20"/>
          <w:szCs w:val="20"/>
        </w:rPr>
        <w:t>.  </w:t>
      </w:r>
      <w:r>
        <w:rPr>
          <w:color w:val="000000"/>
          <w:sz w:val="20"/>
          <w:szCs w:val="20"/>
        </w:rPr>
        <w:t>During the six months ended June 30, 2018, the Company recognized $95,408 in research and development expenses representing expenses reimbursed to Takeda in</w:t>
      </w:r>
      <w:r>
        <w:rPr>
          <w:color w:val="000000"/>
          <w:sz w:val="20"/>
          <w:szCs w:val="20"/>
        </w:rPr>
        <w:t xml:space="preserve"> respect of this collaboration agreement. During the three months ended June 30, 2019, the Company recognized a credit of $1.6 million in research and development expenses representing costs reimbursable to the Company from Takeda. During the three months </w:t>
      </w:r>
      <w:r>
        <w:rPr>
          <w:color w:val="000000"/>
          <w:sz w:val="20"/>
          <w:szCs w:val="20"/>
        </w:rPr>
        <w:t>ended June 30, 2018, the Company recognized a credit of $337,289 research and development expenses representing costs reimbursed to the Company from Takeda.</w:t>
      </w:r>
    </w:p>
    <w:p w:rsidR="00000000" w:rsidRDefault="00D33C21">
      <w:pPr>
        <w:pStyle w:val="a3"/>
        <w:spacing w:before="240" w:beforeAutospacing="0" w:after="0" w:afterAutospacing="0"/>
        <w:jc w:val="center"/>
        <w:rPr>
          <w:sz w:val="20"/>
          <w:szCs w:val="20"/>
        </w:rPr>
      </w:pPr>
      <w:r>
        <w:rPr>
          <w:sz w:val="20"/>
          <w:szCs w:val="20"/>
        </w:rPr>
        <w:t>16</w:t>
      </w:r>
    </w:p>
    <w:p w:rsidR="00000000" w:rsidRDefault="00D33C21">
      <w:pPr>
        <w:rPr>
          <w:rFonts w:eastAsia="Times New Roman"/>
        </w:rPr>
      </w:pPr>
      <w:r>
        <w:rPr>
          <w:rFonts w:eastAsia="Times New Roman"/>
        </w:rPr>
        <w:pict>
          <v:rect id="_x0000_i1041"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both"/>
        <w:rPr>
          <w:sz w:val="20"/>
          <w:szCs w:val="20"/>
        </w:rPr>
      </w:pPr>
      <w:bookmarkStart w:id="31" w:name="_AEIOULastRenderedPageBreakAEIOU16"/>
      <w:bookmarkEnd w:id="31"/>
      <w:r>
        <w:rPr>
          <w:sz w:val="20"/>
          <w:szCs w:val="20"/>
        </w:rPr>
        <w:t>The Takeda collaboration will expire upon the cessation of commercialization of the products by both the Company and Takeda. Either party may terminate the Takeda collabo</w:t>
      </w:r>
      <w:r>
        <w:rPr>
          <w:sz w:val="20"/>
          <w:szCs w:val="20"/>
        </w:rPr>
        <w:t>ration because of the other party’s uncured material breach or insolvency, for safety reasons, or, after completion of the first proof of mechanism clinical trial, for convenience. Takeda may terminate the Takeda collaboration for the Company’s (or the Com</w:t>
      </w:r>
      <w:r>
        <w:rPr>
          <w:sz w:val="20"/>
          <w:szCs w:val="20"/>
        </w:rPr>
        <w:t>pany’s sublicensee’s) challenge to the patents licensed under the Takeda collaboration. If the collaboration is terminated by Takeda for material breach by the Company, bankruptcy or patent challenge or by the Company for convenience or safety reasons, the</w:t>
      </w:r>
      <w:r>
        <w:rPr>
          <w:sz w:val="20"/>
          <w:szCs w:val="20"/>
        </w:rPr>
        <w:t xml:space="preserve"> Company’s rights to the products will cease, the Company will transition all activities related to the products to Takeda, and the Company will grant Takeda an exclusive, royalty-bearing license under certain patents and other intellectual property contro</w:t>
      </w:r>
      <w:r>
        <w:rPr>
          <w:sz w:val="20"/>
          <w:szCs w:val="20"/>
        </w:rPr>
        <w:t xml:space="preserve">lled by the Company to commercialize OV935 and products containing OV935 for the treatment of certain rare neurological disorders. If the collaboration is terminated by the Company for Takeda’s material breach or bankruptcy or by Takeda for convenience or </w:t>
      </w:r>
      <w:r>
        <w:rPr>
          <w:sz w:val="20"/>
          <w:szCs w:val="20"/>
        </w:rPr>
        <w:t>safety reasons, Takeda’s rights to the products will cease, Takeda will transition all activities related to the products to the Company, and Takeda will grant the Company an exclusive, royalty-bearing license under certain patents and other intellectual p</w:t>
      </w:r>
      <w:r>
        <w:rPr>
          <w:sz w:val="20"/>
          <w:szCs w:val="20"/>
        </w:rPr>
        <w:t>roperty controlled by Takeda to commercialize OV935 and products containing OV935 for the treatment of certain rare neurological disorders.</w:t>
      </w:r>
    </w:p>
    <w:p w:rsidR="00000000" w:rsidRDefault="00D33C21">
      <w:pPr>
        <w:pStyle w:val="a3"/>
        <w:spacing w:before="0" w:beforeAutospacing="0" w:after="0" w:afterAutospacing="0"/>
        <w:jc w:val="both"/>
        <w:rPr>
          <w:b/>
          <w:bCs/>
          <w:sz w:val="20"/>
          <w:szCs w:val="20"/>
        </w:rPr>
      </w:pPr>
      <w:r>
        <w:rPr>
          <w:b/>
          <w:bCs/>
          <w:sz w:val="20"/>
          <w:szCs w:val="20"/>
        </w:rPr>
        <w:t> </w:t>
      </w:r>
    </w:p>
    <w:p w:rsidR="00000000" w:rsidRDefault="00D33C21">
      <w:pPr>
        <w:pStyle w:val="a3"/>
        <w:spacing w:before="160" w:beforeAutospacing="0" w:after="0" w:afterAutospacing="0"/>
        <w:jc w:val="both"/>
        <w:rPr>
          <w:b/>
          <w:bCs/>
          <w:color w:val="000000"/>
          <w:sz w:val="20"/>
          <w:szCs w:val="20"/>
        </w:rPr>
      </w:pPr>
      <w:r>
        <w:rPr>
          <w:b/>
          <w:bCs/>
          <w:color w:val="000000"/>
          <w:sz w:val="20"/>
          <w:szCs w:val="20"/>
        </w:rPr>
        <w:t>NOTE 11 – RELATED PARTY TRANSACTIONS</w:t>
      </w:r>
    </w:p>
    <w:p w:rsidR="00000000" w:rsidRDefault="00D33C21">
      <w:pPr>
        <w:pStyle w:val="a3"/>
        <w:spacing w:before="0" w:beforeAutospacing="0" w:after="0" w:afterAutospacing="0"/>
        <w:jc w:val="both"/>
        <w:rPr>
          <w:sz w:val="20"/>
          <w:szCs w:val="20"/>
        </w:rPr>
      </w:pPr>
      <w:r>
        <w:rPr>
          <w:sz w:val="20"/>
          <w:szCs w:val="20"/>
        </w:rPr>
        <w:t> </w:t>
      </w:r>
    </w:p>
    <w:p w:rsidR="00000000" w:rsidRDefault="00D33C21">
      <w:pPr>
        <w:pStyle w:val="a3"/>
        <w:spacing w:before="0" w:beforeAutospacing="0" w:after="0" w:afterAutospacing="0"/>
        <w:jc w:val="both"/>
        <w:rPr>
          <w:sz w:val="20"/>
          <w:szCs w:val="20"/>
        </w:rPr>
      </w:pPr>
      <w:r>
        <w:rPr>
          <w:sz w:val="20"/>
          <w:szCs w:val="20"/>
        </w:rPr>
        <w:t>As part of the Company’</w:t>
      </w:r>
      <w:r>
        <w:rPr>
          <w:sz w:val="20"/>
          <w:szCs w:val="20"/>
        </w:rPr>
        <w:t>s collaboration agreement with Takeda the Company recognized a long-term liability representing long-term prepaid expenses to be reimbursed to Takeda.</w:t>
      </w:r>
    </w:p>
    <w:p w:rsidR="00000000" w:rsidRDefault="00D33C21">
      <w:pPr>
        <w:pStyle w:val="a3"/>
        <w:spacing w:before="0" w:beforeAutospacing="0" w:after="0" w:afterAutospacing="0"/>
        <w:jc w:val="both"/>
        <w:rPr>
          <w:sz w:val="20"/>
          <w:szCs w:val="20"/>
        </w:rPr>
      </w:pPr>
      <w:r>
        <w:rPr>
          <w:sz w:val="20"/>
          <w:szCs w:val="20"/>
        </w:rPr>
        <w:t> </w:t>
      </w:r>
    </w:p>
    <w:p w:rsidR="00000000" w:rsidRDefault="00D33C21">
      <w:pPr>
        <w:pStyle w:val="a3"/>
        <w:spacing w:before="0" w:beforeAutospacing="0" w:after="0" w:afterAutospacing="0"/>
        <w:jc w:val="both"/>
        <w:rPr>
          <w:sz w:val="20"/>
          <w:szCs w:val="20"/>
        </w:rPr>
      </w:pPr>
      <w:r>
        <w:rPr>
          <w:sz w:val="20"/>
          <w:szCs w:val="20"/>
        </w:rPr>
        <w:t>On March 24, 2019, the Company entered into a separation and consulting agreement with Dr. During in co</w:t>
      </w:r>
      <w:r>
        <w:rPr>
          <w:sz w:val="20"/>
          <w:szCs w:val="20"/>
        </w:rPr>
        <w:t>nnection with Dr. During’s resignation of his employment with the Company effective as of April 1, 2019.  </w:t>
      </w:r>
      <w:r>
        <w:rPr>
          <w:color w:val="000000"/>
          <w:sz w:val="20"/>
          <w:szCs w:val="20"/>
        </w:rPr>
        <w:t>Pursuant to the separation and consulting agreement, Dr. During agreed to non-solicit and non-compete covenants through such time as he remains a cons</w:t>
      </w:r>
      <w:r>
        <w:rPr>
          <w:color w:val="000000"/>
          <w:sz w:val="20"/>
          <w:szCs w:val="20"/>
        </w:rPr>
        <w:t>ultant to the Company, as well as a general release of claims in connection therewith. Dr. During agreed to a three-year consulting arrangement, pursuant to which he will be paid, amongst other specific milestone and meeting related fees, $150,000 per year</w:t>
      </w:r>
      <w:r>
        <w:rPr>
          <w:color w:val="000000"/>
          <w:sz w:val="20"/>
          <w:szCs w:val="20"/>
        </w:rPr>
        <w:t xml:space="preserve"> for his role as the Chairman of our Scientific Advisory Board and $150,000 per year for other advisory and consulting services. Further, Dr. During was granted options to acquire 100,000 shares of common stock at an exercise price of $1.76 per share, the </w:t>
      </w:r>
      <w:r>
        <w:rPr>
          <w:color w:val="000000"/>
          <w:sz w:val="20"/>
          <w:szCs w:val="20"/>
        </w:rPr>
        <w:t>fair market value on April 1, 2019, which options shall vest in full upon completion of a specific clinical milestone, subject to Dr. During’s continued service through such vesting date. In the event such option does not vest by December 31, 2020, the sto</w:t>
      </w:r>
      <w:r>
        <w:rPr>
          <w:color w:val="000000"/>
          <w:sz w:val="20"/>
          <w:szCs w:val="20"/>
        </w:rPr>
        <w:t>ck option will expire. Provided further, in recognition of Dr. During’s service on the Scientific Advisory Board, Dr. During was granted options to acquire 75,000 shares of common stock at an exercise price equal to $1.76 per share, the fair market value o</w:t>
      </w:r>
      <w:r>
        <w:rPr>
          <w:color w:val="000000"/>
          <w:sz w:val="20"/>
          <w:szCs w:val="20"/>
        </w:rPr>
        <w:t>n April 1, 2019.</w:t>
      </w:r>
    </w:p>
    <w:p w:rsidR="00000000" w:rsidRDefault="00D33C21">
      <w:pPr>
        <w:pStyle w:val="a3"/>
        <w:spacing w:before="0" w:beforeAutospacing="0" w:after="0" w:afterAutospacing="0"/>
        <w:jc w:val="both"/>
        <w:rPr>
          <w:b/>
          <w:bCs/>
          <w:sz w:val="20"/>
          <w:szCs w:val="20"/>
        </w:rPr>
      </w:pPr>
      <w:r>
        <w:rPr>
          <w:b/>
          <w:bCs/>
          <w:sz w:val="20"/>
          <w:szCs w:val="20"/>
        </w:rPr>
        <w:t> </w:t>
      </w:r>
    </w:p>
    <w:p w:rsidR="00000000" w:rsidRDefault="00D33C21">
      <w:pPr>
        <w:pStyle w:val="a3"/>
        <w:spacing w:before="160" w:beforeAutospacing="0" w:after="0" w:afterAutospacing="0"/>
        <w:jc w:val="both"/>
        <w:rPr>
          <w:b/>
          <w:bCs/>
          <w:sz w:val="20"/>
          <w:szCs w:val="20"/>
        </w:rPr>
      </w:pPr>
      <w:r>
        <w:rPr>
          <w:b/>
          <w:bCs/>
          <w:sz w:val="20"/>
          <w:szCs w:val="20"/>
        </w:rPr>
        <w:t>NOTE 12 – NET LOSS PER SHARE</w:t>
      </w:r>
    </w:p>
    <w:p w:rsidR="00000000" w:rsidRDefault="00D33C21">
      <w:pPr>
        <w:pStyle w:val="a3"/>
        <w:spacing w:before="160" w:beforeAutospacing="0" w:after="0" w:afterAutospacing="0"/>
        <w:jc w:val="both"/>
        <w:rPr>
          <w:sz w:val="20"/>
          <w:szCs w:val="20"/>
        </w:rPr>
      </w:pPr>
      <w:r>
        <w:rPr>
          <w:sz w:val="20"/>
          <w:szCs w:val="20"/>
        </w:rPr>
        <w:t>Basic and diluted net loss per common share is determined by dividing net loss attributable to common stockholders by the weighted-average common shares outstanding during the period. For all periods presente</w:t>
      </w:r>
      <w:r>
        <w:rPr>
          <w:sz w:val="20"/>
          <w:szCs w:val="20"/>
        </w:rPr>
        <w:t>d, the common shares underlying the options have been excluded from the calculation because their effect would be anti-dilutive. Therefore, the weighted-average shares outstanding used to calculate both basic and diluted loss per common share are the same.</w:t>
      </w:r>
      <w:r>
        <w:rPr>
          <w:sz w:val="20"/>
          <w:szCs w:val="20"/>
        </w:rPr>
        <w:t xml:space="preserve"> Under the terms of the Preferred Stock issued in 2019, Preferred shareholders do not share in losses of the Company and have no obligation to fund losses or transfer assets.  Since there is a loss, diluted EPS should be computed in the same manner as basi</w:t>
      </w:r>
      <w:r>
        <w:rPr>
          <w:sz w:val="20"/>
          <w:szCs w:val="20"/>
        </w:rPr>
        <w:t>c EPS and because no potential common shares shall be included in the computation of any diluted per-share amounts when a loss exists, the Series A Preferred Stock should be excluded from the computation of basic and diluted EPS.  There was no Preferred St</w:t>
      </w:r>
      <w:r>
        <w:rPr>
          <w:sz w:val="20"/>
          <w:szCs w:val="20"/>
        </w:rPr>
        <w:t>ock issued or outstanding in 2018.</w:t>
      </w:r>
    </w:p>
    <w:p w:rsidR="00000000" w:rsidRDefault="00D33C21">
      <w:pPr>
        <w:pStyle w:val="a3"/>
        <w:spacing w:before="160" w:beforeAutospacing="0" w:after="0" w:afterAutospacing="0"/>
        <w:jc w:val="both"/>
        <w:rPr>
          <w:sz w:val="20"/>
          <w:szCs w:val="20"/>
        </w:rPr>
      </w:pPr>
      <w:r>
        <w:rPr>
          <w:sz w:val="20"/>
          <w:szCs w:val="20"/>
        </w:rPr>
        <w:t>The following potentially dilutive securities have been excluded from the computations of diluted weighted-average shares outstanding as they would be anti-dilutive:</w:t>
      </w:r>
    </w:p>
    <w:p w:rsidR="00000000" w:rsidRDefault="00D33C21">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89"/>
        <w:gridCol w:w="70"/>
        <w:gridCol w:w="65"/>
        <w:gridCol w:w="815"/>
        <w:gridCol w:w="65"/>
        <w:gridCol w:w="65"/>
        <w:gridCol w:w="65"/>
        <w:gridCol w:w="815"/>
        <w:gridCol w:w="65"/>
      </w:tblGrid>
      <w:tr w:rsidR="00000000">
        <w:trPr>
          <w:divId w:val="1926109528"/>
          <w:jc w:val="center"/>
        </w:trPr>
        <w:tc>
          <w:tcPr>
            <w:tcW w:w="333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8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15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926109528"/>
          <w:jc w:val="center"/>
        </w:trPr>
        <w:tc>
          <w:tcPr>
            <w:tcW w:w="333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8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2"/>
                <w:szCs w:val="22"/>
              </w:rPr>
            </w:pPr>
            <w:r>
              <w:rPr>
                <w:color w:val="000000"/>
                <w:sz w:val="22"/>
                <w:szCs w:val="22"/>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926109528"/>
          <w:jc w:val="center"/>
        </w:trPr>
        <w:tc>
          <w:tcPr>
            <w:tcW w:w="3337"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Stock options to purchase common stock</w:t>
            </w:r>
          </w:p>
        </w:tc>
        <w:tc>
          <w:tcPr>
            <w:tcW w:w="8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5,916,944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5,304,806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926109528"/>
          <w:jc w:val="center"/>
        </w:trPr>
        <w:tc>
          <w:tcPr>
            <w:tcW w:w="3337"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Series A convertible preferred stock</w:t>
            </w:r>
          </w:p>
        </w:tc>
        <w:tc>
          <w:tcPr>
            <w:tcW w:w="8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2,500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jc w:val="both"/>
        <w:rPr>
          <w:sz w:val="20"/>
          <w:szCs w:val="20"/>
        </w:rPr>
      </w:pPr>
      <w:r>
        <w:rPr>
          <w:sz w:val="20"/>
          <w:szCs w:val="20"/>
        </w:rPr>
        <w:t> </w:t>
      </w:r>
    </w:p>
    <w:p w:rsidR="00000000" w:rsidRDefault="00D33C21">
      <w:pPr>
        <w:pStyle w:val="a3"/>
        <w:spacing w:before="240" w:beforeAutospacing="0" w:after="0" w:afterAutospacing="0"/>
        <w:jc w:val="center"/>
        <w:rPr>
          <w:sz w:val="20"/>
          <w:szCs w:val="20"/>
        </w:rPr>
      </w:pPr>
      <w:r>
        <w:rPr>
          <w:sz w:val="20"/>
          <w:szCs w:val="20"/>
        </w:rPr>
        <w:t>17</w:t>
      </w:r>
    </w:p>
    <w:p w:rsidR="00000000" w:rsidRDefault="00D33C21">
      <w:pPr>
        <w:rPr>
          <w:rFonts w:eastAsia="Times New Roman"/>
        </w:rPr>
      </w:pPr>
      <w:r>
        <w:rPr>
          <w:rFonts w:eastAsia="Times New Roman"/>
        </w:rPr>
        <w:pict>
          <v:rect id="_x0000_i1042"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rPr>
          <w:b/>
          <w:bCs/>
          <w:sz w:val="20"/>
          <w:szCs w:val="20"/>
        </w:rPr>
      </w:pPr>
      <w:bookmarkStart w:id="32" w:name="MANAGEMENTS_DISCUSSION_ANALYSIS"/>
      <w:bookmarkStart w:id="33" w:name="_AEIOULastRenderedPageBreakAEIOU17"/>
      <w:bookmarkEnd w:id="32"/>
      <w:bookmarkEnd w:id="33"/>
      <w:r>
        <w:rPr>
          <w:b/>
          <w:bCs/>
          <w:sz w:val="20"/>
          <w:szCs w:val="20"/>
        </w:rPr>
        <w:t>Item 2.</w:t>
      </w:r>
      <w:r>
        <w:rPr>
          <w:sz w:val="20"/>
          <w:szCs w:val="20"/>
        </w:rPr>
        <w:t xml:space="preserve"> </w:t>
      </w:r>
      <w:r>
        <w:rPr>
          <w:b/>
          <w:bCs/>
          <w:sz w:val="20"/>
          <w:szCs w:val="20"/>
        </w:rPr>
        <w:t>Management’s Discussion and Analysis of Financial Condition and Re</w:t>
      </w:r>
      <w:r>
        <w:rPr>
          <w:b/>
          <w:bCs/>
          <w:sz w:val="20"/>
          <w:szCs w:val="20"/>
        </w:rPr>
        <w:t>sults of Operations</w:t>
      </w:r>
    </w:p>
    <w:p w:rsidR="00000000" w:rsidRDefault="00D33C21">
      <w:pPr>
        <w:pStyle w:val="a3"/>
        <w:shd w:val="clear" w:color="auto" w:fill="FFFFFF"/>
        <w:spacing w:before="120" w:beforeAutospacing="0" w:after="0" w:afterAutospacing="0"/>
        <w:ind w:firstLine="556"/>
        <w:jc w:val="both"/>
        <w:rPr>
          <w:i/>
          <w:iCs/>
          <w:color w:val="000000"/>
          <w:sz w:val="20"/>
          <w:szCs w:val="20"/>
        </w:rPr>
      </w:pPr>
      <w:r>
        <w:rPr>
          <w:i/>
          <w:iCs/>
          <w:color w:val="000000"/>
          <w:sz w:val="20"/>
          <w:szCs w:val="20"/>
        </w:rPr>
        <w:t>The following information should be read in conjunction with the unaudited condensed consolidated financial statements and the notes thereto included in this Quarterly Report on Form 10-Q and the audited financial information and the no</w:t>
      </w:r>
      <w:r>
        <w:rPr>
          <w:i/>
          <w:iCs/>
          <w:color w:val="000000"/>
          <w:sz w:val="20"/>
          <w:szCs w:val="20"/>
        </w:rPr>
        <w:t>tes thereto included in the Annual Report on Form 10-K for the year ended December 31, 2018, which was filed with the Securities and Exchange Commission (“SEC”) on March 7, 2019. In addition to historical financial information, the following discussion con</w:t>
      </w:r>
      <w:r>
        <w:rPr>
          <w:i/>
          <w:iCs/>
          <w:color w:val="000000"/>
          <w:sz w:val="20"/>
          <w:szCs w:val="20"/>
        </w:rPr>
        <w:t>tains forward-looking statements based upon our current plans, expectations and beliefs that involve risks, uncertainties and assumptions. Our actual results may differ materially from those described in or implied by these forward-looking statements becau</w:t>
      </w:r>
      <w:r>
        <w:rPr>
          <w:i/>
          <w:iCs/>
          <w:color w:val="000000"/>
          <w:sz w:val="20"/>
          <w:szCs w:val="20"/>
        </w:rPr>
        <w:t>se of many factors, including those set forth under the section titled “Risk Factors” in Part II, Item 1A.</w:t>
      </w:r>
    </w:p>
    <w:p w:rsidR="00000000" w:rsidRDefault="00D33C21">
      <w:pPr>
        <w:pStyle w:val="a3"/>
        <w:spacing w:before="360" w:beforeAutospacing="0" w:after="0" w:afterAutospacing="0"/>
        <w:rPr>
          <w:b/>
          <w:bCs/>
          <w:color w:val="000000"/>
          <w:sz w:val="20"/>
          <w:szCs w:val="20"/>
        </w:rPr>
      </w:pPr>
      <w:r>
        <w:rPr>
          <w:b/>
          <w:bCs/>
          <w:color w:val="000000"/>
          <w:sz w:val="20"/>
          <w:szCs w:val="20"/>
        </w:rPr>
        <w:t>Overview</w:t>
      </w:r>
    </w:p>
    <w:p w:rsidR="00000000" w:rsidRDefault="00D33C21">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We are a biopharmaceutical company focused exclusively on developing impactful medicines for patients and families living with rare neurological disorders. We believe these disorders represent an attractive area for drug development as the understanding of</w:t>
      </w:r>
      <w:r>
        <w:rPr>
          <w:color w:val="000000"/>
          <w:sz w:val="20"/>
          <w:szCs w:val="20"/>
          <w:shd w:val="clear" w:color="auto" w:fill="FFFFFF"/>
        </w:rPr>
        <w:t xml:space="preserve"> the underlying biology has grown meaningfully over the last few years; yet has remained underappreciated by the industry. Our experienced team began with a vision to integrate the biology and symptomology of rare neurological conditions to employ innovati</w:t>
      </w:r>
      <w:r>
        <w:rPr>
          <w:color w:val="000000"/>
          <w:sz w:val="20"/>
          <w:szCs w:val="20"/>
          <w:shd w:val="clear" w:color="auto" w:fill="FFFFFF"/>
        </w:rPr>
        <w:t xml:space="preserve">ve research and clinical strategies for the development of our drug candidates. Based on recent scientific advances in genetics and the biological pathways of the brain, we created a proprietary map of disease-relevant pathways and used it to identify and </w:t>
      </w:r>
      <w:r>
        <w:rPr>
          <w:color w:val="000000"/>
          <w:sz w:val="20"/>
          <w:szCs w:val="20"/>
          <w:shd w:val="clear" w:color="auto" w:fill="FFFFFF"/>
        </w:rPr>
        <w:t>acquire novel compounds for the treatment of rare neurological disorders. We are executing on our strategy by in-licensing and collaborating with leading biopharmaceutical companies and academic institutions. We are developing a robust pipeline of clinical</w:t>
      </w:r>
      <w:r>
        <w:rPr>
          <w:color w:val="000000"/>
          <w:sz w:val="20"/>
          <w:szCs w:val="20"/>
          <w:shd w:val="clear" w:color="auto" w:fill="FFFFFF"/>
        </w:rPr>
        <w:t xml:space="preserve"> assets with an initial focus on neurodevelopmental disorders and developmental and epileptic encephalopathies (“dEE”). </w:t>
      </w:r>
    </w:p>
    <w:p w:rsidR="00000000" w:rsidRDefault="00D33C21">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 xml:space="preserve">During 2018, our most advanced candidate, OV101, completed a Phase 2 STARS trial in adults and adolescents with Angelman syndrome. The </w:t>
      </w:r>
      <w:r>
        <w:rPr>
          <w:color w:val="000000"/>
          <w:sz w:val="20"/>
          <w:szCs w:val="20"/>
          <w:shd w:val="clear" w:color="auto" w:fill="FFFFFF"/>
        </w:rPr>
        <w:t>Phase 2 STARS trial achieved its primary endpoint of safety and tolerability and showed an improvement in the once-daily </w:t>
      </w:r>
      <w:r>
        <w:rPr>
          <w:color w:val="000000"/>
          <w:sz w:val="20"/>
          <w:szCs w:val="20"/>
        </w:rPr>
        <w:t>and combined </w:t>
      </w:r>
      <w:r>
        <w:rPr>
          <w:color w:val="000000"/>
          <w:sz w:val="20"/>
          <w:szCs w:val="20"/>
          <w:shd w:val="clear" w:color="auto" w:fill="FFFFFF"/>
        </w:rPr>
        <w:t>OV101 dosing groups on the prespecified physician-rated Clinical Global Impressions-Improvement (“CGI-I”) exploratory endp</w:t>
      </w:r>
      <w:r>
        <w:rPr>
          <w:color w:val="000000"/>
          <w:sz w:val="20"/>
          <w:szCs w:val="20"/>
          <w:shd w:val="clear" w:color="auto" w:fill="FFFFFF"/>
        </w:rPr>
        <w:t>oint as well as improvements in relevant symptoms such as sleep and motor function. Based upon feedback from our End of Phase 2 Meeting with the U.S. Food and Drug Administration (“FDA”) in November 2018, a scientific advice meeting with the German regulat</w:t>
      </w:r>
      <w:r>
        <w:rPr>
          <w:color w:val="000000"/>
          <w:sz w:val="20"/>
          <w:szCs w:val="20"/>
          <w:shd w:val="clear" w:color="auto" w:fill="FFFFFF"/>
        </w:rPr>
        <w:t>ory authority (BfArM) in April 2019, and a second FDA Type C guidance meeting in May 2019, we initiated a single pivotal Phase 3 trial of OV101 in pediatric patients with Angelman syndrome (NEPTUNE). NEPTUNE is a single 12-week, two-arm, randomized, double</w:t>
      </w:r>
      <w:r>
        <w:rPr>
          <w:color w:val="000000"/>
          <w:sz w:val="20"/>
          <w:szCs w:val="20"/>
          <w:shd w:val="clear" w:color="auto" w:fill="FFFFFF"/>
        </w:rPr>
        <w:t>-blind, placebo-controlled trial with a once daily, weight-based dose of OV101 with an enrollment of approximately 60 patients aged 4 to 12 years and a few patients aged 2-3 years. The primary endpoint is the change in the overall CGI-I score at 12-weeks v</w:t>
      </w:r>
      <w:r>
        <w:rPr>
          <w:color w:val="000000"/>
          <w:sz w:val="20"/>
          <w:szCs w:val="20"/>
          <w:shd w:val="clear" w:color="auto" w:fill="FFFFFF"/>
        </w:rPr>
        <w:t>ersus baseline between the OV101 and placebo groups. We expect to enroll the first patient in this trial in the third quarter of 2019. Based on the STARS trial data, we also initiated an open-label extension study (ELARA) which enrolled its first patient i</w:t>
      </w:r>
      <w:r>
        <w:rPr>
          <w:color w:val="000000"/>
          <w:sz w:val="20"/>
          <w:szCs w:val="20"/>
          <w:shd w:val="clear" w:color="auto" w:fill="FFFFFF"/>
        </w:rPr>
        <w:t xml:space="preserve">n February 2019, and this study continues enrollment.  In June 2019, the European Commission granted OV101 orphan drug designation for the treatment of Angelman syndrome based on the results of the Phase 2 STARS trial. </w:t>
      </w:r>
    </w:p>
    <w:p w:rsidR="00000000" w:rsidRDefault="00D33C21">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 xml:space="preserve">Along with our collaborator, Takeda </w:t>
      </w:r>
      <w:r>
        <w:rPr>
          <w:color w:val="000000"/>
          <w:sz w:val="20"/>
          <w:szCs w:val="20"/>
          <w:shd w:val="clear" w:color="auto" w:fill="FFFFFF"/>
        </w:rPr>
        <w:t>Pharmaceutical Company Limited, (“Takeda”), and as announced on December 17, 2018, the Phase 1b/2a trial of OV935 in adults with developmental and epileptic encephalopathy (tDEE) achieved its primary endpoint of safety and tolerability and showed OV935 was</w:t>
      </w:r>
      <w:r>
        <w:rPr>
          <w:color w:val="000000"/>
          <w:sz w:val="20"/>
          <w:szCs w:val="20"/>
          <w:shd w:val="clear" w:color="auto" w:fill="FFFFFF"/>
        </w:rPr>
        <w:t xml:space="preserve"> generally well tolerated and met its secondary exploratory endpoints, including a satisfactory pharmacokinetic profile and signals of efficacy. Exploratory analyses also showed the potential applicability of using plasma 24-hydroxy cholesterol (“24HC”) as</w:t>
      </w:r>
      <w:r>
        <w:rPr>
          <w:color w:val="000000"/>
          <w:sz w:val="20"/>
          <w:szCs w:val="20"/>
          <w:shd w:val="clear" w:color="auto" w:fill="FFFFFF"/>
        </w:rPr>
        <w:t xml:space="preserve"> a serum biomarker. </w:t>
      </w:r>
    </w:p>
    <w:p w:rsidR="00000000" w:rsidRDefault="00D33C21">
      <w:pPr>
        <w:pStyle w:val="a3"/>
        <w:shd w:val="clear" w:color="auto" w:fill="FFFFFF"/>
        <w:spacing w:before="200" w:beforeAutospacing="0" w:after="0" w:afterAutospacing="0"/>
        <w:ind w:firstLine="556"/>
        <w:jc w:val="both"/>
        <w:rPr>
          <w:color w:val="000000"/>
          <w:sz w:val="20"/>
          <w:szCs w:val="20"/>
        </w:rPr>
      </w:pPr>
      <w:r>
        <w:rPr>
          <w:color w:val="000000"/>
          <w:sz w:val="20"/>
          <w:szCs w:val="20"/>
        </w:rPr>
        <w:t>In July 2018, we initiated our Phase 2 ROCKET clinical trial, a randomized, double-blind, parallel-group trial evaluating OV101 for the treatment of adolescent and young male adults with Fragile X Syndrome. The trial is currently enrol</w:t>
      </w:r>
      <w:r>
        <w:rPr>
          <w:color w:val="000000"/>
          <w:sz w:val="20"/>
          <w:szCs w:val="20"/>
        </w:rPr>
        <w:t xml:space="preserve">ling and is expected to enroll up to 30 males ages 13 to 22 with a confirmed diagnosis of Fragile X Syndrome. The primary endpoint is safety and tolerability of OV101 over 12 weeks of treatment in three different cohorts of either 5mg once a day (QD), 5mg </w:t>
      </w:r>
      <w:r>
        <w:rPr>
          <w:color w:val="000000"/>
          <w:sz w:val="20"/>
          <w:szCs w:val="20"/>
        </w:rPr>
        <w:t xml:space="preserve">twice a day (BID), or 5mg three times daily (TID). A secondary efficacy endpoint will evaluate changes in behavior during 12 weeks of treatment with OV101 using the Activities-specific Balance Confidence Scale (“ABC”) that has been used in previous trials </w:t>
      </w:r>
      <w:r>
        <w:rPr>
          <w:color w:val="000000"/>
          <w:sz w:val="20"/>
          <w:szCs w:val="20"/>
        </w:rPr>
        <w:t>for Fragile X syndrome. We anticipate data from the ROCKET trial in the fourth quarter of 2019 or first quarter of 2020.</w:t>
      </w:r>
    </w:p>
    <w:p w:rsidR="00000000" w:rsidRDefault="00D33C21">
      <w:pPr>
        <w:pStyle w:val="a3"/>
        <w:shd w:val="clear" w:color="auto" w:fill="FFFFFF"/>
        <w:spacing w:before="200" w:beforeAutospacing="0" w:after="0" w:afterAutospacing="0"/>
        <w:ind w:firstLine="556"/>
        <w:jc w:val="both"/>
        <w:rPr>
          <w:color w:val="000000"/>
          <w:sz w:val="20"/>
          <w:szCs w:val="20"/>
        </w:rPr>
      </w:pPr>
      <w:r>
        <w:rPr>
          <w:color w:val="000000"/>
          <w:sz w:val="20"/>
          <w:szCs w:val="20"/>
        </w:rPr>
        <w:t>In December 2018, we initiated the SKY ROCKET study, a 12-week, non-drug study to assess the suitability of several behavioral scales i</w:t>
      </w:r>
      <w:r>
        <w:rPr>
          <w:color w:val="000000"/>
          <w:sz w:val="20"/>
          <w:szCs w:val="20"/>
        </w:rPr>
        <w:t xml:space="preserve">n individuals with Fragile X Syndrome. The study is an observational study designed to provide additional data on the key endpoints that are being explored in the study as well as provide contextual data on the benefit offered by the standard of care. The </w:t>
      </w:r>
      <w:r>
        <w:rPr>
          <w:color w:val="000000"/>
          <w:sz w:val="20"/>
          <w:szCs w:val="20"/>
        </w:rPr>
        <w:t xml:space="preserve">study will enroll 10-30 males ages 5 to 30 with Fragile X Syndrome. </w:t>
      </w:r>
    </w:p>
    <w:p w:rsidR="00000000" w:rsidRDefault="00D33C21">
      <w:pPr>
        <w:pStyle w:val="a3"/>
        <w:shd w:val="clear" w:color="auto" w:fill="FFFFFF"/>
        <w:spacing w:before="200" w:beforeAutospacing="0" w:after="0" w:afterAutospacing="0"/>
        <w:ind w:firstLine="556"/>
        <w:jc w:val="both"/>
        <w:rPr>
          <w:color w:val="000000"/>
          <w:sz w:val="20"/>
          <w:szCs w:val="20"/>
        </w:rPr>
      </w:pPr>
      <w:r>
        <w:rPr>
          <w:color w:val="000000"/>
          <w:sz w:val="20"/>
          <w:szCs w:val="20"/>
        </w:rPr>
        <w:t>Ovid and Takeda continue to enroll patients in three clinical trials: a Phase 2 clinical trial in pediatric patients with Dravet syndrome or Lennox-Gastaut Syndrome (ELEKTRA); a Phase 2 c</w:t>
      </w:r>
      <w:r>
        <w:rPr>
          <w:color w:val="000000"/>
          <w:sz w:val="20"/>
          <w:szCs w:val="20"/>
        </w:rPr>
        <w:t>linical trial in pediatric patients with CDKL5 deficiency disorder or Duplication 15q syndrome (ARCADE); and an open-label extension trial for patients with dEE who participated in a previous OV935 clinical trial (ENDYMION). We expect an interim analysis f</w:t>
      </w:r>
      <w:r>
        <w:rPr>
          <w:color w:val="000000"/>
          <w:sz w:val="20"/>
          <w:szCs w:val="20"/>
        </w:rPr>
        <w:t>rom the ENDYMION trial in the third quarter of 2019.</w:t>
      </w:r>
    </w:p>
    <w:p w:rsidR="00000000" w:rsidRDefault="00D33C21">
      <w:pPr>
        <w:pStyle w:val="a3"/>
        <w:spacing w:before="240" w:beforeAutospacing="0" w:after="0" w:afterAutospacing="0"/>
        <w:jc w:val="center"/>
        <w:rPr>
          <w:sz w:val="20"/>
          <w:szCs w:val="20"/>
        </w:rPr>
      </w:pPr>
      <w:r>
        <w:rPr>
          <w:sz w:val="20"/>
          <w:szCs w:val="20"/>
        </w:rPr>
        <w:t>18</w:t>
      </w:r>
    </w:p>
    <w:p w:rsidR="00000000" w:rsidRDefault="00D33C21">
      <w:pPr>
        <w:rPr>
          <w:rFonts w:eastAsia="Times New Roman"/>
        </w:rPr>
      </w:pPr>
      <w:r>
        <w:rPr>
          <w:rFonts w:eastAsia="Times New Roman"/>
        </w:rPr>
        <w:pict>
          <v:rect id="_x0000_i1043"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hd w:val="clear" w:color="auto" w:fill="FFFFFF"/>
        <w:spacing w:before="200" w:beforeAutospacing="0" w:after="0" w:afterAutospacing="0"/>
        <w:ind w:firstLine="556"/>
        <w:jc w:val="both"/>
        <w:rPr>
          <w:color w:val="000000"/>
          <w:sz w:val="20"/>
          <w:szCs w:val="20"/>
        </w:rPr>
      </w:pPr>
      <w:bookmarkStart w:id="34" w:name="_AEIOULastRenderedPageBreakAEIOU18"/>
      <w:bookmarkEnd w:id="34"/>
      <w:r>
        <w:rPr>
          <w:color w:val="000000"/>
          <w:sz w:val="20"/>
          <w:szCs w:val="20"/>
        </w:rPr>
        <w:t>As disclosed during our R&amp;D Day held on June 27, 2019, we also have early research programs exploring OV329 in infantile spasm/rare epilepsies and OV881 as a potential gene therapy for the treatment of Angelman syndrom</w:t>
      </w:r>
      <w:r>
        <w:rPr>
          <w:color w:val="000000"/>
          <w:sz w:val="20"/>
          <w:szCs w:val="20"/>
        </w:rPr>
        <w:t>e.</w:t>
      </w:r>
    </w:p>
    <w:p w:rsidR="00000000" w:rsidRDefault="00D33C21">
      <w:pPr>
        <w:pStyle w:val="a3"/>
        <w:shd w:val="clear" w:color="auto" w:fill="FFFFFF"/>
        <w:spacing w:before="200" w:beforeAutospacing="0" w:after="0" w:afterAutospacing="0"/>
        <w:ind w:firstLine="556"/>
        <w:jc w:val="both"/>
        <w:rPr>
          <w:color w:val="000000"/>
          <w:sz w:val="20"/>
          <w:szCs w:val="20"/>
        </w:rPr>
      </w:pPr>
      <w:r>
        <w:rPr>
          <w:color w:val="000000"/>
          <w:sz w:val="20"/>
          <w:szCs w:val="20"/>
        </w:rPr>
        <w:t>Since our inception in April 2014, we have devoted substantially all of our efforts to organizing and planning our business, building our management and technical team, acquiring operating assets and raising capital.</w:t>
      </w:r>
    </w:p>
    <w:p w:rsidR="00000000" w:rsidRDefault="00D33C21">
      <w:pPr>
        <w:pStyle w:val="a3"/>
        <w:shd w:val="clear" w:color="auto" w:fill="FFFFFF"/>
        <w:spacing w:before="240" w:beforeAutospacing="0" w:after="0" w:afterAutospacing="0"/>
        <w:ind w:firstLine="556"/>
        <w:jc w:val="both"/>
        <w:rPr>
          <w:color w:val="000000"/>
          <w:sz w:val="20"/>
          <w:szCs w:val="20"/>
        </w:rPr>
      </w:pPr>
      <w:r>
        <w:rPr>
          <w:color w:val="000000"/>
          <w:sz w:val="20"/>
          <w:szCs w:val="20"/>
        </w:rPr>
        <w:t>We have not generated any revenue an</w:t>
      </w:r>
      <w:r>
        <w:rPr>
          <w:color w:val="000000"/>
          <w:sz w:val="20"/>
          <w:szCs w:val="20"/>
        </w:rPr>
        <w:t>d have funded our business primarily through the sale of our capital stock. Through June 30, 2019, we have raised net proceeds of $172.8 million from the sale of common stock and convertible preferred stock. As of June 30, 2019, we had $47.4 million in cas</w:t>
      </w:r>
      <w:r>
        <w:rPr>
          <w:color w:val="000000"/>
          <w:sz w:val="20"/>
          <w:szCs w:val="20"/>
        </w:rPr>
        <w:t>h and cash equivalents.  We recorded net losses of $26.9 million and $26.1 million for the six months ended June 30, 2019 and 2018, respectively. As of June 30, 2019, we had an accumulated deficit of approximately $179.6 million.</w:t>
      </w:r>
    </w:p>
    <w:p w:rsidR="00000000" w:rsidRDefault="00D33C21">
      <w:pPr>
        <w:pStyle w:val="a3"/>
        <w:shd w:val="clear" w:color="auto" w:fill="FFFFFF"/>
        <w:spacing w:before="200" w:beforeAutospacing="0" w:after="0" w:afterAutospacing="0"/>
        <w:ind w:firstLine="556"/>
        <w:jc w:val="both"/>
        <w:rPr>
          <w:color w:val="000000"/>
          <w:sz w:val="20"/>
          <w:szCs w:val="20"/>
        </w:rPr>
      </w:pPr>
      <w:r>
        <w:rPr>
          <w:color w:val="000000"/>
          <w:sz w:val="20"/>
          <w:szCs w:val="20"/>
        </w:rPr>
        <w:t>We expect to continue to i</w:t>
      </w:r>
      <w:r>
        <w:rPr>
          <w:color w:val="000000"/>
          <w:sz w:val="20"/>
          <w:szCs w:val="20"/>
        </w:rPr>
        <w:t>ncur significant expenses and increasing operating losses for at least the next several years. Our net losses may fluctuate significantly from period to period, depending on the timing of our planned clinical trials and expenditures on our other research a</w:t>
      </w:r>
      <w:r>
        <w:rPr>
          <w:color w:val="000000"/>
          <w:sz w:val="20"/>
          <w:szCs w:val="20"/>
        </w:rPr>
        <w:t>nd development and commercial development activities. We expect our expenses will increase substantially over time as we:</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continue the ongoing and planned preclinical and clinical development of our drug candidates;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build a portfolio of drug candidates through the acquisition or in-license of drugs, drug candidates or technologies;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initiate preclinical studies and</w:t>
            </w:r>
            <w:r>
              <w:rPr>
                <w:sz w:val="20"/>
                <w:szCs w:val="20"/>
              </w:rPr>
              <w:t xml:space="preserve"> clinical trials for any additional drug candidates that we may pursue in the future;</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seek marketing approvals for our current and future drug candidates that successfully complete clinical trials;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establish a sales, marketing and distribution </w:t>
            </w:r>
            <w:r>
              <w:rPr>
                <w:sz w:val="20"/>
                <w:szCs w:val="20"/>
              </w:rPr>
              <w:t>infrastructure to commercialize any drug candidate for which we may obtain marketing approval;</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develop, maintain, expand and protect our intellectual property portfolio;</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implement operational, financial and management systems; and</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attract, hire and retain additional administrative, clinical, regulatory and scientific personnel.</w:t>
            </w:r>
          </w:p>
        </w:tc>
      </w:tr>
    </w:tbl>
    <w:p w:rsidR="00000000" w:rsidRDefault="00D33C21">
      <w:pPr>
        <w:pStyle w:val="a3"/>
        <w:spacing w:before="200" w:beforeAutospacing="0" w:after="0" w:afterAutospacing="0"/>
        <w:jc w:val="both"/>
        <w:rPr>
          <w:b/>
          <w:bCs/>
          <w:color w:val="000000"/>
          <w:sz w:val="20"/>
          <w:szCs w:val="20"/>
        </w:rPr>
      </w:pPr>
      <w:r>
        <w:rPr>
          <w:b/>
          <w:bCs/>
          <w:color w:val="000000"/>
          <w:sz w:val="20"/>
          <w:szCs w:val="20"/>
        </w:rPr>
        <w:t>Recent Events</w:t>
      </w:r>
    </w:p>
    <w:p w:rsidR="00000000" w:rsidRDefault="00D33C21">
      <w:pPr>
        <w:pStyle w:val="a3"/>
        <w:spacing w:before="200" w:beforeAutospacing="0" w:after="0" w:afterAutospacing="0"/>
        <w:ind w:firstLine="1066"/>
        <w:jc w:val="both"/>
        <w:rPr>
          <w:color w:val="000000"/>
          <w:sz w:val="20"/>
          <w:szCs w:val="20"/>
        </w:rPr>
      </w:pPr>
      <w:r>
        <w:rPr>
          <w:color w:val="000000"/>
          <w:sz w:val="20"/>
          <w:szCs w:val="20"/>
        </w:rPr>
        <w:t xml:space="preserve">On March 26, 2015, we entered into an exclusive agreement with H. Lundbeck </w:t>
      </w:r>
      <w:r>
        <w:rPr>
          <w:color w:val="000000"/>
          <w:sz w:val="20"/>
          <w:szCs w:val="20"/>
        </w:rPr>
        <w:t>A/S (“Lundbeck”) for a worldwide perpetual licensing right related the research, development and commercialization of OV101.  On May 10, 2019, the parties agreed to amend the Lundbeck License (the “Lundbeck Amendment”).  Pursuant to the Lundbeck Amendment,</w:t>
      </w:r>
      <w:r>
        <w:rPr>
          <w:color w:val="000000"/>
          <w:sz w:val="20"/>
          <w:szCs w:val="20"/>
        </w:rPr>
        <w:t xml:space="preserve"> we agreed to increase milestone payments upon the achievement of certain development, regulatory and sales milestones from $181.0 million to $189.0 million.  The first milestone payment that is due upon the successful completion of the first Phase 3 trial</w:t>
      </w:r>
      <w:r>
        <w:rPr>
          <w:color w:val="000000"/>
          <w:sz w:val="20"/>
          <w:szCs w:val="20"/>
        </w:rPr>
        <w:t xml:space="preserve"> for a product in which OV101 is an active ingredient has been reduced from $10.0 million to $1.0 million. Further, the Lundbeck License calls for us to pay royalties for an initial term based on a low double-digit percentage of sales and provides for the </w:t>
      </w:r>
      <w:r>
        <w:rPr>
          <w:color w:val="000000"/>
          <w:sz w:val="20"/>
          <w:szCs w:val="20"/>
        </w:rPr>
        <w:t xml:space="preserve">reduction of royalties in certain limited circumstances. The Lundbeck Amendment reduced such royalties from a low-double digit percentage of sales to single-digit and a low-double digit percentage of sales.  In addition, the Lundbeck Amendment removed the </w:t>
      </w:r>
      <w:r>
        <w:rPr>
          <w:color w:val="000000"/>
          <w:sz w:val="20"/>
          <w:szCs w:val="20"/>
        </w:rPr>
        <w:t>right of first negotiation that was granted to Lundbeck.  Finally, the Lundbeck Amendment removed the distinction for countries in the Asian Major Markets, as amended the Asian Major Markets will be treated the same as the rest of the world and we agreed t</w:t>
      </w:r>
      <w:r>
        <w:rPr>
          <w:color w:val="000000"/>
          <w:sz w:val="20"/>
          <w:szCs w:val="20"/>
        </w:rPr>
        <w:t>o add certain regulatory milestones in the Asian Major Markets and such additional regulatory milestones are included in the total milestone payments of $189.0 million reported above.</w:t>
      </w:r>
    </w:p>
    <w:p w:rsidR="00000000" w:rsidRDefault="00D33C21">
      <w:pPr>
        <w:pStyle w:val="a3"/>
        <w:spacing w:before="360" w:beforeAutospacing="0" w:after="0" w:afterAutospacing="0"/>
        <w:rPr>
          <w:b/>
          <w:bCs/>
          <w:sz w:val="20"/>
          <w:szCs w:val="20"/>
        </w:rPr>
      </w:pPr>
      <w:r>
        <w:rPr>
          <w:b/>
          <w:bCs/>
          <w:sz w:val="20"/>
          <w:szCs w:val="20"/>
        </w:rPr>
        <w:t>Financial Operations Overview</w:t>
      </w:r>
    </w:p>
    <w:p w:rsidR="00000000" w:rsidRDefault="00D33C21">
      <w:pPr>
        <w:pStyle w:val="a3"/>
        <w:spacing w:before="120" w:beforeAutospacing="0" w:after="0" w:afterAutospacing="0"/>
        <w:ind w:left="238"/>
        <w:rPr>
          <w:b/>
          <w:bCs/>
          <w:i/>
          <w:iCs/>
          <w:sz w:val="20"/>
          <w:szCs w:val="20"/>
        </w:rPr>
      </w:pPr>
      <w:r>
        <w:rPr>
          <w:b/>
          <w:bCs/>
          <w:i/>
          <w:iCs/>
          <w:sz w:val="20"/>
          <w:szCs w:val="20"/>
        </w:rPr>
        <w:t>Revenue</w:t>
      </w:r>
    </w:p>
    <w:p w:rsidR="00000000" w:rsidRDefault="00D33C21">
      <w:pPr>
        <w:pStyle w:val="a3"/>
        <w:shd w:val="clear" w:color="auto" w:fill="FFFFFF"/>
        <w:spacing w:before="200" w:beforeAutospacing="0" w:after="0" w:afterAutospacing="0"/>
        <w:ind w:firstLine="556"/>
        <w:jc w:val="both"/>
        <w:rPr>
          <w:sz w:val="20"/>
          <w:szCs w:val="20"/>
        </w:rPr>
      </w:pPr>
      <w:r>
        <w:rPr>
          <w:sz w:val="20"/>
          <w:szCs w:val="20"/>
        </w:rPr>
        <w:t xml:space="preserve">We have not generated any revenue from commercial drug sales and do not expect to generate any revenue unless or until we obtain regulatory approval of and commercialize one or more of our current or future drug candidates. In the future, we may also seek </w:t>
      </w:r>
      <w:r>
        <w:rPr>
          <w:sz w:val="20"/>
          <w:szCs w:val="20"/>
        </w:rPr>
        <w:t>to generate revenue from a combination of research and development payments, license fees and other upfront or milestone payments.</w:t>
      </w:r>
    </w:p>
    <w:p w:rsidR="00000000" w:rsidRDefault="00D33C21">
      <w:pPr>
        <w:pStyle w:val="a3"/>
        <w:shd w:val="clear" w:color="auto" w:fill="FFFFFF"/>
        <w:spacing w:before="200" w:beforeAutospacing="0" w:after="0" w:afterAutospacing="0"/>
        <w:ind w:left="238"/>
        <w:jc w:val="both"/>
        <w:rPr>
          <w:b/>
          <w:bCs/>
          <w:i/>
          <w:iCs/>
          <w:sz w:val="20"/>
          <w:szCs w:val="20"/>
        </w:rPr>
      </w:pPr>
      <w:r>
        <w:rPr>
          <w:b/>
          <w:bCs/>
          <w:i/>
          <w:iCs/>
          <w:sz w:val="20"/>
          <w:szCs w:val="20"/>
        </w:rPr>
        <w:t>Research and Development Expenses</w:t>
      </w:r>
    </w:p>
    <w:p w:rsidR="00000000" w:rsidRDefault="00D33C21">
      <w:pPr>
        <w:pStyle w:val="a3"/>
        <w:shd w:val="clear" w:color="auto" w:fill="FFFFFF"/>
        <w:spacing w:before="200" w:beforeAutospacing="0" w:after="0" w:afterAutospacing="0"/>
        <w:ind w:firstLine="556"/>
        <w:jc w:val="both"/>
        <w:rPr>
          <w:sz w:val="20"/>
          <w:szCs w:val="20"/>
        </w:rPr>
      </w:pPr>
      <w:r>
        <w:rPr>
          <w:sz w:val="20"/>
          <w:szCs w:val="20"/>
        </w:rPr>
        <w:t>Research and development expenses consist primarily of costs incurred for our research acti</w:t>
      </w:r>
      <w:r>
        <w:rPr>
          <w:sz w:val="20"/>
          <w:szCs w:val="20"/>
        </w:rPr>
        <w:t>vities, including our product discovery efforts and the development of our product candidates, which include,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fees related to the acquisition of the rights to OV101 and OV935;</w:t>
            </w:r>
          </w:p>
        </w:tc>
      </w:tr>
    </w:tbl>
    <w:p w:rsidR="00000000" w:rsidRDefault="00D33C21">
      <w:pPr>
        <w:pStyle w:val="a3"/>
        <w:spacing w:before="240" w:beforeAutospacing="0" w:after="0" w:afterAutospacing="0"/>
        <w:jc w:val="center"/>
        <w:rPr>
          <w:sz w:val="20"/>
          <w:szCs w:val="20"/>
        </w:rPr>
      </w:pPr>
      <w:r>
        <w:rPr>
          <w:sz w:val="20"/>
          <w:szCs w:val="20"/>
        </w:rPr>
        <w:t>19</w:t>
      </w:r>
    </w:p>
    <w:p w:rsidR="00000000" w:rsidRDefault="00D33C21">
      <w:pPr>
        <w:rPr>
          <w:rFonts w:eastAsia="Times New Roman"/>
        </w:rPr>
      </w:pPr>
      <w:r>
        <w:rPr>
          <w:rFonts w:eastAsia="Times New Roman"/>
        </w:rPr>
        <w:pict>
          <v:rect id="_x0000_i1044"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bookmarkStart w:id="35" w:name="_AEIOULastRenderedPageBreakAEIOU19"/>
            <w:bookmarkEnd w:id="35"/>
            <w:r>
              <w:rPr>
                <w:sz w:val="20"/>
                <w:szCs w:val="20"/>
              </w:rPr>
              <w:t>employee-related expenses, including salaries, benefits and stock-based compensation expense;</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fees paid to consultants for services directly related to our drug development and regulatory effort;</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expenses incurred under agreements with contract research organizations, as well as contract manufacturing organizations and consultants that conduc</w:t>
            </w:r>
            <w:r>
              <w:rPr>
                <w:sz w:val="20"/>
                <w:szCs w:val="20"/>
              </w:rPr>
              <w:t>t preclinical studies and clinical trials;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costs associated with preclinical activities and development activities;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costs associated with technology and intellectual property licenses;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milestone payments and other costs under licensing agreements; and</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depreciation expense for assets used in research and development activities.</w:t>
            </w:r>
          </w:p>
        </w:tc>
      </w:tr>
    </w:tbl>
    <w:p w:rsidR="00000000" w:rsidRDefault="00D33C21">
      <w:pPr>
        <w:pStyle w:val="a3"/>
        <w:shd w:val="clear" w:color="auto" w:fill="FFFFFF"/>
        <w:spacing w:before="200" w:beforeAutospacing="0" w:after="0" w:afterAutospacing="0"/>
        <w:ind w:firstLine="556"/>
        <w:jc w:val="both"/>
        <w:rPr>
          <w:sz w:val="20"/>
          <w:szCs w:val="20"/>
        </w:rPr>
      </w:pPr>
      <w:r>
        <w:rPr>
          <w:sz w:val="20"/>
          <w:szCs w:val="20"/>
        </w:rPr>
        <w:t xml:space="preserve">Costs incurred in connection with research and development activities are expensed as incurred. Costs for certain development activities, such as clinical trials, are recognized </w:t>
      </w:r>
      <w:r>
        <w:rPr>
          <w:sz w:val="20"/>
          <w:szCs w:val="20"/>
        </w:rPr>
        <w:t>based on an evaluation of the progress to completion of specific tasks using data such as patient enrollment, clinical site activations or other information provided to us by our vendors.</w:t>
      </w:r>
    </w:p>
    <w:p w:rsidR="00000000" w:rsidRDefault="00D33C21">
      <w:pPr>
        <w:pStyle w:val="a3"/>
        <w:shd w:val="clear" w:color="auto" w:fill="FFFFFF"/>
        <w:spacing w:before="200" w:beforeAutospacing="0" w:after="0" w:afterAutospacing="0"/>
        <w:ind w:firstLine="556"/>
        <w:jc w:val="both"/>
        <w:rPr>
          <w:sz w:val="20"/>
          <w:szCs w:val="20"/>
        </w:rPr>
      </w:pPr>
      <w:r>
        <w:rPr>
          <w:sz w:val="20"/>
          <w:szCs w:val="20"/>
        </w:rPr>
        <w:t>Research and development activities are and will continue to be cent</w:t>
      </w:r>
      <w:r>
        <w:rPr>
          <w:sz w:val="20"/>
          <w:szCs w:val="20"/>
        </w:rPr>
        <w:t>ral to our business model. We expect our research and development expenses to increase for the foreseeable future as we advance our current and future drug candidates through preclinical studies and clinical trials. The process of conducting preclinical st</w:t>
      </w:r>
      <w:r>
        <w:rPr>
          <w:sz w:val="20"/>
          <w:szCs w:val="20"/>
        </w:rPr>
        <w:t>udies and clinical trials necessary to obtain regulatory approval is costly and time-consuming. It is difficult to determine with certainty the duration and costs of any preclinical study or clinical trial that we may conduct. The duration, costs and timin</w:t>
      </w:r>
      <w:r>
        <w:rPr>
          <w:sz w:val="20"/>
          <w:szCs w:val="20"/>
        </w:rPr>
        <w:t>g of clinical trial programs and development of our current and future drug candidates will depend on a variety of factors that include, but are not limited to,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number of clinical trials required for approval and any requirement for exte</w:t>
            </w:r>
            <w:r>
              <w:rPr>
                <w:sz w:val="20"/>
                <w:szCs w:val="20"/>
              </w:rPr>
              <w:t>nsion trials;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per patient trial costs;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number of patients who participate in the clinical trials;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number of sites included in the clinical trials;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countries in which the clinical trial is conducted;</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length of time required to enroll eligible patients;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number of doses that patients receive;</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drop-out or discontinuation rates of patients;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potential additional safety monitoring or other studies requested by regulatory agencies;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duration of patient follow-up; and</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efficacy and safety profile of the drug candidate.</w:t>
            </w:r>
          </w:p>
        </w:tc>
      </w:tr>
    </w:tbl>
    <w:p w:rsidR="00000000" w:rsidRDefault="00D33C21">
      <w:pPr>
        <w:pStyle w:val="a3"/>
        <w:shd w:val="clear" w:color="auto" w:fill="FFFFFF"/>
        <w:spacing w:before="200" w:beforeAutospacing="0" w:after="0" w:afterAutospacing="0"/>
        <w:ind w:firstLine="556"/>
        <w:jc w:val="both"/>
        <w:rPr>
          <w:sz w:val="20"/>
          <w:szCs w:val="20"/>
        </w:rPr>
      </w:pPr>
      <w:r>
        <w:rPr>
          <w:sz w:val="20"/>
          <w:szCs w:val="20"/>
        </w:rPr>
        <w:t>In addition, the probability of success for any of our current or f</w:t>
      </w:r>
      <w:r>
        <w:rPr>
          <w:sz w:val="20"/>
          <w:szCs w:val="20"/>
        </w:rPr>
        <w:t>uture drug candidates will depend on numerous factors, including competition, manufacturing capability and commercial viability. We will determine which programs to pursue and how much to fund each program in response to the scientific and clinical success</w:t>
      </w:r>
      <w:r>
        <w:rPr>
          <w:sz w:val="20"/>
          <w:szCs w:val="20"/>
        </w:rPr>
        <w:t xml:space="preserve"> of each drug candidate, as well as an assessment of each drug candidate’s commercial potential.</w:t>
      </w:r>
    </w:p>
    <w:p w:rsidR="00000000" w:rsidRDefault="00D33C21">
      <w:pPr>
        <w:pStyle w:val="a3"/>
        <w:shd w:val="clear" w:color="auto" w:fill="FFFFFF"/>
        <w:spacing w:before="200" w:beforeAutospacing="0" w:after="0" w:afterAutospacing="0"/>
        <w:ind w:firstLine="556"/>
        <w:jc w:val="both"/>
        <w:rPr>
          <w:b/>
          <w:bCs/>
          <w:i/>
          <w:iCs/>
          <w:sz w:val="20"/>
          <w:szCs w:val="20"/>
        </w:rPr>
      </w:pPr>
      <w:r>
        <w:rPr>
          <w:b/>
          <w:bCs/>
          <w:i/>
          <w:iCs/>
          <w:sz w:val="20"/>
          <w:szCs w:val="20"/>
        </w:rPr>
        <w:t>General and Administrative Expenses</w:t>
      </w:r>
    </w:p>
    <w:p w:rsidR="00000000" w:rsidRDefault="00D33C21">
      <w:pPr>
        <w:pStyle w:val="a3"/>
        <w:shd w:val="clear" w:color="auto" w:fill="FFFFFF"/>
        <w:spacing w:before="200" w:beforeAutospacing="0" w:after="0" w:afterAutospacing="0"/>
        <w:ind w:firstLine="556"/>
        <w:jc w:val="both"/>
        <w:rPr>
          <w:sz w:val="20"/>
          <w:szCs w:val="20"/>
        </w:rPr>
      </w:pPr>
      <w:r>
        <w:rPr>
          <w:sz w:val="20"/>
          <w:szCs w:val="20"/>
        </w:rPr>
        <w:t>General and administrative expenses consist primarily of employee-related expenses, including salaries, benefits and stock-based compensation expense, related to our executive, finance, business development and support functions. Other general and administ</w:t>
      </w:r>
      <w:r>
        <w:rPr>
          <w:sz w:val="20"/>
          <w:szCs w:val="20"/>
        </w:rPr>
        <w:t>rative expenses include costs associated with operating as a public company described below, travel expenses, conferences, professional fees for auditing, tax and legal services and facility-related costs.</w:t>
      </w:r>
    </w:p>
    <w:p w:rsidR="00000000" w:rsidRDefault="00D33C21">
      <w:pPr>
        <w:pStyle w:val="a3"/>
        <w:shd w:val="clear" w:color="auto" w:fill="FFFFFF"/>
        <w:spacing w:before="200" w:beforeAutospacing="0" w:after="0" w:afterAutospacing="0"/>
        <w:ind w:firstLine="556"/>
        <w:jc w:val="both"/>
        <w:rPr>
          <w:sz w:val="20"/>
          <w:szCs w:val="20"/>
        </w:rPr>
      </w:pPr>
      <w:r>
        <w:rPr>
          <w:sz w:val="20"/>
          <w:szCs w:val="20"/>
        </w:rPr>
        <w:t>We expect that general and administrative expenses</w:t>
      </w:r>
      <w:r>
        <w:rPr>
          <w:sz w:val="20"/>
          <w:szCs w:val="20"/>
        </w:rPr>
        <w:t xml:space="preserve"> will increase in the future </w:t>
      </w:r>
      <w:r>
        <w:rPr>
          <w:color w:val="000000"/>
          <w:sz w:val="20"/>
          <w:szCs w:val="20"/>
        </w:rPr>
        <w:t>as we increase our headcount to support our continued research and development and potential commercialization of our product candidates.</w:t>
      </w:r>
    </w:p>
    <w:p w:rsidR="00000000" w:rsidRDefault="00D33C21">
      <w:pPr>
        <w:pStyle w:val="a3"/>
        <w:spacing w:before="240" w:beforeAutospacing="0" w:after="0" w:afterAutospacing="0"/>
        <w:jc w:val="center"/>
        <w:rPr>
          <w:sz w:val="20"/>
          <w:szCs w:val="20"/>
        </w:rPr>
      </w:pPr>
      <w:r>
        <w:rPr>
          <w:sz w:val="20"/>
          <w:szCs w:val="20"/>
        </w:rPr>
        <w:t>20</w:t>
      </w:r>
    </w:p>
    <w:p w:rsidR="00000000" w:rsidRDefault="00D33C21">
      <w:pPr>
        <w:rPr>
          <w:rFonts w:eastAsia="Times New Roman"/>
        </w:rPr>
      </w:pPr>
      <w:r>
        <w:rPr>
          <w:rFonts w:eastAsia="Times New Roman"/>
        </w:rPr>
        <w:pict>
          <v:rect id="_x0000_i1045"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ind w:left="238"/>
        <w:rPr>
          <w:b/>
          <w:bCs/>
          <w:i/>
          <w:iCs/>
          <w:sz w:val="20"/>
          <w:szCs w:val="20"/>
        </w:rPr>
      </w:pPr>
      <w:bookmarkStart w:id="36" w:name="_AEIOULastRenderedPageBreakAEIOU20"/>
      <w:bookmarkEnd w:id="36"/>
      <w:r>
        <w:rPr>
          <w:b/>
          <w:bCs/>
          <w:i/>
          <w:iCs/>
          <w:sz w:val="20"/>
          <w:szCs w:val="20"/>
        </w:rPr>
        <w:t>Interest Income</w:t>
      </w:r>
    </w:p>
    <w:p w:rsidR="00000000" w:rsidRDefault="00D33C21">
      <w:pPr>
        <w:pStyle w:val="a3"/>
        <w:spacing w:before="360" w:beforeAutospacing="0" w:after="0" w:afterAutospacing="0"/>
        <w:ind w:left="238" w:firstLine="540"/>
        <w:rPr>
          <w:sz w:val="20"/>
          <w:szCs w:val="20"/>
        </w:rPr>
      </w:pPr>
      <w:r>
        <w:rPr>
          <w:sz w:val="20"/>
          <w:szCs w:val="20"/>
        </w:rPr>
        <w:t xml:space="preserve">Interest income consists of interest income earned on our cash and cash equivalents maintained in money market funds and short-term investments </w:t>
      </w:r>
      <w:r>
        <w:rPr>
          <w:sz w:val="20"/>
          <w:szCs w:val="20"/>
        </w:rPr>
        <w:t>that were maintained in U.S. treasury notes.</w:t>
      </w:r>
    </w:p>
    <w:p w:rsidR="00000000" w:rsidRDefault="00D33C21">
      <w:pPr>
        <w:pStyle w:val="a3"/>
        <w:spacing w:before="360" w:beforeAutospacing="0" w:after="0" w:afterAutospacing="0"/>
        <w:rPr>
          <w:b/>
          <w:bCs/>
          <w:sz w:val="20"/>
          <w:szCs w:val="20"/>
        </w:rPr>
      </w:pPr>
      <w:r>
        <w:rPr>
          <w:b/>
          <w:bCs/>
          <w:sz w:val="20"/>
          <w:szCs w:val="20"/>
        </w:rPr>
        <w:t xml:space="preserve">Results of Operations </w:t>
      </w:r>
    </w:p>
    <w:p w:rsidR="00000000" w:rsidRDefault="00D33C21">
      <w:pPr>
        <w:pStyle w:val="a3"/>
        <w:spacing w:before="120" w:beforeAutospacing="0" w:after="0" w:afterAutospacing="0"/>
        <w:ind w:left="238"/>
        <w:rPr>
          <w:b/>
          <w:bCs/>
          <w:i/>
          <w:iCs/>
          <w:sz w:val="20"/>
          <w:szCs w:val="20"/>
        </w:rPr>
      </w:pPr>
      <w:r>
        <w:rPr>
          <w:b/>
          <w:bCs/>
          <w:i/>
          <w:iCs/>
          <w:sz w:val="20"/>
          <w:szCs w:val="20"/>
        </w:rPr>
        <w:t>Comparison of the Three Months Ended June 30, 2019 and 2018</w:t>
      </w:r>
    </w:p>
    <w:p w:rsidR="00000000" w:rsidRDefault="00D33C21">
      <w:pPr>
        <w:pStyle w:val="a3"/>
        <w:spacing w:before="120" w:beforeAutospacing="0" w:after="0" w:afterAutospacing="0"/>
        <w:ind w:firstLine="556"/>
        <w:jc w:val="both"/>
        <w:rPr>
          <w:sz w:val="20"/>
          <w:szCs w:val="20"/>
        </w:rPr>
      </w:pPr>
      <w:r>
        <w:rPr>
          <w:sz w:val="20"/>
          <w:szCs w:val="20"/>
        </w:rPr>
        <w:t>The following table summarizes the results of our operations for the periods indicated:</w:t>
      </w:r>
    </w:p>
    <w:p w:rsidR="00000000" w:rsidRDefault="00D33C21">
      <w:pPr>
        <w:pStyle w:val="a3"/>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263"/>
        <w:gridCol w:w="65"/>
        <w:gridCol w:w="115"/>
        <w:gridCol w:w="864"/>
        <w:gridCol w:w="82"/>
        <w:gridCol w:w="65"/>
        <w:gridCol w:w="115"/>
        <w:gridCol w:w="866"/>
        <w:gridCol w:w="82"/>
        <w:gridCol w:w="65"/>
        <w:gridCol w:w="115"/>
        <w:gridCol w:w="866"/>
        <w:gridCol w:w="82"/>
      </w:tblGrid>
      <w:tr w:rsidR="00000000">
        <w:trPr>
          <w:divId w:val="30173357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000000">
        <w:trPr>
          <w:divId w:val="30173357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30173357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30173357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415" w:type="pct"/>
            <w:gridSpan w:val="10"/>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301733570"/>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Research and development</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9,117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8,116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1,001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0173357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General and administrative</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4,205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5,093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(888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01733570"/>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Total operating expenses</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13,322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13,209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113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30173357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Loss from operations</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(13,322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(13,209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(113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01733570"/>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Interest income</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274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30173357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Net Loss</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(13,057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(12,935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bl>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160" w:beforeAutospacing="0" w:after="0" w:afterAutospacing="0"/>
        <w:ind w:left="238"/>
        <w:rPr>
          <w:b/>
          <w:bCs/>
          <w:i/>
          <w:iCs/>
          <w:sz w:val="20"/>
          <w:szCs w:val="20"/>
        </w:rPr>
      </w:pPr>
      <w:r>
        <w:rPr>
          <w:b/>
          <w:bCs/>
          <w:i/>
          <w:iCs/>
          <w:sz w:val="20"/>
          <w:szCs w:val="20"/>
        </w:rPr>
        <w:t xml:space="preserve">Research and Development Expenses </w:t>
      </w:r>
    </w:p>
    <w:p w:rsidR="00000000" w:rsidRDefault="00D33C21">
      <w:pPr>
        <w:pStyle w:val="a3"/>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273"/>
        <w:gridCol w:w="65"/>
        <w:gridCol w:w="116"/>
        <w:gridCol w:w="884"/>
        <w:gridCol w:w="65"/>
        <w:gridCol w:w="65"/>
        <w:gridCol w:w="116"/>
        <w:gridCol w:w="867"/>
        <w:gridCol w:w="65"/>
        <w:gridCol w:w="65"/>
        <w:gridCol w:w="115"/>
        <w:gridCol w:w="867"/>
        <w:gridCol w:w="82"/>
      </w:tblGrid>
      <w:tr w:rsidR="00000000">
        <w:trPr>
          <w:divId w:val="21145919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000000">
        <w:trPr>
          <w:divId w:val="21145919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21145919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21145919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415" w:type="pct"/>
            <w:gridSpan w:val="10"/>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2114591909"/>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Preclinical and development expense</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5,723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4,848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875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21145919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Payroll and payroll-related expenses</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2,446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2,816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(370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2114591909"/>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Other expenses</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948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452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496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21145919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Total research and development</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9,117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8,116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1,001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40" w:beforeAutospacing="0" w:after="0" w:afterAutospacing="0"/>
        <w:ind w:firstLine="556"/>
        <w:jc w:val="both"/>
        <w:rPr>
          <w:sz w:val="20"/>
          <w:szCs w:val="20"/>
        </w:rPr>
      </w:pPr>
      <w:r>
        <w:rPr>
          <w:sz w:val="20"/>
          <w:szCs w:val="20"/>
        </w:rPr>
        <w:t xml:space="preserve">Research and development expenses were $9.1 million for the three months ended June 30, 2019 compared to $8.1 million for the three months ended June 30, 2018. The </w:t>
      </w:r>
      <w:r>
        <w:rPr>
          <w:color w:val="000000"/>
          <w:sz w:val="20"/>
          <w:szCs w:val="20"/>
        </w:rPr>
        <w:t>increase of $1.0 million was due in part to an increase in preclinical and development expenses for the clinical studies of OV101 and our Takeda collaboration expenses related to OV935 offset by a decrease in payroll and payroll-related expenses.</w:t>
      </w:r>
      <w:r>
        <w:rPr>
          <w:sz w:val="20"/>
          <w:szCs w:val="20"/>
        </w:rPr>
        <w:t xml:space="preserve"> </w:t>
      </w:r>
      <w:r>
        <w:rPr>
          <w:color w:val="000000"/>
          <w:sz w:val="20"/>
          <w:szCs w:val="20"/>
        </w:rPr>
        <w:t>During th</w:t>
      </w:r>
      <w:r>
        <w:rPr>
          <w:color w:val="000000"/>
          <w:sz w:val="20"/>
          <w:szCs w:val="20"/>
        </w:rPr>
        <w:t>e three months ended June 30, 2019, total research and development expenses consisted of $5.7 million in preclinical and development expenses, including a credit of $1.6 million representing costs to be reimbursed to us from Takeda in respect of the Takeda</w:t>
      </w:r>
      <w:r>
        <w:rPr>
          <w:color w:val="000000"/>
          <w:sz w:val="20"/>
          <w:szCs w:val="20"/>
        </w:rPr>
        <w:t xml:space="preserve"> collaboration, $2.4 million in payroll and payroll-related expenses, of which $0.5 million related to stock-based compensation, and $0.9 million in other expenses</w:t>
      </w:r>
      <w:r>
        <w:rPr>
          <w:color w:val="000000"/>
          <w:sz w:val="20"/>
          <w:szCs w:val="20"/>
          <w:shd w:val="clear" w:color="auto" w:fill="FFFFFF"/>
        </w:rPr>
        <w:t xml:space="preserve">. </w:t>
      </w:r>
      <w:r>
        <w:rPr>
          <w:color w:val="000000"/>
          <w:sz w:val="20"/>
          <w:szCs w:val="20"/>
        </w:rPr>
        <w:t>During the three months ended June 30, 2018, total research and development expenses consis</w:t>
      </w:r>
      <w:r>
        <w:rPr>
          <w:color w:val="000000"/>
          <w:sz w:val="20"/>
          <w:szCs w:val="20"/>
        </w:rPr>
        <w:t>ted of $4.8 million in preclinical and development expenses, of which $0.3 million represents amounts reimbursable to Takeda in respect of the Takeda collaboration, $2.8 million in payroll and payroll-related expenses, of which $0.8 million related to stoc</w:t>
      </w:r>
      <w:r>
        <w:rPr>
          <w:color w:val="000000"/>
          <w:sz w:val="20"/>
          <w:szCs w:val="20"/>
        </w:rPr>
        <w:t>k-based compensation, and $0.5 million in other expenses.</w:t>
      </w:r>
    </w:p>
    <w:p w:rsidR="00000000" w:rsidRDefault="00D33C21">
      <w:pPr>
        <w:pStyle w:val="a3"/>
        <w:spacing w:before="360" w:beforeAutospacing="0" w:after="0" w:afterAutospacing="0"/>
        <w:jc w:val="both"/>
        <w:rPr>
          <w:b/>
          <w:bCs/>
          <w:i/>
          <w:iCs/>
          <w:sz w:val="20"/>
          <w:szCs w:val="20"/>
        </w:rPr>
      </w:pPr>
      <w:r>
        <w:rPr>
          <w:b/>
          <w:bCs/>
          <w:i/>
          <w:iCs/>
          <w:sz w:val="20"/>
          <w:szCs w:val="20"/>
        </w:rPr>
        <w:t xml:space="preserve">General and Administrative Expenses </w:t>
      </w:r>
    </w:p>
    <w:p w:rsidR="00000000" w:rsidRDefault="00D33C21">
      <w:pPr>
        <w:pStyle w:val="a3"/>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272"/>
        <w:gridCol w:w="65"/>
        <w:gridCol w:w="116"/>
        <w:gridCol w:w="884"/>
        <w:gridCol w:w="65"/>
        <w:gridCol w:w="65"/>
        <w:gridCol w:w="116"/>
        <w:gridCol w:w="867"/>
        <w:gridCol w:w="65"/>
        <w:gridCol w:w="65"/>
        <w:gridCol w:w="116"/>
        <w:gridCol w:w="867"/>
        <w:gridCol w:w="82"/>
      </w:tblGrid>
      <w:tr w:rsidR="00000000">
        <w:trPr>
          <w:divId w:val="126754126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6"/>
                <w:szCs w:val="16"/>
              </w:rPr>
            </w:pPr>
            <w:r>
              <w:rPr>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000000">
        <w:trPr>
          <w:divId w:val="126754126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26754126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26754126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415" w:type="pct"/>
            <w:gridSpan w:val="10"/>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267541268"/>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Payroll and payroll-related expenses</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2,262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2,759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(497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26754126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Legal and professional fees</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1,127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(473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267541268"/>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General office expenses</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817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734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6754126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Total general and administrative</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4,205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5,093</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(888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bl>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center"/>
        <w:rPr>
          <w:sz w:val="20"/>
          <w:szCs w:val="20"/>
        </w:rPr>
      </w:pPr>
      <w:r>
        <w:rPr>
          <w:sz w:val="20"/>
          <w:szCs w:val="20"/>
        </w:rPr>
        <w:t>21</w:t>
      </w:r>
    </w:p>
    <w:p w:rsidR="00000000" w:rsidRDefault="00D33C21">
      <w:pPr>
        <w:rPr>
          <w:rFonts w:eastAsia="Times New Roman"/>
        </w:rPr>
      </w:pPr>
      <w:r>
        <w:rPr>
          <w:rFonts w:eastAsia="Times New Roman"/>
        </w:rPr>
        <w:pict>
          <v:rect id="_x0000_i1046"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40" w:beforeAutospacing="0" w:after="0" w:afterAutospacing="0"/>
        <w:ind w:firstLine="556"/>
        <w:jc w:val="both"/>
        <w:rPr>
          <w:sz w:val="20"/>
          <w:szCs w:val="20"/>
        </w:rPr>
      </w:pPr>
      <w:bookmarkStart w:id="37" w:name="_AEIOULastRenderedPageBreakAEIOU21"/>
      <w:bookmarkEnd w:id="37"/>
      <w:r>
        <w:rPr>
          <w:sz w:val="20"/>
          <w:szCs w:val="20"/>
        </w:rPr>
        <w:t>General and administrative expenses were $4.2 million for the three months</w:t>
      </w:r>
      <w:r>
        <w:rPr>
          <w:sz w:val="20"/>
          <w:szCs w:val="20"/>
        </w:rPr>
        <w:t xml:space="preserve"> ended June 30, 2019 compared to $5.1 million for the three months ended June 30, 2018. The decrease of $0.9 million was primarily due to a decrease in payroll and payroll-related expenses of $0.5 million and a decrease in legal and professional fees of $0</w:t>
      </w:r>
      <w:r>
        <w:rPr>
          <w:sz w:val="20"/>
          <w:szCs w:val="20"/>
        </w:rPr>
        <w:t>.5 million offset by an increase in general office expenses of $0.1 million.</w:t>
      </w:r>
    </w:p>
    <w:p w:rsidR="00000000" w:rsidRDefault="00D33C21">
      <w:pPr>
        <w:pStyle w:val="a3"/>
        <w:spacing w:before="360" w:beforeAutospacing="0" w:after="0" w:afterAutospacing="0"/>
        <w:ind w:left="238"/>
        <w:rPr>
          <w:b/>
          <w:bCs/>
          <w:i/>
          <w:iCs/>
          <w:sz w:val="20"/>
          <w:szCs w:val="20"/>
        </w:rPr>
      </w:pPr>
      <w:r>
        <w:rPr>
          <w:b/>
          <w:bCs/>
          <w:i/>
          <w:iCs/>
          <w:sz w:val="20"/>
          <w:szCs w:val="20"/>
        </w:rPr>
        <w:t xml:space="preserve">Interest Income </w:t>
      </w:r>
    </w:p>
    <w:p w:rsidR="00000000" w:rsidRDefault="00D33C21">
      <w:pPr>
        <w:pStyle w:val="a3"/>
        <w:spacing w:before="120" w:beforeAutospacing="0" w:after="0" w:afterAutospacing="0"/>
        <w:ind w:firstLine="556"/>
        <w:jc w:val="both"/>
        <w:rPr>
          <w:sz w:val="20"/>
          <w:szCs w:val="20"/>
        </w:rPr>
      </w:pPr>
      <w:r>
        <w:rPr>
          <w:sz w:val="20"/>
          <w:szCs w:val="20"/>
        </w:rPr>
        <w:t>Interest income was $0.3 million for the three months ended June 30, 2019 and 2018.</w:t>
      </w:r>
    </w:p>
    <w:p w:rsidR="00000000" w:rsidRDefault="00D33C21">
      <w:pPr>
        <w:pStyle w:val="a3"/>
        <w:spacing w:before="360" w:beforeAutospacing="0" w:after="0" w:afterAutospacing="0"/>
        <w:rPr>
          <w:b/>
          <w:bCs/>
          <w:sz w:val="20"/>
          <w:szCs w:val="20"/>
        </w:rPr>
      </w:pPr>
      <w:r>
        <w:rPr>
          <w:b/>
          <w:bCs/>
          <w:sz w:val="20"/>
          <w:szCs w:val="20"/>
        </w:rPr>
        <w:t xml:space="preserve">Results of Operations </w:t>
      </w:r>
    </w:p>
    <w:p w:rsidR="00000000" w:rsidRDefault="00D33C21">
      <w:pPr>
        <w:pStyle w:val="a3"/>
        <w:spacing w:before="120" w:beforeAutospacing="0" w:after="0" w:afterAutospacing="0"/>
        <w:ind w:left="238"/>
        <w:rPr>
          <w:b/>
          <w:bCs/>
          <w:i/>
          <w:iCs/>
          <w:sz w:val="20"/>
          <w:szCs w:val="20"/>
        </w:rPr>
      </w:pPr>
      <w:r>
        <w:rPr>
          <w:b/>
          <w:bCs/>
          <w:i/>
          <w:iCs/>
          <w:sz w:val="20"/>
          <w:szCs w:val="20"/>
        </w:rPr>
        <w:t>Comparison of the Six Months Ended June 30, 2019 and 20</w:t>
      </w:r>
      <w:r>
        <w:rPr>
          <w:b/>
          <w:bCs/>
          <w:i/>
          <w:iCs/>
          <w:sz w:val="20"/>
          <w:szCs w:val="20"/>
        </w:rPr>
        <w:t>18</w:t>
      </w:r>
    </w:p>
    <w:p w:rsidR="00000000" w:rsidRDefault="00D33C21">
      <w:pPr>
        <w:pStyle w:val="a3"/>
        <w:spacing w:before="120" w:beforeAutospacing="0" w:after="0" w:afterAutospacing="0"/>
        <w:ind w:firstLine="556"/>
        <w:jc w:val="both"/>
        <w:rPr>
          <w:sz w:val="20"/>
          <w:szCs w:val="20"/>
        </w:rPr>
      </w:pPr>
      <w:r>
        <w:rPr>
          <w:sz w:val="20"/>
          <w:szCs w:val="20"/>
        </w:rPr>
        <w:t>The following table summarizes the results of our operations for the periods indicated:</w:t>
      </w:r>
    </w:p>
    <w:p w:rsidR="00000000" w:rsidRDefault="00D33C21">
      <w:pPr>
        <w:pStyle w:val="a3"/>
        <w:spacing w:before="120" w:beforeAutospacing="0" w:after="0" w:afterAutospacing="0"/>
        <w:ind w:firstLine="556"/>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01"/>
        <w:gridCol w:w="85"/>
        <w:gridCol w:w="115"/>
        <w:gridCol w:w="1124"/>
        <w:gridCol w:w="82"/>
        <w:gridCol w:w="77"/>
        <w:gridCol w:w="115"/>
        <w:gridCol w:w="1125"/>
        <w:gridCol w:w="82"/>
        <w:gridCol w:w="78"/>
        <w:gridCol w:w="115"/>
        <w:gridCol w:w="1125"/>
        <w:gridCol w:w="82"/>
      </w:tblGrid>
      <w:tr w:rsidR="00000000">
        <w:trPr>
          <w:divId w:val="161331878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000000">
        <w:trPr>
          <w:divId w:val="161331878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61331878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61331878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415" w:type="pct"/>
            <w:gridSpan w:val="10"/>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613318780"/>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Research and development</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18,455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16,591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1,864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61331878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General and administrative</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8,921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10,049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(1,128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613318780"/>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Total operating expenses</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27,376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26,640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736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61331878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Loss from operations</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(27,376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(26,640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(736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613318780"/>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Interest income</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518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522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613318780"/>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Net loss</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(26,858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(26,118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(740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bl>
    <w:p w:rsidR="00000000" w:rsidRDefault="00D33C21">
      <w:pPr>
        <w:pStyle w:val="a3"/>
        <w:spacing w:before="160" w:beforeAutospacing="0" w:after="0" w:afterAutospacing="0"/>
        <w:ind w:left="238"/>
        <w:rPr>
          <w:b/>
          <w:bCs/>
          <w:i/>
          <w:iCs/>
          <w:sz w:val="20"/>
          <w:szCs w:val="20"/>
        </w:rPr>
      </w:pPr>
      <w:r>
        <w:rPr>
          <w:b/>
          <w:bCs/>
          <w:i/>
          <w:iCs/>
          <w:sz w:val="20"/>
          <w:szCs w:val="20"/>
        </w:rPr>
        <w:t xml:space="preserve">Research and Development Expenses </w:t>
      </w:r>
    </w:p>
    <w:tbl>
      <w:tblPr>
        <w:tblW w:w="5000" w:type="pct"/>
        <w:jc w:val="center"/>
        <w:tblCellMar>
          <w:left w:w="0" w:type="dxa"/>
          <w:right w:w="0" w:type="dxa"/>
        </w:tblCellMar>
        <w:tblLook w:val="04A0" w:firstRow="1" w:lastRow="0" w:firstColumn="1" w:lastColumn="0" w:noHBand="0" w:noVBand="1"/>
      </w:tblPr>
      <w:tblGrid>
        <w:gridCol w:w="4103"/>
        <w:gridCol w:w="86"/>
        <w:gridCol w:w="115"/>
        <w:gridCol w:w="1125"/>
        <w:gridCol w:w="73"/>
        <w:gridCol w:w="87"/>
        <w:gridCol w:w="115"/>
        <w:gridCol w:w="1126"/>
        <w:gridCol w:w="74"/>
        <w:gridCol w:w="87"/>
        <w:gridCol w:w="115"/>
        <w:gridCol w:w="1126"/>
        <w:gridCol w:w="74"/>
      </w:tblGrid>
      <w:tr w:rsidR="00000000">
        <w:trPr>
          <w:divId w:val="13800586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000000">
        <w:trPr>
          <w:divId w:val="13800586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3800586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3800586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415" w:type="pct"/>
            <w:gridSpan w:val="10"/>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3800586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Preclinical and development expense</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10,734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10,238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496</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380058609"/>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Payroll and payroll-related expenses</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5,770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5,592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178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380058609"/>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Other expenses</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1,951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761</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1,190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380058609"/>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Total research and development</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18,455</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16,591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1,864</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
                <w:szCs w:val="2"/>
              </w:rPr>
            </w:pPr>
            <w:r>
              <w:rPr>
                <w:color w:val="000000"/>
                <w:sz w:val="2"/>
                <w:szCs w:val="2"/>
              </w:rPr>
              <w:t> </w:t>
            </w:r>
          </w:p>
        </w:tc>
      </w:tr>
    </w:tbl>
    <w:p w:rsidR="00000000" w:rsidRDefault="00D33C21">
      <w:pPr>
        <w:pStyle w:val="a3"/>
        <w:spacing w:before="40" w:beforeAutospacing="0" w:after="0" w:afterAutospacing="0"/>
        <w:ind w:firstLine="556"/>
        <w:jc w:val="both"/>
        <w:rPr>
          <w:sz w:val="20"/>
          <w:szCs w:val="20"/>
        </w:rPr>
      </w:pPr>
      <w:r>
        <w:rPr>
          <w:sz w:val="20"/>
          <w:szCs w:val="20"/>
        </w:rPr>
        <w:t> </w:t>
      </w:r>
    </w:p>
    <w:p w:rsidR="00000000" w:rsidRDefault="00D33C21">
      <w:pPr>
        <w:pStyle w:val="a3"/>
        <w:spacing w:before="40" w:beforeAutospacing="0" w:after="0" w:afterAutospacing="0"/>
        <w:ind w:firstLine="556"/>
        <w:jc w:val="both"/>
        <w:rPr>
          <w:sz w:val="20"/>
          <w:szCs w:val="20"/>
        </w:rPr>
      </w:pPr>
      <w:r>
        <w:rPr>
          <w:sz w:val="20"/>
          <w:szCs w:val="20"/>
        </w:rPr>
        <w:t xml:space="preserve">Research and development expenses were $18.5 million for the six months ended June 30, 2019 compared to $16.6 million for the six months ended June 30, 2018. The </w:t>
      </w:r>
      <w:r>
        <w:rPr>
          <w:color w:val="000000"/>
          <w:sz w:val="20"/>
          <w:szCs w:val="20"/>
        </w:rPr>
        <w:t>increase of $1.9 million included an increase in preclinical and development expenses and payr</w:t>
      </w:r>
      <w:r>
        <w:rPr>
          <w:color w:val="000000"/>
          <w:sz w:val="20"/>
          <w:szCs w:val="20"/>
        </w:rPr>
        <w:t>oll and payroll-related expenses for the clinical studies of OV101 and our Takeda collaboration expenses related to OV935.</w:t>
      </w:r>
      <w:r>
        <w:rPr>
          <w:sz w:val="20"/>
          <w:szCs w:val="20"/>
        </w:rPr>
        <w:t xml:space="preserve"> </w:t>
      </w:r>
      <w:r>
        <w:rPr>
          <w:color w:val="000000"/>
          <w:sz w:val="20"/>
          <w:szCs w:val="20"/>
        </w:rPr>
        <w:t>During the six months ended June 30, 2019, total research and development expenses consisted of $10.7 million in preclinical and deve</w:t>
      </w:r>
      <w:r>
        <w:rPr>
          <w:color w:val="000000"/>
          <w:sz w:val="20"/>
          <w:szCs w:val="20"/>
        </w:rPr>
        <w:t>lopment expenses, including a credit of $2.9 million representing costs to be reimbursed to us from Takeda in respect of the Takeda collaboration, $5.8 million in payroll and payroll-related expenses, of which $1.3 million related to stock-based compensati</w:t>
      </w:r>
      <w:r>
        <w:rPr>
          <w:color w:val="000000"/>
          <w:sz w:val="20"/>
          <w:szCs w:val="20"/>
        </w:rPr>
        <w:t>on, and $2.0 million in other expenses</w:t>
      </w:r>
      <w:r>
        <w:rPr>
          <w:color w:val="000000"/>
          <w:sz w:val="20"/>
          <w:szCs w:val="20"/>
          <w:shd w:val="clear" w:color="auto" w:fill="FFFFFF"/>
        </w:rPr>
        <w:t xml:space="preserve">. </w:t>
      </w:r>
      <w:r>
        <w:rPr>
          <w:color w:val="000000"/>
          <w:sz w:val="20"/>
          <w:szCs w:val="20"/>
        </w:rPr>
        <w:t>During the six months ended June 30, 2018, total research and development expenses consisted of $10.2 million in preclinical and development expenses, of which $0.4 million representing amounts reimbursed to Takeda a</w:t>
      </w:r>
      <w:r>
        <w:rPr>
          <w:color w:val="000000"/>
          <w:sz w:val="20"/>
          <w:szCs w:val="20"/>
        </w:rPr>
        <w:t>nd a credit of $0.3 million representing costs reimbursed to the Company from Takeda in respect of the Takeda collaboration, $5.6 million in payroll and payroll-related expenses, of which $1.5 million related to stock-based compensation, and $0.8 million i</w:t>
      </w:r>
      <w:r>
        <w:rPr>
          <w:color w:val="000000"/>
          <w:sz w:val="20"/>
          <w:szCs w:val="20"/>
        </w:rPr>
        <w:t>n other expenses.</w:t>
      </w:r>
    </w:p>
    <w:p w:rsidR="00000000" w:rsidRDefault="00D33C21">
      <w:pPr>
        <w:pStyle w:val="a3"/>
        <w:spacing w:before="360" w:beforeAutospacing="0" w:after="0" w:afterAutospacing="0"/>
        <w:jc w:val="both"/>
        <w:rPr>
          <w:b/>
          <w:bCs/>
          <w:i/>
          <w:iCs/>
          <w:sz w:val="20"/>
          <w:szCs w:val="20"/>
        </w:rPr>
      </w:pPr>
      <w:r>
        <w:rPr>
          <w:b/>
          <w:bCs/>
          <w:i/>
          <w:iCs/>
          <w:sz w:val="20"/>
          <w:szCs w:val="20"/>
        </w:rPr>
        <w:t xml:space="preserve">General and Administrative Expenses </w:t>
      </w:r>
    </w:p>
    <w:tbl>
      <w:tblPr>
        <w:tblW w:w="5000" w:type="pct"/>
        <w:jc w:val="center"/>
        <w:tblCellMar>
          <w:left w:w="0" w:type="dxa"/>
          <w:right w:w="0" w:type="dxa"/>
        </w:tblCellMar>
        <w:tblLook w:val="04A0" w:firstRow="1" w:lastRow="0" w:firstColumn="1" w:lastColumn="0" w:noHBand="0" w:noVBand="1"/>
      </w:tblPr>
      <w:tblGrid>
        <w:gridCol w:w="4102"/>
        <w:gridCol w:w="85"/>
        <w:gridCol w:w="116"/>
        <w:gridCol w:w="1124"/>
        <w:gridCol w:w="72"/>
        <w:gridCol w:w="85"/>
        <w:gridCol w:w="115"/>
        <w:gridCol w:w="1125"/>
        <w:gridCol w:w="73"/>
        <w:gridCol w:w="86"/>
        <w:gridCol w:w="115"/>
        <w:gridCol w:w="1126"/>
        <w:gridCol w:w="82"/>
      </w:tblGrid>
      <w:tr w:rsidR="00000000">
        <w:trPr>
          <w:divId w:val="118563610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r>
      <w:tr w:rsidR="00000000">
        <w:trPr>
          <w:divId w:val="118563610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18563610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18563610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2415" w:type="pct"/>
            <w:gridSpan w:val="10"/>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18563610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Payroll and payroll-related expenses</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5,278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5,545</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(267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185636108"/>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Legal and professional fees</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2,213</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3,132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(919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185636108"/>
          <w:jc w:val="center"/>
        </w:trPr>
        <w:tc>
          <w:tcPr>
            <w:tcW w:w="2476"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General office expenses</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1,430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1,372</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58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185636108"/>
          <w:jc w:val="center"/>
        </w:trPr>
        <w:tc>
          <w:tcPr>
            <w:tcW w:w="2476"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Total general and administrative</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8,921</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10,049</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(1,128</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bl>
    <w:p w:rsidR="00000000" w:rsidRDefault="00D33C21">
      <w:pPr>
        <w:pStyle w:val="a3"/>
        <w:spacing w:before="40" w:beforeAutospacing="0" w:after="0" w:afterAutospacing="0"/>
        <w:ind w:firstLine="556"/>
        <w:jc w:val="both"/>
        <w:rPr>
          <w:sz w:val="20"/>
          <w:szCs w:val="20"/>
        </w:rPr>
      </w:pPr>
      <w:r>
        <w:rPr>
          <w:sz w:val="20"/>
          <w:szCs w:val="20"/>
        </w:rPr>
        <w:t> </w:t>
      </w:r>
    </w:p>
    <w:p w:rsidR="00000000" w:rsidRDefault="00D33C21">
      <w:pPr>
        <w:pStyle w:val="a3"/>
        <w:spacing w:before="240" w:beforeAutospacing="0" w:after="0" w:afterAutospacing="0"/>
        <w:jc w:val="center"/>
        <w:rPr>
          <w:sz w:val="20"/>
          <w:szCs w:val="20"/>
        </w:rPr>
      </w:pPr>
      <w:r>
        <w:rPr>
          <w:sz w:val="20"/>
          <w:szCs w:val="20"/>
        </w:rPr>
        <w:t>22</w:t>
      </w:r>
    </w:p>
    <w:p w:rsidR="00000000" w:rsidRDefault="00D33C21">
      <w:pPr>
        <w:rPr>
          <w:rFonts w:eastAsia="Times New Roman"/>
        </w:rPr>
      </w:pPr>
      <w:r>
        <w:rPr>
          <w:rFonts w:eastAsia="Times New Roman"/>
        </w:rPr>
        <w:pict>
          <v:rect id="_x0000_i1047"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40" w:beforeAutospacing="0" w:after="0" w:afterAutospacing="0"/>
        <w:ind w:firstLine="556"/>
        <w:jc w:val="both"/>
        <w:rPr>
          <w:sz w:val="20"/>
          <w:szCs w:val="20"/>
        </w:rPr>
      </w:pPr>
      <w:bookmarkStart w:id="38" w:name="_AEIOULastRenderedPageBreakAEIOU22"/>
      <w:bookmarkEnd w:id="38"/>
      <w:r>
        <w:rPr>
          <w:sz w:val="20"/>
          <w:szCs w:val="20"/>
        </w:rPr>
        <w:t>General and administrative expenses were $8.9 million for the six months e</w:t>
      </w:r>
      <w:r>
        <w:rPr>
          <w:sz w:val="20"/>
          <w:szCs w:val="20"/>
        </w:rPr>
        <w:t xml:space="preserve">nded June 30, 2019 compared to $10.0 million for the six months ended June 30, 2018. The decrease of $1.1 million was primarily due to a decrease in payroll and payroll-related expenses of $0.3 million and a $0.9 million decrease in legal and professional </w:t>
      </w:r>
      <w:r>
        <w:rPr>
          <w:sz w:val="20"/>
          <w:szCs w:val="20"/>
        </w:rPr>
        <w:t>fees.</w:t>
      </w:r>
    </w:p>
    <w:p w:rsidR="00000000" w:rsidRDefault="00D33C21">
      <w:pPr>
        <w:pStyle w:val="a3"/>
        <w:spacing w:before="360" w:beforeAutospacing="0" w:after="0" w:afterAutospacing="0"/>
        <w:ind w:left="238"/>
        <w:rPr>
          <w:b/>
          <w:bCs/>
          <w:i/>
          <w:iCs/>
          <w:sz w:val="20"/>
          <w:szCs w:val="20"/>
        </w:rPr>
      </w:pPr>
      <w:r>
        <w:rPr>
          <w:b/>
          <w:bCs/>
          <w:i/>
          <w:iCs/>
          <w:sz w:val="20"/>
          <w:szCs w:val="20"/>
        </w:rPr>
        <w:t xml:space="preserve">Interest Income </w:t>
      </w:r>
    </w:p>
    <w:p w:rsidR="00000000" w:rsidRDefault="00D33C21">
      <w:pPr>
        <w:pStyle w:val="a3"/>
        <w:spacing w:before="120" w:beforeAutospacing="0" w:after="0" w:afterAutospacing="0"/>
        <w:ind w:firstLine="556"/>
        <w:jc w:val="both"/>
        <w:rPr>
          <w:sz w:val="20"/>
          <w:szCs w:val="20"/>
        </w:rPr>
      </w:pPr>
      <w:r>
        <w:rPr>
          <w:sz w:val="20"/>
          <w:szCs w:val="20"/>
        </w:rPr>
        <w:t>Interest income was $0.5 million for the six months ended June 30, 2019 and 2018.</w:t>
      </w:r>
    </w:p>
    <w:p w:rsidR="00000000" w:rsidRDefault="00D33C21">
      <w:pPr>
        <w:pStyle w:val="a3"/>
        <w:spacing w:before="360" w:beforeAutospacing="0" w:after="0" w:afterAutospacing="0"/>
        <w:rPr>
          <w:b/>
          <w:bCs/>
          <w:sz w:val="20"/>
          <w:szCs w:val="20"/>
        </w:rPr>
      </w:pPr>
      <w:r>
        <w:rPr>
          <w:b/>
          <w:bCs/>
          <w:sz w:val="20"/>
          <w:szCs w:val="20"/>
        </w:rPr>
        <w:t xml:space="preserve">Liquidity and Capital Resources </w:t>
      </w:r>
    </w:p>
    <w:p w:rsidR="00000000" w:rsidRDefault="00D33C21">
      <w:pPr>
        <w:pStyle w:val="a3"/>
        <w:spacing w:before="120" w:beforeAutospacing="0" w:after="0" w:afterAutospacing="0"/>
        <w:ind w:left="238"/>
        <w:rPr>
          <w:b/>
          <w:bCs/>
          <w:i/>
          <w:iCs/>
          <w:sz w:val="20"/>
          <w:szCs w:val="20"/>
        </w:rPr>
      </w:pPr>
      <w:r>
        <w:rPr>
          <w:b/>
          <w:bCs/>
          <w:i/>
          <w:iCs/>
          <w:sz w:val="20"/>
          <w:szCs w:val="20"/>
        </w:rPr>
        <w:t xml:space="preserve">Overview </w:t>
      </w:r>
    </w:p>
    <w:p w:rsidR="00000000" w:rsidRDefault="00D33C21">
      <w:pPr>
        <w:pStyle w:val="a3"/>
        <w:shd w:val="clear" w:color="auto" w:fill="FFFFFF"/>
        <w:spacing w:before="120" w:beforeAutospacing="0" w:after="0" w:afterAutospacing="0"/>
        <w:ind w:firstLine="556"/>
        <w:jc w:val="both"/>
        <w:rPr>
          <w:color w:val="000000"/>
          <w:sz w:val="20"/>
          <w:szCs w:val="20"/>
        </w:rPr>
      </w:pPr>
      <w:r>
        <w:rPr>
          <w:color w:val="000000"/>
          <w:sz w:val="20"/>
          <w:szCs w:val="20"/>
        </w:rPr>
        <w:t>As of June </w:t>
      </w:r>
      <w:r>
        <w:rPr>
          <w:color w:val="000000"/>
          <w:sz w:val="20"/>
          <w:szCs w:val="20"/>
        </w:rPr>
        <w:t>30, 2019, we had total cash and cash equivalents of $47.4 million as compared to $41.5 million of cash, cash equivalent and short-term investments as of December 31, 2018. The $5.9 million increase in total cash, cash equivalents, and short-term investment</w:t>
      </w:r>
      <w:r>
        <w:rPr>
          <w:color w:val="000000"/>
          <w:sz w:val="20"/>
          <w:szCs w:val="20"/>
        </w:rPr>
        <w:t>s was due primarily to the sale in February 2019 of 13,993,778 shares of common stock and 2,500 shares of Series A Convertible Preferred Stock at a public offering price of $2.00 and $2,000 per share, respectively, for gross proceeds of $33.0 million and n</w:t>
      </w:r>
      <w:r>
        <w:rPr>
          <w:color w:val="000000"/>
          <w:sz w:val="20"/>
          <w:szCs w:val="20"/>
        </w:rPr>
        <w:t>et proceeds of $30.5 million, after deducting underwriting discounts and commission and other offering expenses payable by us. Cash in excess of immediate requirements is invested in accordance with our investment policy, primarily with a view to liquidity</w:t>
      </w:r>
      <w:r>
        <w:rPr>
          <w:color w:val="000000"/>
          <w:sz w:val="20"/>
          <w:szCs w:val="20"/>
        </w:rPr>
        <w:t xml:space="preserve"> and capital preservation. Currently, our funds are held in cash and money market bank accounts.</w:t>
      </w:r>
      <w:r>
        <w:rPr>
          <w:color w:val="000000"/>
          <w:sz w:val="20"/>
          <w:szCs w:val="20"/>
          <w:shd w:val="clear" w:color="auto" w:fill="FFFFFF"/>
        </w:rPr>
        <w:t xml:space="preserve"> </w:t>
      </w:r>
    </w:p>
    <w:p w:rsidR="00000000" w:rsidRDefault="00D33C21">
      <w:pPr>
        <w:pStyle w:val="a3"/>
        <w:shd w:val="clear" w:color="auto" w:fill="FFFFFF"/>
        <w:spacing w:before="240" w:beforeAutospacing="0" w:after="0" w:afterAutospacing="0"/>
        <w:ind w:firstLine="556"/>
        <w:jc w:val="both"/>
        <w:rPr>
          <w:color w:val="000000"/>
          <w:sz w:val="20"/>
          <w:szCs w:val="20"/>
        </w:rPr>
      </w:pPr>
      <w:r>
        <w:rPr>
          <w:color w:val="000000"/>
          <w:sz w:val="20"/>
          <w:szCs w:val="20"/>
        </w:rPr>
        <w:t>Similar to other development stage biotechnology companies, we have not generated any revenue since inception.  We have incurred losses and experienced negative operating cash flows since our inception and anticipate that we will continue to incur losses f</w:t>
      </w:r>
      <w:r>
        <w:rPr>
          <w:color w:val="000000"/>
          <w:sz w:val="20"/>
          <w:szCs w:val="20"/>
        </w:rPr>
        <w:t>or at least the next several years. We incurred net losses of approximately $26.9 million and $26.1 million for the six months ended June 30, 2019 and 2018, respectively. These losses are expected to continue for an extended period of time.  As of June 30,</w:t>
      </w:r>
      <w:r>
        <w:rPr>
          <w:color w:val="000000"/>
          <w:sz w:val="20"/>
          <w:szCs w:val="20"/>
        </w:rPr>
        <w:t xml:space="preserve"> 2019, we had an accumulated deficit of approximately $179.6 million and working capital of $44.4 million. </w:t>
      </w:r>
    </w:p>
    <w:p w:rsidR="00000000" w:rsidRDefault="00D33C21">
      <w:pPr>
        <w:pStyle w:val="a3"/>
        <w:shd w:val="clear" w:color="auto" w:fill="FFFFFF"/>
        <w:spacing w:before="240" w:beforeAutospacing="0" w:after="0" w:afterAutospacing="0"/>
        <w:ind w:firstLine="556"/>
        <w:jc w:val="both"/>
        <w:rPr>
          <w:color w:val="000000"/>
          <w:sz w:val="20"/>
          <w:szCs w:val="20"/>
        </w:rPr>
      </w:pPr>
      <w:r>
        <w:rPr>
          <w:color w:val="000000"/>
          <w:sz w:val="20"/>
          <w:szCs w:val="20"/>
        </w:rPr>
        <w:t>Management has evaluated whether there is substantial doubt about our ability to continue as a going concern and has determined that substantial dou</w:t>
      </w:r>
      <w:r>
        <w:rPr>
          <w:color w:val="000000"/>
          <w:sz w:val="20"/>
          <w:szCs w:val="20"/>
        </w:rPr>
        <w:t xml:space="preserve">bt existed as of the date of this filing. This determination was based on the following factors: (i) our available cash as of the date of this filing will not be sufficient to fund our anticipated level of operations for the next 12 months from the filing </w:t>
      </w:r>
      <w:r>
        <w:rPr>
          <w:color w:val="000000"/>
          <w:sz w:val="20"/>
          <w:szCs w:val="20"/>
        </w:rPr>
        <w:t xml:space="preserve">of this quarterly report; (ii) we may not identify commercial partners to support development of our product candidates; and (iii) if we are unable to raise additional capital in sufficient amounts or on terms acceptable to us we may have to significantly </w:t>
      </w:r>
      <w:r>
        <w:rPr>
          <w:color w:val="000000"/>
          <w:sz w:val="20"/>
          <w:szCs w:val="20"/>
        </w:rPr>
        <w:t>delay, scale back or discontinue our research and development programs or future commercialization efforts. In the opinion of management, these factors, among others, raise substantial doubt about our ability to continue as a going concern.</w:t>
      </w:r>
    </w:p>
    <w:p w:rsidR="00000000" w:rsidRDefault="00D33C21">
      <w:pPr>
        <w:pStyle w:val="a3"/>
        <w:shd w:val="clear" w:color="auto" w:fill="FFFFFF"/>
        <w:spacing w:before="240" w:beforeAutospacing="0" w:after="0" w:afterAutospacing="0"/>
        <w:ind w:firstLine="630"/>
        <w:jc w:val="both"/>
        <w:rPr>
          <w:color w:val="000000"/>
          <w:sz w:val="20"/>
          <w:szCs w:val="20"/>
        </w:rPr>
      </w:pPr>
      <w:r>
        <w:rPr>
          <w:color w:val="000000"/>
          <w:sz w:val="20"/>
          <w:szCs w:val="20"/>
        </w:rPr>
        <w:t>We plan to fina</w:t>
      </w:r>
      <w:r>
        <w:rPr>
          <w:color w:val="000000"/>
          <w:sz w:val="20"/>
          <w:szCs w:val="20"/>
        </w:rPr>
        <w:t>nce our cash needs through either equity offerings, debt financings, collaborations, strategic alliances, or licensing agreements or a combination of any such transactions. To the extent that we raise additional capital through future equity offerings or d</w:t>
      </w:r>
      <w:r>
        <w:rPr>
          <w:color w:val="000000"/>
          <w:sz w:val="20"/>
          <w:szCs w:val="20"/>
        </w:rPr>
        <w:t>ebt financings, ownership interests may be diluted, and the terms of these securities may include liquidation or other preferences that adversely affect your rights as a common stockholder. Debt and equity financings, if available, may involve agreements t</w:t>
      </w:r>
      <w:r>
        <w:rPr>
          <w:color w:val="000000"/>
          <w:sz w:val="20"/>
          <w:szCs w:val="20"/>
        </w:rPr>
        <w:t>hat include covenants limiting or restricting our ability to take specific actions, such as incurring additional debt, making capital expenditures or declaring dividends. There can be no assurance that such financings will be obtained on terms acceptable t</w:t>
      </w:r>
      <w:r>
        <w:rPr>
          <w:color w:val="000000"/>
          <w:sz w:val="20"/>
          <w:szCs w:val="20"/>
        </w:rPr>
        <w:t>o us, if at all. If we raise additional funds through collaborations, strategic alliances or licensing agreements with third parties for one or more of our current or future drug candidates, we may be required to relinquish valuable rights to our technolog</w:t>
      </w:r>
      <w:r>
        <w:rPr>
          <w:color w:val="000000"/>
          <w:sz w:val="20"/>
          <w:szCs w:val="20"/>
        </w:rPr>
        <w:t>ies, future revenue streams, research programs or drug candidates or to grant licenses on terms that may not be favorable to us. Our failure to raise capital as and when needed would have a material adverse effect on our financial condition and our ability</w:t>
      </w:r>
      <w:r>
        <w:rPr>
          <w:color w:val="000000"/>
          <w:sz w:val="20"/>
          <w:szCs w:val="20"/>
        </w:rPr>
        <w:t xml:space="preserve"> to pursue our business strategy.</w:t>
      </w:r>
    </w:p>
    <w:p w:rsidR="00000000" w:rsidRDefault="00D33C21">
      <w:pPr>
        <w:pStyle w:val="a3"/>
        <w:spacing w:before="360" w:beforeAutospacing="0" w:after="0" w:afterAutospacing="0"/>
        <w:ind w:left="238"/>
        <w:rPr>
          <w:b/>
          <w:bCs/>
          <w:i/>
          <w:iCs/>
          <w:sz w:val="20"/>
          <w:szCs w:val="20"/>
        </w:rPr>
      </w:pPr>
      <w:bookmarkStart w:id="39" w:name="_AEIOULastRenderedPageBreakAEIOU25"/>
      <w:r>
        <w:rPr>
          <w:b/>
          <w:bCs/>
          <w:i/>
          <w:iCs/>
          <w:sz w:val="20"/>
          <w:szCs w:val="20"/>
        </w:rPr>
        <w:t xml:space="preserve">Cash Flows </w:t>
      </w:r>
    </w:p>
    <w:p w:rsidR="00000000" w:rsidRDefault="00D33C21">
      <w:pPr>
        <w:pStyle w:val="a3"/>
        <w:spacing w:before="120" w:beforeAutospacing="0" w:after="0" w:afterAutospacing="0"/>
        <w:ind w:firstLine="556"/>
        <w:jc w:val="both"/>
        <w:rPr>
          <w:sz w:val="20"/>
          <w:szCs w:val="20"/>
        </w:rPr>
      </w:pPr>
      <w:r>
        <w:rPr>
          <w:sz w:val="20"/>
          <w:szCs w:val="20"/>
        </w:rPr>
        <w:t>The following table summarizes our cash flows for the periods indicated:</w:t>
      </w:r>
    </w:p>
    <w:p w:rsidR="00000000" w:rsidRDefault="00D33C21">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40"/>
        <w:gridCol w:w="65"/>
        <w:gridCol w:w="115"/>
        <w:gridCol w:w="874"/>
        <w:gridCol w:w="82"/>
        <w:gridCol w:w="65"/>
        <w:gridCol w:w="115"/>
        <w:gridCol w:w="876"/>
        <w:gridCol w:w="82"/>
      </w:tblGrid>
      <w:tr w:rsidR="00000000">
        <w:trPr>
          <w:divId w:val="1488519339"/>
          <w:jc w:val="center"/>
        </w:trPr>
        <w:tc>
          <w:tcPr>
            <w:tcW w:w="3072"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488519339"/>
          <w:jc w:val="center"/>
        </w:trPr>
        <w:tc>
          <w:tcPr>
            <w:tcW w:w="3072"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488519339"/>
          <w:jc w:val="center"/>
        </w:trPr>
        <w:tc>
          <w:tcPr>
            <w:tcW w:w="3072"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4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84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488519339"/>
          <w:jc w:val="center"/>
        </w:trPr>
        <w:tc>
          <w:tcPr>
            <w:tcW w:w="3072"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1809" w:type="pct"/>
            <w:gridSpan w:val="6"/>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16"/>
                <w:szCs w:val="16"/>
              </w:rPr>
            </w:pPr>
            <w:r>
              <w:rPr>
                <w:b/>
                <w:bCs/>
                <w:color w:val="000000"/>
                <w:sz w:val="16"/>
                <w:szCs w:val="16"/>
              </w:rPr>
              <w:t> </w:t>
            </w:r>
          </w:p>
        </w:tc>
      </w:tr>
      <w:tr w:rsidR="00000000">
        <w:trPr>
          <w:divId w:val="1488519339"/>
          <w:jc w:val="center"/>
        </w:trPr>
        <w:tc>
          <w:tcPr>
            <w:tcW w:w="3072"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Net cash provided by (used in):</w:t>
            </w:r>
          </w:p>
        </w:tc>
        <w:tc>
          <w:tcPr>
            <w:tcW w:w="6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488519339"/>
          <w:jc w:val="center"/>
        </w:trPr>
        <w:tc>
          <w:tcPr>
            <w:tcW w:w="3072"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Operating activities</w:t>
            </w:r>
          </w:p>
        </w:tc>
        <w:tc>
          <w:tcPr>
            <w:tcW w:w="6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79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(24,708</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795"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(24,547</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488519339"/>
          <w:jc w:val="center"/>
        </w:trPr>
        <w:tc>
          <w:tcPr>
            <w:tcW w:w="3072"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Investing activities</w:t>
            </w:r>
          </w:p>
        </w:tc>
        <w:tc>
          <w:tcPr>
            <w:tcW w:w="6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4,986</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(40,217</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r w:rsidR="00000000">
        <w:trPr>
          <w:divId w:val="1488519339"/>
          <w:jc w:val="center"/>
        </w:trPr>
        <w:tc>
          <w:tcPr>
            <w:tcW w:w="3072"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Financing activities</w:t>
            </w:r>
          </w:p>
        </w:tc>
        <w:tc>
          <w:tcPr>
            <w:tcW w:w="6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9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30,594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79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174</w:t>
            </w:r>
          </w:p>
        </w:tc>
        <w:tc>
          <w:tcPr>
            <w:tcW w:w="50" w:type="pct"/>
            <w:shd w:val="clear" w:color="auto" w:fill="FFFFFF"/>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488519339"/>
          <w:jc w:val="center"/>
        </w:trPr>
        <w:tc>
          <w:tcPr>
            <w:tcW w:w="3072"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Net decrease in cash and cash equivalents</w:t>
            </w:r>
          </w:p>
        </w:tc>
        <w:tc>
          <w:tcPr>
            <w:tcW w:w="6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79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10,872</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c>
          <w:tcPr>
            <w:tcW w:w="79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(64,590</w:t>
            </w:r>
          </w:p>
        </w:tc>
        <w:tc>
          <w:tcPr>
            <w:tcW w:w="50" w:type="pct"/>
            <w:shd w:val="clear" w:color="auto" w:fill="CFF0FC"/>
            <w:noWrap/>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w:t>
            </w:r>
          </w:p>
        </w:tc>
      </w:tr>
    </w:tbl>
    <w:p w:rsidR="00000000" w:rsidRDefault="00D33C21">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D33C21">
      <w:pPr>
        <w:pStyle w:val="a3"/>
        <w:spacing w:before="240" w:beforeAutospacing="0" w:after="0" w:afterAutospacing="0"/>
        <w:jc w:val="center"/>
        <w:rPr>
          <w:sz w:val="20"/>
          <w:szCs w:val="20"/>
        </w:rPr>
      </w:pPr>
      <w:r>
        <w:rPr>
          <w:sz w:val="20"/>
          <w:szCs w:val="20"/>
        </w:rPr>
        <w:t>23</w:t>
      </w:r>
    </w:p>
    <w:p w:rsidR="00000000" w:rsidRDefault="00D33C21">
      <w:pPr>
        <w:rPr>
          <w:rFonts w:eastAsia="Times New Roman"/>
        </w:rPr>
      </w:pPr>
      <w:r>
        <w:rPr>
          <w:rFonts w:eastAsia="Times New Roman"/>
        </w:rPr>
        <w:pict>
          <v:rect id="_x0000_i1048"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hd w:val="clear" w:color="auto" w:fill="FFFFFF"/>
        <w:spacing w:before="160" w:beforeAutospacing="0" w:after="0" w:afterAutospacing="0"/>
        <w:ind w:left="238"/>
        <w:jc w:val="both"/>
        <w:rPr>
          <w:b/>
          <w:bCs/>
          <w:i/>
          <w:iCs/>
          <w:color w:val="000000"/>
          <w:sz w:val="20"/>
          <w:szCs w:val="20"/>
        </w:rPr>
      </w:pPr>
      <w:bookmarkStart w:id="40" w:name="_AEIOULastRenderedPageBreakAEIOU23"/>
      <w:bookmarkEnd w:id="40"/>
      <w:r>
        <w:rPr>
          <w:b/>
          <w:bCs/>
          <w:i/>
          <w:iCs/>
          <w:color w:val="000000"/>
          <w:sz w:val="20"/>
          <w:szCs w:val="20"/>
        </w:rPr>
        <w:t>Net Cash Used in Operating Activities</w:t>
      </w:r>
    </w:p>
    <w:p w:rsidR="00000000" w:rsidRDefault="00D33C21">
      <w:pPr>
        <w:pStyle w:val="a3"/>
        <w:shd w:val="clear" w:color="auto" w:fill="FFFFFF"/>
        <w:spacing w:before="120" w:beforeAutospacing="0" w:after="0" w:afterAutospacing="0"/>
        <w:ind w:firstLine="556"/>
        <w:jc w:val="both"/>
        <w:rPr>
          <w:color w:val="000000"/>
          <w:sz w:val="20"/>
          <w:szCs w:val="20"/>
        </w:rPr>
      </w:pPr>
      <w:r>
        <w:rPr>
          <w:color w:val="000000"/>
          <w:sz w:val="20"/>
          <w:szCs w:val="20"/>
        </w:rPr>
        <w:t>Net cash used in operating activities was $24.7 million for the six months ended June 30, 2019, which consisted of net losses of $26.9 million offset by a net of $2.1 million of non-cash charges and changes in operating assets and liabilities, primarily re</w:t>
      </w:r>
      <w:r>
        <w:rPr>
          <w:color w:val="000000"/>
          <w:sz w:val="20"/>
          <w:szCs w:val="20"/>
        </w:rPr>
        <w:t>lated to $2.9 million of stock-based compensation expense.</w:t>
      </w:r>
      <w:r>
        <w:rPr>
          <w:color w:val="000000"/>
          <w:sz w:val="20"/>
          <w:szCs w:val="20"/>
          <w:shd w:val="clear" w:color="auto" w:fill="FFFFFF"/>
        </w:rPr>
        <w:t xml:space="preserve"> Net cash used in operating activities was $24.5 million for the six months ended June 30, 2018, which consisted of net losses of $26.1 million offset by $3.6 million of net non-cash charges.</w:t>
      </w:r>
    </w:p>
    <w:p w:rsidR="00000000" w:rsidRDefault="00D33C21">
      <w:pPr>
        <w:pStyle w:val="a3"/>
        <w:shd w:val="clear" w:color="auto" w:fill="FFFFFF"/>
        <w:spacing w:before="360" w:beforeAutospacing="0" w:after="0" w:afterAutospacing="0"/>
        <w:ind w:left="238"/>
        <w:jc w:val="both"/>
        <w:rPr>
          <w:b/>
          <w:bCs/>
          <w:i/>
          <w:iCs/>
          <w:color w:val="000000"/>
          <w:sz w:val="20"/>
          <w:szCs w:val="20"/>
        </w:rPr>
      </w:pPr>
      <w:r>
        <w:rPr>
          <w:b/>
          <w:bCs/>
          <w:i/>
          <w:iCs/>
          <w:color w:val="000000"/>
          <w:sz w:val="20"/>
          <w:szCs w:val="20"/>
        </w:rPr>
        <w:t>Net Ca</w:t>
      </w:r>
      <w:r>
        <w:rPr>
          <w:b/>
          <w:bCs/>
          <w:i/>
          <w:iCs/>
          <w:color w:val="000000"/>
          <w:sz w:val="20"/>
          <w:szCs w:val="20"/>
        </w:rPr>
        <w:t>sh Used in Investing Activities</w:t>
      </w:r>
    </w:p>
    <w:p w:rsidR="00000000" w:rsidRDefault="00D33C21">
      <w:pPr>
        <w:pStyle w:val="a3"/>
        <w:shd w:val="clear" w:color="auto" w:fill="FFFFFF"/>
        <w:spacing w:before="120" w:beforeAutospacing="0" w:after="0" w:afterAutospacing="0"/>
        <w:ind w:firstLine="556"/>
        <w:jc w:val="both"/>
        <w:rPr>
          <w:color w:val="000000"/>
          <w:sz w:val="20"/>
          <w:szCs w:val="20"/>
        </w:rPr>
      </w:pPr>
      <w:r>
        <w:rPr>
          <w:color w:val="000000"/>
          <w:sz w:val="20"/>
          <w:szCs w:val="20"/>
        </w:rPr>
        <w:t>Net cash provided by investing activities was $5.0 million for the six months ended June 30, 2019, compared to $40.2 million of net cash used by investing activities for the six months ended June 30, 2018. The change in net cash provided by (used in) inves</w:t>
      </w:r>
      <w:r>
        <w:rPr>
          <w:color w:val="000000"/>
          <w:sz w:val="20"/>
          <w:szCs w:val="20"/>
        </w:rPr>
        <w:t>ting activities was primarily due to purchases of short-term investments during the six months ended June 30, 2018 compared to maturities and no purchases during the six months ended June 30, 2019.</w:t>
      </w:r>
    </w:p>
    <w:p w:rsidR="00000000" w:rsidRDefault="00D33C21">
      <w:pPr>
        <w:pStyle w:val="a3"/>
        <w:shd w:val="clear" w:color="auto" w:fill="FFFFFF"/>
        <w:spacing w:before="360" w:beforeAutospacing="0" w:after="0" w:afterAutospacing="0"/>
        <w:ind w:left="238"/>
        <w:jc w:val="both"/>
        <w:rPr>
          <w:b/>
          <w:bCs/>
          <w:i/>
          <w:iCs/>
          <w:color w:val="000000"/>
          <w:sz w:val="20"/>
          <w:szCs w:val="20"/>
        </w:rPr>
      </w:pPr>
      <w:r>
        <w:rPr>
          <w:b/>
          <w:bCs/>
          <w:i/>
          <w:iCs/>
          <w:color w:val="000000"/>
          <w:sz w:val="20"/>
          <w:szCs w:val="20"/>
        </w:rPr>
        <w:t>Net Cash Provided by Financing Activities</w:t>
      </w:r>
    </w:p>
    <w:p w:rsidR="00000000" w:rsidRDefault="00D33C21">
      <w:pPr>
        <w:pStyle w:val="a3"/>
        <w:shd w:val="clear" w:color="auto" w:fill="FFFFFF"/>
        <w:spacing w:before="120" w:beforeAutospacing="0" w:after="0" w:afterAutospacing="0"/>
        <w:ind w:firstLine="556"/>
        <w:jc w:val="both"/>
        <w:rPr>
          <w:color w:val="000000"/>
          <w:sz w:val="20"/>
          <w:szCs w:val="20"/>
        </w:rPr>
      </w:pPr>
      <w:r>
        <w:rPr>
          <w:color w:val="000000"/>
          <w:sz w:val="20"/>
          <w:szCs w:val="20"/>
        </w:rPr>
        <w:t>Net cash provide</w:t>
      </w:r>
      <w:r>
        <w:rPr>
          <w:color w:val="000000"/>
          <w:sz w:val="20"/>
          <w:szCs w:val="20"/>
        </w:rPr>
        <w:t xml:space="preserve">d by financing activities of $30.6 million for the six months ended June 30, 2019 was primarily due to the net proceeds from the February Offering. </w:t>
      </w:r>
      <w:r>
        <w:rPr>
          <w:color w:val="000000"/>
          <w:sz w:val="20"/>
          <w:szCs w:val="20"/>
          <w:shd w:val="clear" w:color="auto" w:fill="FFFFFF"/>
        </w:rPr>
        <w:t>Net cash provided by financing activities of $0.2 million for the six months ended June 30, 2018 was primari</w:t>
      </w:r>
      <w:r>
        <w:rPr>
          <w:color w:val="000000"/>
          <w:sz w:val="20"/>
          <w:szCs w:val="20"/>
          <w:shd w:val="clear" w:color="auto" w:fill="FFFFFF"/>
        </w:rPr>
        <w:t>ly due to the proceeds from the exercise of stock options and purchases of shares under the 2017 employee stock purchase plan.</w:t>
      </w:r>
    </w:p>
    <w:p w:rsidR="00000000" w:rsidRDefault="00D33C21">
      <w:pPr>
        <w:pStyle w:val="a3"/>
        <w:spacing w:before="200" w:beforeAutospacing="0" w:after="0" w:afterAutospacing="0"/>
        <w:jc w:val="both"/>
        <w:rPr>
          <w:b/>
          <w:bCs/>
          <w:color w:val="000000"/>
          <w:sz w:val="20"/>
          <w:szCs w:val="20"/>
        </w:rPr>
      </w:pPr>
      <w:r>
        <w:rPr>
          <w:b/>
          <w:bCs/>
          <w:color w:val="000000"/>
          <w:sz w:val="20"/>
          <w:szCs w:val="20"/>
        </w:rPr>
        <w:t>Contractual Obligations and Commitments</w:t>
      </w:r>
    </w:p>
    <w:p w:rsidR="00000000" w:rsidRDefault="00D33C21">
      <w:pPr>
        <w:pStyle w:val="a3"/>
        <w:shd w:val="clear" w:color="auto" w:fill="FFFFFF"/>
        <w:spacing w:before="200" w:beforeAutospacing="0" w:after="0" w:afterAutospacing="0"/>
        <w:ind w:firstLine="556"/>
        <w:jc w:val="both"/>
        <w:rPr>
          <w:sz w:val="20"/>
          <w:szCs w:val="20"/>
        </w:rPr>
      </w:pPr>
      <w:r>
        <w:rPr>
          <w:sz w:val="20"/>
          <w:szCs w:val="20"/>
        </w:rPr>
        <w:t>As of June 30, 2019, we had no material contractual obligations or commitments. We had no</w:t>
      </w:r>
      <w:r>
        <w:rPr>
          <w:sz w:val="20"/>
          <w:szCs w:val="20"/>
        </w:rPr>
        <w:t xml:space="preserve"> long-term debt or capital leases and no material non-cancelable purchase commitments with service providers, as we have generally contracted on a cancelable, purchase order basis. We excluded any potential contingent payments upon the achievement by us of</w:t>
      </w:r>
      <w:r>
        <w:rPr>
          <w:sz w:val="20"/>
          <w:szCs w:val="20"/>
        </w:rPr>
        <w:t xml:space="preserve"> clinical, regulatory and commercial events, as applicable, or royalty payments that we may be required to make under license agreements we have entered into with various entities pursuant to which we have in-licensed certain intellectual property as contr</w:t>
      </w:r>
      <w:r>
        <w:rPr>
          <w:sz w:val="20"/>
          <w:szCs w:val="20"/>
        </w:rPr>
        <w:t>actual obligations or commitments, including agreements with H. Lundbeck A/S, Northwestern, and our Takeda license agreement. Pursuant to these license agreements, we have agreed to make milestone payments up to an aggregate of $279.3 million upon the achi</w:t>
      </w:r>
      <w:r>
        <w:rPr>
          <w:sz w:val="20"/>
          <w:szCs w:val="20"/>
        </w:rPr>
        <w:t xml:space="preserve">evement of certain development, regulatory and sales milestones. We excluded these contingent payments given that the timing and amount, if any, of such payments cannot be reasonably estimated at this time. </w:t>
      </w:r>
    </w:p>
    <w:p w:rsidR="00000000" w:rsidRDefault="00D33C21">
      <w:pPr>
        <w:pStyle w:val="a3"/>
        <w:spacing w:before="200" w:beforeAutospacing="0" w:after="0" w:afterAutospacing="0"/>
        <w:jc w:val="both"/>
        <w:rPr>
          <w:b/>
          <w:bCs/>
          <w:sz w:val="20"/>
          <w:szCs w:val="20"/>
        </w:rPr>
      </w:pPr>
      <w:r>
        <w:rPr>
          <w:b/>
          <w:bCs/>
          <w:sz w:val="20"/>
          <w:szCs w:val="20"/>
        </w:rPr>
        <w:t xml:space="preserve">Off-Balance Sheet Arrangements </w:t>
      </w:r>
    </w:p>
    <w:p w:rsidR="00000000" w:rsidRDefault="00D33C21">
      <w:pPr>
        <w:pStyle w:val="a3"/>
        <w:shd w:val="clear" w:color="auto" w:fill="FFFFFF"/>
        <w:spacing w:before="200" w:beforeAutospacing="0" w:after="0" w:afterAutospacing="0"/>
        <w:ind w:firstLine="556"/>
        <w:jc w:val="both"/>
        <w:rPr>
          <w:sz w:val="20"/>
          <w:szCs w:val="20"/>
        </w:rPr>
      </w:pPr>
      <w:r>
        <w:rPr>
          <w:sz w:val="20"/>
          <w:szCs w:val="20"/>
        </w:rPr>
        <w:t xml:space="preserve">We did not have </w:t>
      </w:r>
      <w:r>
        <w:rPr>
          <w:sz w:val="20"/>
          <w:szCs w:val="20"/>
        </w:rPr>
        <w:t>during the periods presented, and we do not currently have, any off-balance sheet arrangements, as defined in the rules and regulations of the SEC.</w:t>
      </w:r>
    </w:p>
    <w:p w:rsidR="00000000" w:rsidRDefault="00D33C21">
      <w:pPr>
        <w:pStyle w:val="a3"/>
        <w:spacing w:before="200" w:beforeAutospacing="0" w:after="0" w:afterAutospacing="0"/>
        <w:jc w:val="both"/>
        <w:rPr>
          <w:b/>
          <w:bCs/>
          <w:sz w:val="20"/>
          <w:szCs w:val="20"/>
        </w:rPr>
      </w:pPr>
      <w:r>
        <w:rPr>
          <w:b/>
          <w:bCs/>
          <w:sz w:val="20"/>
          <w:szCs w:val="20"/>
        </w:rPr>
        <w:t>Emerging Growth Company Status</w:t>
      </w:r>
    </w:p>
    <w:p w:rsidR="00000000" w:rsidRDefault="00D33C21">
      <w:pPr>
        <w:pStyle w:val="a3"/>
        <w:shd w:val="clear" w:color="auto" w:fill="FFFFFF"/>
        <w:spacing w:before="200" w:beforeAutospacing="0" w:after="0" w:afterAutospacing="0"/>
        <w:ind w:firstLine="556"/>
        <w:jc w:val="both"/>
        <w:rPr>
          <w:color w:val="000000"/>
          <w:sz w:val="20"/>
          <w:szCs w:val="20"/>
        </w:rPr>
      </w:pPr>
      <w:r>
        <w:rPr>
          <w:color w:val="000000"/>
          <w:sz w:val="20"/>
          <w:szCs w:val="20"/>
        </w:rPr>
        <w:t>We are an “emerging growth company,” as defined in the Jumpstart Our Business</w:t>
      </w:r>
      <w:r>
        <w:rPr>
          <w:color w:val="000000"/>
          <w:sz w:val="20"/>
          <w:szCs w:val="20"/>
        </w:rPr>
        <w:t xml:space="preserve"> Startups Act of 2012, or the JOBS Act, and may remain an emerging growth company for up to five years. For so long as we remain an emerging growth company, we are permitted and intend to rely on exemptions from certain disclosure requirements that are app</w:t>
      </w:r>
      <w:r>
        <w:rPr>
          <w:color w:val="000000"/>
          <w:sz w:val="20"/>
          <w:szCs w:val="20"/>
        </w:rPr>
        <w:t>licable to other public companies that are not emerging growth companies. These exemptions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hd w:val="clear" w:color="auto" w:fill="FFFFFF"/>
              <w:spacing w:before="120" w:beforeAutospacing="0" w:after="0" w:afterAutospacing="0"/>
              <w:jc w:val="both"/>
              <w:rPr>
                <w:color w:val="000000"/>
                <w:sz w:val="20"/>
                <w:szCs w:val="20"/>
              </w:rPr>
            </w:pPr>
            <w:r>
              <w:rPr>
                <w:color w:val="000000"/>
                <w:sz w:val="20"/>
                <w:szCs w:val="20"/>
              </w:rPr>
              <w:t>reduced disclosure about our executive compensation arrangements;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hd w:val="clear" w:color="auto" w:fill="FFFFFF"/>
              <w:spacing w:before="120" w:beforeAutospacing="0" w:after="0" w:afterAutospacing="0"/>
              <w:jc w:val="both"/>
              <w:rPr>
                <w:color w:val="000000"/>
                <w:sz w:val="20"/>
                <w:szCs w:val="20"/>
              </w:rPr>
            </w:pPr>
            <w:r>
              <w:rPr>
                <w:color w:val="000000"/>
                <w:sz w:val="20"/>
                <w:szCs w:val="20"/>
              </w:rPr>
              <w:t>no non-binding stockholder advisory votes on executive compensation or golden parachute arrangements; and</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D33C21">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D33C21">
            <w:pPr>
              <w:pStyle w:val="a3"/>
              <w:shd w:val="clear" w:color="auto" w:fill="FFFFFF"/>
              <w:spacing w:before="120" w:beforeAutospacing="0" w:after="0" w:afterAutospacing="0"/>
              <w:jc w:val="both"/>
              <w:rPr>
                <w:color w:val="000000"/>
                <w:sz w:val="20"/>
                <w:szCs w:val="20"/>
              </w:rPr>
            </w:pPr>
            <w:r>
              <w:rPr>
                <w:color w:val="000000"/>
                <w:sz w:val="20"/>
                <w:szCs w:val="20"/>
              </w:rPr>
              <w:t>exemption from the auditor attestation requirement in the assessment of our internal control over financial reporting.</w:t>
            </w:r>
          </w:p>
        </w:tc>
      </w:tr>
    </w:tbl>
    <w:p w:rsidR="00000000" w:rsidRDefault="00D33C21">
      <w:pPr>
        <w:pStyle w:val="a3"/>
        <w:spacing w:before="240" w:beforeAutospacing="0" w:after="0" w:afterAutospacing="0"/>
        <w:jc w:val="center"/>
        <w:rPr>
          <w:sz w:val="20"/>
          <w:szCs w:val="20"/>
        </w:rPr>
      </w:pPr>
      <w:r>
        <w:rPr>
          <w:sz w:val="20"/>
          <w:szCs w:val="20"/>
        </w:rPr>
        <w:t>24</w:t>
      </w:r>
    </w:p>
    <w:p w:rsidR="00000000" w:rsidRDefault="00D33C21">
      <w:pPr>
        <w:rPr>
          <w:rFonts w:eastAsia="Times New Roman"/>
        </w:rPr>
      </w:pPr>
      <w:r>
        <w:rPr>
          <w:rFonts w:eastAsia="Times New Roman"/>
        </w:rPr>
        <w:pict>
          <v:rect id="_x0000_i1049"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hd w:val="clear" w:color="auto" w:fill="FFFFFF"/>
        <w:spacing w:before="200" w:beforeAutospacing="0" w:after="0" w:afterAutospacing="0"/>
        <w:ind w:firstLine="556"/>
        <w:jc w:val="both"/>
        <w:rPr>
          <w:color w:val="000000"/>
          <w:sz w:val="20"/>
          <w:szCs w:val="20"/>
        </w:rPr>
      </w:pPr>
      <w:bookmarkStart w:id="41" w:name="_AEIOULastRenderedPageBreakAEIOU24"/>
      <w:bookmarkEnd w:id="41"/>
      <w:r>
        <w:rPr>
          <w:color w:val="000000"/>
          <w:sz w:val="20"/>
          <w:szCs w:val="20"/>
          <w:shd w:val="clear" w:color="auto" w:fill="FFFFFF"/>
        </w:rPr>
        <w:t>We have taken advantage of reduced reporting requirements in this report and may continue to d</w:t>
      </w:r>
      <w:r>
        <w:rPr>
          <w:color w:val="000000"/>
          <w:sz w:val="20"/>
          <w:szCs w:val="20"/>
          <w:shd w:val="clear" w:color="auto" w:fill="FFFFFF"/>
        </w:rPr>
        <w:t>o so until such time that we are no longer an emerging growth company. We will remain an “emerging growth company” until the earliest of (a) the last day of the fiscal year in which we have total annual gross revenues of $1.07 billion or more, (b) December</w:t>
      </w:r>
      <w:r>
        <w:rPr>
          <w:color w:val="000000"/>
          <w:sz w:val="20"/>
          <w:szCs w:val="20"/>
          <w:shd w:val="clear" w:color="auto" w:fill="FFFFFF"/>
        </w:rPr>
        <w:t xml:space="preserve"> 31, 2022, the last day of the fiscal year following the fifth anniversary of the completion of the our IPO, (c) the date on which we have issued more than $1.0 billion in nonconvertible debt during the previous three years or (d) the date on which we are </w:t>
      </w:r>
      <w:r>
        <w:rPr>
          <w:color w:val="000000"/>
          <w:sz w:val="20"/>
          <w:szCs w:val="20"/>
          <w:shd w:val="clear" w:color="auto" w:fill="FFFFFF"/>
        </w:rPr>
        <w:t>deemed to be a large accelerated filer under the rules of the SEC.  Section 107 of the JOBS Act provides that an emerging growth company can take advantage of the extended transition period for complying with new or revised accounting standards. We have ir</w:t>
      </w:r>
      <w:r>
        <w:rPr>
          <w:color w:val="000000"/>
          <w:sz w:val="20"/>
          <w:szCs w:val="20"/>
          <w:shd w:val="clear" w:color="auto" w:fill="FFFFFF"/>
        </w:rPr>
        <w:t>revocably elected not to avail ourselves of this extended transition period and, as a result, we will adopt new or revised accounting standards on the relevant dates on which adoption of such standards is required for other public companies.</w:t>
      </w:r>
    </w:p>
    <w:p w:rsidR="00000000" w:rsidRDefault="00D33C21">
      <w:pPr>
        <w:pStyle w:val="a3"/>
        <w:shd w:val="clear" w:color="auto" w:fill="FFFFFF"/>
        <w:spacing w:before="200" w:beforeAutospacing="0" w:after="0" w:afterAutospacing="0"/>
        <w:jc w:val="both"/>
        <w:rPr>
          <w:b/>
          <w:bCs/>
          <w:color w:val="000000"/>
          <w:sz w:val="20"/>
          <w:szCs w:val="20"/>
        </w:rPr>
      </w:pPr>
      <w:r>
        <w:rPr>
          <w:b/>
          <w:bCs/>
          <w:color w:val="000000"/>
          <w:sz w:val="20"/>
          <w:szCs w:val="20"/>
        </w:rPr>
        <w:t>Critical Accou</w:t>
      </w:r>
      <w:r>
        <w:rPr>
          <w:b/>
          <w:bCs/>
          <w:color w:val="000000"/>
          <w:sz w:val="20"/>
          <w:szCs w:val="20"/>
        </w:rPr>
        <w:t>nting Policies and Estimates</w:t>
      </w:r>
    </w:p>
    <w:p w:rsidR="00000000" w:rsidRDefault="00D33C21">
      <w:pPr>
        <w:pStyle w:val="a3"/>
        <w:shd w:val="clear" w:color="auto" w:fill="FFFFFF"/>
        <w:spacing w:before="200" w:beforeAutospacing="0" w:after="0" w:afterAutospacing="0"/>
        <w:ind w:firstLine="556"/>
        <w:jc w:val="both"/>
        <w:rPr>
          <w:color w:val="000000"/>
          <w:sz w:val="20"/>
          <w:szCs w:val="20"/>
        </w:rPr>
      </w:pPr>
      <w:r>
        <w:rPr>
          <w:color w:val="000000"/>
          <w:sz w:val="20"/>
          <w:szCs w:val="20"/>
        </w:rPr>
        <w:t>Our management’</w:t>
      </w:r>
      <w:r>
        <w:rPr>
          <w:color w:val="000000"/>
          <w:sz w:val="20"/>
          <w:szCs w:val="20"/>
        </w:rPr>
        <w:t>s discussion and analysis of financial condition and results of operations is based on our financial statements, which have been prepared in accordance with accounting principles generally accepted in the United States. The preparation of these financial s</w:t>
      </w:r>
      <w:r>
        <w:rPr>
          <w:color w:val="000000"/>
          <w:sz w:val="20"/>
          <w:szCs w:val="20"/>
        </w:rPr>
        <w:t>tatements requires us to make estimates and assumptions that affect the reported amounts of assets and liabilities and the disclosure of contingent assets and liabilities at the date of the financial statements, as well as the revenue and expenses incurred</w:t>
      </w:r>
      <w:r>
        <w:rPr>
          <w:color w:val="000000"/>
          <w:sz w:val="20"/>
          <w:szCs w:val="20"/>
        </w:rPr>
        <w:t xml:space="preserve"> during the reported periods. On an ongoing basis, we evaluate our estimates and judgments, including those related to accrued expenses and stock-based compensation. We base our estimates on historical experience and on various other factors that we believ</w:t>
      </w:r>
      <w:r>
        <w:rPr>
          <w:color w:val="000000"/>
          <w:sz w:val="20"/>
          <w:szCs w:val="20"/>
        </w:rPr>
        <w:t>e are reasonable under the circumstances, the results of which form the basis for making judgments about the carrying value of assets and liabilities that are not apparent from other sources. Changes in estimates are reflected in reported results for the p</w:t>
      </w:r>
      <w:r>
        <w:rPr>
          <w:color w:val="000000"/>
          <w:sz w:val="20"/>
          <w:szCs w:val="20"/>
        </w:rPr>
        <w:t>eriod in which they become known. Actual results may differ from these estimates under different assumptions or conditions.</w:t>
      </w:r>
    </w:p>
    <w:p w:rsidR="00000000" w:rsidRDefault="00D33C21">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During the six months ended June 30, 2019, there were no material changes to our critical accounting policies as reported for the ye</w:t>
      </w:r>
      <w:r>
        <w:rPr>
          <w:color w:val="000000"/>
          <w:sz w:val="20"/>
          <w:szCs w:val="20"/>
          <w:shd w:val="clear" w:color="auto" w:fill="FFFFFF"/>
        </w:rPr>
        <w:t>ar ended December 31, 2018 as part of our Annual Report on Form 10-K, which was filed with the SEC on March 7, 2019.  In addition, see Note 2 of our Condensed Consolidated Financial Statements under the heading “Recent Accounting Pronouncements” for new ac</w:t>
      </w:r>
      <w:r>
        <w:rPr>
          <w:color w:val="000000"/>
          <w:sz w:val="20"/>
          <w:szCs w:val="20"/>
          <w:shd w:val="clear" w:color="auto" w:fill="FFFFFF"/>
        </w:rPr>
        <w:t>counting pronouncements or changes to the accounting pronouncements during the six months ended June 30, 2019.</w:t>
      </w:r>
    </w:p>
    <w:p w:rsidR="00000000" w:rsidRDefault="00D33C21">
      <w:pPr>
        <w:pStyle w:val="a3"/>
        <w:shd w:val="clear" w:color="auto" w:fill="FFFFFF"/>
        <w:spacing w:before="200" w:beforeAutospacing="0" w:after="0" w:afterAutospacing="0"/>
        <w:jc w:val="both"/>
        <w:rPr>
          <w:b/>
          <w:bCs/>
          <w:sz w:val="20"/>
          <w:szCs w:val="20"/>
        </w:rPr>
      </w:pPr>
      <w:bookmarkStart w:id="42" w:name="ITEM_3_QUANTITATIVE_QUALITATIVE_DISCLOSU"/>
      <w:bookmarkEnd w:id="42"/>
      <w:r>
        <w:rPr>
          <w:b/>
          <w:bCs/>
          <w:sz w:val="20"/>
          <w:szCs w:val="20"/>
        </w:rPr>
        <w:t>Item 3. Quantitative and Qualitative Disclosures About Market Risk.</w:t>
      </w:r>
    </w:p>
    <w:p w:rsidR="00000000" w:rsidRDefault="00D33C21">
      <w:pPr>
        <w:pStyle w:val="a3"/>
        <w:spacing w:before="120" w:beforeAutospacing="0" w:after="0" w:afterAutospacing="0"/>
        <w:ind w:firstLine="556"/>
        <w:jc w:val="both"/>
        <w:rPr>
          <w:sz w:val="20"/>
          <w:szCs w:val="20"/>
        </w:rPr>
      </w:pPr>
      <w:r>
        <w:rPr>
          <w:sz w:val="20"/>
          <w:szCs w:val="20"/>
        </w:rPr>
        <w:t>The primary objectives of our investment activities are to ensure liquidity a</w:t>
      </w:r>
      <w:r>
        <w:rPr>
          <w:sz w:val="20"/>
          <w:szCs w:val="20"/>
        </w:rPr>
        <w:t xml:space="preserve">nd to preserve capital. As of June 30, 2019, we had cash equivalents of $47.4 million that were held in an interest-bearing money market account and zero of short-term investments invested in treasury notes. Our primary exposure to market risk is interest </w:t>
      </w:r>
      <w:r>
        <w:rPr>
          <w:sz w:val="20"/>
          <w:szCs w:val="20"/>
        </w:rPr>
        <w:t>rate sensitivity, which is affected by changes in the general level of U.S. interest rates. Due to the short-term maturities of our cash equivalents and short-term investments and the low risk profile of our investments, an immediate 100 basis point change</w:t>
      </w:r>
      <w:r>
        <w:rPr>
          <w:sz w:val="20"/>
          <w:szCs w:val="20"/>
        </w:rPr>
        <w:t xml:space="preserve"> in interest rates would not have a material effect on the fair market value of our cash equivalents and short-term investments. To minimize the risk in the future, we intend to maintain our portfolio of cash equivalents and short-term investments in insti</w:t>
      </w:r>
      <w:r>
        <w:rPr>
          <w:sz w:val="20"/>
          <w:szCs w:val="20"/>
        </w:rPr>
        <w:t>tutional market funds that are comprised of U.S. Treasury and U.S. Treasury-backed repurchase agreements as well as treasury notes and high quality short-term corporate bonds.</w:t>
      </w:r>
    </w:p>
    <w:p w:rsidR="00000000" w:rsidRDefault="00D33C21">
      <w:pPr>
        <w:pStyle w:val="a3"/>
        <w:spacing w:before="360" w:beforeAutospacing="0" w:after="0" w:afterAutospacing="0"/>
        <w:jc w:val="both"/>
        <w:rPr>
          <w:b/>
          <w:bCs/>
          <w:sz w:val="20"/>
          <w:szCs w:val="20"/>
        </w:rPr>
      </w:pPr>
      <w:bookmarkStart w:id="43" w:name="ITEM_4_CONTROLS_PROCEDURES"/>
      <w:bookmarkEnd w:id="43"/>
      <w:r>
        <w:rPr>
          <w:b/>
          <w:bCs/>
          <w:sz w:val="20"/>
          <w:szCs w:val="20"/>
        </w:rPr>
        <w:t>Item 4. Controls and Procedures.</w:t>
      </w:r>
    </w:p>
    <w:p w:rsidR="00000000" w:rsidRDefault="00D33C21">
      <w:pPr>
        <w:pStyle w:val="a3"/>
        <w:shd w:val="clear" w:color="auto" w:fill="FFFFFF"/>
        <w:spacing w:before="120" w:beforeAutospacing="0" w:after="0" w:afterAutospacing="0"/>
        <w:jc w:val="both"/>
        <w:rPr>
          <w:b/>
          <w:bCs/>
          <w:i/>
          <w:iCs/>
          <w:color w:val="000000"/>
          <w:sz w:val="20"/>
          <w:szCs w:val="20"/>
        </w:rPr>
      </w:pPr>
      <w:r>
        <w:rPr>
          <w:b/>
          <w:bCs/>
          <w:i/>
          <w:iCs/>
          <w:color w:val="000000"/>
          <w:sz w:val="20"/>
          <w:szCs w:val="20"/>
        </w:rPr>
        <w:t>Management’s Evaluation of our Disclosure Contr</w:t>
      </w:r>
      <w:r>
        <w:rPr>
          <w:b/>
          <w:bCs/>
          <w:i/>
          <w:iCs/>
          <w:color w:val="000000"/>
          <w:sz w:val="20"/>
          <w:szCs w:val="20"/>
        </w:rPr>
        <w:t>ols and Procedures</w:t>
      </w:r>
    </w:p>
    <w:p w:rsidR="00000000" w:rsidRDefault="00D33C21">
      <w:pPr>
        <w:pStyle w:val="a3"/>
        <w:shd w:val="clear" w:color="auto" w:fill="FFFFFF"/>
        <w:spacing w:before="120" w:beforeAutospacing="0" w:after="0" w:afterAutospacing="0"/>
        <w:ind w:firstLine="556"/>
        <w:jc w:val="both"/>
        <w:rPr>
          <w:color w:val="000000"/>
          <w:sz w:val="20"/>
          <w:szCs w:val="20"/>
        </w:rPr>
      </w:pPr>
      <w:r>
        <w:rPr>
          <w:color w:val="000000"/>
          <w:sz w:val="20"/>
          <w:szCs w:val="20"/>
        </w:rPr>
        <w:t>We maintain disclosure controls and procedures that are designed to ensure that information required to be disclosed in the reports that we file or submit under the Securities Exchange Act of 1934, as amended (the “Exchange Act”) is (1) </w:t>
      </w:r>
      <w:r>
        <w:rPr>
          <w:color w:val="000000"/>
          <w:sz w:val="20"/>
          <w:szCs w:val="20"/>
        </w:rPr>
        <w:t xml:space="preserve">recorded, processed, summarized, and reported within the time periods specified in the SEC’s rules and forms and (2) accumulated and communicated to our management, including our principal executive officer and principal financial officer, to allow timely </w:t>
      </w:r>
      <w:r>
        <w:rPr>
          <w:color w:val="000000"/>
          <w:sz w:val="20"/>
          <w:szCs w:val="20"/>
        </w:rPr>
        <w:t>decisions regarding required disclosure.</w:t>
      </w:r>
    </w:p>
    <w:p w:rsidR="00000000" w:rsidRDefault="00D33C21">
      <w:pPr>
        <w:pStyle w:val="a3"/>
        <w:shd w:val="clear" w:color="auto" w:fill="FFFFFF"/>
        <w:spacing w:before="240" w:beforeAutospacing="0" w:after="0" w:afterAutospacing="0"/>
        <w:ind w:firstLine="556"/>
        <w:jc w:val="both"/>
        <w:rPr>
          <w:color w:val="000000"/>
          <w:sz w:val="20"/>
          <w:szCs w:val="20"/>
        </w:rPr>
      </w:pPr>
      <w:r>
        <w:rPr>
          <w:color w:val="000000"/>
          <w:sz w:val="20"/>
          <w:szCs w:val="20"/>
        </w:rPr>
        <w:t>As of June 30, 2019, our management, with the participation of our principal executive officer and principal financial officer, evaluated the effectiveness of our disclosure controls and procedures (as defined in Ru</w:t>
      </w:r>
      <w:r>
        <w:rPr>
          <w:color w:val="000000"/>
          <w:sz w:val="20"/>
          <w:szCs w:val="20"/>
        </w:rPr>
        <w:t>les 13a-15(e) and 15d-15(e) under the Exchange Act). Our management recognizes that any controls and procedures, no matter how well designed and operated, can provide only reasonable assurance of achieving their objectives, and management necessarily appli</w:t>
      </w:r>
      <w:r>
        <w:rPr>
          <w:color w:val="000000"/>
          <w:sz w:val="20"/>
          <w:szCs w:val="20"/>
        </w:rPr>
        <w:t>es its judgment in evaluating the cost-benefit relationship of possible controls and procedures. Our principal executive officer and principal financial officer have concluded based upon the evaluation described above that, as of June 30, 2019, our disclos</w:t>
      </w:r>
      <w:r>
        <w:rPr>
          <w:color w:val="000000"/>
          <w:sz w:val="20"/>
          <w:szCs w:val="20"/>
        </w:rPr>
        <w:t>ure controls and procedures were effective at the reasonable assurance level.</w:t>
      </w:r>
    </w:p>
    <w:p w:rsidR="00000000" w:rsidRDefault="00D33C21">
      <w:pPr>
        <w:pStyle w:val="a3"/>
        <w:shd w:val="clear" w:color="auto" w:fill="FFFFFF"/>
        <w:spacing w:before="360" w:beforeAutospacing="0" w:after="0" w:afterAutospacing="0"/>
        <w:jc w:val="both"/>
        <w:rPr>
          <w:b/>
          <w:bCs/>
          <w:i/>
          <w:iCs/>
          <w:color w:val="000000"/>
          <w:sz w:val="20"/>
          <w:szCs w:val="20"/>
        </w:rPr>
      </w:pPr>
      <w:r>
        <w:rPr>
          <w:b/>
          <w:bCs/>
          <w:i/>
          <w:iCs/>
          <w:color w:val="000000"/>
          <w:sz w:val="20"/>
          <w:szCs w:val="20"/>
        </w:rPr>
        <w:t>Changes in Internal Control over Financial Reporting</w:t>
      </w:r>
    </w:p>
    <w:p w:rsidR="00000000" w:rsidRDefault="00D33C21">
      <w:pPr>
        <w:pStyle w:val="a3"/>
        <w:spacing w:before="240" w:beforeAutospacing="0" w:after="0" w:afterAutospacing="0"/>
        <w:ind w:firstLine="556"/>
        <w:jc w:val="both"/>
        <w:rPr>
          <w:color w:val="000000"/>
          <w:sz w:val="20"/>
          <w:szCs w:val="20"/>
        </w:rPr>
      </w:pPr>
      <w:r>
        <w:rPr>
          <w:color w:val="000000"/>
          <w:sz w:val="20"/>
          <w:szCs w:val="20"/>
        </w:rPr>
        <w:t>There have been no changes in our internal control over financial reporting during our most recent fiscal quarter ended June </w:t>
      </w:r>
      <w:r>
        <w:rPr>
          <w:color w:val="000000"/>
          <w:sz w:val="20"/>
          <w:szCs w:val="20"/>
        </w:rPr>
        <w:t>30, 2019 that materially affected, or are reasonably likely to materially affect, our internal control over financial reporting.</w:t>
      </w:r>
    </w:p>
    <w:p w:rsidR="00000000" w:rsidRDefault="00D33C21">
      <w:pPr>
        <w:pStyle w:val="a3"/>
        <w:spacing w:before="240" w:beforeAutospacing="0" w:after="0" w:afterAutospacing="0"/>
        <w:jc w:val="center"/>
        <w:rPr>
          <w:sz w:val="20"/>
          <w:szCs w:val="20"/>
        </w:rPr>
      </w:pPr>
      <w:r>
        <w:rPr>
          <w:sz w:val="20"/>
          <w:szCs w:val="20"/>
        </w:rPr>
        <w:t>25</w:t>
      </w:r>
    </w:p>
    <w:p w:rsidR="00000000" w:rsidRDefault="00D33C21">
      <w:pPr>
        <w:rPr>
          <w:rFonts w:eastAsia="Times New Roman"/>
        </w:rPr>
      </w:pPr>
      <w:r>
        <w:rPr>
          <w:rFonts w:eastAsia="Times New Roman"/>
        </w:rPr>
        <w:pict>
          <v:rect id="_x0000_i1050"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jc w:val="center"/>
        <w:rPr>
          <w:b/>
          <w:bCs/>
          <w:sz w:val="20"/>
          <w:szCs w:val="20"/>
        </w:rPr>
      </w:pPr>
      <w:bookmarkStart w:id="44" w:name="PART_II_OTHER_INFORMATION"/>
      <w:bookmarkEnd w:id="39"/>
      <w:bookmarkEnd w:id="44"/>
      <w:r>
        <w:rPr>
          <w:b/>
          <w:bCs/>
          <w:sz w:val="20"/>
          <w:szCs w:val="20"/>
        </w:rPr>
        <w:t>PART II—OTHER INFORMATION</w:t>
      </w:r>
    </w:p>
    <w:p w:rsidR="00000000" w:rsidRDefault="00D33C21">
      <w:pPr>
        <w:pStyle w:val="a3"/>
        <w:spacing w:before="240" w:beforeAutospacing="0" w:after="0" w:afterAutospacing="0"/>
        <w:jc w:val="both"/>
        <w:rPr>
          <w:b/>
          <w:bCs/>
          <w:sz w:val="20"/>
          <w:szCs w:val="20"/>
        </w:rPr>
      </w:pPr>
      <w:bookmarkStart w:id="45" w:name="ITEM_1_LEGAL_PROCEEDINGS"/>
      <w:bookmarkEnd w:id="45"/>
      <w:r>
        <w:rPr>
          <w:b/>
          <w:bCs/>
          <w:sz w:val="20"/>
          <w:szCs w:val="20"/>
        </w:rPr>
        <w:t>Item 1. Legal Proceedings.</w:t>
      </w:r>
    </w:p>
    <w:p w:rsidR="00000000" w:rsidRDefault="00D33C21">
      <w:pPr>
        <w:pStyle w:val="a3"/>
        <w:spacing w:before="120" w:beforeAutospacing="0" w:after="0" w:afterAutospacing="0"/>
        <w:ind w:firstLine="556"/>
        <w:jc w:val="both"/>
        <w:rPr>
          <w:sz w:val="20"/>
          <w:szCs w:val="20"/>
        </w:rPr>
      </w:pPr>
      <w:r>
        <w:rPr>
          <w:sz w:val="20"/>
          <w:szCs w:val="20"/>
        </w:rPr>
        <w:t>On December 15, 2016, we and Northwestern University (“Northwestern”) entered into a license agreement (the “License Agreement”), pursuant to which Northwestern gran</w:t>
      </w:r>
      <w:r>
        <w:rPr>
          <w:sz w:val="20"/>
          <w:szCs w:val="20"/>
        </w:rPr>
        <w:t>ted us an exclusive license to certain patent rights and know-how, including a patent application covering a specified composition of matter (the “Patent Application”). Northwestern previously entered into a license agreement with Catalyst Pharmaceuticals,</w:t>
      </w:r>
      <w:r>
        <w:rPr>
          <w:sz w:val="20"/>
          <w:szCs w:val="20"/>
        </w:rPr>
        <w:t xml:space="preserve"> Inc. (“Catalyst”), dated August 27, 2009, pursuant to which Northwestern granted Catalyst rights under certain intellectual property rights covering a different composition of matter (the “Catalyst License”). In addition, we are a party to a confidential </w:t>
      </w:r>
      <w:r>
        <w:rPr>
          <w:sz w:val="20"/>
          <w:szCs w:val="20"/>
        </w:rPr>
        <w:t>disclosure agreement with Catalyst, dated September 16, 2016 (the “CDA”). On June 25, 2018, Catalyst sent a letter to Northwestern and the Company alleging, among other things, that Northwestern breached the Catalyst License by licensing the Patent Applica</w:t>
      </w:r>
      <w:r>
        <w:rPr>
          <w:sz w:val="20"/>
          <w:szCs w:val="20"/>
        </w:rPr>
        <w:t>tion to us. Catalyst’s letter also asserted that we had breached our obligations under the CDA by allegedly failing to disclose that we had a license to the Patent Application, and that a further breach would occur if the Company makes any use of informati</w:t>
      </w:r>
      <w:r>
        <w:rPr>
          <w:sz w:val="20"/>
          <w:szCs w:val="20"/>
        </w:rPr>
        <w:t>on obtained under the CDA in connection with its development program arising from the rights granted under the License Agreement. Catalyst has asserted that the combined conduct of Northwestern and the Company gives rise to various claims, including breach</w:t>
      </w:r>
      <w:r>
        <w:rPr>
          <w:sz w:val="20"/>
          <w:szCs w:val="20"/>
        </w:rPr>
        <w:t xml:space="preserve"> of contract, fraud, and tortious interference. On May 20, 2019, we entered into a Settlement Agreement with Catalyst, pursuant to which Catalyst released the Company from any and all claims, known or unknown, arising from or related to the dispute between</w:t>
      </w:r>
      <w:r>
        <w:rPr>
          <w:sz w:val="20"/>
          <w:szCs w:val="20"/>
        </w:rPr>
        <w:t xml:space="preserve"> Catalyst and Northwestern, the License Agreement, and/or the claims that Catalyst asserted against Ovid in the June 25, 2018 letter.  Under the settlement we retain all rights and privileges previously granted to us under the Northwestern Licensing Agreem</w:t>
      </w:r>
      <w:r>
        <w:rPr>
          <w:sz w:val="20"/>
          <w:szCs w:val="20"/>
        </w:rPr>
        <w:t>ent.</w:t>
      </w:r>
    </w:p>
    <w:p w:rsidR="00000000" w:rsidRDefault="00D33C21">
      <w:pPr>
        <w:pStyle w:val="a3"/>
        <w:spacing w:before="360" w:beforeAutospacing="0" w:after="0" w:afterAutospacing="0"/>
        <w:jc w:val="both"/>
      </w:pPr>
      <w:bookmarkStart w:id="46" w:name="ITEM_1A_RISK_FACTORS"/>
      <w:r>
        <w:t>I</w:t>
      </w:r>
      <w:r>
        <w:rPr>
          <w:b/>
          <w:bCs/>
          <w:sz w:val="20"/>
          <w:szCs w:val="20"/>
        </w:rPr>
        <w:t>tem 1A.</w:t>
      </w:r>
      <w:r>
        <w:rPr>
          <w:sz w:val="20"/>
          <w:szCs w:val="20"/>
        </w:rPr>
        <w:t xml:space="preserve"> </w:t>
      </w:r>
      <w:bookmarkEnd w:id="46"/>
      <w:r>
        <w:rPr>
          <w:b/>
          <w:bCs/>
          <w:sz w:val="20"/>
          <w:szCs w:val="20"/>
        </w:rPr>
        <w:t>Risk Factors.</w:t>
      </w:r>
    </w:p>
    <w:p w:rsidR="00000000" w:rsidRDefault="00D33C21">
      <w:pPr>
        <w:pStyle w:val="a3"/>
        <w:shd w:val="clear" w:color="auto" w:fill="FFFFFF"/>
        <w:spacing w:before="120" w:beforeAutospacing="0" w:after="0" w:afterAutospacing="0"/>
        <w:ind w:firstLine="556"/>
        <w:jc w:val="both"/>
        <w:rPr>
          <w:i/>
          <w:iCs/>
          <w:color w:val="000000"/>
          <w:sz w:val="20"/>
          <w:szCs w:val="20"/>
        </w:rPr>
      </w:pPr>
      <w:r>
        <w:rPr>
          <w:i/>
          <w:iCs/>
          <w:color w:val="000000"/>
          <w:sz w:val="20"/>
          <w:szCs w:val="20"/>
        </w:rPr>
        <w:t xml:space="preserve">An investment in our securities involves a high degree of risk. You should carefully consider the following information about these risks, together with the other information appearing elsewhere in this Quarterly Report on Form </w:t>
      </w:r>
      <w:r>
        <w:rPr>
          <w:i/>
          <w:iCs/>
          <w:color w:val="000000"/>
          <w:sz w:val="20"/>
          <w:szCs w:val="20"/>
        </w:rPr>
        <w:t>10-Q, including our unaudited condensed financial statements and related notes hereto, before deciding to invest in our common stock. The occurrence of any of the following risks could have a material adverse effect on our business, financial condition, re</w:t>
      </w:r>
      <w:r>
        <w:rPr>
          <w:i/>
          <w:iCs/>
          <w:color w:val="000000"/>
          <w:sz w:val="20"/>
          <w:szCs w:val="20"/>
        </w:rPr>
        <w:t>sults of operations and future growth prospects or cause our actual results to differ materially from those contained in forward-looking statements we have made in this report and those we may make from time to time. In these circumstances, the market pric</w:t>
      </w:r>
      <w:r>
        <w:rPr>
          <w:i/>
          <w:iCs/>
          <w:color w:val="000000"/>
          <w:sz w:val="20"/>
          <w:szCs w:val="20"/>
        </w:rPr>
        <w:t>e of our common stock could decline and you may lose all or part of your investment. We cannot assure you that any of the events discussed below will not occur.</w:t>
      </w:r>
    </w:p>
    <w:p w:rsidR="00000000" w:rsidRDefault="00D33C21">
      <w:pPr>
        <w:pStyle w:val="a3"/>
        <w:shd w:val="clear" w:color="auto" w:fill="FFFFFF"/>
        <w:spacing w:before="360" w:beforeAutospacing="0" w:after="0" w:afterAutospacing="0"/>
        <w:jc w:val="both"/>
        <w:rPr>
          <w:b/>
          <w:bCs/>
          <w:color w:val="000000"/>
          <w:sz w:val="20"/>
          <w:szCs w:val="20"/>
        </w:rPr>
      </w:pPr>
      <w:r>
        <w:rPr>
          <w:b/>
          <w:bCs/>
          <w:color w:val="000000"/>
          <w:sz w:val="20"/>
          <w:szCs w:val="20"/>
        </w:rPr>
        <w:t>Risks Related to Our Financial Position and Need For Additional Capital</w:t>
      </w:r>
    </w:p>
    <w:p w:rsidR="00000000" w:rsidRDefault="00D33C21">
      <w:pPr>
        <w:pStyle w:val="a3"/>
        <w:shd w:val="clear" w:color="auto" w:fill="FFFFFF"/>
        <w:spacing w:before="120" w:beforeAutospacing="0" w:after="0" w:afterAutospacing="0"/>
        <w:ind w:left="238"/>
        <w:jc w:val="both"/>
        <w:rPr>
          <w:b/>
          <w:bCs/>
          <w:i/>
          <w:iCs/>
          <w:color w:val="000000"/>
          <w:sz w:val="20"/>
          <w:szCs w:val="20"/>
        </w:rPr>
      </w:pPr>
      <w:r>
        <w:rPr>
          <w:b/>
          <w:bCs/>
          <w:i/>
          <w:iCs/>
          <w:color w:val="000000"/>
          <w:sz w:val="20"/>
          <w:szCs w:val="20"/>
        </w:rPr>
        <w:t>We have incurred signif</w:t>
      </w:r>
      <w:r>
        <w:rPr>
          <w:b/>
          <w:bCs/>
          <w:i/>
          <w:iCs/>
          <w:color w:val="000000"/>
          <w:sz w:val="20"/>
          <w:szCs w:val="20"/>
        </w:rPr>
        <w:t>icant operating losses since inception and expect to continue to incur substantial operating losses for the foreseeable future. These factors raise substantial doubt about our ability to continue as a going concern if we are unsuccessful raising additional</w:t>
      </w:r>
      <w:r>
        <w:rPr>
          <w:b/>
          <w:bCs/>
          <w:i/>
          <w:iCs/>
          <w:color w:val="000000"/>
          <w:sz w:val="20"/>
          <w:szCs w:val="20"/>
        </w:rPr>
        <w:t xml:space="preserve"> capital.</w:t>
      </w:r>
    </w:p>
    <w:p w:rsidR="00000000" w:rsidRDefault="00D33C21">
      <w:pPr>
        <w:pStyle w:val="a3"/>
        <w:shd w:val="clear" w:color="auto" w:fill="FFFFFF"/>
        <w:spacing w:before="120" w:beforeAutospacing="0" w:after="0" w:afterAutospacing="0"/>
        <w:ind w:firstLine="556"/>
        <w:jc w:val="both"/>
        <w:rPr>
          <w:color w:val="000000"/>
          <w:sz w:val="20"/>
          <w:szCs w:val="20"/>
        </w:rPr>
      </w:pPr>
      <w:r>
        <w:rPr>
          <w:color w:val="000000"/>
          <w:sz w:val="20"/>
          <w:szCs w:val="20"/>
        </w:rPr>
        <w:t>Since inception in April 2014, we have incurred significant operating losses. Our net loss for the six months ended June 30, 2019 and 2018 was $26.9 million and $26.1 million, respectively. As of June 30, 2019, we had an accumulated deficit of $1</w:t>
      </w:r>
      <w:r>
        <w:rPr>
          <w:color w:val="000000"/>
          <w:sz w:val="20"/>
          <w:szCs w:val="20"/>
        </w:rPr>
        <w:t>79.6 million. We expect to continue to incur significant expenses and increasing operating losses for the foreseeable future. Since inception, we have devoted substantially all of our efforts to research and preclinical and clinical development of our drug</w:t>
      </w:r>
      <w:r>
        <w:rPr>
          <w:color w:val="000000"/>
          <w:sz w:val="20"/>
          <w:szCs w:val="20"/>
        </w:rPr>
        <w:t xml:space="preserve"> candidates, as well as hiring employees and building our infrastructure. It could be several years, if ever, before we have a commercialized drug. The net losses we incur may fluctuate significantly from quarter to quarter and year to year. We anticipate </w:t>
      </w:r>
      <w:r>
        <w:rPr>
          <w:color w:val="000000"/>
          <w:sz w:val="20"/>
          <w:szCs w:val="20"/>
        </w:rPr>
        <w:t>that our expenses will increase substantially if, and as, we: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continue the ongoing and planned preclinical and clinical development of our drug candidates;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continue to build a portfolio of drug candidates through the acquisition or in-license of drugs, drug candidates or technologies;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initiate preclinical studies and clinical trials for any additional drug candidates that we may pursue in the future;</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seek marketing approvals for our current and future drug candidates that successfully complete clinical trials;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establish a sales, marketing and distribution infrastructure to commercialize any drug candidate for which we may obtain marketing approval;</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develop, maintain, expand and protect our intellectual property portfolio;</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implement operational, finan</w:t>
            </w:r>
            <w:r>
              <w:rPr>
                <w:sz w:val="20"/>
                <w:szCs w:val="20"/>
              </w:rPr>
              <w:t>cial and management systems; and</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attract, hire and retain additional administrative, clinical, regulatory and scientific personnel.</w:t>
            </w:r>
          </w:p>
        </w:tc>
      </w:tr>
    </w:tbl>
    <w:p w:rsidR="00000000" w:rsidRDefault="00D33C21">
      <w:pPr>
        <w:pStyle w:val="a3"/>
        <w:spacing w:before="240" w:beforeAutospacing="0" w:after="0" w:afterAutospacing="0"/>
        <w:jc w:val="center"/>
        <w:rPr>
          <w:sz w:val="20"/>
          <w:szCs w:val="20"/>
        </w:rPr>
      </w:pPr>
      <w:r>
        <w:rPr>
          <w:sz w:val="20"/>
          <w:szCs w:val="20"/>
        </w:rPr>
        <w:t>26</w:t>
      </w:r>
    </w:p>
    <w:p w:rsidR="00000000" w:rsidRDefault="00D33C21">
      <w:pPr>
        <w:rPr>
          <w:rFonts w:eastAsia="Times New Roman"/>
        </w:rPr>
      </w:pPr>
      <w:r>
        <w:rPr>
          <w:rFonts w:eastAsia="Times New Roman"/>
        </w:rPr>
        <w:pict>
          <v:rect id="_x0000_i1051"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ind w:firstLine="556"/>
        <w:jc w:val="both"/>
        <w:rPr>
          <w:color w:val="000000"/>
          <w:sz w:val="20"/>
          <w:szCs w:val="20"/>
        </w:rPr>
      </w:pPr>
      <w:bookmarkStart w:id="47" w:name="_AEIOULastRenderedPageBreakAEIOU26"/>
      <w:bookmarkEnd w:id="47"/>
      <w:r>
        <w:rPr>
          <w:color w:val="000000"/>
          <w:sz w:val="20"/>
          <w:szCs w:val="20"/>
        </w:rPr>
        <w:t xml:space="preserve">We believe that our existing cash and cash equivalents </w:t>
      </w:r>
      <w:r>
        <w:rPr>
          <w:color w:val="000000"/>
          <w:sz w:val="20"/>
          <w:szCs w:val="20"/>
        </w:rPr>
        <w:t>may not be sufficient to fund our current and planned operations through the 12 months following the date of this quarterly report on Form 10-Q, which raises substantial doubt about our ability to continue as a going concern. Substantial doubt about our ab</w:t>
      </w:r>
      <w:r>
        <w:rPr>
          <w:color w:val="000000"/>
          <w:sz w:val="20"/>
          <w:szCs w:val="20"/>
        </w:rPr>
        <w:t>ility to continue as a going concern may create negative reactions to the price of our common stock.  If we are unable to continue as a going concern, we may have to liquidate our assets and may receive less than the value at which those assets are carried</w:t>
      </w:r>
      <w:r>
        <w:rPr>
          <w:color w:val="000000"/>
          <w:sz w:val="20"/>
          <w:szCs w:val="20"/>
        </w:rPr>
        <w:t xml:space="preserve"> on our financial statements, and it is likely that investors will lose all or a part of their investment. Further, the perception that we may be unable to continue as a going concern may impede our ability to pursue strategic opportunities or operate our </w:t>
      </w:r>
      <w:r>
        <w:rPr>
          <w:color w:val="000000"/>
          <w:sz w:val="20"/>
          <w:szCs w:val="20"/>
        </w:rPr>
        <w:t>business due to concerns regarding our ability to discharge our contractual obligations. In addition, if there remains substantial doubt about our ability to continue as a going concern, investors or other financing sources may be unwilling to provide addi</w:t>
      </w:r>
      <w:r>
        <w:rPr>
          <w:color w:val="000000"/>
          <w:sz w:val="20"/>
          <w:szCs w:val="20"/>
        </w:rPr>
        <w:t>tional funding to us on commercially reasonable terms, or at all.</w:t>
      </w:r>
    </w:p>
    <w:p w:rsidR="00000000" w:rsidRDefault="00D33C21">
      <w:pPr>
        <w:pStyle w:val="a3"/>
        <w:shd w:val="clear" w:color="auto" w:fill="FFFFFF"/>
        <w:spacing w:before="240" w:beforeAutospacing="0" w:after="0" w:afterAutospacing="0"/>
        <w:ind w:firstLine="556"/>
        <w:jc w:val="both"/>
        <w:rPr>
          <w:color w:val="000000"/>
          <w:sz w:val="20"/>
          <w:szCs w:val="20"/>
        </w:rPr>
      </w:pPr>
      <w:r>
        <w:rPr>
          <w:color w:val="000000"/>
          <w:sz w:val="20"/>
          <w:szCs w:val="20"/>
        </w:rPr>
        <w:t>In addition, because of the numerous risks and uncertainties associated with pharmaceutical products and development, we are unable to accurately predict the timing or amount of increased ex</w:t>
      </w:r>
      <w:r>
        <w:rPr>
          <w:color w:val="000000"/>
          <w:sz w:val="20"/>
          <w:szCs w:val="20"/>
        </w:rPr>
        <w:t>penses or when, or if, we will be able to achieve profitability. Our expenses could increase and profitability could be further delayed if we decide to or are required by the FDA, or other regulatory authorities such as the European Medicines Agency (“EMA”</w:t>
      </w:r>
      <w:r>
        <w:rPr>
          <w:color w:val="000000"/>
          <w:sz w:val="20"/>
          <w:szCs w:val="20"/>
        </w:rPr>
        <w:t xml:space="preserve">), to perform studies or trials in addition to those currently expected, or if there are any delays in the development, or in the completion of any planned or future preclinical studies or clinical trials of our current and future drug candidates. Even if </w:t>
      </w:r>
      <w:r>
        <w:rPr>
          <w:color w:val="000000"/>
          <w:sz w:val="20"/>
          <w:szCs w:val="20"/>
        </w:rPr>
        <w:t>we complete the development and regulatory processes described above, we anticipate incurring significant costs associated with launching and commercializing our current and future drug candidates.</w:t>
      </w:r>
    </w:p>
    <w:p w:rsidR="00000000" w:rsidRDefault="00D33C21">
      <w:pPr>
        <w:pStyle w:val="a3"/>
        <w:shd w:val="clear" w:color="auto" w:fill="FFFFFF"/>
        <w:spacing w:before="240" w:beforeAutospacing="0" w:after="0" w:afterAutospacing="0"/>
        <w:ind w:firstLine="556"/>
        <w:jc w:val="both"/>
        <w:rPr>
          <w:color w:val="000000"/>
          <w:sz w:val="20"/>
          <w:szCs w:val="20"/>
        </w:rPr>
      </w:pPr>
      <w:r>
        <w:rPr>
          <w:color w:val="000000"/>
          <w:sz w:val="20"/>
          <w:szCs w:val="20"/>
        </w:rPr>
        <w:t>Even if we do achieve profitability, we may not be able to</w:t>
      </w:r>
      <w:r>
        <w:rPr>
          <w:color w:val="000000"/>
          <w:sz w:val="20"/>
          <w:szCs w:val="20"/>
        </w:rPr>
        <w:t xml:space="preserve"> sustain or increase profitability on a quarterly or annual basis. Our failure to become and remain profitable would decrease the value of our company and could impair our ability to raise capital, maintain our research and development efforts, expand our </w:t>
      </w:r>
      <w:r>
        <w:rPr>
          <w:color w:val="000000"/>
          <w:sz w:val="20"/>
          <w:szCs w:val="20"/>
        </w:rPr>
        <w:t>business or continue our operations.</w:t>
      </w:r>
    </w:p>
    <w:p w:rsidR="00000000" w:rsidRDefault="00D33C21">
      <w:pPr>
        <w:pStyle w:val="a3"/>
        <w:spacing w:before="360" w:beforeAutospacing="0" w:after="0" w:afterAutospacing="0"/>
        <w:ind w:left="238"/>
        <w:jc w:val="both"/>
        <w:rPr>
          <w:b/>
          <w:bCs/>
          <w:i/>
          <w:iCs/>
          <w:sz w:val="20"/>
          <w:szCs w:val="20"/>
        </w:rPr>
      </w:pPr>
      <w:r>
        <w:rPr>
          <w:b/>
          <w:bCs/>
          <w:i/>
          <w:iCs/>
          <w:sz w:val="20"/>
          <w:szCs w:val="20"/>
        </w:rPr>
        <w:t>We have a limited operating history and have never generated any revenue from drug sales. Our limited operating history may make it difficult to evaluate the success of our business to date and to assess our future viab</w:t>
      </w:r>
      <w:r>
        <w:rPr>
          <w:b/>
          <w:bCs/>
          <w:i/>
          <w:iCs/>
          <w:sz w:val="20"/>
          <w:szCs w:val="20"/>
        </w:rPr>
        <w:t xml:space="preserve">ility. </w:t>
      </w:r>
    </w:p>
    <w:p w:rsidR="00000000" w:rsidRDefault="00D33C21">
      <w:pPr>
        <w:pStyle w:val="a3"/>
        <w:spacing w:before="120" w:beforeAutospacing="0" w:after="0" w:afterAutospacing="0"/>
        <w:ind w:firstLine="556"/>
        <w:jc w:val="both"/>
        <w:rPr>
          <w:sz w:val="20"/>
          <w:szCs w:val="20"/>
        </w:rPr>
      </w:pPr>
      <w:r>
        <w:rPr>
          <w:sz w:val="20"/>
          <w:szCs w:val="20"/>
        </w:rPr>
        <w:t xml:space="preserve">We are a clinical-stage company founded in April 2014. Our operations have consumed substantial amounts of cash since our inception, primarily due to organizing and staffing our company, business planning, raising capital, acquiring assets and undertaking </w:t>
      </w:r>
      <w:r>
        <w:rPr>
          <w:sz w:val="20"/>
          <w:szCs w:val="20"/>
        </w:rPr>
        <w:t>the development of OV101 and OV935. We have not yet demonstrated the ability to, obtain marketing approvals, manufacture a commercial-scale drug or conduct sales and marketing activities necessary for successful commercialization. Consequently, any predict</w:t>
      </w:r>
      <w:r>
        <w:rPr>
          <w:sz w:val="20"/>
          <w:szCs w:val="20"/>
        </w:rPr>
        <w:t xml:space="preserve">ions about our future success or viability may not be as accurate as they could be if we had more experience developing drug candidates. </w:t>
      </w:r>
    </w:p>
    <w:p w:rsidR="00000000" w:rsidRDefault="00D33C21">
      <w:pPr>
        <w:pStyle w:val="a3"/>
        <w:spacing w:before="240" w:beforeAutospacing="0" w:after="0" w:afterAutospacing="0"/>
        <w:ind w:firstLine="556"/>
        <w:jc w:val="both"/>
        <w:rPr>
          <w:sz w:val="20"/>
          <w:szCs w:val="20"/>
        </w:rPr>
      </w:pPr>
      <w:r>
        <w:rPr>
          <w:sz w:val="20"/>
          <w:szCs w:val="20"/>
        </w:rPr>
        <w:t>Our ability to generate revenue from drug sales and achieve profitability depends on our ability, alone or with any cu</w:t>
      </w:r>
      <w:r>
        <w:rPr>
          <w:sz w:val="20"/>
          <w:szCs w:val="20"/>
        </w:rPr>
        <w:t>rrent or future collaborative partners, to successfully complete the development of, and obtain the regulatory approvals necessary to commercialize, our current and future drug candidates. We do not anticipate generating revenue from drug sales for the nex</w:t>
      </w:r>
      <w:r>
        <w:rPr>
          <w:sz w:val="20"/>
          <w:szCs w:val="20"/>
        </w:rPr>
        <w:t xml:space="preserve">t several years, if ever. Our ability to generate revenue from drug sales depends heavily on our, or any current or future collaborators’, success in: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timely and successfully completing preclinical and clinical development of our current and future dr</w:t>
            </w:r>
            <w:r>
              <w:rPr>
                <w:sz w:val="20"/>
                <w:szCs w:val="20"/>
              </w:rPr>
              <w:t>ug candidates;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obtaining regulatory approvals for our current and future drug candidates for which we successfully complete clinical trials;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launching and commercializing any drug candidates for which we obtain regulatory approval by establishing a sales force, ma</w:t>
            </w:r>
            <w:r>
              <w:rPr>
                <w:sz w:val="20"/>
                <w:szCs w:val="20"/>
              </w:rPr>
              <w:t>rketing and distribution infrastructure or, alternatively, collaborating with a commercialization partner;</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qualifying for coverage and adequate reimbursement by government and third-party payors for any drug candidates for which we obtain regulatory </w:t>
            </w:r>
            <w:r>
              <w:rPr>
                <w:sz w:val="20"/>
                <w:szCs w:val="20"/>
              </w:rPr>
              <w:t>approval, both in the United States and internationally;</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developing, validating and maintaining a commercially viable, sustainable, scalable, reproducible and transferable manufacturing process for our current and future drug candidates that is compl</w:t>
            </w:r>
            <w:r>
              <w:rPr>
                <w:sz w:val="20"/>
                <w:szCs w:val="20"/>
              </w:rPr>
              <w:t>iant with current good manufacturing practices, (“cGMP”);</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establishing and maintaining supply and manufacturing relationships with third parties that can provide an adequate amount and quality of drugs and services to support clinical development, as well as the market demand for our current and future drug candi</w:t>
            </w:r>
            <w:r>
              <w:rPr>
                <w:sz w:val="20"/>
                <w:szCs w:val="20"/>
              </w:rPr>
              <w:t>dates, if approved;</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obtaining market acceptance, if and when approved, of our current or any future drug candidates as a viable treatment option by physicians, patients, third-party payors and others in the medical community;</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effectively addres</w:t>
            </w:r>
            <w:r>
              <w:rPr>
                <w:sz w:val="20"/>
                <w:szCs w:val="20"/>
              </w:rPr>
              <w:t>sing any competing technological and market developments;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implementing additional internal systems and infrastructure, as needed;</w:t>
            </w:r>
          </w:p>
        </w:tc>
      </w:tr>
    </w:tbl>
    <w:p w:rsidR="00000000" w:rsidRDefault="00D33C21">
      <w:pPr>
        <w:pStyle w:val="a3"/>
        <w:spacing w:before="240" w:beforeAutospacing="0" w:after="0" w:afterAutospacing="0"/>
        <w:jc w:val="center"/>
        <w:rPr>
          <w:sz w:val="20"/>
          <w:szCs w:val="20"/>
        </w:rPr>
      </w:pPr>
      <w:r>
        <w:rPr>
          <w:sz w:val="20"/>
          <w:szCs w:val="20"/>
        </w:rPr>
        <w:t>27</w:t>
      </w:r>
    </w:p>
    <w:p w:rsidR="00000000" w:rsidRDefault="00D33C21">
      <w:pPr>
        <w:rPr>
          <w:rFonts w:eastAsia="Times New Roman"/>
        </w:rPr>
      </w:pPr>
      <w:r>
        <w:rPr>
          <w:rFonts w:eastAsia="Times New Roman"/>
        </w:rPr>
        <w:pict>
          <v:rect id="_x0000_i1052"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bookmarkStart w:id="48" w:name="_AEIOULastRenderedPageBreakAEIOU27"/>
            <w:bookmarkEnd w:id="48"/>
            <w:r>
              <w:rPr>
                <w:sz w:val="20"/>
                <w:szCs w:val="20"/>
              </w:rPr>
              <w:t>negotiating favorable terms in any collaboration, licensing or other arrangements into which we may enter and performing our obligations pursuant to such arrangements;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our ability to obtain and maintain orphan drug exclusivity for any of our current </w:t>
            </w:r>
            <w:r>
              <w:rPr>
                <w:sz w:val="20"/>
                <w:szCs w:val="20"/>
              </w:rPr>
              <w:t>and future drug candidates for which we obtain regulatory approval;</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maintaining, protecting and expanding our portfolio of intellectual property rights, including patents, trade secrets and know-how;</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avoiding and defending against third-party i</w:t>
            </w:r>
            <w:r>
              <w:rPr>
                <w:sz w:val="20"/>
                <w:szCs w:val="20"/>
              </w:rPr>
              <w:t>nterference or infringement claims; and</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securing appropriate pricing in the United States, the European Union and other countries.</w:t>
            </w:r>
          </w:p>
        </w:tc>
      </w:tr>
    </w:tbl>
    <w:p w:rsidR="00000000" w:rsidRDefault="00D33C21">
      <w:pPr>
        <w:pStyle w:val="a3"/>
        <w:spacing w:before="240" w:beforeAutospacing="0" w:after="0" w:afterAutospacing="0"/>
        <w:ind w:firstLine="556"/>
        <w:jc w:val="both"/>
        <w:rPr>
          <w:sz w:val="20"/>
          <w:szCs w:val="20"/>
        </w:rPr>
      </w:pPr>
      <w:r>
        <w:rPr>
          <w:sz w:val="20"/>
          <w:szCs w:val="20"/>
        </w:rPr>
        <w:t>We expect our financial condition and operating results to continue to fluctuate from quarter to quarter and year to year due to a variety of factors, many of which are beyond our control. We will need to eventually transition from a company with a researc</w:t>
      </w:r>
      <w:r>
        <w:rPr>
          <w:sz w:val="20"/>
          <w:szCs w:val="20"/>
        </w:rPr>
        <w:t>h and development focus to a company capable of undertaking commercial activities. We may encounter unforeseen expenses, difficulties, complications and delays and may not be successful in such a transition.</w:t>
      </w:r>
    </w:p>
    <w:p w:rsidR="00000000" w:rsidRDefault="00D33C21">
      <w:pPr>
        <w:pStyle w:val="a3"/>
        <w:spacing w:before="360" w:beforeAutospacing="0" w:after="0" w:afterAutospacing="0"/>
        <w:ind w:left="238"/>
        <w:jc w:val="both"/>
        <w:rPr>
          <w:b/>
          <w:bCs/>
          <w:i/>
          <w:iCs/>
          <w:sz w:val="20"/>
          <w:szCs w:val="20"/>
        </w:rPr>
      </w:pPr>
      <w:r>
        <w:rPr>
          <w:b/>
          <w:bCs/>
          <w:i/>
          <w:iCs/>
          <w:sz w:val="20"/>
          <w:szCs w:val="20"/>
        </w:rPr>
        <w:t>We will require additional capital to finance ou</w:t>
      </w:r>
      <w:r>
        <w:rPr>
          <w:b/>
          <w:bCs/>
          <w:i/>
          <w:iCs/>
          <w:sz w:val="20"/>
          <w:szCs w:val="20"/>
        </w:rPr>
        <w:t xml:space="preserve">r operations, which may not be available on acceptable terms, if at all. Failure to obtain this necessary capital when needed may force us to delay, limit or terminate certain of our drug development efforts or other operations. </w:t>
      </w:r>
    </w:p>
    <w:p w:rsidR="00000000" w:rsidRDefault="00D33C21">
      <w:pPr>
        <w:pStyle w:val="a3"/>
        <w:spacing w:before="120" w:beforeAutospacing="0" w:after="0" w:afterAutospacing="0"/>
        <w:ind w:firstLine="556"/>
        <w:jc w:val="both"/>
        <w:rPr>
          <w:sz w:val="20"/>
          <w:szCs w:val="20"/>
        </w:rPr>
      </w:pPr>
      <w:r>
        <w:rPr>
          <w:sz w:val="20"/>
          <w:szCs w:val="20"/>
        </w:rPr>
        <w:t>Our operations have consum</w:t>
      </w:r>
      <w:r>
        <w:rPr>
          <w:sz w:val="20"/>
          <w:szCs w:val="20"/>
        </w:rPr>
        <w:t>ed substantial amounts of cash since our inception. We expect our expenses to increase in connection with our ongoing and planned activities, particularly as we continue to develop and commercialize our drug candidates, in addition to costs associated with</w:t>
      </w:r>
      <w:r>
        <w:rPr>
          <w:sz w:val="20"/>
          <w:szCs w:val="20"/>
        </w:rPr>
        <w:t xml:space="preserve"> the acquisition or in-licensing of any additional drug candidates we may pursue. Our expenses could increase beyond expectations if the FDA or other regulatory authorities require us to perform clinical and other studies in addition to those that we curre</w:t>
      </w:r>
      <w:r>
        <w:rPr>
          <w:sz w:val="20"/>
          <w:szCs w:val="20"/>
        </w:rPr>
        <w:t>ntly anticipate. In addition, if we obtain marketing approval for our drug candidates, we expect to incur significant expenses related to manufacturing, marketing, sales and distribution. Furthermore, we expect to incur additional costs associated with ope</w:t>
      </w:r>
      <w:r>
        <w:rPr>
          <w:sz w:val="20"/>
          <w:szCs w:val="20"/>
        </w:rPr>
        <w:t xml:space="preserve">rating as a public company. </w:t>
      </w:r>
    </w:p>
    <w:p w:rsidR="00000000" w:rsidRDefault="00D33C21">
      <w:pPr>
        <w:pStyle w:val="a3"/>
        <w:spacing w:before="240" w:beforeAutospacing="0" w:after="0" w:afterAutospacing="0"/>
        <w:ind w:firstLine="556"/>
        <w:jc w:val="both"/>
        <w:rPr>
          <w:sz w:val="20"/>
          <w:szCs w:val="20"/>
        </w:rPr>
      </w:pPr>
      <w:r>
        <w:rPr>
          <w:sz w:val="20"/>
          <w:szCs w:val="20"/>
        </w:rPr>
        <w:t>As of June 30, 2019, our cash and cash equivalents was $47.4 million. We believe that our existing cash and cash equivalents may not be sufficient to fund our current operating plans through at least 12 months from the filing o</w:t>
      </w:r>
      <w:r>
        <w:rPr>
          <w:sz w:val="20"/>
          <w:szCs w:val="20"/>
        </w:rPr>
        <w:t xml:space="preserve">f this Quarterly Report on Form 10-Q. </w:t>
      </w:r>
    </w:p>
    <w:p w:rsidR="00000000" w:rsidRDefault="00D33C21">
      <w:pPr>
        <w:pStyle w:val="a3"/>
        <w:spacing w:before="240" w:beforeAutospacing="0" w:after="0" w:afterAutospacing="0"/>
        <w:ind w:firstLine="556"/>
        <w:jc w:val="both"/>
        <w:rPr>
          <w:sz w:val="20"/>
          <w:szCs w:val="20"/>
        </w:rPr>
      </w:pPr>
      <w:r>
        <w:rPr>
          <w:sz w:val="20"/>
          <w:szCs w:val="20"/>
        </w:rPr>
        <w:t>We will require more capital to pursue our preclinical and clinical activities, regulatory approval and the commercialization of our current or future drug candidates. Any additional capital raising efforts may divert</w:t>
      </w:r>
      <w:r>
        <w:rPr>
          <w:sz w:val="20"/>
          <w:szCs w:val="20"/>
        </w:rPr>
        <w:t xml:space="preserve"> our management from their day-to-day activities, which may adversely affect our ability to develop and commercialize our current and future drug candidates. </w:t>
      </w:r>
    </w:p>
    <w:p w:rsidR="00000000" w:rsidRDefault="00D33C21">
      <w:pPr>
        <w:pStyle w:val="a3"/>
        <w:spacing w:before="240" w:beforeAutospacing="0" w:after="0" w:afterAutospacing="0"/>
        <w:ind w:firstLine="556"/>
        <w:jc w:val="both"/>
        <w:rPr>
          <w:sz w:val="20"/>
          <w:szCs w:val="20"/>
        </w:rPr>
      </w:pPr>
      <w:r>
        <w:rPr>
          <w:sz w:val="20"/>
          <w:szCs w:val="20"/>
        </w:rPr>
        <w:t>If we do not raise additional capital in sufficient amounts, or on terms acceptable to us, we may</w:t>
      </w:r>
      <w:r>
        <w:rPr>
          <w:sz w:val="20"/>
          <w:szCs w:val="20"/>
        </w:rPr>
        <w:t xml:space="preserve"> be prevented from pursuing development and commercialization efforts, which will harm our business, operating results and prospects. </w:t>
      </w:r>
    </w:p>
    <w:p w:rsidR="00000000" w:rsidRDefault="00D33C21">
      <w:pPr>
        <w:pStyle w:val="a3"/>
        <w:spacing w:before="360" w:beforeAutospacing="0" w:after="0" w:afterAutospacing="0"/>
        <w:ind w:left="238"/>
        <w:jc w:val="both"/>
        <w:rPr>
          <w:b/>
          <w:bCs/>
          <w:i/>
          <w:iCs/>
          <w:sz w:val="20"/>
          <w:szCs w:val="20"/>
        </w:rPr>
      </w:pPr>
      <w:r>
        <w:rPr>
          <w:b/>
          <w:bCs/>
          <w:i/>
          <w:iCs/>
          <w:sz w:val="20"/>
          <w:szCs w:val="20"/>
        </w:rPr>
        <w:t>Raising additional capital or acquiring or licensing assets by issuing equity or debt securities may cause dilution to ou</w:t>
      </w:r>
      <w:r>
        <w:rPr>
          <w:b/>
          <w:bCs/>
          <w:i/>
          <w:iCs/>
          <w:sz w:val="20"/>
          <w:szCs w:val="20"/>
        </w:rPr>
        <w:t xml:space="preserve">r stockholders, and raising funds through lending and licensing arrangements may restrict our operations or require us to relinquish proprietary rights. </w:t>
      </w:r>
    </w:p>
    <w:p w:rsidR="00000000" w:rsidRDefault="00D33C21">
      <w:pPr>
        <w:pStyle w:val="a3"/>
        <w:spacing w:before="120" w:beforeAutospacing="0" w:after="0" w:afterAutospacing="0"/>
        <w:ind w:firstLine="556"/>
        <w:jc w:val="both"/>
        <w:rPr>
          <w:sz w:val="20"/>
          <w:szCs w:val="20"/>
        </w:rPr>
      </w:pPr>
      <w:r>
        <w:rPr>
          <w:sz w:val="20"/>
          <w:szCs w:val="20"/>
        </w:rPr>
        <w:t xml:space="preserve">Until such time as we can generate substantial revenue from drug sales, if ever, we expect to finance </w:t>
      </w:r>
      <w:r>
        <w:rPr>
          <w:sz w:val="20"/>
          <w:szCs w:val="20"/>
        </w:rPr>
        <w:t>our cash needs through a combination of equity and debt financings, strategic alliances, and license and development agreements in connection with any collaborations. We do not have any committed external source of funds. To the extent that we issue additi</w:t>
      </w:r>
      <w:r>
        <w:rPr>
          <w:sz w:val="20"/>
          <w:szCs w:val="20"/>
        </w:rPr>
        <w:t>onal equity securities, our stockholders may experience substantial dilution, and the terms of these securities may include liquidation or other preferences that adversely affect your rights as a stockholder. In addition, we may issue equity or debt securi</w:t>
      </w:r>
      <w:r>
        <w:rPr>
          <w:sz w:val="20"/>
          <w:szCs w:val="20"/>
        </w:rPr>
        <w:t>ties as consideration for obtaining rights to additional compounds. For example, in our arrangement with Takeda, upon the achievement of a certain development milestone, we will be obligated to issue to Takeda additional securities equal to up to 8% of our</w:t>
      </w:r>
      <w:r>
        <w:rPr>
          <w:sz w:val="20"/>
          <w:szCs w:val="20"/>
        </w:rPr>
        <w:t xml:space="preserve"> outstanding capital stock in certain situations which will dilute our stockholders. In addition, further dilution may occur if we elect to issue shares of common stock to Takeda as payment for the remaining potential global commercial and regulatory miles</w:t>
      </w:r>
      <w:r>
        <w:rPr>
          <w:sz w:val="20"/>
          <w:szCs w:val="20"/>
        </w:rPr>
        <w:t xml:space="preserve">tone payments, which aggregate to approximately $35.0 million. </w:t>
      </w:r>
    </w:p>
    <w:p w:rsidR="00000000" w:rsidRDefault="00D33C21">
      <w:pPr>
        <w:pStyle w:val="a3"/>
        <w:spacing w:before="240" w:beforeAutospacing="0" w:after="0" w:afterAutospacing="0"/>
        <w:ind w:firstLine="556"/>
        <w:jc w:val="both"/>
        <w:rPr>
          <w:sz w:val="20"/>
          <w:szCs w:val="20"/>
        </w:rPr>
      </w:pPr>
      <w:bookmarkStart w:id="49" w:name="_AEIOULastRenderedPageBreakAEIOU28"/>
      <w:bookmarkEnd w:id="49"/>
      <w:r>
        <w:rPr>
          <w:sz w:val="20"/>
          <w:szCs w:val="20"/>
        </w:rPr>
        <w:t>Debt and equity financings, if available, may involve agreements that include covenants limiting or restricting our ability to take specific actions, such as redeeming our shares, making inves</w:t>
      </w:r>
      <w:r>
        <w:rPr>
          <w:sz w:val="20"/>
          <w:szCs w:val="20"/>
        </w:rPr>
        <w:t>tments, issuing additional equity, incurring additional debt, making capital expenditures, declaring dividends or placing limitations on our ability to acquire, sell or license intellectual property rights and other operating restrictions that could negati</w:t>
      </w:r>
      <w:r>
        <w:rPr>
          <w:sz w:val="20"/>
          <w:szCs w:val="20"/>
        </w:rPr>
        <w:t xml:space="preserve">vely impact our ability to conduct our business. If we raise additional capital through future collaborations, strategic alliances or third-party licensing arrangements, we may have to relinquish valuable rights to our </w:t>
      </w:r>
    </w:p>
    <w:p w:rsidR="00000000" w:rsidRDefault="00D33C21">
      <w:pPr>
        <w:pStyle w:val="a3"/>
        <w:spacing w:before="240" w:beforeAutospacing="0" w:after="0" w:afterAutospacing="0"/>
        <w:jc w:val="center"/>
        <w:rPr>
          <w:sz w:val="20"/>
          <w:szCs w:val="20"/>
        </w:rPr>
      </w:pPr>
      <w:r>
        <w:rPr>
          <w:sz w:val="20"/>
          <w:szCs w:val="20"/>
        </w:rPr>
        <w:t>28</w:t>
      </w:r>
    </w:p>
    <w:p w:rsidR="00000000" w:rsidRDefault="00D33C21">
      <w:pPr>
        <w:rPr>
          <w:rFonts w:eastAsia="Times New Roman"/>
        </w:rPr>
      </w:pPr>
      <w:r>
        <w:rPr>
          <w:rFonts w:eastAsia="Times New Roman"/>
        </w:rPr>
        <w:pict>
          <v:rect id="_x0000_i1053"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both"/>
        <w:rPr>
          <w:sz w:val="20"/>
          <w:szCs w:val="20"/>
        </w:rPr>
      </w:pPr>
      <w:r>
        <w:rPr>
          <w:sz w:val="20"/>
          <w:szCs w:val="20"/>
        </w:rPr>
        <w:t xml:space="preserve">intellectual property, future revenue streams, research programs or drug candidates, or grant licenses on </w:t>
      </w:r>
      <w:r>
        <w:rPr>
          <w:sz w:val="20"/>
          <w:szCs w:val="20"/>
        </w:rPr>
        <w:t xml:space="preserve">terms that may not be favorable to us. </w:t>
      </w:r>
    </w:p>
    <w:p w:rsidR="00000000" w:rsidRDefault="00D33C21">
      <w:pPr>
        <w:pStyle w:val="a3"/>
        <w:spacing w:before="240" w:beforeAutospacing="0" w:after="0" w:afterAutospacing="0"/>
        <w:ind w:firstLine="556"/>
        <w:jc w:val="both"/>
        <w:rPr>
          <w:sz w:val="20"/>
          <w:szCs w:val="20"/>
        </w:rPr>
      </w:pPr>
      <w:r>
        <w:rPr>
          <w:sz w:val="20"/>
          <w:szCs w:val="20"/>
        </w:rPr>
        <w:t>If we are unable to raise additional capital when needed, we may be required to delay, limit, reduce or terminate our drug development or future commercialization efforts, or grant rights to develop and market drug candidates that we would otherwise develo</w:t>
      </w:r>
      <w:r>
        <w:rPr>
          <w:sz w:val="20"/>
          <w:szCs w:val="20"/>
        </w:rPr>
        <w:t xml:space="preserve">p and market ourselves. </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We may be required to make significant payments in connection with our licenses of OV101 from Lundbeck and OV935 from Takeda. </w:t>
      </w:r>
    </w:p>
    <w:p w:rsidR="00000000" w:rsidRDefault="00D33C21">
      <w:pPr>
        <w:pStyle w:val="a3"/>
        <w:spacing w:before="120" w:beforeAutospacing="0" w:after="0" w:afterAutospacing="0"/>
        <w:ind w:firstLine="556"/>
        <w:jc w:val="both"/>
        <w:rPr>
          <w:sz w:val="20"/>
          <w:szCs w:val="20"/>
        </w:rPr>
      </w:pPr>
      <w:r>
        <w:rPr>
          <w:sz w:val="20"/>
          <w:szCs w:val="20"/>
        </w:rPr>
        <w:t xml:space="preserve">We acquired rights to OV101, pursuant to a license agreement with H. Lundbeck A/S (“Lundbeck”) in March </w:t>
      </w:r>
      <w:r>
        <w:rPr>
          <w:sz w:val="20"/>
          <w:szCs w:val="20"/>
        </w:rPr>
        <w:t>2015 (the “Lundbeck Agreement”), as amended on May 10, 2019. Under the Lundbeck Agreement, as amended, we are subject to significant obligations, including payment obligations upon achievement of specified milestones and royalties on drug sales, as well as</w:t>
      </w:r>
      <w:r>
        <w:rPr>
          <w:sz w:val="20"/>
          <w:szCs w:val="20"/>
        </w:rPr>
        <w:t xml:space="preserve"> other material obligations. We are obligated to pay Lundbeck milestone payments up to an aggregate of $189.0 million upon the achievement of certain development, regulatory and sales milestone events. In addition, we are obligated to pay Lundbeck tiered r</w:t>
      </w:r>
      <w:r>
        <w:rPr>
          <w:sz w:val="20"/>
          <w:szCs w:val="20"/>
        </w:rPr>
        <w:t xml:space="preserve">oyalties based on net sales of OV101. If these payments become due under the terms of the Lundbeck agreement, we may not have sufficient funds available to meet our obligations and our development efforts may be harmed. </w:t>
      </w:r>
    </w:p>
    <w:p w:rsidR="00000000" w:rsidRDefault="00D33C21">
      <w:pPr>
        <w:pStyle w:val="a3"/>
        <w:spacing w:before="240" w:beforeAutospacing="0" w:after="0" w:afterAutospacing="0"/>
        <w:ind w:firstLine="556"/>
        <w:jc w:val="both"/>
        <w:rPr>
          <w:sz w:val="20"/>
          <w:szCs w:val="20"/>
        </w:rPr>
      </w:pPr>
      <w:r>
        <w:rPr>
          <w:sz w:val="20"/>
          <w:szCs w:val="20"/>
        </w:rPr>
        <w:t>We also acquired rights to OV935 pu</w:t>
      </w:r>
      <w:r>
        <w:rPr>
          <w:sz w:val="20"/>
          <w:szCs w:val="20"/>
        </w:rPr>
        <w:t>rsuant to a license and collaboration agreement with Takeda (the “Takeda collaboration”) in January 2017. Under the Takeda collaboration, we are obligated to pay Takeda future payments upon achievement of specified milestones. Upon the first patient enroll</w:t>
      </w:r>
      <w:r>
        <w:rPr>
          <w:sz w:val="20"/>
          <w:szCs w:val="20"/>
        </w:rPr>
        <w:t>ment in the first Phase 3 trial for the first of the initial indications we and Takeda are focusing on pursuant to the Takeda collaboration, we are obligated to issue to Takeda the number of unregistered shares of our common stock equal to the lesser of (i</w:t>
      </w:r>
      <w:r>
        <w:rPr>
          <w:sz w:val="20"/>
          <w:szCs w:val="20"/>
        </w:rPr>
        <w:t>) 8% of our outstanding capital stock on the issuance date or (ii) $50.0 million divided by the applicable share price, unless certain events occur. The remaining potential global commercial and regulatory milestone payments equal approximately $35.0 milli</w:t>
      </w:r>
      <w:r>
        <w:rPr>
          <w:sz w:val="20"/>
          <w:szCs w:val="20"/>
        </w:rPr>
        <w:t>on and can be satisfied in cash or unregistered shares of our common stock at our election, unless certain events occur in which Takeda can require us to pay such payments in cash. In the event a payment settled in shares of our common stock would cause Ta</w:t>
      </w:r>
      <w:r>
        <w:rPr>
          <w:sz w:val="20"/>
          <w:szCs w:val="20"/>
        </w:rPr>
        <w:t>keda to own over 19.99% of our outstanding capital stock or other events occur, such payment must be paid in cash. If these payments become due under the terms of the Takeda collaboration and we can only pay, or choose to pay, these payments in cash, we ma</w:t>
      </w:r>
      <w:r>
        <w:rPr>
          <w:sz w:val="20"/>
          <w:szCs w:val="20"/>
        </w:rPr>
        <w:t xml:space="preserve">y not have sufficient funds available to meet our obligations and our development efforts may be harmed. </w:t>
      </w:r>
    </w:p>
    <w:p w:rsidR="00000000" w:rsidRDefault="00D33C21">
      <w:pPr>
        <w:pStyle w:val="a3"/>
        <w:spacing w:before="360" w:beforeAutospacing="0" w:after="0" w:afterAutospacing="0"/>
        <w:ind w:left="238"/>
        <w:jc w:val="both"/>
        <w:rPr>
          <w:b/>
          <w:bCs/>
          <w:i/>
          <w:iCs/>
          <w:sz w:val="20"/>
          <w:szCs w:val="20"/>
        </w:rPr>
      </w:pPr>
      <w:r>
        <w:rPr>
          <w:b/>
          <w:bCs/>
          <w:i/>
          <w:iCs/>
          <w:sz w:val="20"/>
          <w:szCs w:val="20"/>
        </w:rPr>
        <w:t>Our ability to use our net operating loss carryforwards and certain other tax attributes to offset future taxable income may be subject to limitation.</w:t>
      </w:r>
    </w:p>
    <w:p w:rsidR="00000000" w:rsidRDefault="00D33C21">
      <w:pPr>
        <w:pStyle w:val="a3"/>
        <w:shd w:val="clear" w:color="auto" w:fill="FFFFFF"/>
        <w:spacing w:before="120" w:beforeAutospacing="0" w:after="0" w:afterAutospacing="0"/>
        <w:ind w:firstLine="556"/>
        <w:rPr>
          <w:color w:val="000000"/>
          <w:sz w:val="20"/>
          <w:szCs w:val="20"/>
        </w:rPr>
      </w:pPr>
      <w:bookmarkStart w:id="50" w:name="_cp_text_1_2"/>
      <w:r>
        <w:rPr>
          <w:color w:val="000000"/>
          <w:sz w:val="20"/>
          <w:szCs w:val="20"/>
        </w:rPr>
        <w:t>Our net operating loss (“NOL”) carryforwards could expire unused and be unavailable to offset future income tax liabilities because of their limited duration or because of restrictions under U.S. tax law.  Our NOLs generated in tax years ending on or prio</w:t>
      </w:r>
      <w:r>
        <w:rPr>
          <w:color w:val="000000"/>
          <w:sz w:val="20"/>
          <w:szCs w:val="20"/>
        </w:rPr>
        <w:t>r to December 31, 2017 are only permitted to be carried forward for 20 years under applicable U.S. tax law.  Under H.R. 1, “An Act to provide for reconciliation pursuant to titles II and V of the concurrent resolution on the budget for fiscal year 2018”, i</w:t>
      </w:r>
      <w:r>
        <w:rPr>
          <w:color w:val="000000"/>
          <w:sz w:val="20"/>
          <w:szCs w:val="20"/>
        </w:rPr>
        <w:t>nformally titled the Tax Cuts and Jobs Act (t</w:t>
      </w:r>
      <w:bookmarkEnd w:id="50"/>
      <w:r>
        <w:rPr>
          <w:color w:val="000000"/>
          <w:sz w:val="20"/>
          <w:szCs w:val="20"/>
        </w:rPr>
        <w:t>he “Tax Act”), our federal NOLs generated in tax years ending after December 31, 2017 may be carried forward indefinitely, but the deductibility of federal NOLs generated in tax years beginning after December 31</w:t>
      </w:r>
      <w:r>
        <w:rPr>
          <w:color w:val="000000"/>
          <w:sz w:val="20"/>
          <w:szCs w:val="20"/>
        </w:rPr>
        <w:t>, 2017 is limited. It is uncertain if and to what extent various states will conform to the Tax Act.  </w:t>
      </w:r>
    </w:p>
    <w:p w:rsidR="00000000" w:rsidRDefault="00D33C21">
      <w:pPr>
        <w:pStyle w:val="a3"/>
        <w:shd w:val="clear" w:color="auto" w:fill="FFFFFF"/>
        <w:spacing w:before="120" w:beforeAutospacing="0" w:after="0" w:afterAutospacing="0"/>
        <w:ind w:firstLine="556"/>
        <w:rPr>
          <w:color w:val="000000"/>
          <w:sz w:val="20"/>
          <w:szCs w:val="20"/>
        </w:rPr>
      </w:pPr>
      <w:r>
        <w:rPr>
          <w:color w:val="000000"/>
          <w:sz w:val="20"/>
          <w:szCs w:val="20"/>
        </w:rPr>
        <w:t xml:space="preserve">In addition, under Section 382 and Section 383 of the Internal Revenue Code of 1986, as amended (the “Code”), and corresponding provisions of state law, </w:t>
      </w:r>
      <w:r>
        <w:rPr>
          <w:color w:val="000000"/>
          <w:sz w:val="20"/>
          <w:szCs w:val="20"/>
        </w:rPr>
        <w:t>if a corporation undergoes an “ownership change,” which is generally defined as a greater than 50% change, by value, in its equity ownership over a three-year period, the corporation’s ability to use its pre-change NOL carryforwards and other pre-change ta</w:t>
      </w:r>
      <w:r>
        <w:rPr>
          <w:color w:val="000000"/>
          <w:sz w:val="20"/>
          <w:szCs w:val="20"/>
        </w:rPr>
        <w:t>x attributes (such as research tax credits) to offset its post-change income or taxes may be limited. We may have experienced ownership changes in the past and may experience ownership changes in the future as a result of shifts in our stock ownership (som</w:t>
      </w:r>
      <w:r>
        <w:rPr>
          <w:color w:val="000000"/>
          <w:sz w:val="20"/>
          <w:szCs w:val="20"/>
        </w:rPr>
        <w:t>e of which shifts are outside our control). As a result, if we earn net taxable income, our ability to use our pre-change NOLs to offset such taxable income will be subject to limitations. Similar provisions of state tax law may also apply to limit our use</w:t>
      </w:r>
      <w:r>
        <w:rPr>
          <w:color w:val="000000"/>
          <w:sz w:val="20"/>
          <w:szCs w:val="20"/>
        </w:rPr>
        <w:t xml:space="preserve"> of accumulated state tax attributes. In addition, at the state level, there may be periods during which the use of NOLs is suspended or otherwise limited, which could accelerate or permanently increase state taxes owed.</w:t>
      </w:r>
    </w:p>
    <w:p w:rsidR="00000000" w:rsidRDefault="00D33C21">
      <w:pPr>
        <w:pStyle w:val="a3"/>
        <w:shd w:val="clear" w:color="auto" w:fill="FFFFFF"/>
        <w:spacing w:before="120" w:beforeAutospacing="0" w:after="0" w:afterAutospacing="0"/>
        <w:ind w:firstLine="556"/>
        <w:rPr>
          <w:color w:val="000000"/>
          <w:sz w:val="20"/>
          <w:szCs w:val="20"/>
        </w:rPr>
      </w:pPr>
      <w:r>
        <w:rPr>
          <w:color w:val="000000"/>
          <w:sz w:val="20"/>
          <w:szCs w:val="20"/>
        </w:rPr>
        <w:t>Consequently, even if we achieve pr</w:t>
      </w:r>
      <w:r>
        <w:rPr>
          <w:color w:val="000000"/>
          <w:sz w:val="20"/>
          <w:szCs w:val="20"/>
        </w:rPr>
        <w:t xml:space="preserve">ofitability, we may not be able to utilize a material portion of our NOL carryforwards and certain other tax attributes, which could have a material adverse effect on our cash flow and results of operations. </w:t>
      </w:r>
    </w:p>
    <w:p w:rsidR="00000000" w:rsidRDefault="00D33C21">
      <w:pPr>
        <w:pStyle w:val="a3"/>
        <w:spacing w:before="360" w:beforeAutospacing="0" w:after="0" w:afterAutospacing="0"/>
        <w:ind w:left="238"/>
        <w:jc w:val="both"/>
        <w:rPr>
          <w:b/>
          <w:bCs/>
          <w:i/>
          <w:iCs/>
          <w:sz w:val="20"/>
          <w:szCs w:val="20"/>
        </w:rPr>
      </w:pPr>
      <w:r>
        <w:rPr>
          <w:b/>
          <w:bCs/>
          <w:i/>
          <w:iCs/>
          <w:sz w:val="20"/>
          <w:szCs w:val="20"/>
        </w:rPr>
        <w:t>Comprehensive</w:t>
      </w:r>
      <w:r>
        <w:rPr>
          <w:b/>
          <w:bCs/>
          <w:i/>
          <w:iCs/>
          <w:color w:val="000000"/>
          <w:sz w:val="20"/>
          <w:szCs w:val="20"/>
        </w:rPr>
        <w:t xml:space="preserve"> tax reform legislation could adve</w:t>
      </w:r>
      <w:r>
        <w:rPr>
          <w:b/>
          <w:bCs/>
          <w:i/>
          <w:iCs/>
          <w:color w:val="000000"/>
          <w:sz w:val="20"/>
          <w:szCs w:val="20"/>
        </w:rPr>
        <w:t>rsely affect our business and financial condition.</w:t>
      </w:r>
    </w:p>
    <w:p w:rsidR="00000000" w:rsidRDefault="00D33C21">
      <w:pPr>
        <w:pStyle w:val="a3"/>
        <w:spacing w:before="120" w:beforeAutospacing="0" w:after="0" w:afterAutospacing="0"/>
        <w:ind w:firstLine="556"/>
        <w:jc w:val="both"/>
        <w:rPr>
          <w:sz w:val="20"/>
          <w:szCs w:val="20"/>
        </w:rPr>
      </w:pPr>
      <w:bookmarkStart w:id="51" w:name="_AEIOULastRenderedPageBreakAEIOU29"/>
      <w:bookmarkEnd w:id="51"/>
      <w:r>
        <w:rPr>
          <w:sz w:val="20"/>
          <w:szCs w:val="20"/>
        </w:rPr>
        <w:t>On December 22, 2017, President Trump signed into law the Tax Act, which significantly revises the Code. The Tax Act, among other things, reduces the corporate tax rate from a top marginal rate of 35% to a</w:t>
      </w:r>
      <w:r>
        <w:rPr>
          <w:sz w:val="20"/>
          <w:szCs w:val="20"/>
        </w:rPr>
        <w:t xml:space="preserve"> flat rate of 21%, repeals the alternative minimum tax for corporations, limits the tax deduction for interest expense to 30% of adjusted taxable income (except for certain small businesses), limits the deduction for NOLs carried forward from taxable years</w:t>
      </w:r>
      <w:r>
        <w:rPr>
          <w:sz w:val="20"/>
          <w:szCs w:val="20"/>
        </w:rPr>
        <w:t xml:space="preserve"> beginning after December 31, 2017 to 80% of </w:t>
      </w:r>
    </w:p>
    <w:p w:rsidR="00000000" w:rsidRDefault="00D33C21">
      <w:pPr>
        <w:pStyle w:val="a3"/>
        <w:spacing w:before="240" w:beforeAutospacing="0" w:after="0" w:afterAutospacing="0"/>
        <w:jc w:val="center"/>
        <w:rPr>
          <w:sz w:val="20"/>
          <w:szCs w:val="20"/>
        </w:rPr>
      </w:pPr>
      <w:r>
        <w:rPr>
          <w:sz w:val="20"/>
          <w:szCs w:val="20"/>
        </w:rPr>
        <w:t>29</w:t>
      </w:r>
    </w:p>
    <w:p w:rsidR="00000000" w:rsidRDefault="00D33C21">
      <w:pPr>
        <w:rPr>
          <w:rFonts w:eastAsia="Times New Roman"/>
        </w:rPr>
      </w:pPr>
      <w:r>
        <w:rPr>
          <w:rFonts w:eastAsia="Times New Roman"/>
        </w:rPr>
        <w:pict>
          <v:rect id="_x0000_i1054"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120" w:beforeAutospacing="0" w:after="0" w:afterAutospacing="0"/>
        <w:jc w:val="both"/>
        <w:rPr>
          <w:sz w:val="20"/>
          <w:szCs w:val="20"/>
        </w:rPr>
      </w:pPr>
      <w:r>
        <w:rPr>
          <w:sz w:val="20"/>
          <w:szCs w:val="20"/>
        </w:rPr>
        <w:t>current year taxable inc</w:t>
      </w:r>
      <w:r>
        <w:rPr>
          <w:sz w:val="20"/>
          <w:szCs w:val="20"/>
        </w:rPr>
        <w:t>ome, eliminates NOL carrybacks, imposes a one-time tax on offshore earnings at reduced rates regardless of whether they are repatriated, eliminates U.S. tax on foreign earnings (subject to certain important exceptions), allows immediate deductions for cert</w:t>
      </w:r>
      <w:r>
        <w:rPr>
          <w:sz w:val="20"/>
          <w:szCs w:val="20"/>
        </w:rPr>
        <w:t>ain new investments instead of deductions for depreciation expense over time, and modifies or repeals many business deductions and credits. Notwithstanding the reduction in the corporate income tax rate, the overall impact of the Tax Act is uncertain and o</w:t>
      </w:r>
      <w:r>
        <w:rPr>
          <w:sz w:val="20"/>
          <w:szCs w:val="20"/>
        </w:rPr>
        <w:t>ur business and financial condition could be adversely affected. In addition, it is uncertain if and to what extent various states will conform to the Tax Act. The impact of the Tax Act on holders of our common stock (including our Series A preferred stock</w:t>
      </w:r>
      <w:r>
        <w:rPr>
          <w:sz w:val="20"/>
          <w:szCs w:val="20"/>
        </w:rPr>
        <w:t xml:space="preserve"> and the underlying shares of common stock) is also uncertain and could be adverse. We urge our stockholders to consult with their legal and tax advisors with respect to this legislation and the potential tax consequences of investing in or holding our com</w:t>
      </w:r>
      <w:r>
        <w:rPr>
          <w:sz w:val="20"/>
          <w:szCs w:val="20"/>
        </w:rPr>
        <w:t>mon stock. We will continue to examine the impact the Tax Act may have on our business.</w:t>
      </w:r>
    </w:p>
    <w:p w:rsidR="00000000" w:rsidRDefault="00D33C21">
      <w:pPr>
        <w:pStyle w:val="a3"/>
        <w:spacing w:before="360" w:beforeAutospacing="0" w:after="0" w:afterAutospacing="0"/>
        <w:jc w:val="both"/>
        <w:rPr>
          <w:b/>
          <w:bCs/>
          <w:sz w:val="20"/>
          <w:szCs w:val="20"/>
        </w:rPr>
      </w:pPr>
      <w:r>
        <w:rPr>
          <w:b/>
          <w:bCs/>
          <w:sz w:val="20"/>
          <w:szCs w:val="20"/>
        </w:rPr>
        <w:t xml:space="preserve">Risks Related to the Development and Commercialization of Our Drug Candidates </w:t>
      </w:r>
    </w:p>
    <w:p w:rsidR="00000000" w:rsidRDefault="00D33C21">
      <w:pPr>
        <w:pStyle w:val="a3"/>
        <w:spacing w:before="120" w:beforeAutospacing="0" w:after="0" w:afterAutospacing="0"/>
        <w:ind w:left="238"/>
        <w:jc w:val="both"/>
        <w:rPr>
          <w:b/>
          <w:bCs/>
          <w:i/>
          <w:iCs/>
          <w:sz w:val="20"/>
          <w:szCs w:val="20"/>
        </w:rPr>
      </w:pPr>
      <w:r>
        <w:rPr>
          <w:b/>
          <w:bCs/>
          <w:i/>
          <w:iCs/>
          <w:sz w:val="20"/>
          <w:szCs w:val="20"/>
        </w:rPr>
        <w:t>Our future success is dependent on the successful clinical development, regulatory approval and commercialization of our current and future drug candidates. If we are not able to obtain required regulatory approvals, we will not be able to commercialize ou</w:t>
      </w:r>
      <w:r>
        <w:rPr>
          <w:b/>
          <w:bCs/>
          <w:i/>
          <w:iCs/>
          <w:sz w:val="20"/>
          <w:szCs w:val="20"/>
        </w:rPr>
        <w:t xml:space="preserve">r drug candidates, and our ability to generate revenue will be adversely affected. </w:t>
      </w:r>
    </w:p>
    <w:p w:rsidR="00000000" w:rsidRDefault="00D33C21">
      <w:pPr>
        <w:pStyle w:val="a3"/>
        <w:spacing w:before="120" w:beforeAutospacing="0" w:after="0" w:afterAutospacing="0"/>
        <w:ind w:firstLine="556"/>
        <w:jc w:val="both"/>
        <w:rPr>
          <w:sz w:val="20"/>
          <w:szCs w:val="20"/>
        </w:rPr>
      </w:pPr>
      <w:r>
        <w:rPr>
          <w:sz w:val="20"/>
          <w:szCs w:val="20"/>
        </w:rPr>
        <w:t xml:space="preserve">We do not have any drugs that have received regulatory approval. Our business is dependent on our ability to successfully complete preclinical and clinical development of, </w:t>
      </w:r>
      <w:r>
        <w:rPr>
          <w:sz w:val="20"/>
          <w:szCs w:val="20"/>
        </w:rPr>
        <w:t>obtain regulatory approval for, and, if approved, successfully commercialize our current and future drug candidates in a timely manner. Activities associated with the development and commercialization of our current and future drug candidates are subject t</w:t>
      </w:r>
      <w:r>
        <w:rPr>
          <w:sz w:val="20"/>
          <w:szCs w:val="20"/>
        </w:rPr>
        <w:t>o comprehensive regulation by the FDA and other regulatory agencies in the United States and similar regulatory authorities outside the United States. Failure to obtain regulatory approval in the United States or other jurisdictions would prevent us from c</w:t>
      </w:r>
      <w:r>
        <w:rPr>
          <w:sz w:val="20"/>
          <w:szCs w:val="20"/>
        </w:rPr>
        <w:t xml:space="preserve">ommercializing and marketing our current and future drug candidates. </w:t>
      </w:r>
    </w:p>
    <w:p w:rsidR="00000000" w:rsidRDefault="00D33C21">
      <w:pPr>
        <w:pStyle w:val="a3"/>
        <w:spacing w:before="240" w:beforeAutospacing="0" w:after="0" w:afterAutospacing="0"/>
        <w:ind w:firstLine="556"/>
        <w:jc w:val="both"/>
        <w:rPr>
          <w:sz w:val="20"/>
          <w:szCs w:val="20"/>
        </w:rPr>
      </w:pPr>
      <w:r>
        <w:rPr>
          <w:sz w:val="20"/>
          <w:szCs w:val="20"/>
        </w:rPr>
        <w:t>Even if we obtain approval from the FDA and comparable foreign regulatory authorities for our current and future drug candidates, any approval might contain significant limitations relat</w:t>
      </w:r>
      <w:r>
        <w:rPr>
          <w:sz w:val="20"/>
          <w:szCs w:val="20"/>
        </w:rPr>
        <w:t>ed to use restrictions for specified age groups, warnings, precautions or contraindications, or may be subject to burdensome post-approval study or risk management requirements. If we are unable to obtain regulatory approval, or any approval contains signi</w:t>
      </w:r>
      <w:r>
        <w:rPr>
          <w:sz w:val="20"/>
          <w:szCs w:val="20"/>
        </w:rPr>
        <w:t xml:space="preserve">ficant limitations, we may not be able to obtain sufficient funding or generate sufficient revenue to continue the development of that drug candidate or any other drug candidate that we may in-license, develop or acquire in the future. </w:t>
      </w:r>
    </w:p>
    <w:p w:rsidR="00000000" w:rsidRDefault="00D33C21">
      <w:pPr>
        <w:pStyle w:val="a3"/>
        <w:spacing w:before="240" w:beforeAutospacing="0" w:after="0" w:afterAutospacing="0"/>
        <w:ind w:firstLine="556"/>
        <w:jc w:val="both"/>
        <w:rPr>
          <w:sz w:val="20"/>
          <w:szCs w:val="20"/>
        </w:rPr>
      </w:pPr>
      <w:r>
        <w:rPr>
          <w:sz w:val="20"/>
          <w:szCs w:val="20"/>
        </w:rPr>
        <w:t>Furthermore, even i</w:t>
      </w:r>
      <w:r>
        <w:rPr>
          <w:sz w:val="20"/>
          <w:szCs w:val="20"/>
        </w:rPr>
        <w:t>f we obtain regulatory approval for our current and future drug candidates, we will still need to develop a commercial organization, establish a commercially viable pricing structure and obtain approval for adequate reimbursement from third-party and gover</w:t>
      </w:r>
      <w:r>
        <w:rPr>
          <w:sz w:val="20"/>
          <w:szCs w:val="20"/>
        </w:rPr>
        <w:t xml:space="preserve">nment payors. If we are unable to successfully commercialize our current and future drug candidates, we may not be able to generate sufficient revenue to continue our business. </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Because the results of preclinical studies or earlier clinical trials are not </w:t>
      </w:r>
      <w:r>
        <w:rPr>
          <w:b/>
          <w:bCs/>
          <w:i/>
          <w:iCs/>
          <w:sz w:val="20"/>
          <w:szCs w:val="20"/>
        </w:rPr>
        <w:t xml:space="preserve">necessarily predictive of future results, our drug candidates may not have favorable results in planned or future preclinical studies or clinical trials, or may not receive regulatory approval. </w:t>
      </w:r>
    </w:p>
    <w:p w:rsidR="00000000" w:rsidRDefault="00D33C21">
      <w:pPr>
        <w:pStyle w:val="a3"/>
        <w:spacing w:before="120" w:beforeAutospacing="0" w:after="0" w:afterAutospacing="0"/>
        <w:ind w:firstLine="556"/>
        <w:jc w:val="both"/>
        <w:rPr>
          <w:sz w:val="20"/>
          <w:szCs w:val="20"/>
        </w:rPr>
      </w:pPr>
      <w:r>
        <w:rPr>
          <w:sz w:val="20"/>
          <w:szCs w:val="20"/>
        </w:rPr>
        <w:t>Success in preclinical testing and early clinical trials does</w:t>
      </w:r>
      <w:r>
        <w:rPr>
          <w:sz w:val="20"/>
          <w:szCs w:val="20"/>
        </w:rPr>
        <w:t xml:space="preserve"> not ensure that subsequent clinical trials will generate similar results or otherwise provide adequate data to demonstrate the efficacy and safety of a drug candidate. Frequently, drug candidates that have shown promising results in early clinical trials </w:t>
      </w:r>
      <w:r>
        <w:rPr>
          <w:sz w:val="20"/>
          <w:szCs w:val="20"/>
        </w:rPr>
        <w:t>have subsequently suffered significant setbacks in later clinical trials. For instance, our STARS trial was the first clinical trial evaluating efficacy of OV101 in patients with Angelman syndrome and OV101 has not been evaluated in a clinical trial to tre</w:t>
      </w:r>
      <w:r>
        <w:rPr>
          <w:sz w:val="20"/>
          <w:szCs w:val="20"/>
        </w:rPr>
        <w:t xml:space="preserve">at Fragile X syndrome. We may be unable to demonstrate efficacy in any future trials, including any future clinical trials of OV101 to treat Angelman syndrome. </w:t>
      </w:r>
      <w:r>
        <w:rPr>
          <w:color w:val="000000"/>
          <w:sz w:val="20"/>
          <w:szCs w:val="20"/>
        </w:rPr>
        <w:t>Similarly, our Phase 1b/2a adult study in OV935 showed exploratory signals of efficacy in seizur</w:t>
      </w:r>
      <w:r>
        <w:rPr>
          <w:color w:val="000000"/>
          <w:sz w:val="20"/>
          <w:szCs w:val="20"/>
        </w:rPr>
        <w:t>e frequency reduction, but we may be unable to demonstrate efficacy in future trials in patients with dEE, or the related indications of Dravet syndrome, Lennox-Gastaut syndrome, CDKL5 deficiency or Duplication 15q syndrome, and the FDA has not yet made an</w:t>
      </w:r>
      <w:r>
        <w:rPr>
          <w:color w:val="000000"/>
          <w:sz w:val="20"/>
          <w:szCs w:val="20"/>
        </w:rPr>
        <w:t>y determination regarding safety and efficacy of OV935 in any of these indications</w:t>
      </w:r>
      <w:r>
        <w:rPr>
          <w:sz w:val="20"/>
          <w:szCs w:val="20"/>
        </w:rPr>
        <w:t>. The results from preclinical studies of OV101 and OV935 in animal models and the results from our STARS clinical trial of OV101 in patients with Angelman syndrome and clini</w:t>
      </w:r>
      <w:r>
        <w:rPr>
          <w:sz w:val="20"/>
          <w:szCs w:val="20"/>
        </w:rPr>
        <w:t>cal trials of OV101 in patients with primary insomnia may not be predictive of the effects of these compounds in later stage clinical trials. Our approach of targeting the extrasynaptic GABA</w:t>
      </w:r>
      <w:r>
        <w:rPr>
          <w:sz w:val="17"/>
          <w:szCs w:val="17"/>
          <w:vertAlign w:val="subscript"/>
        </w:rPr>
        <w:t>A</w:t>
      </w:r>
      <w:r>
        <w:rPr>
          <w:sz w:val="20"/>
          <w:szCs w:val="20"/>
        </w:rPr>
        <w:t xml:space="preserve"> receptor with OV101, and cholesterol 24-hydroxylase (CH24H) with</w:t>
      </w:r>
      <w:r>
        <w:rPr>
          <w:sz w:val="20"/>
          <w:szCs w:val="20"/>
        </w:rPr>
        <w:t xml:space="preserve"> OV935, are both novel and unproven, and as such, the cost and time needed to develop OV101 and OV935 is difficult to predict and our efforts may not be successful. If we do not observe favorable results in clinical trials of one of our drug candidates, we</w:t>
      </w:r>
      <w:r>
        <w:rPr>
          <w:sz w:val="20"/>
          <w:szCs w:val="20"/>
        </w:rPr>
        <w:t xml:space="preserve"> may decide to delay or abandon clinical development of that drug candidate. Any such delay or abandonment could harm our business, financial condition, results of operations and prospects.</w:t>
      </w:r>
    </w:p>
    <w:p w:rsidR="00000000" w:rsidRDefault="00D33C21">
      <w:pPr>
        <w:pStyle w:val="a3"/>
        <w:spacing w:before="240" w:beforeAutospacing="0" w:after="0" w:afterAutospacing="0"/>
        <w:jc w:val="center"/>
        <w:rPr>
          <w:sz w:val="20"/>
          <w:szCs w:val="20"/>
        </w:rPr>
      </w:pPr>
      <w:r>
        <w:rPr>
          <w:sz w:val="20"/>
          <w:szCs w:val="20"/>
        </w:rPr>
        <w:t>30</w:t>
      </w:r>
    </w:p>
    <w:p w:rsidR="00000000" w:rsidRDefault="00D33C21">
      <w:pPr>
        <w:rPr>
          <w:rFonts w:eastAsia="Times New Roman"/>
        </w:rPr>
      </w:pPr>
      <w:r>
        <w:rPr>
          <w:rFonts w:eastAsia="Times New Roman"/>
        </w:rPr>
        <w:pict>
          <v:rect id="_x0000_i1055"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ind w:left="238"/>
        <w:jc w:val="both"/>
        <w:rPr>
          <w:b/>
          <w:bCs/>
          <w:i/>
          <w:iCs/>
          <w:sz w:val="20"/>
          <w:szCs w:val="20"/>
        </w:rPr>
      </w:pPr>
      <w:bookmarkStart w:id="52" w:name="_AEIOULastRenderedPageBreakAEIOU30"/>
      <w:bookmarkEnd w:id="52"/>
      <w:r>
        <w:rPr>
          <w:b/>
          <w:bCs/>
          <w:i/>
          <w:iCs/>
          <w:sz w:val="20"/>
          <w:szCs w:val="20"/>
        </w:rPr>
        <w:t xml:space="preserve">Risks associated with the in-licensing or acquisition of drug candidates could cause substantial delays in the preclinical and clinical </w:t>
      </w:r>
      <w:r>
        <w:rPr>
          <w:b/>
          <w:bCs/>
          <w:i/>
          <w:iCs/>
          <w:sz w:val="20"/>
          <w:szCs w:val="20"/>
        </w:rPr>
        <w:t xml:space="preserve">development of our drug candidates. </w:t>
      </w:r>
    </w:p>
    <w:p w:rsidR="00000000" w:rsidRDefault="00D33C21">
      <w:pPr>
        <w:pStyle w:val="a3"/>
        <w:spacing w:before="120" w:beforeAutospacing="0" w:after="0" w:afterAutospacing="0"/>
        <w:ind w:firstLine="556"/>
        <w:jc w:val="both"/>
        <w:rPr>
          <w:sz w:val="20"/>
          <w:szCs w:val="20"/>
        </w:rPr>
      </w:pPr>
      <w:r>
        <w:rPr>
          <w:sz w:val="20"/>
          <w:szCs w:val="20"/>
        </w:rPr>
        <w:t>Prior to March 2015, we had no involvement with or control over the preclinical and clinical research and development of OV101. We have relied on Lundbeck or its prior licensee to have conducted such research and develo</w:t>
      </w:r>
      <w:r>
        <w:rPr>
          <w:sz w:val="20"/>
          <w:szCs w:val="20"/>
        </w:rPr>
        <w:t xml:space="preserve">pment in accordance with the applicable protocol, legal, regulatory and scientific standards, having accurately reported the results of all clinical trials conducted prior to our acquisition of OV101 and having correctly collected and interpreted the data </w:t>
      </w:r>
      <w:r>
        <w:rPr>
          <w:sz w:val="20"/>
          <w:szCs w:val="20"/>
        </w:rPr>
        <w:t>from these trials. If the research and development processes or the results of the development programs prior to our acquisition of OV101 prove to be unreliable, this could result in increased costs and delays in the development of OV101, which could adver</w:t>
      </w:r>
      <w:r>
        <w:rPr>
          <w:sz w:val="20"/>
          <w:szCs w:val="20"/>
        </w:rPr>
        <w:t xml:space="preserve">sely affect any future revenue from this drug candidate. </w:t>
      </w:r>
    </w:p>
    <w:p w:rsidR="00000000" w:rsidRDefault="00D33C21">
      <w:pPr>
        <w:pStyle w:val="a3"/>
        <w:spacing w:before="240" w:beforeAutospacing="0" w:after="0" w:afterAutospacing="0"/>
        <w:ind w:firstLine="556"/>
        <w:jc w:val="both"/>
        <w:rPr>
          <w:sz w:val="20"/>
          <w:szCs w:val="20"/>
        </w:rPr>
      </w:pPr>
      <w:r>
        <w:rPr>
          <w:sz w:val="20"/>
          <w:szCs w:val="20"/>
        </w:rPr>
        <w:t>Similarly, we acquired rights to OV935 from Takeda in January 2017. Because we were not involved in the development of OV935 prior to January 2017, we may experience difficulties in the transition o</w:t>
      </w:r>
      <w:r>
        <w:rPr>
          <w:sz w:val="20"/>
          <w:szCs w:val="20"/>
        </w:rPr>
        <w:t xml:space="preserve">f certain development activities from Takeda and its affiliates to us, which may result in delays in clinical trials, as well as problems in our development efforts, particularly if we do not receive all of the necessary products, information, reports and </w:t>
      </w:r>
      <w:r>
        <w:rPr>
          <w:sz w:val="20"/>
          <w:szCs w:val="20"/>
        </w:rPr>
        <w:t xml:space="preserve">data from Takeda and its affiliates in a timely manner. To the extent any of these has not occurred, expected development time and costs may be increased which could adversely affect any future revenue from this drug candidate. </w:t>
      </w:r>
    </w:p>
    <w:p w:rsidR="00000000" w:rsidRDefault="00D33C21">
      <w:pPr>
        <w:pStyle w:val="a3"/>
        <w:spacing w:before="240" w:beforeAutospacing="0" w:after="0" w:afterAutospacing="0"/>
        <w:ind w:firstLine="556"/>
        <w:jc w:val="both"/>
        <w:rPr>
          <w:sz w:val="20"/>
          <w:szCs w:val="20"/>
        </w:rPr>
      </w:pPr>
      <w:r>
        <w:rPr>
          <w:sz w:val="20"/>
          <w:szCs w:val="20"/>
        </w:rPr>
        <w:t>We may also acquire or in-l</w:t>
      </w:r>
      <w:r>
        <w:rPr>
          <w:sz w:val="20"/>
          <w:szCs w:val="20"/>
        </w:rPr>
        <w:t>icense additional drug candidates for preclinical or clinical development in the future as we continue to build our pipeline. The risks associated with acquiring or in-licensing current or future drug candidates could result in delays in the commencement o</w:t>
      </w:r>
      <w:r>
        <w:rPr>
          <w:sz w:val="20"/>
          <w:szCs w:val="20"/>
        </w:rPr>
        <w:t xml:space="preserve">r completion of our preclinical studies and clinical trials, if ever, and our ability to generate revenues from our drug candidates may be delayed. </w:t>
      </w:r>
    </w:p>
    <w:p w:rsidR="00000000" w:rsidRDefault="00D33C21">
      <w:pPr>
        <w:pStyle w:val="a3"/>
        <w:spacing w:before="360" w:beforeAutospacing="0" w:after="0" w:afterAutospacing="0"/>
        <w:ind w:left="238"/>
        <w:jc w:val="both"/>
        <w:rPr>
          <w:b/>
          <w:bCs/>
          <w:i/>
          <w:iCs/>
          <w:sz w:val="20"/>
          <w:szCs w:val="20"/>
        </w:rPr>
      </w:pPr>
      <w:r>
        <w:rPr>
          <w:b/>
          <w:bCs/>
          <w:i/>
          <w:iCs/>
          <w:sz w:val="20"/>
          <w:szCs w:val="20"/>
        </w:rPr>
        <w:t>We may encounter substantial delays in our clinical trials or we may fail to demonstrate safety and efficac</w:t>
      </w:r>
      <w:r>
        <w:rPr>
          <w:b/>
          <w:bCs/>
          <w:i/>
          <w:iCs/>
          <w:sz w:val="20"/>
          <w:szCs w:val="20"/>
        </w:rPr>
        <w:t xml:space="preserve">y to the satisfaction of applicable regulatory authorities. </w:t>
      </w:r>
    </w:p>
    <w:p w:rsidR="00000000" w:rsidRDefault="00D33C21">
      <w:pPr>
        <w:pStyle w:val="a3"/>
        <w:spacing w:before="120" w:beforeAutospacing="0" w:after="0" w:afterAutospacing="0"/>
        <w:ind w:firstLine="556"/>
        <w:jc w:val="both"/>
        <w:rPr>
          <w:sz w:val="20"/>
          <w:szCs w:val="20"/>
        </w:rPr>
      </w:pPr>
      <w:r>
        <w:rPr>
          <w:sz w:val="20"/>
          <w:szCs w:val="20"/>
        </w:rPr>
        <w:t>Before obtaining marketing approval from regulatory authorities for the sale of our drug candidates, we must conduct extensive clinical trials to demonstrate the safety and efficacy of the drug c</w:t>
      </w:r>
      <w:r>
        <w:rPr>
          <w:sz w:val="20"/>
          <w:szCs w:val="20"/>
        </w:rPr>
        <w:t>andidate for its intended indications. Clinical trials are expensive, time-consuming and uncertain as to outcome. We cannot guarantee that any clinical trials will be conducted as planned or completed on schedule, if at all. A failure of one or more clinic</w:t>
      </w:r>
      <w:r>
        <w:rPr>
          <w:sz w:val="20"/>
          <w:szCs w:val="20"/>
        </w:rPr>
        <w:t xml:space="preserve">al trials can occur at any stage of testing. Events that may prevent successful or timely completion of clinical development include: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delays in reaching a consensus with regulatory authorities on trial design;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delays in reaching agreement on acceptable terms with prospective clinical research organizations (“CROs”) and clinical trial sites;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delays in opening sites;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d</w:t>
            </w:r>
            <w:r>
              <w:rPr>
                <w:sz w:val="20"/>
                <w:szCs w:val="20"/>
              </w:rPr>
              <w:t xml:space="preserve">elays or difficulty in recruiting and enrollment of suitable patients to participate in our clinical trials;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imposition of a clinical hold by regulatory authorities because of a serious adverse event, concerns with a class of drug candidates or afte</w:t>
            </w:r>
            <w:r>
              <w:rPr>
                <w:sz w:val="20"/>
                <w:szCs w:val="20"/>
              </w:rPr>
              <w:t xml:space="preserve">r an inspection of our clinical trial operations or trial sites;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delays in having patients complete participation in a trial or return for post-treatment follow-up;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occurrence of serious adverse events associated with the drug candidate that are viewed to outweigh its potential benefits; or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changes in regu</w:t>
            </w:r>
            <w:r>
              <w:rPr>
                <w:sz w:val="20"/>
                <w:szCs w:val="20"/>
              </w:rPr>
              <w:t xml:space="preserve">latory requirements and guidance that require amending or submitting new clinical protocols. </w:t>
            </w:r>
          </w:p>
        </w:tc>
      </w:tr>
    </w:tbl>
    <w:p w:rsidR="00000000" w:rsidRDefault="00D33C21">
      <w:pPr>
        <w:pStyle w:val="a3"/>
        <w:spacing w:before="240" w:beforeAutospacing="0" w:after="0" w:afterAutospacing="0"/>
        <w:ind w:firstLine="556"/>
        <w:jc w:val="both"/>
        <w:rPr>
          <w:sz w:val="20"/>
          <w:szCs w:val="20"/>
        </w:rPr>
      </w:pPr>
      <w:r>
        <w:rPr>
          <w:sz w:val="20"/>
          <w:szCs w:val="20"/>
        </w:rPr>
        <w:t>Further, clinical endpoints for certain diseases we are targeting, such as Angelman syndrome and Fragile X syndrome, have not been established, and accordingly w</w:t>
      </w:r>
      <w:r>
        <w:rPr>
          <w:sz w:val="20"/>
          <w:szCs w:val="20"/>
        </w:rPr>
        <w:t>e may have to develop new modalities or modify existing endpoints to measure efficacy, which may increase the time it takes for us to commence or complete clinical trials. In addition, we believe investigators in this area may be inexperienced in conductin</w:t>
      </w:r>
      <w:r>
        <w:rPr>
          <w:sz w:val="20"/>
          <w:szCs w:val="20"/>
        </w:rPr>
        <w:t xml:space="preserve">g trials in this area due to the current lack of drugs to treat these disorders, which may result in increased time and expense to train investigators and open clinical sites. </w:t>
      </w:r>
    </w:p>
    <w:p w:rsidR="00000000" w:rsidRDefault="00D33C21">
      <w:pPr>
        <w:pStyle w:val="a3"/>
        <w:spacing w:before="240" w:beforeAutospacing="0" w:after="0" w:afterAutospacing="0"/>
        <w:ind w:firstLine="556"/>
        <w:jc w:val="both"/>
        <w:rPr>
          <w:sz w:val="20"/>
          <w:szCs w:val="20"/>
        </w:rPr>
      </w:pPr>
      <w:bookmarkStart w:id="53" w:name="_AEIOULastRenderedPageBreakAEIOU31"/>
      <w:bookmarkEnd w:id="53"/>
      <w:r>
        <w:rPr>
          <w:sz w:val="20"/>
          <w:szCs w:val="20"/>
        </w:rPr>
        <w:t>Any inability to successfully complete preclinical and clinical development cou</w:t>
      </w:r>
      <w:r>
        <w:rPr>
          <w:sz w:val="20"/>
          <w:szCs w:val="20"/>
        </w:rPr>
        <w:t>ld result in additional costs to us or impair our ability to generate revenue from future drug sales and regulatory and commercialization milestones. In addition, if we make manufacturing or formulation changes to our drug candidates, we may need to conduc</w:t>
      </w:r>
      <w:r>
        <w:rPr>
          <w:sz w:val="20"/>
          <w:szCs w:val="20"/>
        </w:rPr>
        <w:t>t additional testing to bridge our modified drug candidate to earlier versions. Clinical trial delays could also shorten any periods during which we may have the exclusive right to commercialize our drug candidates, if approved, or allow our competitors to</w:t>
      </w:r>
      <w:r>
        <w:rPr>
          <w:sz w:val="20"/>
          <w:szCs w:val="20"/>
        </w:rPr>
        <w:t xml:space="preserve"> bring comparable drugs to market before we do, which </w:t>
      </w:r>
    </w:p>
    <w:p w:rsidR="00000000" w:rsidRDefault="00D33C21">
      <w:pPr>
        <w:pStyle w:val="a3"/>
        <w:spacing w:before="240" w:beforeAutospacing="0" w:after="0" w:afterAutospacing="0"/>
        <w:jc w:val="center"/>
        <w:rPr>
          <w:sz w:val="20"/>
          <w:szCs w:val="20"/>
        </w:rPr>
      </w:pPr>
      <w:r>
        <w:rPr>
          <w:sz w:val="20"/>
          <w:szCs w:val="20"/>
        </w:rPr>
        <w:t>31</w:t>
      </w:r>
    </w:p>
    <w:p w:rsidR="00000000" w:rsidRDefault="00D33C21">
      <w:pPr>
        <w:rPr>
          <w:rFonts w:eastAsia="Times New Roman"/>
        </w:rPr>
      </w:pPr>
      <w:r>
        <w:rPr>
          <w:rFonts w:eastAsia="Times New Roman"/>
        </w:rPr>
        <w:pict>
          <v:rect id="_x0000_i1056"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both"/>
        <w:rPr>
          <w:sz w:val="20"/>
          <w:szCs w:val="20"/>
        </w:rPr>
      </w:pPr>
      <w:r>
        <w:rPr>
          <w:sz w:val="20"/>
          <w:szCs w:val="20"/>
        </w:rPr>
        <w:t xml:space="preserve">could impair our ability to successfully commercialize our drug candidates and may harm our business, financial condition, results of operations and prospects. </w:t>
      </w:r>
    </w:p>
    <w:p w:rsidR="00000000" w:rsidRDefault="00D33C21">
      <w:pPr>
        <w:pStyle w:val="a3"/>
        <w:spacing w:before="240" w:beforeAutospacing="0" w:after="0" w:afterAutospacing="0"/>
        <w:ind w:firstLine="556"/>
        <w:jc w:val="both"/>
        <w:rPr>
          <w:sz w:val="20"/>
          <w:szCs w:val="20"/>
        </w:rPr>
      </w:pPr>
      <w:r>
        <w:rPr>
          <w:sz w:val="20"/>
          <w:szCs w:val="20"/>
        </w:rPr>
        <w:t>Additionally, if the results of our clinical trials are inconclusive or if there are safety con</w:t>
      </w:r>
      <w:r>
        <w:rPr>
          <w:sz w:val="20"/>
          <w:szCs w:val="20"/>
        </w:rPr>
        <w:t xml:space="preserve">cerns or serious adverse events associated with our drug candidates, we may: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be delayed in obtaining marketing approval, if at all;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obtain approval for indications or patient populations that are not as broad as intended or desired;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obta</w:t>
            </w:r>
            <w:r>
              <w:rPr>
                <w:sz w:val="20"/>
                <w:szCs w:val="20"/>
              </w:rPr>
              <w:t xml:space="preserve">in approval with labeling that includes significant use or distribution restrictions or safety warnings;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be subject to additional post-marketing testing requirements;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be required to perform additional clinical trials to support approval or be subject to additional post-marketing testing requirements;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have regulatory authorities withdraw, or suspend, their approval of the drug or impose restrictions on its distrib</w:t>
            </w:r>
            <w:r>
              <w:rPr>
                <w:sz w:val="20"/>
                <w:szCs w:val="20"/>
              </w:rPr>
              <w:t xml:space="preserve">ution in the form of a modified risk evaluation and mitigation strategy (“REMS”);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be subject to the addition of labeling statements, such as warnings or contraindications;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be sued; or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experience damage to our reputation. </w:t>
            </w:r>
          </w:p>
        </w:tc>
      </w:tr>
    </w:tbl>
    <w:p w:rsidR="00000000" w:rsidRDefault="00D33C21">
      <w:pPr>
        <w:pStyle w:val="a3"/>
        <w:spacing w:before="240" w:beforeAutospacing="0" w:after="0" w:afterAutospacing="0"/>
        <w:ind w:firstLine="556"/>
        <w:jc w:val="both"/>
        <w:rPr>
          <w:sz w:val="20"/>
          <w:szCs w:val="20"/>
        </w:rPr>
      </w:pPr>
      <w:r>
        <w:rPr>
          <w:sz w:val="20"/>
          <w:szCs w:val="20"/>
        </w:rPr>
        <w:t>Our drug development costs will also increase if we experience delays in testing or obtaining marketing approvals. We do not know whether any of our preclinical studies or clinical trials will begin as planned, need t</w:t>
      </w:r>
      <w:r>
        <w:rPr>
          <w:sz w:val="20"/>
          <w:szCs w:val="20"/>
        </w:rPr>
        <w:t xml:space="preserve">o be restructured or be completed on schedule, if at all. </w:t>
      </w:r>
    </w:p>
    <w:p w:rsidR="00000000" w:rsidRDefault="00D33C21">
      <w:pPr>
        <w:pStyle w:val="a3"/>
        <w:spacing w:before="240" w:beforeAutospacing="0" w:after="0" w:afterAutospacing="0"/>
        <w:ind w:firstLine="556"/>
        <w:jc w:val="both"/>
        <w:rPr>
          <w:sz w:val="20"/>
          <w:szCs w:val="20"/>
        </w:rPr>
      </w:pPr>
      <w:r>
        <w:rPr>
          <w:sz w:val="20"/>
          <w:szCs w:val="20"/>
        </w:rPr>
        <w:t>Further, we, the FDA or an institutional review board (“IRB”) may suspend our clinical trials at any time if it appears that we or our collaborators are failing to conduct a trial in accordance wit</w:t>
      </w:r>
      <w:r>
        <w:rPr>
          <w:sz w:val="20"/>
          <w:szCs w:val="20"/>
        </w:rPr>
        <w:t>h regulatory requirements, including the FDA’s current Good Clinical Practice (“GCP) regulations, that we are exposing participants to unacceptable health risks, or if the FDA finds deficiencies in our investigational new drug (“IND”) applications or the c</w:t>
      </w:r>
      <w:r>
        <w:rPr>
          <w:sz w:val="20"/>
          <w:szCs w:val="20"/>
        </w:rPr>
        <w:t xml:space="preserve">onduct of these trials. Therefore, we cannot predict with any certainty the schedule for commencement and completion of future clinical trials. If we experience delays in the commencement or completion of our clinical trials, or if we terminate a clinical </w:t>
      </w:r>
      <w:r>
        <w:rPr>
          <w:sz w:val="20"/>
          <w:szCs w:val="20"/>
        </w:rPr>
        <w:t xml:space="preserve">trial prior to completion, the commercial prospects of our drug candidates could be negatively impacted, and our ability to generate revenues from our drug candidates may be delayed. </w:t>
      </w:r>
    </w:p>
    <w:p w:rsidR="00000000" w:rsidRDefault="00D33C21">
      <w:pPr>
        <w:pStyle w:val="a3"/>
        <w:spacing w:before="360" w:beforeAutospacing="0" w:after="0" w:afterAutospacing="0"/>
        <w:ind w:left="238"/>
        <w:jc w:val="both"/>
        <w:rPr>
          <w:b/>
          <w:bCs/>
          <w:i/>
          <w:iCs/>
          <w:sz w:val="20"/>
          <w:szCs w:val="20"/>
        </w:rPr>
      </w:pPr>
      <w:r>
        <w:rPr>
          <w:b/>
          <w:bCs/>
          <w:i/>
          <w:iCs/>
          <w:sz w:val="20"/>
          <w:szCs w:val="20"/>
        </w:rPr>
        <w:t>Angelman syndrome has no FDA-approved treatments, and the clinical endpo</w:t>
      </w:r>
      <w:r>
        <w:rPr>
          <w:b/>
          <w:bCs/>
          <w:i/>
          <w:iCs/>
          <w:sz w:val="20"/>
          <w:szCs w:val="20"/>
        </w:rPr>
        <w:t xml:space="preserve">ints to obtain approval are not well defined. </w:t>
      </w:r>
    </w:p>
    <w:p w:rsidR="00000000" w:rsidRDefault="00D33C21">
      <w:pPr>
        <w:pStyle w:val="a3"/>
        <w:spacing w:before="120" w:beforeAutospacing="0" w:after="0" w:afterAutospacing="0"/>
        <w:ind w:firstLine="556"/>
        <w:jc w:val="both"/>
        <w:rPr>
          <w:sz w:val="20"/>
          <w:szCs w:val="20"/>
        </w:rPr>
      </w:pPr>
      <w:r>
        <w:rPr>
          <w:sz w:val="20"/>
          <w:szCs w:val="20"/>
        </w:rPr>
        <w:t xml:space="preserve">We intend to seek a broad indication for OV101 to treat Angelman syndrome. However, Angelman syndrome is characterized by a variety of signs and symptoms, such as delayed development, intellectual disability, </w:t>
      </w:r>
      <w:r>
        <w:rPr>
          <w:sz w:val="20"/>
          <w:szCs w:val="20"/>
        </w:rPr>
        <w:t>severe speech impairment, problems with movement and balance, seizures, sleep disorders and anxiety. In order to obtain a broad indication for treatment of Angelman syndrome from the FDA, we may need to demonstrate efficacy on several of the key symptoms o</w:t>
      </w:r>
      <w:r>
        <w:rPr>
          <w:sz w:val="20"/>
          <w:szCs w:val="20"/>
        </w:rPr>
        <w:t>f Angelman syndrome. If we fail to do so, our clinical development may be delayed and/or our label may be limited. Based on feedback from the FDA, we developed acceptable endpoints and obtained the FDA’s agreement before initiating the Phase 3 NEPTUNE tria</w:t>
      </w:r>
      <w:r>
        <w:rPr>
          <w:sz w:val="20"/>
          <w:szCs w:val="20"/>
        </w:rPr>
        <w:t>l. For Europe, we will obtain European Medicines Agency (EMA) advice and if we fail to reach an agreement with the EMA as to how to conduct the Phase 3 Angelman trials, our clinical development plan will be delayed in Europe.</w:t>
      </w:r>
    </w:p>
    <w:p w:rsidR="00000000" w:rsidRDefault="00D33C21">
      <w:pPr>
        <w:pStyle w:val="a3"/>
        <w:spacing w:before="120" w:beforeAutospacing="0" w:after="0" w:afterAutospacing="0"/>
        <w:ind w:firstLine="556"/>
        <w:jc w:val="both"/>
        <w:rPr>
          <w:b/>
          <w:bCs/>
          <w:i/>
          <w:iCs/>
          <w:sz w:val="20"/>
          <w:szCs w:val="20"/>
        </w:rPr>
      </w:pPr>
      <w:r>
        <w:rPr>
          <w:b/>
          <w:bCs/>
          <w:i/>
          <w:iCs/>
          <w:sz w:val="20"/>
          <w:szCs w:val="20"/>
        </w:rPr>
        <w:t>We may need to develop a new l</w:t>
      </w:r>
      <w:r>
        <w:rPr>
          <w:b/>
          <w:bCs/>
          <w:i/>
          <w:iCs/>
          <w:sz w:val="20"/>
          <w:szCs w:val="20"/>
        </w:rPr>
        <w:t xml:space="preserve">iquid pediatric formulation of OV101 for use in young children initially, and eventually for infants and toddlers, and we may be unable to successfully develop an appropriate formulation. </w:t>
      </w:r>
    </w:p>
    <w:p w:rsidR="00000000" w:rsidRDefault="00D33C21">
      <w:pPr>
        <w:pStyle w:val="a3"/>
        <w:spacing w:before="240" w:beforeAutospacing="0" w:after="0" w:afterAutospacing="0"/>
        <w:jc w:val="center"/>
        <w:rPr>
          <w:sz w:val="20"/>
          <w:szCs w:val="20"/>
        </w:rPr>
      </w:pPr>
      <w:r>
        <w:rPr>
          <w:sz w:val="20"/>
          <w:szCs w:val="20"/>
        </w:rPr>
        <w:t>32</w:t>
      </w:r>
    </w:p>
    <w:p w:rsidR="00000000" w:rsidRDefault="00D33C21">
      <w:pPr>
        <w:rPr>
          <w:rFonts w:eastAsia="Times New Roman"/>
        </w:rPr>
      </w:pPr>
      <w:r>
        <w:rPr>
          <w:rFonts w:eastAsia="Times New Roman"/>
        </w:rPr>
        <w:pict>
          <v:rect id="_x0000_i1057"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120" w:beforeAutospacing="0" w:after="0" w:afterAutospacing="0"/>
        <w:ind w:firstLine="556"/>
        <w:jc w:val="both"/>
        <w:rPr>
          <w:sz w:val="20"/>
          <w:szCs w:val="20"/>
        </w:rPr>
      </w:pPr>
      <w:bookmarkStart w:id="54" w:name="_AEIOULastRenderedPageBreakAEIOU32"/>
      <w:bookmarkEnd w:id="54"/>
      <w:r>
        <w:rPr>
          <w:sz w:val="20"/>
          <w:szCs w:val="20"/>
        </w:rPr>
        <w:t xml:space="preserve">Our existing formulation of OV101 is an oral capsule. We have recently developed lower strength capsules that can be opened and sprinkled </w:t>
      </w:r>
      <w:r>
        <w:rPr>
          <w:sz w:val="20"/>
          <w:szCs w:val="20"/>
        </w:rPr>
        <w:t>on applesauce or similar semi-solid foods. However, we may need to develop an oral liquid formulation of OV101 for use in very young pediatric patients. While we have begun developing this formulation, we do not know if our efforts will be successful or if</w:t>
      </w:r>
      <w:r>
        <w:rPr>
          <w:sz w:val="20"/>
          <w:szCs w:val="20"/>
        </w:rPr>
        <w:t xml:space="preserve"> the FDA will agree that the new formulation is comparable to our current formulation. We may experience manufacturing problems that may affect solubility or stability, or we may discover that the new formulation is less effective than an oral capsule. In </w:t>
      </w:r>
      <w:r>
        <w:rPr>
          <w:sz w:val="20"/>
          <w:szCs w:val="20"/>
        </w:rPr>
        <w:t>addition, we will need to conduct bridging studies to demonstrate that the new formulation is equivalent to our oral capsule, which could result in delays in development and additional costs.</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We may not be able to obtain or maintain orphan drug designations or exclusivity for our drug candidates, which could limit the potential profitability of our drug candidates. </w:t>
      </w:r>
    </w:p>
    <w:p w:rsidR="00000000" w:rsidRDefault="00D33C21">
      <w:pPr>
        <w:pStyle w:val="a3"/>
        <w:spacing w:before="120" w:beforeAutospacing="0" w:after="0" w:afterAutospacing="0"/>
        <w:ind w:firstLine="556"/>
        <w:jc w:val="both"/>
        <w:rPr>
          <w:sz w:val="20"/>
          <w:szCs w:val="20"/>
        </w:rPr>
      </w:pPr>
      <w:r>
        <w:rPr>
          <w:sz w:val="20"/>
          <w:szCs w:val="20"/>
        </w:rPr>
        <w:t xml:space="preserve">Regulatory authorities in some jurisdictions, including the United States, may </w:t>
      </w:r>
      <w:r>
        <w:rPr>
          <w:sz w:val="20"/>
          <w:szCs w:val="20"/>
        </w:rPr>
        <w:t>designate drugs for relatively small patient populations as orphan drugs. Under the Orphan Drug Act of 1983, the FDA may designate a drug as an orphan drug if it is a drug intended to treat a rare disease or condition, which is generally defined as a patie</w:t>
      </w:r>
      <w:r>
        <w:rPr>
          <w:sz w:val="20"/>
          <w:szCs w:val="20"/>
        </w:rPr>
        <w:t>nt population of fewer than 200,000 individuals in the United States. Generally, if a drug with an orphan drug designation subsequently receives the first marketing approval for an indication for which it receives the designation, then the drug is entitled</w:t>
      </w:r>
      <w:r>
        <w:rPr>
          <w:sz w:val="20"/>
          <w:szCs w:val="20"/>
        </w:rPr>
        <w:t xml:space="preserve"> to a period of marketing exclusivity that precludes the applicable regulatory authority from approving another marketing application for the same drug for the same indication for the exclusivity period except in limited situations. For purposes of small m</w:t>
      </w:r>
      <w:r>
        <w:rPr>
          <w:sz w:val="20"/>
          <w:szCs w:val="20"/>
        </w:rPr>
        <w:t>olecule drugs, the FDA defines “same drug” as a drug that contains the same active moiety and is intended for the same use as the drug in question. A designated orphan drug may not receive orphan drug exclusivity if it is approved for a use that is broader</w:t>
      </w:r>
      <w:r>
        <w:rPr>
          <w:sz w:val="20"/>
          <w:szCs w:val="20"/>
        </w:rPr>
        <w:t xml:space="preserve"> than the indication for which it received orphan designation. </w:t>
      </w:r>
    </w:p>
    <w:p w:rsidR="00000000" w:rsidRDefault="00D33C21">
      <w:pPr>
        <w:pStyle w:val="a3"/>
        <w:spacing w:before="240" w:beforeAutospacing="0" w:after="0" w:afterAutospacing="0"/>
        <w:ind w:firstLine="556"/>
        <w:jc w:val="both"/>
        <w:rPr>
          <w:sz w:val="20"/>
          <w:szCs w:val="20"/>
        </w:rPr>
      </w:pPr>
      <w:r>
        <w:rPr>
          <w:sz w:val="20"/>
          <w:szCs w:val="20"/>
        </w:rPr>
        <w:t>For OV101, the FDA granted orphan drug designation for OV101 for the treatment of Angelman syndrome and for the treatment of Fragile X syndrome in September 2016 and October 2017, respectively</w:t>
      </w:r>
      <w:r>
        <w:rPr>
          <w:sz w:val="20"/>
          <w:szCs w:val="20"/>
        </w:rPr>
        <w:t>, and fast track designation for the treatment of Angelman syndrome and Fragile X syndrome in December 2017 and March 2018, respectively. The EMA granted orphan designation for OV101 for the treatment of Angelman syndrome in June 2019. The FDA granted orph</w:t>
      </w:r>
      <w:r>
        <w:rPr>
          <w:sz w:val="20"/>
          <w:szCs w:val="20"/>
        </w:rPr>
        <w:t>an drug designation for OV935 for the treatment of Dravet syndrome and Lennox-Gastaut syndrome both in December 2017. We intend to pursue orphan drug designation for OV101 in additional indications, as well as for OV935 and potential other future drug cand</w:t>
      </w:r>
      <w:r>
        <w:rPr>
          <w:sz w:val="20"/>
          <w:szCs w:val="20"/>
        </w:rPr>
        <w:t>idates. Obtaining orphan drug designations is important to our business strategy; however, obtaining an orphan drug designation can be difficult and we may not be successful in doing so. Even if we were to obtain orphan drug designation for a drug candidat</w:t>
      </w:r>
      <w:r>
        <w:rPr>
          <w:sz w:val="20"/>
          <w:szCs w:val="20"/>
        </w:rPr>
        <w:t>e, we may not obtain orphan exclusivity and that exclusivity may not effectively protect the drug from the competition of different drugs for the same condition, which could be approved during the exclusivity period. Additionally, after an orphan drug is a</w:t>
      </w:r>
      <w:r>
        <w:rPr>
          <w:sz w:val="20"/>
          <w:szCs w:val="20"/>
        </w:rPr>
        <w:t>pproved, the FDA could subsequently approve another application for the same drug for the same indication if the FDA concludes that the later drug is shown to be safer, more effective or makes a major contribution to patient care. Orphan drug exclusive mar</w:t>
      </w:r>
      <w:r>
        <w:rPr>
          <w:sz w:val="20"/>
          <w:szCs w:val="20"/>
        </w:rPr>
        <w:t>keting rights in the United States also may be lost if the FDA later determines that the request for designation was materially defective or if the manufacturer is unable to assure sufficient quantity of the drug to meet the needs of patients with the rare</w:t>
      </w:r>
      <w:r>
        <w:rPr>
          <w:sz w:val="20"/>
          <w:szCs w:val="20"/>
        </w:rPr>
        <w:t xml:space="preserve"> disease or condition. The failure to obtain an orphan drug designation for any drug candidates we may develop, the inability to maintain that designation for the duration of the applicable period, or the inability to obtain or maintain orphan drug exclusi</w:t>
      </w:r>
      <w:r>
        <w:rPr>
          <w:sz w:val="20"/>
          <w:szCs w:val="20"/>
        </w:rPr>
        <w:t xml:space="preserve">vity could reduce our ability to make sufficient sales of the applicable drug candidate to balance our expenses incurred to develop it, which would have a negative impact on our operational results and financial condition. </w:t>
      </w:r>
    </w:p>
    <w:p w:rsidR="00000000" w:rsidRDefault="00D33C21">
      <w:pPr>
        <w:pStyle w:val="a3"/>
        <w:spacing w:before="360" w:beforeAutospacing="0" w:after="0" w:afterAutospacing="0"/>
        <w:ind w:left="238"/>
        <w:jc w:val="both"/>
        <w:rPr>
          <w:b/>
          <w:bCs/>
          <w:i/>
          <w:iCs/>
          <w:sz w:val="20"/>
          <w:szCs w:val="20"/>
        </w:rPr>
      </w:pPr>
      <w:r>
        <w:rPr>
          <w:b/>
          <w:bCs/>
          <w:i/>
          <w:iCs/>
          <w:sz w:val="20"/>
          <w:szCs w:val="20"/>
        </w:rPr>
        <w:t>If we are not successful in disc</w:t>
      </w:r>
      <w:r>
        <w:rPr>
          <w:b/>
          <w:bCs/>
          <w:i/>
          <w:iCs/>
          <w:sz w:val="20"/>
          <w:szCs w:val="20"/>
        </w:rPr>
        <w:t xml:space="preserve">overing, developing and commercializing additional drug candidates, our ability to expand our business and achieve our strategic objectives would be impaired. </w:t>
      </w:r>
    </w:p>
    <w:p w:rsidR="00000000" w:rsidRDefault="00D33C21">
      <w:pPr>
        <w:pStyle w:val="a3"/>
        <w:spacing w:before="120" w:beforeAutospacing="0" w:after="0" w:afterAutospacing="0"/>
        <w:ind w:firstLine="556"/>
        <w:jc w:val="both"/>
        <w:rPr>
          <w:sz w:val="20"/>
          <w:szCs w:val="20"/>
        </w:rPr>
      </w:pPr>
      <w:r>
        <w:rPr>
          <w:sz w:val="20"/>
          <w:szCs w:val="20"/>
        </w:rPr>
        <w:t>A key element of our strategy is to develop and potentially commercialize a portfolio of drug ca</w:t>
      </w:r>
      <w:r>
        <w:rPr>
          <w:sz w:val="20"/>
          <w:szCs w:val="20"/>
        </w:rPr>
        <w:t>ndidates to treat rare neurological disorders. We intend to do so by in-licensing and entering into collaborations with leading biopharmaceutical companies or academic institutions for new drug candidates. Identifying new drug candidates requires substanti</w:t>
      </w:r>
      <w:r>
        <w:rPr>
          <w:sz w:val="20"/>
          <w:szCs w:val="20"/>
        </w:rPr>
        <w:t>al technical, financial and human resources, whether or not any drug candidates are ultimately identified. Our approach to business development, including our efforts to map the biological pathways related to orphan disorders of the brain and our relations</w:t>
      </w:r>
      <w:r>
        <w:rPr>
          <w:sz w:val="20"/>
          <w:szCs w:val="20"/>
        </w:rPr>
        <w:t xml:space="preserve">hips among the pharmaceutical industry, may not result in viable drug candidates for clinical development. Even if we identify drug candidates that initially show promise, we may fail to in-license or acquire these assets and may also fail to successfully </w:t>
      </w:r>
      <w:r>
        <w:rPr>
          <w:sz w:val="20"/>
          <w:szCs w:val="20"/>
        </w:rPr>
        <w:t xml:space="preserve">develop and commercialize such drug candidates for many reasons, including the following: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research methodology used may not be successful in identifying potential drug candidates;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competitors may develop alternatives that render any drug ca</w:t>
            </w:r>
            <w:r>
              <w:rPr>
                <w:sz w:val="20"/>
                <w:szCs w:val="20"/>
              </w:rPr>
              <w:t xml:space="preserve">ndidate we develop obsolete;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any drug candidate we develop may nevertheless be covered by third parties’ patents or other exclusive rights;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a drug candidate may, on further study, be shown to have harmful side effects or other characteristics that indicate it is unlikely to be effective or otherwise does not meet applicable regulatory criteria; </w:t>
            </w:r>
          </w:p>
        </w:tc>
      </w:tr>
    </w:tbl>
    <w:p w:rsidR="00000000" w:rsidRDefault="00D33C21">
      <w:pPr>
        <w:pStyle w:val="a3"/>
        <w:spacing w:before="240" w:beforeAutospacing="0" w:after="0" w:afterAutospacing="0"/>
        <w:jc w:val="center"/>
        <w:rPr>
          <w:sz w:val="20"/>
          <w:szCs w:val="20"/>
        </w:rPr>
      </w:pPr>
      <w:r>
        <w:rPr>
          <w:sz w:val="20"/>
          <w:szCs w:val="20"/>
        </w:rPr>
        <w:t>33</w:t>
      </w:r>
    </w:p>
    <w:p w:rsidR="00000000" w:rsidRDefault="00D33C21">
      <w:pPr>
        <w:rPr>
          <w:rFonts w:eastAsia="Times New Roman"/>
        </w:rPr>
      </w:pPr>
      <w:r>
        <w:rPr>
          <w:rFonts w:eastAsia="Times New Roman"/>
        </w:rPr>
        <w:pict>
          <v:rect id="_x0000_i1058"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bookmarkStart w:id="55" w:name="_AEIOULastRenderedPageBreakAEIOU33"/>
            <w:bookmarkEnd w:id="55"/>
            <w:r>
              <w:rPr>
                <w:sz w:val="20"/>
                <w:szCs w:val="20"/>
              </w:rPr>
              <w:t>a drug candidate may not be capable of being produced in commercial quantities at an acceptable cost, or at all; a</w:t>
            </w:r>
            <w:r>
              <w:rPr>
                <w:sz w:val="20"/>
                <w:szCs w:val="20"/>
              </w:rPr>
              <w:t xml:space="preserve">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a drug candidate may not be accepted as safe and effective by physicians, patients, the medical community or third-party payors. </w:t>
            </w:r>
          </w:p>
        </w:tc>
      </w:tr>
    </w:tbl>
    <w:p w:rsidR="00000000" w:rsidRDefault="00D33C21">
      <w:pPr>
        <w:pStyle w:val="a3"/>
        <w:spacing w:before="240" w:beforeAutospacing="0" w:after="0" w:afterAutospacing="0"/>
        <w:ind w:firstLine="556"/>
        <w:jc w:val="both"/>
        <w:rPr>
          <w:sz w:val="20"/>
          <w:szCs w:val="20"/>
        </w:rPr>
      </w:pPr>
      <w:r>
        <w:rPr>
          <w:sz w:val="20"/>
          <w:szCs w:val="20"/>
        </w:rPr>
        <w:t>We have limited financial and management resources and, as a result, we may forego or delay pursuit of opportunitie</w:t>
      </w:r>
      <w:r>
        <w:rPr>
          <w:sz w:val="20"/>
          <w:szCs w:val="20"/>
        </w:rPr>
        <w:t>s with other drug candidates or for other indications that later prove to have greater market potential. Our resource allocation decisions may cause us to fail to capitalize on viable commercial drugs or profitable market opportunities. If we do not accura</w:t>
      </w:r>
      <w:r>
        <w:rPr>
          <w:sz w:val="20"/>
          <w:szCs w:val="20"/>
        </w:rPr>
        <w:t>tely evaluate the commercial potential or target market for a particular drug candidate, we may relinquish valuable rights to that drug candidate through collaboration, licensing or other royalty arrangements in circumstances under which it would have been</w:t>
      </w:r>
      <w:r>
        <w:rPr>
          <w:sz w:val="20"/>
          <w:szCs w:val="20"/>
        </w:rPr>
        <w:t xml:space="preserve"> more advantageous for us to retain sole development and commercialization rights to such drug candidate. </w:t>
      </w:r>
    </w:p>
    <w:p w:rsidR="00000000" w:rsidRDefault="00D33C21">
      <w:pPr>
        <w:pStyle w:val="a3"/>
        <w:spacing w:before="240" w:beforeAutospacing="0" w:after="0" w:afterAutospacing="0"/>
        <w:ind w:firstLine="556"/>
        <w:jc w:val="both"/>
        <w:rPr>
          <w:sz w:val="20"/>
          <w:szCs w:val="20"/>
        </w:rPr>
      </w:pPr>
      <w:r>
        <w:rPr>
          <w:sz w:val="20"/>
          <w:szCs w:val="20"/>
        </w:rPr>
        <w:t xml:space="preserve">If we are unsuccessful in identifying and developing additional drug candidates or are unable to do so, our key growth strategy and business will be harmed. </w:t>
      </w:r>
    </w:p>
    <w:p w:rsidR="00000000" w:rsidRDefault="00D33C21">
      <w:pPr>
        <w:pStyle w:val="a3"/>
        <w:spacing w:before="360" w:beforeAutospacing="0" w:after="0" w:afterAutospacing="0"/>
        <w:ind w:left="238"/>
        <w:jc w:val="both"/>
        <w:rPr>
          <w:b/>
          <w:bCs/>
          <w:i/>
          <w:iCs/>
          <w:sz w:val="20"/>
          <w:szCs w:val="20"/>
        </w:rPr>
      </w:pPr>
      <w:r>
        <w:rPr>
          <w:b/>
          <w:bCs/>
          <w:i/>
          <w:iCs/>
          <w:sz w:val="20"/>
          <w:szCs w:val="20"/>
        </w:rPr>
        <w:t>We are heavily dependent on our relationship with Takeda for the development and commercialization</w:t>
      </w:r>
      <w:r>
        <w:rPr>
          <w:b/>
          <w:bCs/>
          <w:i/>
          <w:iCs/>
          <w:sz w:val="20"/>
          <w:szCs w:val="20"/>
        </w:rPr>
        <w:t xml:space="preserve"> of OV935. Any disruption in our relationship with Takeda could lead to delays in, or the termination of, the development of OV935, which would materially harm our business. </w:t>
      </w:r>
    </w:p>
    <w:p w:rsidR="00000000" w:rsidRDefault="00D33C21">
      <w:pPr>
        <w:pStyle w:val="a3"/>
        <w:spacing w:before="120" w:beforeAutospacing="0" w:after="0" w:afterAutospacing="0"/>
        <w:ind w:firstLine="556"/>
        <w:jc w:val="both"/>
        <w:rPr>
          <w:sz w:val="20"/>
          <w:szCs w:val="20"/>
        </w:rPr>
      </w:pPr>
      <w:r>
        <w:rPr>
          <w:sz w:val="20"/>
          <w:szCs w:val="20"/>
        </w:rPr>
        <w:t>We are jointly developing OV935 with Takeda pursuant to the Takeda collaboration,</w:t>
      </w:r>
      <w:r>
        <w:rPr>
          <w:sz w:val="20"/>
          <w:szCs w:val="20"/>
        </w:rPr>
        <w:t xml:space="preserve"> which also granted us intellectual property rights to OV935. The development and commercialization of OV935 is highly dependent upon our relationship with Takeda, including Takeda’s submission of the IND to the FDA. If for any reason the Takeda collaborat</w:t>
      </w:r>
      <w:r>
        <w:rPr>
          <w:sz w:val="20"/>
          <w:szCs w:val="20"/>
        </w:rPr>
        <w:t>ion is terminated, or we otherwise lose the intellectual property rights to OV935, our business would be adversely affected. The Takeda collaboration imposes on us rights and obligations, including but not limited to exclusivity, territorial rights, develo</w:t>
      </w:r>
      <w:r>
        <w:rPr>
          <w:sz w:val="20"/>
          <w:szCs w:val="20"/>
        </w:rPr>
        <w:t xml:space="preserve">pment, commercialization, funding, payment, diligence, sublicensing, insurance and intellectual property protection. After a negotiated time period, each party has the right to terminate the license for convenience upon six to twelve months’ notice to the </w:t>
      </w:r>
      <w:r>
        <w:rPr>
          <w:sz w:val="20"/>
          <w:szCs w:val="20"/>
        </w:rPr>
        <w:t>other party, which would result in us being unable to co-develop and sell OV935. Further, if we breach any material obligations, or use the intellectual property licensed to us in an unauthorized manner, we may be required to pay damages to Takeda, and Tak</w:t>
      </w:r>
      <w:r>
        <w:rPr>
          <w:sz w:val="20"/>
          <w:szCs w:val="20"/>
        </w:rPr>
        <w:t>eda may have the right to terminate the license. Takeda could also breach its obligations under the agreement, or may not commit a sufficient amount of resources to satisfy its obligations, which would result in the development of OV935 being materially de</w:t>
      </w:r>
      <w:r>
        <w:rPr>
          <w:sz w:val="20"/>
          <w:szCs w:val="20"/>
        </w:rPr>
        <w:t xml:space="preserve">layed or terminated. </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We may explore additional strategic collaborations that may never materialize or may fail. </w:t>
      </w:r>
    </w:p>
    <w:p w:rsidR="00000000" w:rsidRDefault="00D33C21">
      <w:pPr>
        <w:pStyle w:val="a3"/>
        <w:spacing w:before="120" w:beforeAutospacing="0" w:after="0" w:afterAutospacing="0"/>
        <w:ind w:firstLine="556"/>
        <w:jc w:val="both"/>
        <w:rPr>
          <w:sz w:val="20"/>
          <w:szCs w:val="20"/>
        </w:rPr>
      </w:pPr>
      <w:r>
        <w:rPr>
          <w:sz w:val="20"/>
          <w:szCs w:val="20"/>
        </w:rPr>
        <w:t>Our business strategy is based on acquiring or in-licensing compounds directed at rare neurological disorders. As a result, we intend to perio</w:t>
      </w:r>
      <w:r>
        <w:rPr>
          <w:sz w:val="20"/>
          <w:szCs w:val="20"/>
        </w:rPr>
        <w:t>dically explore a variety of possible additional strategic collaborations in an effort to gain access to additional drug candidates or resources. At the current time, we cannot predict what form such a strategic collaboration might take. We are likely to f</w:t>
      </w:r>
      <w:r>
        <w:rPr>
          <w:sz w:val="20"/>
          <w:szCs w:val="20"/>
        </w:rPr>
        <w:t>ace significant competition in seeking appropriate strategic collaborators, and strategic collaborations can be complicated and time consuming to negotiate and document. We may not be able to negotiate strategic collaborations on acceptable terms, or at al</w:t>
      </w:r>
      <w:r>
        <w:rPr>
          <w:sz w:val="20"/>
          <w:szCs w:val="20"/>
        </w:rPr>
        <w:t xml:space="preserve">l. We are unable to predict when, if ever, we will enter into any additional strategic collaborations because of the numerous risks and uncertainties associated with establishing them. </w:t>
      </w:r>
    </w:p>
    <w:p w:rsidR="00000000" w:rsidRDefault="00D33C21">
      <w:pPr>
        <w:pStyle w:val="a3"/>
        <w:spacing w:before="360" w:beforeAutospacing="0" w:after="0" w:afterAutospacing="0"/>
        <w:ind w:left="238"/>
        <w:jc w:val="both"/>
        <w:rPr>
          <w:b/>
          <w:bCs/>
          <w:i/>
          <w:iCs/>
          <w:sz w:val="20"/>
          <w:szCs w:val="20"/>
        </w:rPr>
      </w:pPr>
      <w:r>
        <w:rPr>
          <w:b/>
          <w:bCs/>
          <w:i/>
          <w:iCs/>
          <w:sz w:val="20"/>
          <w:szCs w:val="20"/>
        </w:rPr>
        <w:t>Clinical trials are very expensive, time-consuming and difficult to de</w:t>
      </w:r>
      <w:r>
        <w:rPr>
          <w:b/>
          <w:bCs/>
          <w:i/>
          <w:iCs/>
          <w:sz w:val="20"/>
          <w:szCs w:val="20"/>
        </w:rPr>
        <w:t xml:space="preserve">sign and implement. </w:t>
      </w:r>
    </w:p>
    <w:p w:rsidR="00000000" w:rsidRDefault="00D33C21">
      <w:pPr>
        <w:pStyle w:val="a3"/>
        <w:spacing w:before="120" w:beforeAutospacing="0" w:after="0" w:afterAutospacing="0"/>
        <w:ind w:firstLine="556"/>
        <w:jc w:val="both"/>
        <w:rPr>
          <w:sz w:val="20"/>
          <w:szCs w:val="20"/>
        </w:rPr>
      </w:pPr>
      <w:r>
        <w:rPr>
          <w:sz w:val="20"/>
          <w:szCs w:val="20"/>
        </w:rPr>
        <w:t>Our drug candidates will require clinical testing before we are prepared to submit a new drug application (“NDA”) for regulatory approval. We cannot predict with any certainty if or when we might submit an NDA for regulatory approval f</w:t>
      </w:r>
      <w:r>
        <w:rPr>
          <w:sz w:val="20"/>
          <w:szCs w:val="20"/>
        </w:rPr>
        <w:t>or any of our drug candidates or whether any such NDA will be approved by the FDA. Human clinical trials are very expensive and difficult to design and implement, in part because they are subject to rigorous regulatory requirements. For instance, the FDA m</w:t>
      </w:r>
      <w:r>
        <w:rPr>
          <w:sz w:val="20"/>
          <w:szCs w:val="20"/>
        </w:rPr>
        <w:t>ay not agree with our proposed endpoints for any future clinical trial of our drug candidates, which may delay the commencement of our clinical trials. In addition, we may not succeed in developing and validating disease-relevant clinical endpoints based o</w:t>
      </w:r>
      <w:r>
        <w:rPr>
          <w:sz w:val="20"/>
          <w:szCs w:val="20"/>
        </w:rPr>
        <w:t>n insights regarding biological pathways for the disorders we are studying. The clinical trial process is also time-consuming. We estimate that the successful completion of clinical trials of our drug candidates will take at least several years to complete</w:t>
      </w:r>
      <w:r>
        <w:rPr>
          <w:sz w:val="20"/>
          <w:szCs w:val="20"/>
        </w:rPr>
        <w:t xml:space="preserve">, if not longer. Furthermore, failure can occur at any stage and we could encounter problems that cause us to abandon or repeat clinical trials. </w:t>
      </w:r>
    </w:p>
    <w:p w:rsidR="00000000" w:rsidRDefault="00D33C21">
      <w:pPr>
        <w:pStyle w:val="a3"/>
        <w:spacing w:before="360" w:beforeAutospacing="0" w:after="0" w:afterAutospacing="0"/>
        <w:ind w:left="238"/>
        <w:jc w:val="both"/>
        <w:rPr>
          <w:b/>
          <w:bCs/>
          <w:i/>
          <w:iCs/>
          <w:sz w:val="20"/>
          <w:szCs w:val="20"/>
        </w:rPr>
      </w:pPr>
      <w:r>
        <w:rPr>
          <w:b/>
          <w:bCs/>
          <w:i/>
          <w:iCs/>
          <w:sz w:val="20"/>
          <w:szCs w:val="20"/>
        </w:rPr>
        <w:t>Enrollment and retention of patients in clinical trials is an expensive and time-consuming process and could b</w:t>
      </w:r>
      <w:r>
        <w:rPr>
          <w:b/>
          <w:bCs/>
          <w:i/>
          <w:iCs/>
          <w:sz w:val="20"/>
          <w:szCs w:val="20"/>
        </w:rPr>
        <w:t xml:space="preserve">e made more difficult or rendered impossible by multiple factors outside our control. </w:t>
      </w:r>
    </w:p>
    <w:p w:rsidR="00000000" w:rsidRDefault="00D33C21">
      <w:pPr>
        <w:pStyle w:val="a3"/>
        <w:spacing w:before="120" w:beforeAutospacing="0" w:after="0" w:afterAutospacing="0"/>
        <w:ind w:firstLine="556"/>
        <w:jc w:val="both"/>
        <w:rPr>
          <w:sz w:val="20"/>
          <w:szCs w:val="20"/>
        </w:rPr>
      </w:pPr>
      <w:bookmarkStart w:id="56" w:name="_AEIOULastRenderedPageBreakAEIOU34"/>
      <w:bookmarkEnd w:id="56"/>
      <w:r>
        <w:rPr>
          <w:sz w:val="20"/>
          <w:szCs w:val="20"/>
        </w:rPr>
        <w:t xml:space="preserve">Identifying and qualifying patients to participate in our clinical trials is critical to our success. The number of patients suffering from Angelman syndrome, Fragile X </w:t>
      </w:r>
      <w:r>
        <w:rPr>
          <w:sz w:val="20"/>
          <w:szCs w:val="20"/>
        </w:rPr>
        <w:t xml:space="preserve">syndrome and dEE, such as Dravet syndrome, Lennox-Gastaut syndrome and Tuberous Sclerosis Complex, is small and has not been established with precision. If the actual number of patients with these disorders is </w:t>
      </w:r>
    </w:p>
    <w:p w:rsidR="00000000" w:rsidRDefault="00D33C21">
      <w:pPr>
        <w:pStyle w:val="a3"/>
        <w:spacing w:before="240" w:beforeAutospacing="0" w:after="0" w:afterAutospacing="0"/>
        <w:jc w:val="center"/>
        <w:rPr>
          <w:sz w:val="20"/>
          <w:szCs w:val="20"/>
        </w:rPr>
      </w:pPr>
      <w:r>
        <w:rPr>
          <w:sz w:val="20"/>
          <w:szCs w:val="20"/>
        </w:rPr>
        <w:t>34</w:t>
      </w:r>
    </w:p>
    <w:p w:rsidR="00000000" w:rsidRDefault="00D33C21">
      <w:pPr>
        <w:rPr>
          <w:rFonts w:eastAsia="Times New Roman"/>
        </w:rPr>
      </w:pPr>
      <w:r>
        <w:rPr>
          <w:rFonts w:eastAsia="Times New Roman"/>
        </w:rPr>
        <w:pict>
          <v:rect id="_x0000_i1059"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120" w:beforeAutospacing="0" w:after="0" w:afterAutospacing="0"/>
        <w:jc w:val="both"/>
        <w:rPr>
          <w:sz w:val="20"/>
          <w:szCs w:val="20"/>
        </w:rPr>
      </w:pPr>
      <w:r>
        <w:rPr>
          <w:sz w:val="20"/>
          <w:szCs w:val="20"/>
        </w:rPr>
        <w:t>smaller than we anticipate, we may encounter difficulties in enrolling patients in our clinical trials, thereby dela</w:t>
      </w:r>
      <w:r>
        <w:rPr>
          <w:sz w:val="20"/>
          <w:szCs w:val="20"/>
        </w:rPr>
        <w:t>ying or preventing development and approval of our drug candidates. Even once enrolled we may be unable to retain a sufficient number of patients to complete any of our trials. Patient enrollment and retention in clinical trials depends on many factors, in</w:t>
      </w:r>
      <w:r>
        <w:rPr>
          <w:sz w:val="20"/>
          <w:szCs w:val="20"/>
        </w:rPr>
        <w:t>cluding the size of the patient population, the nature of the trial protocol, the existing body of safety and efficacy data, the number and nature of competing treatments and ongoing clinical trials of competing therapies for the same indication, the proxi</w:t>
      </w:r>
      <w:r>
        <w:rPr>
          <w:sz w:val="20"/>
          <w:szCs w:val="20"/>
        </w:rPr>
        <w:t>mity of patients to clinical sites and the eligibility criteria for the trial, any such enrollment issues could cause delays or prevent development and approval of our drug candidates. Because we are focused on addressing rare neurological disorders, there</w:t>
      </w:r>
      <w:r>
        <w:rPr>
          <w:sz w:val="20"/>
          <w:szCs w:val="20"/>
        </w:rPr>
        <w:t xml:space="preserve"> are limited patient pools from which to draw in order to complete our clinical trials in a timely and cost-effective manner. Furthermore, our efforts to build relationships with patient communities may not succeed, which could result in delays in patient </w:t>
      </w:r>
      <w:r>
        <w:rPr>
          <w:sz w:val="20"/>
          <w:szCs w:val="20"/>
        </w:rPr>
        <w:t>enrollment in our clinical trials. In addition, any negative results we may report in clinical trials of our drug candidate may make it difficult or impossible to recruit and retain patients in other clinical trials of that same drug candidate. Delays or f</w:t>
      </w:r>
      <w:r>
        <w:rPr>
          <w:sz w:val="20"/>
          <w:szCs w:val="20"/>
        </w:rPr>
        <w:t>ailures in planned patient enrollment or retention may result in increased costs, program delays or both, which could have a harmful effect on our ability to develop our drug candidates, or could render further development impossible. In addition, we may r</w:t>
      </w:r>
      <w:r>
        <w:rPr>
          <w:sz w:val="20"/>
          <w:szCs w:val="20"/>
        </w:rPr>
        <w:t xml:space="preserve">ely on CROs and clinical trial sites to ensure proper and timely conduct of our future clinical trials and, while we intend to enter into agreements governing their services, we will be limited in our ability to compel their actual performance. </w:t>
      </w:r>
    </w:p>
    <w:p w:rsidR="00000000" w:rsidRDefault="00D33C21">
      <w:pPr>
        <w:pStyle w:val="a3"/>
        <w:spacing w:before="360" w:beforeAutospacing="0" w:after="0" w:afterAutospacing="0"/>
        <w:ind w:left="238"/>
        <w:jc w:val="both"/>
        <w:rPr>
          <w:b/>
          <w:bCs/>
          <w:i/>
          <w:iCs/>
          <w:sz w:val="20"/>
          <w:szCs w:val="20"/>
        </w:rPr>
      </w:pPr>
      <w:r>
        <w:rPr>
          <w:b/>
          <w:bCs/>
          <w:i/>
          <w:iCs/>
          <w:sz w:val="20"/>
          <w:szCs w:val="20"/>
        </w:rPr>
        <w:t>Our drug c</w:t>
      </w:r>
      <w:r>
        <w:rPr>
          <w:b/>
          <w:bCs/>
          <w:i/>
          <w:iCs/>
          <w:sz w:val="20"/>
          <w:szCs w:val="20"/>
        </w:rPr>
        <w:t xml:space="preserve">andidates may cause undesirable side effects or have other properties that could delay or prevent their regulatory approval, limit the commercial potential or result in significant negative consequences following any potential marketing approval. </w:t>
      </w:r>
    </w:p>
    <w:p w:rsidR="00000000" w:rsidRDefault="00D33C21">
      <w:pPr>
        <w:pStyle w:val="a3"/>
        <w:spacing w:before="120" w:beforeAutospacing="0" w:after="0" w:afterAutospacing="0"/>
        <w:ind w:firstLine="556"/>
        <w:jc w:val="both"/>
        <w:rPr>
          <w:sz w:val="20"/>
          <w:szCs w:val="20"/>
        </w:rPr>
      </w:pPr>
      <w:r>
        <w:rPr>
          <w:sz w:val="20"/>
          <w:szCs w:val="20"/>
        </w:rPr>
        <w:t>During t</w:t>
      </w:r>
      <w:r>
        <w:rPr>
          <w:sz w:val="20"/>
          <w:szCs w:val="20"/>
        </w:rPr>
        <w:t>he conduct of clinical trials, patients report changes in their health, including illnesses, injuries and discomforts, to their doctor. Often, it is not possible to determine whether or not the drug candidate being studied caused these conditions. Regulato</w:t>
      </w:r>
      <w:r>
        <w:rPr>
          <w:sz w:val="20"/>
          <w:szCs w:val="20"/>
        </w:rPr>
        <w:t>ry authorities may draw different conclusions or require additional testing to confirm these determinations, if they occur. In addition, it is possible that as we test our drug candidates in larger, longer and more extensive clinical programs, or as use of</w:t>
      </w:r>
      <w:r>
        <w:rPr>
          <w:sz w:val="20"/>
          <w:szCs w:val="20"/>
        </w:rPr>
        <w:t xml:space="preserve"> these drug candidates becomes more widespread if they receive regulatory approval, illnesses, injuries, discomforts and other adverse events that were observed in earlier trials, as well as conditions that did not occur or went undetected in previous tria</w:t>
      </w:r>
      <w:r>
        <w:rPr>
          <w:sz w:val="20"/>
          <w:szCs w:val="20"/>
        </w:rPr>
        <w:t>ls, will be reported by subjects. Many times, side effects are only detectable after investigational drugs are tested in large-scale, Phase 3 trials or, in some cases, after they are made available to patients on a commercial scale after approval. For exam</w:t>
      </w:r>
      <w:r>
        <w:rPr>
          <w:sz w:val="20"/>
          <w:szCs w:val="20"/>
        </w:rPr>
        <w:t>ple, in one of the trials conducted by Lundbeck, there were reports of hallucinations in drug abusers at 30mg and 45mg doses of OV101, which are higher than the 10mg and 15mg doses that were effective for insomnia. In addition, some patients treated with O</w:t>
      </w:r>
      <w:r>
        <w:rPr>
          <w:sz w:val="20"/>
          <w:szCs w:val="20"/>
        </w:rPr>
        <w:t>V101 in the Lundbeck Phase 3 trials experienced headaches, nausea and dizziness. In the STARS study, the most frequent adverse events for OV101 treated arms that were greater than placebo arm included pyrexia, rash, seizure, enuresis, myoclonic epilepsy, o</w:t>
      </w:r>
      <w:r>
        <w:rPr>
          <w:sz w:val="20"/>
          <w:szCs w:val="20"/>
        </w:rPr>
        <w:t>titis media and viral infection. Patients in our ongoing or planned clinical trials may experience similar or other adverse events after treatment with OV101. In the Phase 1b/2a OV935 trial, adverse events that occurred more frequently in the OV935-treatme</w:t>
      </w:r>
      <w:r>
        <w:rPr>
          <w:sz w:val="20"/>
          <w:szCs w:val="20"/>
        </w:rPr>
        <w:t>nt group versus the placebo group were dysarthria, insomnia, lethargy, seizure cluster, and upper respiratory infection. If additional clinical experience indicates that any of our current drug candidates, including OV101 and OV935, or any future drug cand</w:t>
      </w:r>
      <w:r>
        <w:rPr>
          <w:sz w:val="20"/>
          <w:szCs w:val="20"/>
        </w:rPr>
        <w:t>idates has adverse events or causes serious or life-threatening adverse events, the development of that drug candidate may fail or be delayed, or, if the drug candidate has received regulatory approval, such approval may be revoked, which would harm our bu</w:t>
      </w:r>
      <w:r>
        <w:rPr>
          <w:sz w:val="20"/>
          <w:szCs w:val="20"/>
        </w:rPr>
        <w:t xml:space="preserve">siness, prospects, operating results and financial condition. </w:t>
      </w:r>
    </w:p>
    <w:p w:rsidR="00000000" w:rsidRDefault="00D33C21">
      <w:pPr>
        <w:pStyle w:val="a3"/>
        <w:spacing w:before="240" w:beforeAutospacing="0" w:after="0" w:afterAutospacing="0"/>
        <w:ind w:firstLine="556"/>
        <w:jc w:val="both"/>
        <w:rPr>
          <w:sz w:val="20"/>
          <w:szCs w:val="20"/>
        </w:rPr>
      </w:pPr>
      <w:r>
        <w:rPr>
          <w:sz w:val="20"/>
          <w:szCs w:val="20"/>
        </w:rPr>
        <w:t>Moreover, if we elect, or are required, to delay, suspend or terminate any clinical trial of our drug candidates, the commercial prospects of our drug candidates may be harmed and our ability t</w:t>
      </w:r>
      <w:r>
        <w:rPr>
          <w:sz w:val="20"/>
          <w:szCs w:val="20"/>
        </w:rPr>
        <w:t xml:space="preserve">o generate revenue through their sale may be delayed or eliminated. Any of these occurrences may harm our business, financial condition and prospects significantly. </w:t>
      </w:r>
    </w:p>
    <w:p w:rsidR="00000000" w:rsidRDefault="00D33C21">
      <w:pPr>
        <w:pStyle w:val="a3"/>
        <w:spacing w:before="240" w:beforeAutospacing="0" w:after="0" w:afterAutospacing="0"/>
        <w:ind w:firstLine="556"/>
        <w:jc w:val="both"/>
        <w:rPr>
          <w:sz w:val="20"/>
          <w:szCs w:val="20"/>
        </w:rPr>
      </w:pPr>
      <w:r>
        <w:rPr>
          <w:sz w:val="20"/>
          <w:szCs w:val="20"/>
        </w:rPr>
        <w:t>Additionally, if any of our drug candidates receive marketing approval, the FDA could requ</w:t>
      </w:r>
      <w:r>
        <w:rPr>
          <w:sz w:val="20"/>
          <w:szCs w:val="20"/>
        </w:rPr>
        <w:t>ire us to include a black box warning in our label or adopt REMS to ensure that the benefits outweigh its risks, which may include, among other things, a medication guide outlining the risks of the drug for distribution to patients and a communication plan</w:t>
      </w:r>
      <w:r>
        <w:rPr>
          <w:sz w:val="20"/>
          <w:szCs w:val="20"/>
        </w:rPr>
        <w:t xml:space="preserve"> to health care practitioners. Furthermore, if we or others later identify undesirable side effects caused by our drug candidates, several potentially significant negative consequences could result,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regulatory authorities may suspend or wit</w:t>
            </w:r>
            <w:r>
              <w:rPr>
                <w:sz w:val="20"/>
                <w:szCs w:val="20"/>
              </w:rPr>
              <w:t xml:space="preserve">hdraw approvals of such drug candidate;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regulatory authorities may require additional warnings on the label;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we may be required to change the way a drug candidate is administered or conduct additional clinical trials;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we could be sued and held liable for harm caused to patients;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we may need to conduct a recall;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our reputation may suffer. </w:t>
            </w:r>
          </w:p>
        </w:tc>
      </w:tr>
    </w:tbl>
    <w:p w:rsidR="00000000" w:rsidRDefault="00D33C21">
      <w:pPr>
        <w:pStyle w:val="a3"/>
        <w:spacing w:before="240" w:beforeAutospacing="0" w:after="0" w:afterAutospacing="0"/>
        <w:jc w:val="center"/>
        <w:rPr>
          <w:sz w:val="20"/>
          <w:szCs w:val="20"/>
        </w:rPr>
      </w:pPr>
      <w:r>
        <w:rPr>
          <w:sz w:val="20"/>
          <w:szCs w:val="20"/>
        </w:rPr>
        <w:t>35</w:t>
      </w:r>
    </w:p>
    <w:p w:rsidR="00000000" w:rsidRDefault="00D33C21">
      <w:pPr>
        <w:rPr>
          <w:rFonts w:eastAsia="Times New Roman"/>
        </w:rPr>
      </w:pPr>
      <w:r>
        <w:rPr>
          <w:rFonts w:eastAsia="Times New Roman"/>
        </w:rPr>
        <w:pict>
          <v:rect id="_x0000_i1060"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ind w:firstLine="556"/>
        <w:jc w:val="both"/>
        <w:rPr>
          <w:sz w:val="20"/>
          <w:szCs w:val="20"/>
        </w:rPr>
      </w:pPr>
      <w:bookmarkStart w:id="57" w:name="_AEIOULastRenderedPageBreakAEIOU35"/>
      <w:bookmarkEnd w:id="57"/>
      <w:r>
        <w:rPr>
          <w:sz w:val="20"/>
          <w:szCs w:val="20"/>
        </w:rPr>
        <w:t xml:space="preserve">Any of these events could prevent us from achieving or maintaining market acceptance of our drug candidates and could significantly harm our business, prospects, financial condition </w:t>
      </w:r>
      <w:r>
        <w:rPr>
          <w:sz w:val="20"/>
          <w:szCs w:val="20"/>
        </w:rPr>
        <w:t xml:space="preserve">and results of operations. </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We may be required to relinquish important rights to and control over the development and commercialization of our drug candidates to any future collaborators. </w:t>
      </w:r>
    </w:p>
    <w:p w:rsidR="00000000" w:rsidRDefault="00D33C21">
      <w:pPr>
        <w:pStyle w:val="a3"/>
        <w:spacing w:before="120" w:beforeAutospacing="0" w:after="0" w:afterAutospacing="0"/>
        <w:ind w:firstLine="556"/>
        <w:jc w:val="both"/>
        <w:rPr>
          <w:sz w:val="20"/>
          <w:szCs w:val="20"/>
        </w:rPr>
      </w:pPr>
      <w:r>
        <w:rPr>
          <w:sz w:val="20"/>
          <w:szCs w:val="20"/>
        </w:rPr>
        <w:t xml:space="preserve">Our current and future collaborations could subject us to a number </w:t>
      </w:r>
      <w:r>
        <w:rPr>
          <w:sz w:val="20"/>
          <w:szCs w:val="20"/>
        </w:rPr>
        <w:t xml:space="preserve">of risks,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we may be required to undertake the expenditure of substantial operational, financial and management resources;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we may be required to issue equity securities that would dilute our stockholders’ percentage of ownership;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we may be required to assume substantial actual or contingent liabilities;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we may not be able to control the amount and timing of resou</w:t>
            </w:r>
            <w:r>
              <w:rPr>
                <w:sz w:val="20"/>
                <w:szCs w:val="20"/>
              </w:rPr>
              <w:t xml:space="preserve">rces that our strategic collaborators devote to the development or commercialization of our drug candidates;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strategic collaborators may delay clinical trials, provide insufficient funding, terminate a clinical trial or abandon a drug candidate, rep</w:t>
            </w:r>
            <w:r>
              <w:rPr>
                <w:sz w:val="20"/>
                <w:szCs w:val="20"/>
              </w:rPr>
              <w:t xml:space="preserve">eat or conduct new clinical trials or require a new version of a drug candidate for clinical testing;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strategic collaborators may not pursue further development and commercialization of products resulting from the strategic collaboration arrangement</w:t>
            </w:r>
            <w:r>
              <w:rPr>
                <w:sz w:val="20"/>
                <w:szCs w:val="20"/>
              </w:rPr>
              <w:t xml:space="preserve"> or may elect to discontinue research and development programs;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strategic collaborators may not commit adequate resources to the marketing and distribution of our drug candidates, limiting our potential revenues from these products;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we rely on our current collaborators to manufacture drug substance and drug prod</w:t>
            </w:r>
            <w:r>
              <w:rPr>
                <w:sz w:val="20"/>
                <w:szCs w:val="20"/>
              </w:rPr>
              <w:t xml:space="preserve">uct and may do so with respect to future collaborators, which could result in disputes or delays;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disputes may arise between us and our strategic collaborators that result in the delay or termination of the research, development or commercialization</w:t>
            </w:r>
            <w:r>
              <w:rPr>
                <w:sz w:val="20"/>
                <w:szCs w:val="20"/>
              </w:rPr>
              <w:t xml:space="preserve"> of our drug candidates or that result in costly litigation or arbitration that diverts management’s attention and consumes resources;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strategic collaborators may experience financial difficulties;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strategic collaborators may not properly maintain or defend our intellectual property rights or may use our proprietary information in a manner that could jeopardize or invalidate our proprietary information or expose us to potential litigation;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bus</w:t>
            </w:r>
            <w:r>
              <w:rPr>
                <w:sz w:val="20"/>
                <w:szCs w:val="20"/>
              </w:rPr>
              <w:t xml:space="preserve">iness combinations or significant changes in a strategic collaborator’s business strategy may also adversely affect a strategic collaborator’s willingness or ability to complete its obligations under any arrangement;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strategic collaborators could de</w:t>
            </w:r>
            <w:r>
              <w:rPr>
                <w:sz w:val="20"/>
                <w:szCs w:val="20"/>
              </w:rPr>
              <w:t xml:space="preserve">cide to move forward with a competing drug candidate developed either independently or in collaboration with others, including our competitors;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strategic collaborators could terminate the arrangement or allow it to expire, which would delay the </w:t>
            </w:r>
            <w:r>
              <w:rPr>
                <w:sz w:val="20"/>
                <w:szCs w:val="20"/>
              </w:rPr>
              <w:t xml:space="preserve">development and may increase the cost of developing our drug candidates. </w:t>
            </w:r>
          </w:p>
        </w:tc>
      </w:tr>
    </w:tbl>
    <w:p w:rsidR="00000000" w:rsidRDefault="00D33C21">
      <w:pPr>
        <w:pStyle w:val="a3"/>
        <w:spacing w:before="360" w:beforeAutospacing="0" w:after="0" w:afterAutospacing="0"/>
        <w:ind w:left="238"/>
        <w:jc w:val="both"/>
        <w:rPr>
          <w:b/>
          <w:bCs/>
          <w:i/>
          <w:iCs/>
          <w:sz w:val="20"/>
          <w:szCs w:val="20"/>
        </w:rPr>
      </w:pPr>
      <w:r>
        <w:rPr>
          <w:b/>
          <w:bCs/>
          <w:i/>
          <w:iCs/>
          <w:sz w:val="20"/>
          <w:szCs w:val="20"/>
        </w:rPr>
        <w:t>If the market opportunities for our drug candidates are smaller than we believe they are, even assuming approval of a drug candidate, our business may suffer. Because the patient po</w:t>
      </w:r>
      <w:r>
        <w:rPr>
          <w:b/>
          <w:bCs/>
          <w:i/>
          <w:iCs/>
          <w:sz w:val="20"/>
          <w:szCs w:val="20"/>
        </w:rPr>
        <w:t xml:space="preserve">pulations in the market for our drug candidates may be small, we must be able to successfully identify patients and acquire a significant market share to achieve profitability and growth. </w:t>
      </w:r>
    </w:p>
    <w:p w:rsidR="00000000" w:rsidRDefault="00D33C21">
      <w:pPr>
        <w:pStyle w:val="a3"/>
        <w:spacing w:before="120" w:beforeAutospacing="0" w:after="0" w:afterAutospacing="0"/>
        <w:ind w:firstLine="556"/>
        <w:jc w:val="both"/>
        <w:rPr>
          <w:sz w:val="20"/>
          <w:szCs w:val="20"/>
        </w:rPr>
      </w:pPr>
      <w:r>
        <w:rPr>
          <w:sz w:val="20"/>
          <w:szCs w:val="20"/>
        </w:rPr>
        <w:t>We focus our research and drug development on treatments for rare n</w:t>
      </w:r>
      <w:r>
        <w:rPr>
          <w:sz w:val="20"/>
          <w:szCs w:val="20"/>
        </w:rPr>
        <w:t>eurological disorders. Given the small number of patients who have the disorders that we are targeting, our eligible patient population and pricing estimates may differ significantly from the actual market addressable by our drug candidates. Our projection</w:t>
      </w:r>
      <w:r>
        <w:rPr>
          <w:sz w:val="20"/>
          <w:szCs w:val="20"/>
        </w:rPr>
        <w:t>s of both the number of people who have these disorders, as well as the subset of people with these disorders who have the potential to benefit from treatment with our drug candidates, are based on our beliefs and estimates. These estimates have been deriv</w:t>
      </w:r>
      <w:r>
        <w:rPr>
          <w:sz w:val="20"/>
          <w:szCs w:val="20"/>
        </w:rPr>
        <w:t xml:space="preserve">ed from a variety of sources, including the scientific literature, patient foundations, or market research, and may prove to be incorrect. Further, new studies may change the estimated incidence or prevalence of these disorders. The number of patients may </w:t>
      </w:r>
      <w:r>
        <w:rPr>
          <w:sz w:val="20"/>
          <w:szCs w:val="20"/>
        </w:rPr>
        <w:t xml:space="preserve">turn out to be lower than expected. Likewise, the potentially addressable patient population for each of our drug candidates may be limited or may not be amenable to treatment with our drug candidates, and new patients may become increasingly difficult to </w:t>
      </w:r>
      <w:r>
        <w:rPr>
          <w:sz w:val="20"/>
          <w:szCs w:val="20"/>
        </w:rPr>
        <w:t xml:space="preserve">identify or gain access to, which would adversely affect our results of operations and our business. </w:t>
      </w:r>
    </w:p>
    <w:p w:rsidR="00000000" w:rsidRDefault="00D33C21">
      <w:pPr>
        <w:pStyle w:val="a3"/>
        <w:spacing w:before="240" w:beforeAutospacing="0" w:after="0" w:afterAutospacing="0"/>
        <w:jc w:val="center"/>
        <w:rPr>
          <w:sz w:val="20"/>
          <w:szCs w:val="20"/>
        </w:rPr>
      </w:pPr>
      <w:r>
        <w:rPr>
          <w:sz w:val="20"/>
          <w:szCs w:val="20"/>
        </w:rPr>
        <w:t>36</w:t>
      </w:r>
    </w:p>
    <w:p w:rsidR="00000000" w:rsidRDefault="00D33C21">
      <w:pPr>
        <w:rPr>
          <w:rFonts w:eastAsia="Times New Roman"/>
        </w:rPr>
      </w:pPr>
      <w:r>
        <w:rPr>
          <w:rFonts w:eastAsia="Times New Roman"/>
        </w:rPr>
        <w:pict>
          <v:rect id="_x0000_i1061"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ind w:left="238"/>
        <w:jc w:val="both"/>
        <w:rPr>
          <w:b/>
          <w:bCs/>
          <w:i/>
          <w:iCs/>
          <w:sz w:val="20"/>
          <w:szCs w:val="20"/>
        </w:rPr>
      </w:pPr>
      <w:bookmarkStart w:id="58" w:name="_AEIOULastRenderedPageBreakAEIOU36"/>
      <w:bookmarkEnd w:id="58"/>
      <w:r>
        <w:rPr>
          <w:b/>
          <w:bCs/>
          <w:i/>
          <w:iCs/>
          <w:sz w:val="20"/>
          <w:szCs w:val="20"/>
        </w:rPr>
        <w:t xml:space="preserve">We face substantial competition, which may result in others developing or </w:t>
      </w:r>
      <w:r>
        <w:rPr>
          <w:b/>
          <w:bCs/>
          <w:i/>
          <w:iCs/>
          <w:sz w:val="20"/>
          <w:szCs w:val="20"/>
        </w:rPr>
        <w:t xml:space="preserve">commercializing drugs before or more successfully than us. </w:t>
      </w:r>
    </w:p>
    <w:p w:rsidR="00000000" w:rsidRDefault="00D33C21">
      <w:pPr>
        <w:pStyle w:val="a3"/>
        <w:spacing w:before="120" w:beforeAutospacing="0" w:after="0" w:afterAutospacing="0"/>
        <w:ind w:firstLine="556"/>
        <w:jc w:val="both"/>
        <w:rPr>
          <w:sz w:val="20"/>
          <w:szCs w:val="20"/>
        </w:rPr>
      </w:pPr>
      <w:r>
        <w:rPr>
          <w:sz w:val="20"/>
          <w:szCs w:val="20"/>
        </w:rPr>
        <w:t>The development and commercialization of new drugs is highly competitive. We face competition with respect to our current drug candidates and will face competition with respect to any other drug c</w:t>
      </w:r>
      <w:r>
        <w:rPr>
          <w:sz w:val="20"/>
          <w:szCs w:val="20"/>
        </w:rPr>
        <w:t>andidates that we may seek to develop or commercialize in the future, from major pharmaceutical companies, specialty pharmaceutical companies and biotechnology companies worldwide. There are a number of large pharmaceutical and biotechnology companies that</w:t>
      </w:r>
      <w:r>
        <w:rPr>
          <w:sz w:val="20"/>
          <w:szCs w:val="20"/>
        </w:rPr>
        <w:t xml:space="preserve"> currently market and sell drugs or are pursuing the development of drug candidates for the treatment of the indications that we are pursuing. Potential competitors also include academic institutions, government agencies and other public and private resear</w:t>
      </w:r>
      <w:r>
        <w:rPr>
          <w:sz w:val="20"/>
          <w:szCs w:val="20"/>
        </w:rPr>
        <w:t xml:space="preserve">ch organizations that conduct research, seek patent protection and establish collaborative arrangements for research, development, manufacturing and commercialization. </w:t>
      </w:r>
    </w:p>
    <w:p w:rsidR="00000000" w:rsidRDefault="00D33C21">
      <w:pPr>
        <w:pStyle w:val="a3"/>
        <w:spacing w:before="240" w:beforeAutospacing="0" w:after="0" w:afterAutospacing="0"/>
        <w:ind w:firstLine="556"/>
        <w:jc w:val="both"/>
        <w:rPr>
          <w:sz w:val="20"/>
          <w:szCs w:val="20"/>
        </w:rPr>
      </w:pPr>
      <w:r>
        <w:rPr>
          <w:sz w:val="20"/>
          <w:szCs w:val="20"/>
        </w:rPr>
        <w:t>More established companies may have a competitive advantage over us due to their greate</w:t>
      </w:r>
      <w:r>
        <w:rPr>
          <w:sz w:val="20"/>
          <w:szCs w:val="20"/>
        </w:rPr>
        <w:t xml:space="preserve">r size, resources and institutional experience. In particular, these companies have greater experience and expertise in securing reimbursement, government contracts, relationships with key opinion leaders, conducting testing and clinical trials, obtaining </w:t>
      </w:r>
      <w:r>
        <w:rPr>
          <w:sz w:val="20"/>
          <w:szCs w:val="20"/>
        </w:rPr>
        <w:t xml:space="preserve">and maintaining regulatory approvals and distribution relationships to market products, and marketing approved drugs. These companies also have significantly greater research and marketing capabilities than we do. If we are not able to compete effectively </w:t>
      </w:r>
      <w:r>
        <w:rPr>
          <w:sz w:val="20"/>
          <w:szCs w:val="20"/>
        </w:rPr>
        <w:t xml:space="preserve">against existing and potential competitors, our business and financial condition may be harmed. </w:t>
      </w:r>
    </w:p>
    <w:p w:rsidR="00000000" w:rsidRDefault="00D33C21">
      <w:pPr>
        <w:pStyle w:val="a3"/>
        <w:spacing w:before="240" w:beforeAutospacing="0" w:after="0" w:afterAutospacing="0"/>
        <w:ind w:firstLine="556"/>
        <w:jc w:val="both"/>
        <w:rPr>
          <w:sz w:val="20"/>
          <w:szCs w:val="20"/>
        </w:rPr>
      </w:pPr>
      <w:r>
        <w:rPr>
          <w:sz w:val="20"/>
          <w:szCs w:val="20"/>
        </w:rPr>
        <w:t>As a result of these factors, our competitors may obtain regulatory approval of their drugs before we are able to, which may limit our ability to develop or co</w:t>
      </w:r>
      <w:r>
        <w:rPr>
          <w:sz w:val="20"/>
          <w:szCs w:val="20"/>
        </w:rPr>
        <w:t>mmercialize our drug candidates. Our competitors may also develop therapies that are safer, more effective, more widely accepted and cheaper than ours, and may also be more successful than us in manufacturing and marketing their drugs. These appreciable ad</w:t>
      </w:r>
      <w:r>
        <w:rPr>
          <w:sz w:val="20"/>
          <w:szCs w:val="20"/>
        </w:rPr>
        <w:t xml:space="preserve">vantages could render our drug candidates obsolete or non-competitive before we can recover the expenses of such drug candidates’ development and commercialization. </w:t>
      </w:r>
    </w:p>
    <w:p w:rsidR="00000000" w:rsidRDefault="00D33C21">
      <w:pPr>
        <w:pStyle w:val="a3"/>
        <w:spacing w:before="240" w:beforeAutospacing="0" w:after="0" w:afterAutospacing="0"/>
        <w:ind w:firstLine="556"/>
        <w:jc w:val="both"/>
        <w:rPr>
          <w:sz w:val="20"/>
          <w:szCs w:val="20"/>
        </w:rPr>
      </w:pPr>
      <w:r>
        <w:rPr>
          <w:sz w:val="20"/>
          <w:szCs w:val="20"/>
        </w:rPr>
        <w:t xml:space="preserve">Mergers and acquisitions in the pharmaceutical and biotechnology industries may result in </w:t>
      </w:r>
      <w:r>
        <w:rPr>
          <w:sz w:val="20"/>
          <w:szCs w:val="20"/>
        </w:rPr>
        <w:t>even more resources being concentrated among a smaller number of our competitors. Smaller and other early-stage companies may also prove to be significant competitors, particularly through collaborative arrangements with large and established companies. Th</w:t>
      </w:r>
      <w:r>
        <w:rPr>
          <w:sz w:val="20"/>
          <w:szCs w:val="20"/>
        </w:rPr>
        <w:t xml:space="preserve">ese third parties compete with us in recruiting and retaining qualified scientific, management and commercial personnel, establishing clinical trial sites and subject registration for clinical trials, as well as in acquiring technologies complementary to, </w:t>
      </w:r>
      <w:r>
        <w:rPr>
          <w:sz w:val="20"/>
          <w:szCs w:val="20"/>
        </w:rPr>
        <w:t xml:space="preserve">or necessary for, our programs. </w:t>
      </w:r>
    </w:p>
    <w:p w:rsidR="00000000" w:rsidRDefault="00D33C21">
      <w:pPr>
        <w:pStyle w:val="a3"/>
        <w:spacing w:before="360" w:beforeAutospacing="0" w:after="0" w:afterAutospacing="0"/>
        <w:ind w:left="238"/>
        <w:jc w:val="both"/>
        <w:rPr>
          <w:b/>
          <w:bCs/>
          <w:i/>
          <w:iCs/>
          <w:sz w:val="20"/>
          <w:szCs w:val="20"/>
        </w:rPr>
      </w:pPr>
      <w:r>
        <w:rPr>
          <w:b/>
          <w:bCs/>
          <w:i/>
          <w:iCs/>
          <w:sz w:val="20"/>
          <w:szCs w:val="20"/>
        </w:rPr>
        <w:t>Even if our current or future drug candidates receive marketing approval, they may fail to achieve market acceptance by physicians, patients, third-party payors or others in the medical community necessary for commercial su</w:t>
      </w:r>
      <w:r>
        <w:rPr>
          <w:b/>
          <w:bCs/>
          <w:i/>
          <w:iCs/>
          <w:sz w:val="20"/>
          <w:szCs w:val="20"/>
        </w:rPr>
        <w:t xml:space="preserve">ccess. </w:t>
      </w:r>
    </w:p>
    <w:p w:rsidR="00000000" w:rsidRDefault="00D33C21">
      <w:pPr>
        <w:pStyle w:val="a3"/>
        <w:spacing w:before="120" w:beforeAutospacing="0" w:after="0" w:afterAutospacing="0"/>
        <w:ind w:firstLine="556"/>
        <w:jc w:val="both"/>
        <w:rPr>
          <w:sz w:val="20"/>
          <w:szCs w:val="20"/>
        </w:rPr>
      </w:pPr>
      <w:r>
        <w:rPr>
          <w:sz w:val="20"/>
          <w:szCs w:val="20"/>
        </w:rPr>
        <w:t>Even if our current or future drug candidates receive marketing approval, they may fail to gain sufficient market acceptance by physicians, patients, third-party payors and others in the medical community. If they do not achieve an adequate level o</w:t>
      </w:r>
      <w:r>
        <w:rPr>
          <w:sz w:val="20"/>
          <w:szCs w:val="20"/>
        </w:rPr>
        <w:t>f acceptance, we may not generate significant drug revenue and may not become profitable. The degree of market acceptance of our current or future drug candidates, if approved for commercial sale, will depend on a number of factors, including but not limit</w:t>
      </w:r>
      <w:r>
        <w:rPr>
          <w:sz w:val="20"/>
          <w:szCs w:val="20"/>
        </w:rPr>
        <w:t xml:space="preserve">ed to: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efficacy and potential advantages compared to alternative treatments and therapies;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the safety profile of our drug candidate compared to alternative treatments and therapies;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effectiveness of sales and marketing efforts;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strength of our relationships with patient communities;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cost of treatment in relation to alternative treatments and therapies, including any similar generic treatments;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our ability to offer such drug for sale at competitive prices;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convenience and ease of administration compared to alternative treatments and therapies;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willingness of the target patient population to try new therapies and of physicians to prescribe these therapies;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the strength of marketing</w:t>
            </w:r>
            <w:r>
              <w:rPr>
                <w:sz w:val="20"/>
                <w:szCs w:val="20"/>
              </w:rPr>
              <w:t xml:space="preserve"> and distribution support;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availability of third-party coverage and adequate reimbursement;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prevalence and severity of any side effects;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any restrictions on the use of the drug together with other medications. </w:t>
            </w:r>
          </w:p>
        </w:tc>
      </w:tr>
    </w:tbl>
    <w:p w:rsidR="00000000" w:rsidRDefault="00D33C21">
      <w:pPr>
        <w:pStyle w:val="a3"/>
        <w:spacing w:before="240" w:beforeAutospacing="0" w:after="0" w:afterAutospacing="0"/>
        <w:ind w:firstLine="556"/>
        <w:jc w:val="both"/>
        <w:rPr>
          <w:sz w:val="20"/>
          <w:szCs w:val="20"/>
        </w:rPr>
      </w:pPr>
      <w:bookmarkStart w:id="59" w:name="_AEIOULastRenderedPageBreakAEIOU37"/>
      <w:bookmarkEnd w:id="59"/>
      <w:r>
        <w:rPr>
          <w:sz w:val="20"/>
          <w:szCs w:val="20"/>
        </w:rPr>
        <w:t xml:space="preserve">Our efforts to educate physicians, patients, third-party payors and others in the medical community on the benefits of our drug candidates may require significant resources and may </w:t>
      </w:r>
      <w:r>
        <w:rPr>
          <w:sz w:val="20"/>
          <w:szCs w:val="20"/>
        </w:rPr>
        <w:t xml:space="preserve">never be successful. Such efforts may require more resources than are typically </w:t>
      </w:r>
    </w:p>
    <w:p w:rsidR="00000000" w:rsidRDefault="00D33C21">
      <w:pPr>
        <w:pStyle w:val="a3"/>
        <w:spacing w:before="240" w:beforeAutospacing="0" w:after="0" w:afterAutospacing="0"/>
        <w:jc w:val="center"/>
        <w:rPr>
          <w:sz w:val="20"/>
          <w:szCs w:val="20"/>
        </w:rPr>
      </w:pPr>
      <w:r>
        <w:rPr>
          <w:sz w:val="20"/>
          <w:szCs w:val="20"/>
        </w:rPr>
        <w:t>37</w:t>
      </w:r>
    </w:p>
    <w:p w:rsidR="00000000" w:rsidRDefault="00D33C21">
      <w:pPr>
        <w:rPr>
          <w:rFonts w:eastAsia="Times New Roman"/>
        </w:rPr>
      </w:pPr>
      <w:r>
        <w:rPr>
          <w:rFonts w:eastAsia="Times New Roman"/>
        </w:rPr>
        <w:pict>
          <v:rect id="_x0000_i1062"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both"/>
        <w:rPr>
          <w:sz w:val="20"/>
          <w:szCs w:val="20"/>
        </w:rPr>
      </w:pPr>
      <w:r>
        <w:rPr>
          <w:sz w:val="20"/>
          <w:szCs w:val="20"/>
        </w:rPr>
        <w:t>required due to the complexity and uniqueness of our drug candidates. Because we expect sales of our drug candidates, if approved, to generate substantially all of our drug revenues for the foreseeable future, the failure of our drugs to find mar</w:t>
      </w:r>
      <w:r>
        <w:rPr>
          <w:sz w:val="20"/>
          <w:szCs w:val="20"/>
        </w:rPr>
        <w:t xml:space="preserve">ket acceptance would harm our business and could require us to seek additional financing. </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Even if we obtain regulatory approval for our current or future drug candidates, they will remain subject to ongoing regulatory oversight. </w:t>
      </w:r>
    </w:p>
    <w:p w:rsidR="00000000" w:rsidRDefault="00D33C21">
      <w:pPr>
        <w:pStyle w:val="a3"/>
        <w:spacing w:before="120" w:beforeAutospacing="0" w:after="0" w:afterAutospacing="0"/>
        <w:ind w:firstLine="556"/>
        <w:jc w:val="both"/>
        <w:rPr>
          <w:sz w:val="20"/>
          <w:szCs w:val="20"/>
        </w:rPr>
      </w:pPr>
      <w:r>
        <w:rPr>
          <w:sz w:val="20"/>
          <w:szCs w:val="20"/>
        </w:rPr>
        <w:t>Even if we obtain any reg</w:t>
      </w:r>
      <w:r>
        <w:rPr>
          <w:sz w:val="20"/>
          <w:szCs w:val="20"/>
        </w:rPr>
        <w:t>ulatory approval for our current or future drug candidates, such approvals will be subject to ongoing regulatory requirements for manufacturing, labeling, packaging, storage, advertising, promotion, sampling, record-keeping and submission of safety and oth</w:t>
      </w:r>
      <w:r>
        <w:rPr>
          <w:sz w:val="20"/>
          <w:szCs w:val="20"/>
        </w:rPr>
        <w:t>er post-market information. Any regulatory approvals that we receive for our current or future drug candidates may also be subject to a REMS, limitations on the approved indicated uses for which the drug may be marketed or to the conditions of approval, or</w:t>
      </w:r>
      <w:r>
        <w:rPr>
          <w:sz w:val="20"/>
          <w:szCs w:val="20"/>
        </w:rPr>
        <w:t xml:space="preserve"> contain requirements for potentially costly post-marketing testing, including Phase 4 trials, and surveillance to monitor the quality, safety and efficacy of the drug. </w:t>
      </w:r>
    </w:p>
    <w:p w:rsidR="00000000" w:rsidRDefault="00D33C21">
      <w:pPr>
        <w:pStyle w:val="a3"/>
        <w:spacing w:before="240" w:beforeAutospacing="0" w:after="0" w:afterAutospacing="0"/>
        <w:ind w:firstLine="556"/>
        <w:jc w:val="both"/>
        <w:rPr>
          <w:sz w:val="20"/>
          <w:szCs w:val="20"/>
        </w:rPr>
      </w:pPr>
      <w:r>
        <w:rPr>
          <w:sz w:val="20"/>
          <w:szCs w:val="20"/>
        </w:rPr>
        <w:t>In addition, drug manufacturers and their facilities are subject to payment of user fees and continual review and periodic inspections by the FDA and other regulatory authorities for compliance with cGMP requirements and adherence to commitments made in th</w:t>
      </w:r>
      <w:r>
        <w:rPr>
          <w:sz w:val="20"/>
          <w:szCs w:val="20"/>
        </w:rPr>
        <w:t xml:space="preserve">e NDA or foreign marketing application. If we, or a regulatory authority, discover previously unknown problems with a drug, such as adverse events of unanticipated severity or frequency, or problems with the facility where the drug is manufactured or if a </w:t>
      </w:r>
      <w:r>
        <w:rPr>
          <w:sz w:val="20"/>
          <w:szCs w:val="20"/>
        </w:rPr>
        <w:t>regulatory authority disagrees with the promotion, marketing or labeling of that drug, a regulatory authority may impose restrictions relative to that drug, the manufacturing facility or us, including requesting a recall or requiring withdrawal of the drug</w:t>
      </w:r>
      <w:r>
        <w:rPr>
          <w:sz w:val="20"/>
          <w:szCs w:val="20"/>
        </w:rPr>
        <w:t xml:space="preserve"> from the market or suspension of manufacturing. </w:t>
      </w:r>
    </w:p>
    <w:p w:rsidR="00000000" w:rsidRDefault="00D33C21">
      <w:pPr>
        <w:pStyle w:val="a3"/>
        <w:spacing w:before="240" w:beforeAutospacing="0" w:after="0" w:afterAutospacing="0"/>
        <w:ind w:firstLine="556"/>
        <w:jc w:val="both"/>
        <w:rPr>
          <w:sz w:val="20"/>
          <w:szCs w:val="20"/>
        </w:rPr>
      </w:pPr>
      <w:r>
        <w:rPr>
          <w:sz w:val="20"/>
          <w:szCs w:val="20"/>
        </w:rPr>
        <w:t xml:space="preserve">If we fail to comply with applicable regulatory requirements following approval of our current or future drug candidates, a regulatory authority may: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issue an untitled letter or warning letter assertin</w:t>
            </w:r>
            <w:r>
              <w:rPr>
                <w:sz w:val="20"/>
                <w:szCs w:val="20"/>
              </w:rPr>
              <w:t xml:space="preserve">g that we are in violation of the law;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seek an injunction or impose administrative, civil or criminal penalties or monetary fines;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suspend or withdraw regulatory approval;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suspend any ongoing clinical trials;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refuse to approve a pending NDA or comparable foreign marketing application (or any supplements thereto) submitted by us or our strategic partners;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restrict the marketing or manufacturing of the drug;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seize or detain the drug or otherwise require the withdrawal of the drug from the market;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refuse to permit the import or export of drug candidates; or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refuse to allow us to enter into supply contracts, including government contracts. </w:t>
            </w:r>
          </w:p>
        </w:tc>
      </w:tr>
    </w:tbl>
    <w:p w:rsidR="00000000" w:rsidRDefault="00D33C21">
      <w:pPr>
        <w:pStyle w:val="a3"/>
        <w:spacing w:before="240" w:beforeAutospacing="0" w:after="0" w:afterAutospacing="0"/>
        <w:ind w:firstLine="556"/>
        <w:jc w:val="both"/>
        <w:rPr>
          <w:sz w:val="20"/>
          <w:szCs w:val="20"/>
        </w:rPr>
      </w:pPr>
      <w:r>
        <w:rPr>
          <w:sz w:val="20"/>
          <w:szCs w:val="20"/>
        </w:rPr>
        <w:t>Moreover, the FDA strictly regulates the promotional claims that may be made about drug products. In particular, a product may not be promoted for uses that are not approv</w:t>
      </w:r>
      <w:r>
        <w:rPr>
          <w:sz w:val="20"/>
          <w:szCs w:val="20"/>
        </w:rPr>
        <w:t>ed by the FDA as reflected in the product’s approved labeling. The FDA and other agencies actively enforce the laws and regulations prohibiting the promotion of off-label uses, and a company that is found to have improperly promoted off-label uses may be s</w:t>
      </w:r>
      <w:r>
        <w:rPr>
          <w:sz w:val="20"/>
          <w:szCs w:val="20"/>
        </w:rPr>
        <w:t>ubject to significant civil, criminal and administrative penalties.</w:t>
      </w:r>
    </w:p>
    <w:p w:rsidR="00000000" w:rsidRDefault="00D33C21">
      <w:pPr>
        <w:pStyle w:val="a3"/>
        <w:spacing w:before="240" w:beforeAutospacing="0" w:after="0" w:afterAutospacing="0"/>
        <w:ind w:firstLine="556"/>
        <w:jc w:val="both"/>
        <w:rPr>
          <w:sz w:val="20"/>
          <w:szCs w:val="20"/>
        </w:rPr>
      </w:pPr>
      <w:r>
        <w:rPr>
          <w:sz w:val="20"/>
          <w:szCs w:val="20"/>
        </w:rPr>
        <w:t>Any government investigation of alleged violations of law could require us to expend significant time and resources in response and could generate negative publicity. The occurrence of any</w:t>
      </w:r>
      <w:r>
        <w:rPr>
          <w:sz w:val="20"/>
          <w:szCs w:val="20"/>
        </w:rPr>
        <w:t xml:space="preserve"> event or penalty described above may inhibit our ability to commercialize our current or future drug candidates and harm our business, financial condition, results of operations and prospects. </w:t>
      </w:r>
    </w:p>
    <w:p w:rsidR="00000000" w:rsidRDefault="00D33C21">
      <w:pPr>
        <w:pStyle w:val="a3"/>
        <w:spacing w:before="240" w:beforeAutospacing="0" w:after="0" w:afterAutospacing="0"/>
        <w:ind w:firstLine="556"/>
        <w:jc w:val="both"/>
        <w:rPr>
          <w:sz w:val="20"/>
          <w:szCs w:val="20"/>
        </w:rPr>
      </w:pPr>
      <w:r>
        <w:rPr>
          <w:sz w:val="20"/>
          <w:szCs w:val="20"/>
        </w:rPr>
        <w:t>In addition, the FDA’s policies, and those of equivalent fore</w:t>
      </w:r>
      <w:r>
        <w:rPr>
          <w:sz w:val="20"/>
          <w:szCs w:val="20"/>
        </w:rPr>
        <w:t xml:space="preserve">ign regulatory agencies, may change and additional government regulations may be enacted that could cause changes to or delays in the drug review process, or suspend or restrict regulatory approval of our drug candidates. We cannot predict the likelihood, </w:t>
      </w:r>
      <w:r>
        <w:rPr>
          <w:sz w:val="20"/>
          <w:szCs w:val="20"/>
        </w:rPr>
        <w:t>nature or extent of government regulation that may arise from future legislation or administrative action, either in the United States or abroad. If we are slow or unable to adapt to changes in existing requirements or the adoption of new requirements or p</w:t>
      </w:r>
      <w:r>
        <w:rPr>
          <w:sz w:val="20"/>
          <w:szCs w:val="20"/>
        </w:rPr>
        <w:t>olicies, or if we are not able to maintain regulatory compliance, we may lose any marketing approval that we may have obtained and we may not achieve or sustain profitability, which would harm our business, financial condition, results of operations and pr</w:t>
      </w:r>
      <w:r>
        <w:rPr>
          <w:sz w:val="20"/>
          <w:szCs w:val="20"/>
        </w:rPr>
        <w:t xml:space="preserve">ospects. </w:t>
      </w:r>
    </w:p>
    <w:p w:rsidR="00000000" w:rsidRDefault="00D33C21">
      <w:pPr>
        <w:pStyle w:val="a3"/>
        <w:spacing w:before="240" w:beforeAutospacing="0" w:after="0" w:afterAutospacing="0"/>
        <w:jc w:val="center"/>
        <w:rPr>
          <w:sz w:val="20"/>
          <w:szCs w:val="20"/>
        </w:rPr>
      </w:pPr>
      <w:r>
        <w:rPr>
          <w:sz w:val="20"/>
          <w:szCs w:val="20"/>
        </w:rPr>
        <w:t>38</w:t>
      </w:r>
    </w:p>
    <w:p w:rsidR="00000000" w:rsidRDefault="00D33C21">
      <w:pPr>
        <w:rPr>
          <w:rFonts w:eastAsia="Times New Roman"/>
        </w:rPr>
      </w:pPr>
      <w:r>
        <w:rPr>
          <w:rFonts w:eastAsia="Times New Roman"/>
        </w:rPr>
        <w:pict>
          <v:rect id="_x0000_i1063"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ind w:left="238"/>
        <w:jc w:val="both"/>
        <w:rPr>
          <w:b/>
          <w:bCs/>
          <w:i/>
          <w:iCs/>
          <w:sz w:val="20"/>
          <w:szCs w:val="20"/>
        </w:rPr>
      </w:pPr>
      <w:bookmarkStart w:id="60" w:name="_AEIOULastRenderedPageBreakAEIOU38"/>
      <w:bookmarkEnd w:id="60"/>
      <w:r>
        <w:rPr>
          <w:b/>
          <w:bCs/>
          <w:i/>
          <w:iCs/>
          <w:sz w:val="20"/>
          <w:szCs w:val="20"/>
        </w:rPr>
        <w:t>If we are unable to establish sales and marketing capabilities, or enter into agreements with third parties to market and sell our current or any future drug candidates, we may be unable to generate any revenue from dr</w:t>
      </w:r>
      <w:r>
        <w:rPr>
          <w:b/>
          <w:bCs/>
          <w:i/>
          <w:iCs/>
          <w:sz w:val="20"/>
          <w:szCs w:val="20"/>
        </w:rPr>
        <w:t xml:space="preserve">ug sales. </w:t>
      </w:r>
    </w:p>
    <w:p w:rsidR="00000000" w:rsidRDefault="00D33C21">
      <w:pPr>
        <w:pStyle w:val="a3"/>
        <w:spacing w:before="120" w:beforeAutospacing="0" w:after="0" w:afterAutospacing="0"/>
        <w:ind w:firstLine="556"/>
        <w:jc w:val="both"/>
        <w:rPr>
          <w:sz w:val="20"/>
          <w:szCs w:val="20"/>
        </w:rPr>
      </w:pPr>
      <w:r>
        <w:rPr>
          <w:sz w:val="20"/>
          <w:szCs w:val="20"/>
        </w:rPr>
        <w:t>To successfully commercialize any drug candidate that may result from our development programs, we will need to build out our sales and marketing capabilities, either on our own or with others. The establishment and development of our own commer</w:t>
      </w:r>
      <w:r>
        <w:rPr>
          <w:sz w:val="20"/>
          <w:szCs w:val="20"/>
        </w:rPr>
        <w:t>cial team or the establishment of a contract sales force to market any drug candidate we may develop will be expensive and time-consuming and could delay any drug launch. Moreover, we cannot be certain that we will be able to successfully develop this capa</w:t>
      </w:r>
      <w:r>
        <w:rPr>
          <w:sz w:val="20"/>
          <w:szCs w:val="20"/>
        </w:rPr>
        <w:t>bility. We may seek to enter into additional collaborations with other entities to utilize their established marketing and distribution capabilities, but we may be unable to enter into such agreements on favorable terms, if at all. If any current or future</w:t>
      </w:r>
      <w:r>
        <w:rPr>
          <w:sz w:val="20"/>
          <w:szCs w:val="20"/>
        </w:rPr>
        <w:t xml:space="preserve"> collaborators do not commit sufficient resources to commercialize our drug candidates, or we are unable to develop the necessary capabilities on our own, we will be unable to generate sufficient revenue to sustain our business. We compete with many compan</w:t>
      </w:r>
      <w:r>
        <w:rPr>
          <w:sz w:val="20"/>
          <w:szCs w:val="20"/>
        </w:rPr>
        <w:t>ies that currently have extensive, experienced and well-funded marketing and sales operations to recruit, hire, train and retain marketing and sales personnel. We also face competition in our search for third parties to assist us with the sales and marketi</w:t>
      </w:r>
      <w:r>
        <w:rPr>
          <w:sz w:val="20"/>
          <w:szCs w:val="20"/>
        </w:rPr>
        <w:t xml:space="preserve">ng efforts of our current and future drug candidates. Without an internal team or the support of a third party to perform marketing and sales functions, we may be unable to compete successfully against these more established companies. </w:t>
      </w:r>
    </w:p>
    <w:p w:rsidR="00000000" w:rsidRDefault="00D33C21">
      <w:pPr>
        <w:pStyle w:val="a3"/>
        <w:spacing w:before="360" w:beforeAutospacing="0" w:after="0" w:afterAutospacing="0"/>
        <w:ind w:left="238"/>
        <w:jc w:val="both"/>
        <w:rPr>
          <w:b/>
          <w:bCs/>
          <w:i/>
          <w:iCs/>
          <w:sz w:val="20"/>
          <w:szCs w:val="20"/>
        </w:rPr>
      </w:pPr>
      <w:r>
        <w:rPr>
          <w:b/>
          <w:bCs/>
          <w:i/>
          <w:iCs/>
          <w:sz w:val="20"/>
          <w:szCs w:val="20"/>
        </w:rPr>
        <w:t>Even if we obtain a</w:t>
      </w:r>
      <w:r>
        <w:rPr>
          <w:b/>
          <w:bCs/>
          <w:i/>
          <w:iCs/>
          <w:sz w:val="20"/>
          <w:szCs w:val="20"/>
        </w:rPr>
        <w:t xml:space="preserve">nd maintain approval for our current or future drug candidates from the FDA, we may never obtain approval for our current or future drug candidates outside of the United States, which would limit our market opportunities and could harm our business. </w:t>
      </w:r>
    </w:p>
    <w:p w:rsidR="00000000" w:rsidRDefault="00D33C21">
      <w:pPr>
        <w:pStyle w:val="a3"/>
        <w:spacing w:before="120" w:beforeAutospacing="0" w:after="0" w:afterAutospacing="0"/>
        <w:ind w:firstLine="556"/>
        <w:jc w:val="both"/>
        <w:rPr>
          <w:sz w:val="20"/>
          <w:szCs w:val="20"/>
        </w:rPr>
      </w:pPr>
      <w:r>
        <w:rPr>
          <w:sz w:val="20"/>
          <w:szCs w:val="20"/>
        </w:rPr>
        <w:t>Appro</w:t>
      </w:r>
      <w:r>
        <w:rPr>
          <w:sz w:val="20"/>
          <w:szCs w:val="20"/>
        </w:rPr>
        <w:t>val of a drug candidate in the United States by the FDA does not ensure approval of such drug candidate by regulatory authorities in other countries or jurisdictions, and approval by one foreign regulatory authority does not ensure approval by regulatory a</w:t>
      </w:r>
      <w:r>
        <w:rPr>
          <w:sz w:val="20"/>
          <w:szCs w:val="20"/>
        </w:rPr>
        <w:t>uthorities in other foreign countries or by the FDA. Sales of our current and future drug candidates outside of the United States will be subject to foreign regulatory requirements governing clinical trials and marketing approval. Even if the FDA grants ma</w:t>
      </w:r>
      <w:r>
        <w:rPr>
          <w:sz w:val="20"/>
          <w:szCs w:val="20"/>
        </w:rPr>
        <w:t>rketing approval for a drug candidate, comparable regulatory authorities of foreign countries also must approve the manufacturing and marketing of the drug candidate in those countries. Approval procedures vary among jurisdictions and can involve requireme</w:t>
      </w:r>
      <w:r>
        <w:rPr>
          <w:sz w:val="20"/>
          <w:szCs w:val="20"/>
        </w:rPr>
        <w:t>nts and administrative review periods different from, and more onerous than, those in the United States, including additional preclinical studies or clinical trials. In many countries outside the United States, a drug candidate must be approved for reimbur</w:t>
      </w:r>
      <w:r>
        <w:rPr>
          <w:sz w:val="20"/>
          <w:szCs w:val="20"/>
        </w:rPr>
        <w:t>sement before it can be approved for sale in that country. In some cases, the price that we intend to charge for any drug candidates, if approved, is also subject to approval. Obtaining approval for our current and future drug candidates in the European Un</w:t>
      </w:r>
      <w:r>
        <w:rPr>
          <w:sz w:val="20"/>
          <w:szCs w:val="20"/>
        </w:rPr>
        <w:t>ion from the European Commission following the opinion of the EMA, if we choose to submit a marketing authorization application there, would be a lengthy and expensive process. Even if a drug candidate is approved, the FDA or the European Commission, as th</w:t>
      </w:r>
      <w:r>
        <w:rPr>
          <w:sz w:val="20"/>
          <w:szCs w:val="20"/>
        </w:rPr>
        <w:t>e case may be, may limit the indications for which the drug may be marketed, require extensive warnings on the drug labeling or require expensive and time-consuming additional clinical trials or reporting as conditions of approval. Obtaining foreign regula</w:t>
      </w:r>
      <w:r>
        <w:rPr>
          <w:sz w:val="20"/>
          <w:szCs w:val="20"/>
        </w:rPr>
        <w:t xml:space="preserve">tory approvals and compliance with foreign regulatory requirements could result in significant delays, difficulties and costs for us and could delay or prevent the introduction of our current and future drug candidates in certain countries. </w:t>
      </w:r>
    </w:p>
    <w:p w:rsidR="00000000" w:rsidRDefault="00D33C21">
      <w:pPr>
        <w:pStyle w:val="a3"/>
        <w:spacing w:before="240" w:beforeAutospacing="0" w:after="0" w:afterAutospacing="0"/>
        <w:ind w:firstLine="556"/>
        <w:jc w:val="both"/>
        <w:rPr>
          <w:sz w:val="20"/>
          <w:szCs w:val="20"/>
        </w:rPr>
      </w:pPr>
      <w:r>
        <w:rPr>
          <w:sz w:val="20"/>
          <w:szCs w:val="20"/>
        </w:rPr>
        <w:t>Further, clini</w:t>
      </w:r>
      <w:r>
        <w:rPr>
          <w:sz w:val="20"/>
          <w:szCs w:val="20"/>
        </w:rPr>
        <w:t>cal trials conducted in one country may not be accepted by regulatory authorities in other countries. Also, regulatory approval for our drug candidates may be withdrawn. If we fail to comply with the regulatory requirements, our target market will be reduc</w:t>
      </w:r>
      <w:r>
        <w:rPr>
          <w:sz w:val="20"/>
          <w:szCs w:val="20"/>
        </w:rPr>
        <w:t xml:space="preserve">ed and our ability to realize the full market potential of our current and future drug candidates will be harmed and our business, financial condition, results of operations and prospects could be harmed. </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If we seek approval to commercialize our current or future drug candidates outside of the United States, in particular in the European Union and Israel, a variety of risks associated with international operations could harm our business. </w:t>
      </w:r>
    </w:p>
    <w:p w:rsidR="00000000" w:rsidRDefault="00D33C21">
      <w:pPr>
        <w:pStyle w:val="a3"/>
        <w:spacing w:before="120" w:beforeAutospacing="0" w:after="0" w:afterAutospacing="0"/>
        <w:ind w:firstLine="556"/>
        <w:jc w:val="both"/>
        <w:rPr>
          <w:sz w:val="20"/>
          <w:szCs w:val="20"/>
        </w:rPr>
      </w:pPr>
      <w:r>
        <w:rPr>
          <w:sz w:val="20"/>
          <w:szCs w:val="20"/>
        </w:rPr>
        <w:t>If we seek approv</w:t>
      </w:r>
      <w:r>
        <w:rPr>
          <w:sz w:val="20"/>
          <w:szCs w:val="20"/>
        </w:rPr>
        <w:t xml:space="preserve">al of our current or future drug candidates outside of the United States, we expect that we will be subject to additional risks in commercialization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different regulatory requirements for approval of therapies in foreign countries;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re</w:t>
            </w:r>
            <w:r>
              <w:rPr>
                <w:sz w:val="20"/>
                <w:szCs w:val="20"/>
              </w:rPr>
              <w:t xml:space="preserve">duced protection for intellectual property rights;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the potential requirement of additional clinical studies in international jurisdictions;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unexpected changes in tariffs, trade barriers and regulatory requirements; </w:t>
            </w:r>
          </w:p>
        </w:tc>
      </w:tr>
    </w:tbl>
    <w:p w:rsidR="00000000" w:rsidRDefault="00D33C21">
      <w:pPr>
        <w:pStyle w:val="a3"/>
        <w:spacing w:before="240" w:beforeAutospacing="0" w:after="0" w:afterAutospacing="0"/>
        <w:jc w:val="center"/>
        <w:rPr>
          <w:sz w:val="20"/>
          <w:szCs w:val="20"/>
        </w:rPr>
      </w:pPr>
      <w:r>
        <w:rPr>
          <w:sz w:val="20"/>
          <w:szCs w:val="20"/>
        </w:rPr>
        <w:t>39</w:t>
      </w:r>
    </w:p>
    <w:p w:rsidR="00000000" w:rsidRDefault="00D33C21">
      <w:pPr>
        <w:rPr>
          <w:rFonts w:eastAsia="Times New Roman"/>
        </w:rPr>
      </w:pPr>
      <w:r>
        <w:rPr>
          <w:rFonts w:eastAsia="Times New Roman"/>
        </w:rPr>
        <w:pict>
          <v:rect id="_x0000_i1064"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bookmarkStart w:id="61" w:name="_AEIOULastRenderedPageBreakAEIOU39"/>
            <w:bookmarkEnd w:id="61"/>
            <w:r>
              <w:rPr>
                <w:sz w:val="20"/>
                <w:szCs w:val="20"/>
              </w:rPr>
              <w:t xml:space="preserve">economic weakness, including inflation, or political instability in particular foreign economies and markets;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compliance with tax, employment, immigration and labor laws for employees living or traveling abroad;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foreign currency flu</w:t>
            </w:r>
            <w:r>
              <w:rPr>
                <w:sz w:val="20"/>
                <w:szCs w:val="20"/>
              </w:rPr>
              <w:t xml:space="preserve">ctuations, which could result in increased operating expenses and reduced revenues, and other obligations incident to doing business in another country;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foreign reimbursement, pricing and insurance regimes;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workforce uncertainty in countries where labor unrest is more common than in the United States;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production shortages resulting from any events affecting raw material supply or manufacturin</w:t>
            </w:r>
            <w:r>
              <w:rPr>
                <w:sz w:val="20"/>
                <w:szCs w:val="20"/>
              </w:rPr>
              <w:t xml:space="preserve">g capabilities abroad;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business interruptions resulting from geopolitical actions, including war and terrorism or natural disasters including earthquakes, typhoons, floods and fires. </w:t>
            </w:r>
          </w:p>
        </w:tc>
      </w:tr>
    </w:tbl>
    <w:p w:rsidR="00000000" w:rsidRDefault="00D33C21">
      <w:pPr>
        <w:pStyle w:val="a3"/>
        <w:spacing w:before="240" w:beforeAutospacing="0" w:after="0" w:afterAutospacing="0"/>
        <w:ind w:firstLine="556"/>
        <w:jc w:val="both"/>
        <w:rPr>
          <w:sz w:val="20"/>
          <w:szCs w:val="20"/>
        </w:rPr>
      </w:pPr>
      <w:r>
        <w:rPr>
          <w:sz w:val="20"/>
          <w:szCs w:val="20"/>
        </w:rPr>
        <w:t>We have no prior experience in these areas. In addition, the</w:t>
      </w:r>
      <w:r>
        <w:rPr>
          <w:sz w:val="20"/>
          <w:szCs w:val="20"/>
        </w:rPr>
        <w:t>re are complex regulatory, tax, labor and other legal requirements imposed by both the European Union, Israel and many of the individual countries in and outside of Europe with which we will need to comply. Many biopharmaceutical companies have found the p</w:t>
      </w:r>
      <w:r>
        <w:rPr>
          <w:sz w:val="20"/>
          <w:szCs w:val="20"/>
        </w:rPr>
        <w:t xml:space="preserve">rocess of marketing their own products in foreign countries to be very challenging. </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Product liability lawsuits against us could cause us to incur substantial liabilities and could limit commercialization of any drug candidate that we may develop. </w:t>
      </w:r>
    </w:p>
    <w:p w:rsidR="00000000" w:rsidRDefault="00D33C21">
      <w:pPr>
        <w:pStyle w:val="a3"/>
        <w:spacing w:before="120" w:beforeAutospacing="0" w:after="0" w:afterAutospacing="0"/>
        <w:ind w:firstLine="556"/>
        <w:jc w:val="both"/>
        <w:rPr>
          <w:sz w:val="20"/>
          <w:szCs w:val="20"/>
        </w:rPr>
      </w:pPr>
      <w:r>
        <w:rPr>
          <w:sz w:val="20"/>
          <w:szCs w:val="20"/>
        </w:rPr>
        <w:t>We face an inherent risk of product liability exposure related to the testing of our current</w:t>
      </w:r>
      <w:r>
        <w:rPr>
          <w:sz w:val="20"/>
          <w:szCs w:val="20"/>
        </w:rPr>
        <w:t xml:space="preserve"> and any future drug candidates in clinical trials and may face an even greater risk if we commercialize any drug candidate that we may develop. If we cannot successfully defend ourselves against claims that any such drug candidates caused injuries, we cou</w:t>
      </w:r>
      <w:r>
        <w:rPr>
          <w:sz w:val="20"/>
          <w:szCs w:val="20"/>
        </w:rPr>
        <w:t xml:space="preserve">ld incur substantial liabilities. Regardless of merit or eventual outcome, liability claims may result in: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decreased demand for any drug candidate that we may develop;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loss of revenue;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substantial monetary awards to trial participants or</w:t>
            </w:r>
            <w:r>
              <w:rPr>
                <w:sz w:val="20"/>
                <w:szCs w:val="20"/>
              </w:rPr>
              <w:t xml:space="preserve"> patients;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significant time and costs to defend the related litigation;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withdrawal of clinical trial participants;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inability to commercialize any drug candidate that we may develop;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injury to our reputation and significant negative media attention. </w:t>
            </w:r>
          </w:p>
        </w:tc>
      </w:tr>
    </w:tbl>
    <w:p w:rsidR="00000000" w:rsidRDefault="00D33C21">
      <w:pPr>
        <w:pStyle w:val="a3"/>
        <w:spacing w:before="240" w:beforeAutospacing="0" w:after="0" w:afterAutospacing="0"/>
        <w:ind w:firstLine="556"/>
        <w:jc w:val="both"/>
        <w:rPr>
          <w:sz w:val="20"/>
          <w:szCs w:val="20"/>
        </w:rPr>
      </w:pPr>
      <w:r>
        <w:rPr>
          <w:sz w:val="20"/>
          <w:szCs w:val="20"/>
        </w:rPr>
        <w:t>Although we maintain product liability insurance coverage, such insurance may not be adequate to cover all liabilities that we may incur. We anticipate that we will need to increase our insurance coverage each time we commence a clinical trial and if we su</w:t>
      </w:r>
      <w:r>
        <w:rPr>
          <w:sz w:val="20"/>
          <w:szCs w:val="20"/>
        </w:rPr>
        <w:t xml:space="preserve">ccessfully commercialize any drug candidate. Insurance coverage is increasingly expensive. We may not be able to maintain insurance coverage at a reasonable cost or in an amount adequate to satisfy any liability that may arise. </w:t>
      </w:r>
    </w:p>
    <w:p w:rsidR="00000000" w:rsidRDefault="00D33C21">
      <w:pPr>
        <w:pStyle w:val="a3"/>
        <w:spacing w:before="360" w:beforeAutospacing="0" w:after="0" w:afterAutospacing="0"/>
        <w:jc w:val="both"/>
        <w:rPr>
          <w:b/>
          <w:bCs/>
          <w:sz w:val="20"/>
          <w:szCs w:val="20"/>
        </w:rPr>
      </w:pPr>
      <w:r>
        <w:rPr>
          <w:b/>
          <w:bCs/>
          <w:sz w:val="20"/>
          <w:szCs w:val="20"/>
        </w:rPr>
        <w:t>Risks Related to Regulatory</w:t>
      </w:r>
      <w:r>
        <w:rPr>
          <w:b/>
          <w:bCs/>
          <w:sz w:val="20"/>
          <w:szCs w:val="20"/>
        </w:rPr>
        <w:t xml:space="preserve"> Compliance </w:t>
      </w:r>
    </w:p>
    <w:p w:rsidR="00000000" w:rsidRDefault="00D33C21">
      <w:pPr>
        <w:pStyle w:val="a3"/>
        <w:spacing w:before="120" w:beforeAutospacing="0" w:after="0" w:afterAutospacing="0"/>
        <w:ind w:left="238"/>
        <w:jc w:val="both"/>
        <w:rPr>
          <w:b/>
          <w:bCs/>
          <w:i/>
          <w:iCs/>
          <w:sz w:val="20"/>
          <w:szCs w:val="20"/>
        </w:rPr>
      </w:pPr>
      <w:r>
        <w:rPr>
          <w:b/>
          <w:bCs/>
          <w:i/>
          <w:iCs/>
          <w:sz w:val="20"/>
          <w:szCs w:val="20"/>
        </w:rPr>
        <w:t>Our relationships with customers, physicians, and third-party payors may be subject, directly or indirectly, to federal and state healthcare fraud and abuse laws, false claims laws, health information privacy and security laws, and other healthcare laws an</w:t>
      </w:r>
      <w:r>
        <w:rPr>
          <w:b/>
          <w:bCs/>
          <w:i/>
          <w:iCs/>
          <w:sz w:val="20"/>
          <w:szCs w:val="20"/>
        </w:rPr>
        <w:t xml:space="preserve">d regulations. If we are unable to comply, or have not fully complied, with such laws, we could face substantial penalties. </w:t>
      </w:r>
    </w:p>
    <w:p w:rsidR="00000000" w:rsidRDefault="00D33C21">
      <w:pPr>
        <w:pStyle w:val="a3"/>
        <w:spacing w:before="120" w:beforeAutospacing="0" w:after="0" w:afterAutospacing="0"/>
        <w:ind w:firstLine="556"/>
        <w:jc w:val="both"/>
        <w:rPr>
          <w:sz w:val="20"/>
          <w:szCs w:val="20"/>
        </w:rPr>
      </w:pPr>
      <w:r>
        <w:rPr>
          <w:sz w:val="20"/>
          <w:szCs w:val="20"/>
        </w:rPr>
        <w:t>Healthcare providers, physicians and third-party payors in the United States and elsewhere will play a primary role in the recommen</w:t>
      </w:r>
      <w:r>
        <w:rPr>
          <w:sz w:val="20"/>
          <w:szCs w:val="20"/>
        </w:rPr>
        <w:t>dation and prescription of any drug candidates for which we obtain marketing approval. Our current and future arrangements with healthcare professionals, principal investigators, consultants, customers and third-party payors may subject us to various feder</w:t>
      </w:r>
      <w:r>
        <w:rPr>
          <w:sz w:val="20"/>
          <w:szCs w:val="20"/>
        </w:rPr>
        <w:t>al and state fraud and abuse laws and other healthcare laws, including, without limitation, the federal Anti-Kickback Statute, the federal civil and criminal false claims laws and the law commonly referred to as the Physician Payments Sunshine Act and regu</w:t>
      </w:r>
      <w:r>
        <w:rPr>
          <w:sz w:val="20"/>
          <w:szCs w:val="20"/>
        </w:rPr>
        <w:t xml:space="preserve">lations. These laws will impact, among other things, our clinical research, proposed sales, marketing and educational programs. In addition, we may be subject to patient privacy laws by both the federal government and the states in which we conduct or may </w:t>
      </w:r>
      <w:r>
        <w:rPr>
          <w:sz w:val="20"/>
          <w:szCs w:val="20"/>
        </w:rPr>
        <w:t xml:space="preserve">conduct our business. The laws that will affect our operations include, but are not limited to: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bookmarkStart w:id="62" w:name="_AEIOULastRenderedPageBreakAEIOU40"/>
            <w:bookmarkEnd w:id="62"/>
            <w:r>
              <w:rPr>
                <w:sz w:val="20"/>
                <w:szCs w:val="20"/>
              </w:rPr>
              <w:t>the federal Anti-Kickback Statute, which prohibits, among other things, persons or entities from knowingly and willfully soliciting, receiving, offering or</w:t>
            </w:r>
            <w:r>
              <w:rPr>
                <w:sz w:val="20"/>
                <w:szCs w:val="20"/>
              </w:rPr>
              <w:t xml:space="preserve"> paying any remuneration (including any kickback, bribe or rebate), directly or indirectly, </w:t>
            </w:r>
          </w:p>
        </w:tc>
      </w:tr>
    </w:tbl>
    <w:p w:rsidR="00000000" w:rsidRDefault="00D33C21">
      <w:pPr>
        <w:pStyle w:val="a3"/>
        <w:spacing w:before="240" w:beforeAutospacing="0" w:after="0" w:afterAutospacing="0"/>
        <w:jc w:val="center"/>
        <w:rPr>
          <w:sz w:val="20"/>
          <w:szCs w:val="20"/>
        </w:rPr>
      </w:pPr>
      <w:r>
        <w:rPr>
          <w:sz w:val="20"/>
          <w:szCs w:val="20"/>
        </w:rPr>
        <w:t>40</w:t>
      </w:r>
    </w:p>
    <w:p w:rsidR="00000000" w:rsidRDefault="00D33C21">
      <w:pPr>
        <w:rPr>
          <w:rFonts w:eastAsia="Times New Roman"/>
        </w:rPr>
      </w:pPr>
      <w:r>
        <w:rPr>
          <w:rFonts w:eastAsia="Times New Roman"/>
        </w:rPr>
        <w:pict>
          <v:rect id="_x0000_i1065"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rPr>
                <w:sz w:val="20"/>
                <w:szCs w:val="20"/>
              </w:rPr>
            </w:pPr>
          </w:p>
        </w:tc>
        <w:tc>
          <w:tcPr>
            <w:tcW w:w="0" w:type="auto"/>
            <w:hideMark/>
          </w:tcPr>
          <w:p w:rsidR="00000000" w:rsidRDefault="00D33C21">
            <w:pPr>
              <w:pStyle w:val="a3"/>
              <w:spacing w:before="120" w:beforeAutospacing="0" w:after="0" w:afterAutospacing="0"/>
              <w:jc w:val="both"/>
              <w:rPr>
                <w:sz w:val="20"/>
                <w:szCs w:val="20"/>
              </w:rPr>
            </w:pPr>
            <w:r>
              <w:rPr>
                <w:sz w:val="20"/>
                <w:szCs w:val="20"/>
              </w:rPr>
              <w:t>overtly or covertly, in cash or in kind, in return for the purchase, recommendation, leasing or furnishing of an item or service reimbursable under a federal healthcare program, such as the Medicare and Medicaid programs. This st</w:t>
            </w:r>
            <w:r>
              <w:rPr>
                <w:sz w:val="20"/>
                <w:szCs w:val="20"/>
              </w:rPr>
              <w:t>atute has been interpreted to apply to arrangements between pharmaceutical manufacturers on the one hand, and prescribers, purchasers and formulary managers on the other. The Patient Protection and Affordable Care Act, as amended by the Health Care and Edu</w:t>
            </w:r>
            <w:r>
              <w:rPr>
                <w:sz w:val="20"/>
                <w:szCs w:val="20"/>
              </w:rPr>
              <w:t>cation Reconciliation Act (collectively, the “PPACA”), amended the intent requirement of the federal Anti-Kickback Statute. A person or entity no longer needs to have actual knowledge of this statute or specific intent to violate it in order to have commit</w:t>
            </w:r>
            <w:r>
              <w:rPr>
                <w:sz w:val="20"/>
                <w:szCs w:val="20"/>
              </w:rPr>
              <w:t>ted a violation;</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federal civil and criminal false claims laws, including, without limitation, the False Claims Act, and civil monetary penalty laws which prohibit, among other things, individuals or entities from knowingly presenting, or causing to be presented, claims for</w:t>
            </w:r>
            <w:r>
              <w:rPr>
                <w:sz w:val="20"/>
                <w:szCs w:val="20"/>
              </w:rPr>
              <w:t xml:space="preserve"> payment or approval from Medicare, Medicaid or other government payors that are false or fraudulent or making a false statement to avoid, decrease or conceal an obligation to pay money to the federal government. The PPACA provides, and recent government c</w:t>
            </w:r>
            <w:r>
              <w:rPr>
                <w:sz w:val="20"/>
                <w:szCs w:val="20"/>
              </w:rPr>
              <w:t xml:space="preserve">ases against pharmaceutical and medical device manufacturers support, the view that federal Anti-Kickback Statute violations and certain marketing practices, including off-label promotion, may implicate the False Claims Act;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the federal Health Insur</w:t>
            </w:r>
            <w:r>
              <w:rPr>
                <w:sz w:val="20"/>
                <w:szCs w:val="20"/>
              </w:rPr>
              <w:t>ance Portability and Accountability Act of 1996 (“HIPAA”), which created new federal criminal statutes that prohibit a person from knowingly and willfully executing a scheme or making false or fraudulent statements to defraud any healthcare benefit program</w:t>
            </w:r>
            <w:r>
              <w:rPr>
                <w:sz w:val="20"/>
                <w:szCs w:val="20"/>
              </w:rPr>
              <w:t xml:space="preserve">, regardless of the payor (e.g., public or private);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HIPAA, as amended by the Health Information Technology for Economic and Clinical Health Act (“HITECH”), and their implementing regulations, and as amended again by the final HIPAA omnibus rule, Mo</w:t>
            </w:r>
            <w:r>
              <w:rPr>
                <w:sz w:val="20"/>
                <w:szCs w:val="20"/>
              </w:rPr>
              <w:t>difications to the HIPAA Privacy, Security, Enforcement, and Breach Notification Rules Under HITECH and the Genetic Information Nondiscrimination Act; Other Modifications to HIPAA, published in January 2013, which imposes certain requirements relating to t</w:t>
            </w:r>
            <w:r>
              <w:rPr>
                <w:sz w:val="20"/>
                <w:szCs w:val="20"/>
              </w:rPr>
              <w:t>he privacy, security and transmission of individually identifiable health information without appropriate authorization by entities subject to the rule, such as health plans, healthcare clearinghouses and certain healthcare providers, known as covered enti</w:t>
            </w:r>
            <w:r>
              <w:rPr>
                <w:sz w:val="20"/>
                <w:szCs w:val="20"/>
              </w:rPr>
              <w:t>ties, and their respective business associates, individuals or entities that perform certain services on behalf of a covered entity that involves the use or disclosure of individually identifiable health information;</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Physician Payments Sunshine Act, </w:t>
            </w:r>
            <w:r>
              <w:rPr>
                <w:sz w:val="20"/>
                <w:szCs w:val="20"/>
              </w:rPr>
              <w:t>which is part of the PPACA, that require certain manufacturers of drugs, devices, biologics and medical supplies for which payment is available under Medicare, Medicaid or the Children’s Health Insurance Program, with specific exceptions, to report annuall</w:t>
            </w:r>
            <w:r>
              <w:rPr>
                <w:sz w:val="20"/>
                <w:szCs w:val="20"/>
              </w:rPr>
              <w:t>y to the Centers for Medicare &amp; Medicaid Services (“CMS”), information related to: (i) payments or other “transfers of value’’ made to physicians and teaching hospitals; and (ii) ownership and investment interests held by physicians and their immediate fam</w:t>
            </w:r>
            <w:r>
              <w:rPr>
                <w:sz w:val="20"/>
                <w:szCs w:val="20"/>
              </w:rPr>
              <w:t xml:space="preserve">ily members;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state and foreign law equivalents of each of the above federal laws, state laws that require manufacturers to report information related to payments and other transfers of value to physicians and other healthcare providers or marketing </w:t>
            </w:r>
            <w:r>
              <w:rPr>
                <w:sz w:val="20"/>
                <w:szCs w:val="20"/>
              </w:rPr>
              <w:t>expenditures and/or information regarding drug pricing, state laws that require pharmaceutical companies to comply with the pharmaceutical industry’s voluntary compliance guidelines and the relevant compliance guidance promulgated by the federal government</w:t>
            </w:r>
            <w:r>
              <w:rPr>
                <w:sz w:val="20"/>
                <w:szCs w:val="20"/>
              </w:rPr>
              <w:t xml:space="preserve"> or to adopt compliance programs as prescribed by state laws and regulations, or that otherwise restrict payments that may be made to healthcare providers, and state and local laws that require the registration of pharmaceutical sales representatives;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state and foreign laws that govern the privacy and security of health information in some circumstances, many of which differ from each other in significant ways and often are not preempted by HIPAA, thus complicating compliance efforts. </w:t>
            </w:r>
          </w:p>
        </w:tc>
      </w:tr>
    </w:tbl>
    <w:p w:rsidR="00000000" w:rsidRDefault="00D33C21">
      <w:pPr>
        <w:pStyle w:val="a3"/>
        <w:spacing w:before="240" w:beforeAutospacing="0" w:after="0" w:afterAutospacing="0"/>
        <w:ind w:firstLine="556"/>
        <w:jc w:val="both"/>
        <w:rPr>
          <w:sz w:val="20"/>
          <w:szCs w:val="20"/>
        </w:rPr>
      </w:pPr>
      <w:r>
        <w:rPr>
          <w:sz w:val="20"/>
          <w:szCs w:val="20"/>
        </w:rPr>
        <w:t>Because of the b</w:t>
      </w:r>
      <w:r>
        <w:rPr>
          <w:sz w:val="20"/>
          <w:szCs w:val="20"/>
        </w:rPr>
        <w:t xml:space="preserve">readth of these laws and the narrowness of the statutory exceptions and regulatory safe harbors available, it is possible that some of our business activities could be subject to challenge under one or more of such laws. </w:t>
      </w:r>
    </w:p>
    <w:p w:rsidR="00000000" w:rsidRDefault="00D33C21">
      <w:pPr>
        <w:pStyle w:val="a3"/>
        <w:spacing w:before="240" w:beforeAutospacing="0" w:after="0" w:afterAutospacing="0"/>
        <w:ind w:firstLine="556"/>
        <w:jc w:val="both"/>
        <w:rPr>
          <w:sz w:val="20"/>
          <w:szCs w:val="20"/>
        </w:rPr>
      </w:pPr>
      <w:r>
        <w:rPr>
          <w:sz w:val="20"/>
          <w:szCs w:val="20"/>
        </w:rPr>
        <w:t>It is possible that governmental a</w:t>
      </w:r>
      <w:r>
        <w:rPr>
          <w:sz w:val="20"/>
          <w:szCs w:val="20"/>
        </w:rPr>
        <w:t>uthorities will conclude that our business practices may not comply with current or future statutes, regulations or case law involving applicable fraud and abuse or other healthcare laws and regulations. If our operations are found to be in violation of an</w:t>
      </w:r>
      <w:r>
        <w:rPr>
          <w:sz w:val="20"/>
          <w:szCs w:val="20"/>
        </w:rPr>
        <w:t>y of these laws or any other governmental regulations that may apply to us, we may be subject to significant civil, criminal and administrative penalties, damages, fines, disgorgement, individual imprisonment, exclusion from participation in government fun</w:t>
      </w:r>
      <w:r>
        <w:rPr>
          <w:sz w:val="20"/>
          <w:szCs w:val="20"/>
        </w:rPr>
        <w:t>ded healthcare programs, such as Medicare and Medicaid, additional reporting requirements and oversight if we become subject to a corporate integrity agreement or similar agreement to resolve allegations of non-compliance with these laws and the curtailmen</w:t>
      </w:r>
      <w:r>
        <w:rPr>
          <w:sz w:val="20"/>
          <w:szCs w:val="20"/>
        </w:rPr>
        <w:t xml:space="preserve">t or restructuring of our operations. </w:t>
      </w:r>
    </w:p>
    <w:p w:rsidR="00000000" w:rsidRDefault="00D33C21">
      <w:pPr>
        <w:pStyle w:val="a3"/>
        <w:spacing w:before="240" w:beforeAutospacing="0" w:after="0" w:afterAutospacing="0"/>
        <w:ind w:firstLine="556"/>
        <w:jc w:val="both"/>
        <w:rPr>
          <w:sz w:val="20"/>
          <w:szCs w:val="20"/>
        </w:rPr>
      </w:pPr>
      <w:bookmarkStart w:id="63" w:name="_AEIOULastRenderedPageBreakAEIOU41"/>
      <w:bookmarkEnd w:id="63"/>
      <w:r>
        <w:rPr>
          <w:sz w:val="20"/>
          <w:szCs w:val="20"/>
        </w:rPr>
        <w:t>The risk of our being found in violation of these laws is increased by the fact that many of them have not been fully interpreted by the regulatory authorities or the courts, and their provisions are open to a variety</w:t>
      </w:r>
      <w:r>
        <w:rPr>
          <w:sz w:val="20"/>
          <w:szCs w:val="20"/>
        </w:rPr>
        <w:t xml:space="preserve"> of interpretations. Efforts to ensure that our business arrangements with third parties will comply with applicable healthcare laws and regulations will involve substantial costs. Any action against us for violation of these laws, even if we successfully </w:t>
      </w:r>
      <w:r>
        <w:rPr>
          <w:sz w:val="20"/>
          <w:szCs w:val="20"/>
        </w:rPr>
        <w:t xml:space="preserve">defend against it, could cause us to incur significant legal </w:t>
      </w:r>
    </w:p>
    <w:p w:rsidR="00000000" w:rsidRDefault="00D33C21">
      <w:pPr>
        <w:pStyle w:val="a3"/>
        <w:spacing w:before="240" w:beforeAutospacing="0" w:after="0" w:afterAutospacing="0"/>
        <w:jc w:val="center"/>
        <w:rPr>
          <w:sz w:val="20"/>
          <w:szCs w:val="20"/>
        </w:rPr>
      </w:pPr>
      <w:r>
        <w:rPr>
          <w:sz w:val="20"/>
          <w:szCs w:val="20"/>
        </w:rPr>
        <w:t>41</w:t>
      </w:r>
    </w:p>
    <w:p w:rsidR="00000000" w:rsidRDefault="00D33C21">
      <w:pPr>
        <w:rPr>
          <w:rFonts w:eastAsia="Times New Roman"/>
        </w:rPr>
      </w:pPr>
      <w:r>
        <w:rPr>
          <w:rFonts w:eastAsia="Times New Roman"/>
        </w:rPr>
        <w:pict>
          <v:rect id="_x0000_i1066"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both"/>
        <w:rPr>
          <w:sz w:val="20"/>
          <w:szCs w:val="20"/>
        </w:rPr>
      </w:pPr>
      <w:r>
        <w:rPr>
          <w:sz w:val="20"/>
          <w:szCs w:val="20"/>
        </w:rPr>
        <w:t>expenses</w:t>
      </w:r>
      <w:r>
        <w:rPr>
          <w:sz w:val="20"/>
          <w:szCs w:val="20"/>
        </w:rPr>
        <w:t xml:space="preserve"> and divert our management’s attention from the operation of our business. The shifting compliance environment and the need to build and maintain robust and expandable systems to comply with multiple jurisdictions with different compliance and/or reporting</w:t>
      </w:r>
      <w:r>
        <w:rPr>
          <w:sz w:val="20"/>
          <w:szCs w:val="20"/>
        </w:rPr>
        <w:t xml:space="preserve"> requirements increases the possibility that a healthcare company may run afoul of one or more of the requirements. </w:t>
      </w:r>
    </w:p>
    <w:p w:rsidR="00000000" w:rsidRDefault="00D33C21">
      <w:pPr>
        <w:pStyle w:val="a3"/>
        <w:spacing w:before="360" w:beforeAutospacing="0" w:after="0" w:afterAutospacing="0"/>
        <w:ind w:left="238"/>
        <w:jc w:val="both"/>
        <w:rPr>
          <w:b/>
          <w:bCs/>
          <w:i/>
          <w:iCs/>
          <w:sz w:val="20"/>
          <w:szCs w:val="20"/>
        </w:rPr>
      </w:pPr>
      <w:r>
        <w:rPr>
          <w:b/>
          <w:bCs/>
          <w:i/>
          <w:iCs/>
          <w:sz w:val="20"/>
          <w:szCs w:val="20"/>
        </w:rPr>
        <w:t>Coverage and adequate reimbursement may not be available for our current or any future drug candidates, which could make it difficult for u</w:t>
      </w:r>
      <w:r>
        <w:rPr>
          <w:b/>
          <w:bCs/>
          <w:i/>
          <w:iCs/>
          <w:sz w:val="20"/>
          <w:szCs w:val="20"/>
        </w:rPr>
        <w:t xml:space="preserve">s to sell profitably, if approved. </w:t>
      </w:r>
    </w:p>
    <w:p w:rsidR="00000000" w:rsidRDefault="00D33C21">
      <w:pPr>
        <w:pStyle w:val="a3"/>
        <w:spacing w:before="120" w:beforeAutospacing="0" w:after="0" w:afterAutospacing="0"/>
        <w:ind w:firstLine="556"/>
        <w:jc w:val="both"/>
        <w:rPr>
          <w:sz w:val="20"/>
          <w:szCs w:val="20"/>
        </w:rPr>
      </w:pPr>
      <w:r>
        <w:rPr>
          <w:sz w:val="20"/>
          <w:szCs w:val="20"/>
        </w:rPr>
        <w:t>Market acceptance and sales of any drug candidates that we commercialize, if approved, will depend in part on the extent to which reimbursement for these drugs and related treatments will be available from third-party pa</w:t>
      </w:r>
      <w:r>
        <w:rPr>
          <w:sz w:val="20"/>
          <w:szCs w:val="20"/>
        </w:rPr>
        <w:t>yors, including government health administration authorities, managed care organizations and other private health insurers. Third-party payors decide which therapies they will pay for and establish reimbursement levels. Third-party payors often rely upon M</w:t>
      </w:r>
      <w:r>
        <w:rPr>
          <w:sz w:val="20"/>
          <w:szCs w:val="20"/>
        </w:rPr>
        <w:t>edicare coverage policy and payment limitations in setting their own coverage and reimbursement policies. However, decisions regarding the extent of coverage and amount of reimbursement to be provided for any drug candidates that we develop will be made on</w:t>
      </w:r>
      <w:r>
        <w:rPr>
          <w:sz w:val="20"/>
          <w:szCs w:val="20"/>
        </w:rPr>
        <w:t xml:space="preserve"> a payor-by-payor basis. One third-party payor’s determination to provide coverage for a drug does not assure that other payors will also provide coverage, and adequate reimbursement, for the drug. Additionally, a third-party payor’s decision to provide co</w:t>
      </w:r>
      <w:r>
        <w:rPr>
          <w:sz w:val="20"/>
          <w:szCs w:val="20"/>
        </w:rPr>
        <w:t>verage for a therapy does not imply that an adequate reimbursement rate will be approved. Each third-party payor determines whether or not it will provide coverage for a therapy, what amount it will pay the manufacturer for the therapy, and on what tier of</w:t>
      </w:r>
      <w:r>
        <w:rPr>
          <w:sz w:val="20"/>
          <w:szCs w:val="20"/>
        </w:rPr>
        <w:t xml:space="preserve"> its formulary it will be placed. The position on a third-party payor’s list of covered drugs, or formulary, generally determines the co-payment that a patient will need to make to obtain the therapy and can strongly influence the adoption of such therapy </w:t>
      </w:r>
      <w:r>
        <w:rPr>
          <w:sz w:val="20"/>
          <w:szCs w:val="20"/>
        </w:rPr>
        <w:t>by patients and physicians. Patients who are prescribed treatments for their conditions and providers prescribing such services generally rely on third-party payors to reimburse all or part of the associated healthcare costs. Patients are unlikely to use o</w:t>
      </w:r>
      <w:r>
        <w:rPr>
          <w:sz w:val="20"/>
          <w:szCs w:val="20"/>
        </w:rPr>
        <w:t xml:space="preserve">ur drugs unless coverage is provided and reimbursement is adequate to cover a significant portion of the cost of our drugs. </w:t>
      </w:r>
    </w:p>
    <w:p w:rsidR="00000000" w:rsidRDefault="00D33C21">
      <w:pPr>
        <w:pStyle w:val="a3"/>
        <w:spacing w:before="240" w:beforeAutospacing="0" w:after="0" w:afterAutospacing="0"/>
        <w:ind w:firstLine="556"/>
        <w:jc w:val="both"/>
        <w:rPr>
          <w:sz w:val="20"/>
          <w:szCs w:val="20"/>
        </w:rPr>
      </w:pPr>
      <w:r>
        <w:rPr>
          <w:sz w:val="20"/>
          <w:szCs w:val="20"/>
        </w:rPr>
        <w:t>A primary trend in the U.S. healthcare industry and elsewhere is cost containment. Third-party payors have attempted to control costs by limiting coverage and the amount of reimbursement for particular medications. We cannot be sure that coverage and reimb</w:t>
      </w:r>
      <w:r>
        <w:rPr>
          <w:sz w:val="20"/>
          <w:szCs w:val="20"/>
        </w:rPr>
        <w:t>ursement will be available for any drug that we commercialize and, if reimbursement is available, what the level of reimbursement will be. Inadequate coverage and reimbursement may impact the demand for, or the price of, any drug for which we obtain market</w:t>
      </w:r>
      <w:r>
        <w:rPr>
          <w:sz w:val="20"/>
          <w:szCs w:val="20"/>
        </w:rPr>
        <w:t xml:space="preserve">ing approval. If coverage and adequate reimbursement are not available, or are available only to limited levels, we may not be able to successfully commercialize our current and any future drug candidates that we develop. </w:t>
      </w:r>
    </w:p>
    <w:p w:rsidR="00000000" w:rsidRDefault="00D33C21">
      <w:pPr>
        <w:pStyle w:val="a3"/>
        <w:spacing w:before="360" w:beforeAutospacing="0" w:after="0" w:afterAutospacing="0"/>
        <w:ind w:left="238"/>
        <w:jc w:val="both"/>
        <w:rPr>
          <w:b/>
          <w:bCs/>
          <w:i/>
          <w:iCs/>
          <w:sz w:val="20"/>
          <w:szCs w:val="20"/>
        </w:rPr>
      </w:pPr>
      <w:r>
        <w:rPr>
          <w:b/>
          <w:bCs/>
          <w:i/>
          <w:iCs/>
          <w:sz w:val="20"/>
          <w:szCs w:val="20"/>
        </w:rPr>
        <w:t>Healthcare legislative reform mea</w:t>
      </w:r>
      <w:r>
        <w:rPr>
          <w:b/>
          <w:bCs/>
          <w:i/>
          <w:iCs/>
          <w:sz w:val="20"/>
          <w:szCs w:val="20"/>
        </w:rPr>
        <w:t xml:space="preserve">sures may have a negative impact on our business and results of operations. </w:t>
      </w:r>
    </w:p>
    <w:p w:rsidR="00000000" w:rsidRDefault="00D33C21">
      <w:pPr>
        <w:pStyle w:val="a3"/>
        <w:spacing w:before="120" w:beforeAutospacing="0" w:after="0" w:afterAutospacing="0"/>
        <w:ind w:firstLine="556"/>
        <w:jc w:val="both"/>
        <w:rPr>
          <w:sz w:val="20"/>
          <w:szCs w:val="20"/>
        </w:rPr>
      </w:pPr>
      <w:r>
        <w:rPr>
          <w:sz w:val="20"/>
          <w:szCs w:val="20"/>
        </w:rPr>
        <w:t xml:space="preserve">In the United States and some foreign jurisdictions, there have been, and continue to be, several legislative and regulatory changes and proposed changes regarding the healthcare </w:t>
      </w:r>
      <w:r>
        <w:rPr>
          <w:sz w:val="20"/>
          <w:szCs w:val="20"/>
        </w:rPr>
        <w:t xml:space="preserve">system that could prevent or delay marketing approval of drug candidates, restrict or regulate post-approval activities, and affect our ability to profitably sell any drug candidates for which we obtain marketing approval. </w:t>
      </w:r>
    </w:p>
    <w:p w:rsidR="00000000" w:rsidRDefault="00D33C21">
      <w:pPr>
        <w:pStyle w:val="a3"/>
        <w:spacing w:before="240" w:beforeAutospacing="0" w:after="0" w:afterAutospacing="0"/>
        <w:ind w:firstLine="556"/>
        <w:jc w:val="both"/>
        <w:rPr>
          <w:sz w:val="20"/>
          <w:szCs w:val="20"/>
        </w:rPr>
      </w:pPr>
      <w:r>
        <w:rPr>
          <w:sz w:val="20"/>
          <w:szCs w:val="20"/>
        </w:rPr>
        <w:t>Among policy makers and payors i</w:t>
      </w:r>
      <w:r>
        <w:rPr>
          <w:sz w:val="20"/>
          <w:szCs w:val="20"/>
        </w:rPr>
        <w:t>n the United States and elsewhere, there is significant interest in promoting changes in healthcare systems with the stated goals of containing healthcare costs, improving quality and/or expanding access. In the United States, the pharmaceutical industry h</w:t>
      </w:r>
      <w:r>
        <w:rPr>
          <w:sz w:val="20"/>
          <w:szCs w:val="20"/>
        </w:rPr>
        <w:t>as been a particular focus of these efforts and has been significantly affected by major legislative initiatives. In March 2010, the PPACA was passed, which substantially changed the way healthcare is financed by both the government and private insurers, a</w:t>
      </w:r>
      <w:r>
        <w:rPr>
          <w:sz w:val="20"/>
          <w:szCs w:val="20"/>
        </w:rPr>
        <w:t xml:space="preserve">nd significantly impacts the U.S. pharmaceutical industry. Additionally, in the United States, the Biologics Price Competition and Innovation Act of 2009 created an abbreviated approval pathway for biologic drugs that are demonstrated to be “biosimilar or </w:t>
      </w:r>
      <w:r>
        <w:rPr>
          <w:sz w:val="20"/>
          <w:szCs w:val="20"/>
        </w:rPr>
        <w:t>interchangeable” with an FDA-approved biologic drug. This new pathway could allow competitors to reference data from biologic drugs already approved after 12 years from the time of approval. This could expose us to potential competition by lower-cost biosi</w:t>
      </w:r>
      <w:r>
        <w:rPr>
          <w:sz w:val="20"/>
          <w:szCs w:val="20"/>
        </w:rPr>
        <w:t xml:space="preserve">milars even if we commercialize a biologic drug candidate faster than our competitors. </w:t>
      </w:r>
    </w:p>
    <w:p w:rsidR="00000000" w:rsidRDefault="00D33C21">
      <w:pPr>
        <w:pStyle w:val="a3"/>
        <w:spacing w:before="240" w:beforeAutospacing="0" w:after="0" w:afterAutospacing="0"/>
        <w:ind w:firstLine="556"/>
        <w:jc w:val="both"/>
        <w:rPr>
          <w:sz w:val="20"/>
          <w:szCs w:val="20"/>
        </w:rPr>
      </w:pPr>
      <w:bookmarkStart w:id="64" w:name="_AEIOULastRenderedPageBreakAEIOU42"/>
      <w:bookmarkEnd w:id="64"/>
      <w:r>
        <w:rPr>
          <w:sz w:val="20"/>
          <w:szCs w:val="20"/>
        </w:rPr>
        <w:t>Some of the provisions of the PPACA have yet to be fully implemented, while certain provisions have been subject to judicial and Congressional challenges, as well as re</w:t>
      </w:r>
      <w:r>
        <w:rPr>
          <w:sz w:val="20"/>
          <w:szCs w:val="20"/>
        </w:rPr>
        <w:t xml:space="preserve">cent efforts by the Trump administration to repeal or replace certain aspects of the PPACA. Since January 2017, President Trump has signed two Executive Orders and other directives designed to delay the implementation of certain provisions of the PPACA or </w:t>
      </w:r>
      <w:r>
        <w:rPr>
          <w:sz w:val="20"/>
          <w:szCs w:val="20"/>
        </w:rPr>
        <w:t>otherwise circumvent some of the requirements for health insurance mandated by the PPACA.  Concurrently, Congress has considered legislation that would repeal or repeal and replace all or part of the PPACA. While Congress has not passed comprehensive repea</w:t>
      </w:r>
      <w:r>
        <w:rPr>
          <w:sz w:val="20"/>
          <w:szCs w:val="20"/>
        </w:rPr>
        <w:t>l legislation, it has enacted laws that modify certain provisions of the PPACA such as removing penalties, starting January 1, 2019, for not complying with the PPACA’s individual mandate to carry health insurance, delaying the implementation of certain PPA</w:t>
      </w:r>
      <w:r>
        <w:rPr>
          <w:sz w:val="20"/>
          <w:szCs w:val="20"/>
        </w:rPr>
        <w:t>CA-mandated fees, and increasing the point-of-sale discount that is owed by pharmaceutical manufacturers who participate in Medicare Part D.  On December 14, 2018, a Texas U.S. District Court Judge ruled that the PPACA is unconstitutional in its entirety b</w:t>
      </w:r>
      <w:r>
        <w:rPr>
          <w:sz w:val="20"/>
          <w:szCs w:val="20"/>
        </w:rPr>
        <w:t xml:space="preserve">ecause the “individual mandate” was repealed by Congress as part of the Tax Cuts and Jobs Act of 2017. While the Texas U.S. District Court Judge, as well as the Trump administration and CMS, have stated that the ruling will have </w:t>
      </w:r>
    </w:p>
    <w:p w:rsidR="00000000" w:rsidRDefault="00D33C21">
      <w:pPr>
        <w:pStyle w:val="a3"/>
        <w:spacing w:before="240" w:beforeAutospacing="0" w:after="0" w:afterAutospacing="0"/>
        <w:jc w:val="center"/>
        <w:rPr>
          <w:sz w:val="20"/>
          <w:szCs w:val="20"/>
        </w:rPr>
      </w:pPr>
      <w:r>
        <w:rPr>
          <w:sz w:val="20"/>
          <w:szCs w:val="20"/>
        </w:rPr>
        <w:t>42</w:t>
      </w:r>
    </w:p>
    <w:p w:rsidR="00000000" w:rsidRDefault="00D33C21">
      <w:pPr>
        <w:rPr>
          <w:rFonts w:eastAsia="Times New Roman"/>
        </w:rPr>
      </w:pPr>
      <w:r>
        <w:rPr>
          <w:rFonts w:eastAsia="Times New Roman"/>
        </w:rPr>
        <w:pict>
          <v:rect id="_x0000_i1067"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both"/>
        <w:rPr>
          <w:sz w:val="20"/>
          <w:szCs w:val="20"/>
        </w:rPr>
      </w:pPr>
      <w:r>
        <w:rPr>
          <w:sz w:val="20"/>
          <w:szCs w:val="20"/>
        </w:rPr>
        <w:t>no immediate effect pending appeal of the decision, it is unclear how this decision, subsequent appeals, and other efforts to repeal and replace the PPACA will impact the PPACA and our business.  </w:t>
      </w:r>
    </w:p>
    <w:p w:rsidR="00000000" w:rsidRDefault="00D33C21">
      <w:pPr>
        <w:pStyle w:val="a3"/>
        <w:spacing w:before="240" w:beforeAutospacing="0" w:after="0" w:afterAutospacing="0"/>
        <w:ind w:firstLine="556"/>
        <w:jc w:val="both"/>
        <w:rPr>
          <w:sz w:val="20"/>
          <w:szCs w:val="20"/>
        </w:rPr>
      </w:pPr>
      <w:r>
        <w:rPr>
          <w:sz w:val="20"/>
          <w:szCs w:val="20"/>
        </w:rPr>
        <w:t>Other legislative cha</w:t>
      </w:r>
      <w:r>
        <w:rPr>
          <w:sz w:val="20"/>
          <w:szCs w:val="20"/>
        </w:rPr>
        <w:t>nges have been proposed and adopted since the PPACA was enacted. These changes include aggregate reductions to Medicare payments to providers of up to 2% per fiscal year pursuant to the Budget Control Act of 2011, which began in 2013, and due to subsequent</w:t>
      </w:r>
      <w:r>
        <w:rPr>
          <w:sz w:val="20"/>
          <w:szCs w:val="20"/>
        </w:rPr>
        <w:t xml:space="preserve"> legislative amendments to the statute, including the BBA, will remain in effect through 2027 unless additional Congressional action is taken. The American Taxpayer Relief Act of 2012, among other things, further reduced Medicare payments to several provid</w:t>
      </w:r>
      <w:r>
        <w:rPr>
          <w:sz w:val="20"/>
          <w:szCs w:val="20"/>
        </w:rPr>
        <w:t>ers, including hospitals and cancer treatment centers, and increased the statute of limitations period for the government to recover overpayments to providers from three to five years.</w:t>
      </w:r>
    </w:p>
    <w:p w:rsidR="00000000" w:rsidRDefault="00D33C21">
      <w:pPr>
        <w:pStyle w:val="a3"/>
        <w:spacing w:before="240" w:beforeAutospacing="0" w:after="0" w:afterAutospacing="0"/>
        <w:ind w:firstLine="556"/>
        <w:jc w:val="both"/>
        <w:rPr>
          <w:sz w:val="20"/>
          <w:szCs w:val="20"/>
        </w:rPr>
      </w:pPr>
      <w:r>
        <w:rPr>
          <w:sz w:val="20"/>
          <w:szCs w:val="20"/>
        </w:rPr>
        <w:t>Additional changes that may affect our business include the expansion o</w:t>
      </w:r>
      <w:r>
        <w:rPr>
          <w:sz w:val="20"/>
          <w:szCs w:val="20"/>
        </w:rPr>
        <w:t>f new programs such as Medicare payment for performance initiatives for physicians under the Medicare Access and CHIP Reauthorization Act of 2015 (“MACRA”), which will be fully implemented in 2019. At this time, it is unclear how the introduction of the Me</w:t>
      </w:r>
      <w:r>
        <w:rPr>
          <w:sz w:val="20"/>
          <w:szCs w:val="20"/>
        </w:rPr>
        <w:t xml:space="preserve">dicare quality payment program will impact overall physician reimbursement. </w:t>
      </w:r>
    </w:p>
    <w:p w:rsidR="00000000" w:rsidRDefault="00D33C21">
      <w:pPr>
        <w:pStyle w:val="a3"/>
        <w:spacing w:before="240" w:beforeAutospacing="0" w:after="0" w:afterAutospacing="0"/>
        <w:ind w:firstLine="556"/>
        <w:jc w:val="both"/>
        <w:rPr>
          <w:sz w:val="20"/>
          <w:szCs w:val="20"/>
        </w:rPr>
      </w:pPr>
      <w:r>
        <w:rPr>
          <w:sz w:val="20"/>
          <w:szCs w:val="20"/>
        </w:rPr>
        <w:t>Also, there has been heightened governmental scrutiny recently over the manner in which drug manufacturers set prices for their marketed products, which have resulted in several C</w:t>
      </w:r>
      <w:r>
        <w:rPr>
          <w:sz w:val="20"/>
          <w:szCs w:val="20"/>
        </w:rPr>
        <w:t>ongressional inquiries and proposed and enacted federal and state legislation designed to, among other things, bring more transparency to product pricing, review the relationship between pricing and manufacturer patient programs, and reform government prog</w:t>
      </w:r>
      <w:r>
        <w:rPr>
          <w:sz w:val="20"/>
          <w:szCs w:val="20"/>
        </w:rPr>
        <w:t>ram reimbursement methodologies for drug products.  In addition, Congress and the Trump administration have indicated that they will continue to seek new legislative and/or administrative measures to control drug costs.</w:t>
      </w:r>
    </w:p>
    <w:p w:rsidR="00000000" w:rsidRDefault="00D33C21">
      <w:pPr>
        <w:pStyle w:val="a3"/>
        <w:spacing w:before="240" w:beforeAutospacing="0" w:after="0" w:afterAutospacing="0"/>
        <w:ind w:firstLine="556"/>
        <w:jc w:val="both"/>
        <w:rPr>
          <w:sz w:val="20"/>
          <w:szCs w:val="20"/>
        </w:rPr>
      </w:pPr>
      <w:r>
        <w:rPr>
          <w:sz w:val="20"/>
          <w:szCs w:val="20"/>
        </w:rPr>
        <w:t>We expect that these and other healt</w:t>
      </w:r>
      <w:r>
        <w:rPr>
          <w:sz w:val="20"/>
          <w:szCs w:val="20"/>
        </w:rPr>
        <w:t xml:space="preserve">hcare reform measures that may be adopted in the future, may result in more rigorous coverage criteria and in additional downward pressure on the price that we receive for any approved drug. Any reduction in reimbursement from Medicare or other government </w:t>
      </w:r>
      <w:r>
        <w:rPr>
          <w:sz w:val="20"/>
          <w:szCs w:val="20"/>
        </w:rPr>
        <w:t xml:space="preserve">programs may result in a similar reduction in payments from private payors. The implementation of cost containment measures or other healthcare reforms may prevent us from being able to generate revenue, attain profitability, or commercialize our drugs. </w:t>
      </w:r>
    </w:p>
    <w:p w:rsidR="00000000" w:rsidRDefault="00D33C21">
      <w:pPr>
        <w:pStyle w:val="a3"/>
        <w:spacing w:before="360" w:beforeAutospacing="0" w:after="0" w:afterAutospacing="0"/>
        <w:jc w:val="both"/>
        <w:rPr>
          <w:b/>
          <w:bCs/>
          <w:sz w:val="20"/>
          <w:szCs w:val="20"/>
        </w:rPr>
      </w:pPr>
      <w:r>
        <w:rPr>
          <w:b/>
          <w:bCs/>
          <w:sz w:val="20"/>
          <w:szCs w:val="20"/>
        </w:rPr>
        <w:t>R</w:t>
      </w:r>
      <w:r>
        <w:rPr>
          <w:b/>
          <w:bCs/>
          <w:sz w:val="20"/>
          <w:szCs w:val="20"/>
        </w:rPr>
        <w:t xml:space="preserve">isks Related to Our Intellectual Property </w:t>
      </w:r>
    </w:p>
    <w:p w:rsidR="00000000" w:rsidRDefault="00D33C21">
      <w:pPr>
        <w:pStyle w:val="a3"/>
        <w:spacing w:before="120" w:beforeAutospacing="0" w:after="0" w:afterAutospacing="0"/>
        <w:ind w:left="238"/>
        <w:jc w:val="both"/>
        <w:rPr>
          <w:b/>
          <w:bCs/>
          <w:i/>
          <w:iCs/>
          <w:sz w:val="20"/>
          <w:szCs w:val="20"/>
        </w:rPr>
      </w:pPr>
      <w:r>
        <w:rPr>
          <w:b/>
          <w:bCs/>
          <w:i/>
          <w:iCs/>
          <w:sz w:val="20"/>
          <w:szCs w:val="20"/>
        </w:rPr>
        <w:t>If we are unable to obtain and maintain patent protection for our current or any future drug candidates, or if the scope of the patent protection obtained is not sufficiently broad, we may not be able to compete e</w:t>
      </w:r>
      <w:r>
        <w:rPr>
          <w:b/>
          <w:bCs/>
          <w:i/>
          <w:iCs/>
          <w:sz w:val="20"/>
          <w:szCs w:val="20"/>
        </w:rPr>
        <w:t xml:space="preserve">ffectively in our markets. </w:t>
      </w:r>
    </w:p>
    <w:p w:rsidR="00000000" w:rsidRDefault="00D33C21">
      <w:pPr>
        <w:pStyle w:val="a3"/>
        <w:spacing w:before="120" w:beforeAutospacing="0" w:after="0" w:afterAutospacing="0"/>
        <w:ind w:firstLine="556"/>
        <w:jc w:val="both"/>
        <w:rPr>
          <w:sz w:val="20"/>
          <w:szCs w:val="20"/>
        </w:rPr>
      </w:pPr>
      <w:r>
        <w:rPr>
          <w:sz w:val="20"/>
          <w:szCs w:val="20"/>
        </w:rPr>
        <w:t>We rely upon a combination of patents, trade secret protection and confidentiality agreements to protect the intellectual property related to our development programs and drug candidates. Our success depends in large part on our</w:t>
      </w:r>
      <w:r>
        <w:rPr>
          <w:sz w:val="20"/>
          <w:szCs w:val="20"/>
        </w:rPr>
        <w:t xml:space="preserve"> ability to obtain and maintain patent protection in the United States and other countries with respect to our current and any future drug candidates. We seek to protect our proprietary position by filing patent applications in the United States and abroad</w:t>
      </w:r>
      <w:r>
        <w:rPr>
          <w:sz w:val="20"/>
          <w:szCs w:val="20"/>
        </w:rPr>
        <w:t xml:space="preserve"> related to our current and future development programs and drug candidates. The patent prosecution process is expensive and time-consuming, and we may not be able to file and prosecute all necessary or desirable patent applications at a reasonable cost or</w:t>
      </w:r>
      <w:r>
        <w:rPr>
          <w:sz w:val="20"/>
          <w:szCs w:val="20"/>
        </w:rPr>
        <w:t xml:space="preserve"> in a timely manner. </w:t>
      </w:r>
    </w:p>
    <w:p w:rsidR="00000000" w:rsidRDefault="00D33C21">
      <w:pPr>
        <w:pStyle w:val="a3"/>
        <w:spacing w:before="240" w:beforeAutospacing="0" w:after="0" w:afterAutospacing="0"/>
        <w:ind w:firstLine="556"/>
        <w:jc w:val="both"/>
        <w:rPr>
          <w:sz w:val="20"/>
          <w:szCs w:val="20"/>
        </w:rPr>
      </w:pPr>
      <w:r>
        <w:rPr>
          <w:sz w:val="20"/>
          <w:szCs w:val="20"/>
        </w:rPr>
        <w:t xml:space="preserve">Pursuant to the Lundbeck Agreement, as amended, we obtained an exclusive, worldwide license to develop, manufacture and commercialize OV101 for the treatment of human disease. However, the Lundbeck Agreement, as amended, permits Lundbeck and certain other </w:t>
      </w:r>
      <w:r>
        <w:rPr>
          <w:sz w:val="20"/>
          <w:szCs w:val="20"/>
        </w:rPr>
        <w:t>entities to manufacture and research OV101 and, in certain situations, to perform additional non-commercial activities involving OV101, all of which could result in new patentable inventions concerning the manufacture or use of OV101. While the Lundbeck Ag</w:t>
      </w:r>
      <w:r>
        <w:rPr>
          <w:sz w:val="20"/>
          <w:szCs w:val="20"/>
        </w:rPr>
        <w:t>reement, as amended, prohibits Lundbeck from filing certain patent applications regarding OV101 and obligates Lundbeck to include certain newly filed patents in the license granted to us, if new patents issue that cover valuable methods for making or using</w:t>
      </w:r>
      <w:r>
        <w:rPr>
          <w:sz w:val="20"/>
          <w:szCs w:val="20"/>
        </w:rPr>
        <w:t xml:space="preserve"> OV101, we would be prohibited from employing such methods to manufacture or use OV101 unless we obtain a license to such patents. </w:t>
      </w:r>
    </w:p>
    <w:p w:rsidR="00000000" w:rsidRDefault="00D33C21">
      <w:pPr>
        <w:pStyle w:val="a3"/>
        <w:spacing w:before="240" w:beforeAutospacing="0" w:after="0" w:afterAutospacing="0"/>
        <w:ind w:firstLine="556"/>
        <w:jc w:val="both"/>
        <w:rPr>
          <w:sz w:val="20"/>
          <w:szCs w:val="20"/>
        </w:rPr>
      </w:pPr>
      <w:r>
        <w:rPr>
          <w:sz w:val="20"/>
          <w:szCs w:val="20"/>
        </w:rPr>
        <w:t>It is also possible that we will fail to identify patentable aspects of our research and development output before it is too</w:t>
      </w:r>
      <w:r>
        <w:rPr>
          <w:sz w:val="20"/>
          <w:szCs w:val="20"/>
        </w:rPr>
        <w:t xml:space="preserve"> late to obtain patent protection. The patent applications that we own or in-license may fail to result in issued patents with claims that cover our current or any future drug candidates in the United States or in other foreign countries. There is no assur</w:t>
      </w:r>
      <w:r>
        <w:rPr>
          <w:sz w:val="20"/>
          <w:szCs w:val="20"/>
        </w:rPr>
        <w:t xml:space="preserve">ance that all of the potentially relevant prior art relating to our patents and patent applications has been found, which can invalidate a patent or prevent a patent from issuing from a pending patent application. Even if patents do successfully issue and </w:t>
      </w:r>
      <w:r>
        <w:rPr>
          <w:sz w:val="20"/>
          <w:szCs w:val="20"/>
        </w:rPr>
        <w:t>even if such patents cover our current or any future drug candidates, third parties may challenge their validity, enforceability or scope, which may result in such patents being narrowed, invalidated, or held unenforceable. Any successful opposition to the</w:t>
      </w:r>
      <w:r>
        <w:rPr>
          <w:sz w:val="20"/>
          <w:szCs w:val="20"/>
        </w:rPr>
        <w:t>se patents or any other patents owned by or licensed to us could deprive us of rights necessary for the successful commercialization of any drug candidates or companion diagnostic that we may develop. Further, if we encounter delays in regulatory approvals</w:t>
      </w:r>
      <w:r>
        <w:rPr>
          <w:sz w:val="20"/>
          <w:szCs w:val="20"/>
        </w:rPr>
        <w:t xml:space="preserve">, the period of time during which we could market a drug candidate and companion diagnostic under patent protection could be reduced. </w:t>
      </w:r>
    </w:p>
    <w:p w:rsidR="00000000" w:rsidRDefault="00D33C21">
      <w:pPr>
        <w:pStyle w:val="a3"/>
        <w:spacing w:before="240" w:beforeAutospacing="0" w:after="0" w:afterAutospacing="0"/>
        <w:jc w:val="center"/>
        <w:rPr>
          <w:sz w:val="20"/>
          <w:szCs w:val="20"/>
        </w:rPr>
      </w:pPr>
      <w:r>
        <w:rPr>
          <w:sz w:val="20"/>
          <w:szCs w:val="20"/>
        </w:rPr>
        <w:t>43</w:t>
      </w:r>
    </w:p>
    <w:p w:rsidR="00000000" w:rsidRDefault="00D33C21">
      <w:pPr>
        <w:rPr>
          <w:rFonts w:eastAsia="Times New Roman"/>
        </w:rPr>
      </w:pPr>
      <w:r>
        <w:rPr>
          <w:rFonts w:eastAsia="Times New Roman"/>
        </w:rPr>
        <w:pict>
          <v:rect id="_x0000_i1068"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ind w:firstLine="556"/>
        <w:jc w:val="both"/>
        <w:rPr>
          <w:sz w:val="20"/>
          <w:szCs w:val="20"/>
        </w:rPr>
      </w:pPr>
      <w:bookmarkStart w:id="65" w:name="_AEIOULastRenderedPageBreakAEIOU43"/>
      <w:bookmarkEnd w:id="65"/>
      <w:r>
        <w:rPr>
          <w:sz w:val="20"/>
          <w:szCs w:val="20"/>
        </w:rPr>
        <w:t xml:space="preserve">If the patent applications we hold or have in-licensed with respect to our development programs and drug candidates fail to issue, if their breadth or strength of protection is threatened, or </w:t>
      </w:r>
      <w:r>
        <w:rPr>
          <w:sz w:val="20"/>
          <w:szCs w:val="20"/>
        </w:rPr>
        <w:t>if they fail to provide meaningful exclusivity for our current or any future drug candidates, it could dissuade companies from collaborating with us to develop drug candidates, and threaten our ability to commercialize, future drugs. Any such outcome could</w:t>
      </w:r>
      <w:r>
        <w:rPr>
          <w:sz w:val="20"/>
          <w:szCs w:val="20"/>
        </w:rPr>
        <w:t xml:space="preserve"> have a negative effect on our business. </w:t>
      </w:r>
    </w:p>
    <w:p w:rsidR="00000000" w:rsidRDefault="00D33C21">
      <w:pPr>
        <w:pStyle w:val="a3"/>
        <w:spacing w:before="240" w:beforeAutospacing="0" w:after="0" w:afterAutospacing="0"/>
        <w:ind w:firstLine="556"/>
        <w:jc w:val="both"/>
        <w:rPr>
          <w:sz w:val="20"/>
          <w:szCs w:val="20"/>
        </w:rPr>
      </w:pPr>
      <w:r>
        <w:rPr>
          <w:sz w:val="20"/>
          <w:szCs w:val="20"/>
        </w:rPr>
        <w:t>The patent position of biotechnology and pharmaceutical companies generally is highly uncertain, involves complex legal and factual questions and has in recent years been the subject of much litigation. In addition</w:t>
      </w:r>
      <w:r>
        <w:rPr>
          <w:sz w:val="20"/>
          <w:szCs w:val="20"/>
        </w:rPr>
        <w:t>, the laws of foreign countries may not protect our rights to the same extent as the laws of the United States. For example, European patent law restricts the patentability of methods of treatment of the human body more than United States law does. Publica</w:t>
      </w:r>
      <w:r>
        <w:rPr>
          <w:sz w:val="20"/>
          <w:szCs w:val="20"/>
        </w:rPr>
        <w:t>tions of discoveries in scientific literature often lag behind the actual discoveries, and patent applications in the United States and other jurisdictions are typically not published until 18 months after filing, or in some cases not at all. Therefore, we</w:t>
      </w:r>
      <w:r>
        <w:rPr>
          <w:sz w:val="20"/>
          <w:szCs w:val="20"/>
        </w:rPr>
        <w:t xml:space="preserve"> cannot know with certainty whether we were the first to make the inventions claimed in our owned or licensed patents or pending patent applications, or that we were the first to file for patent protection of such inventions. As a result, the issuance, sco</w:t>
      </w:r>
      <w:r>
        <w:rPr>
          <w:sz w:val="20"/>
          <w:szCs w:val="20"/>
        </w:rPr>
        <w:t xml:space="preserve">pe, validity, enforceability and commercial value of our patent rights are highly uncertain. Our pending and future patent applications may not result in patents being issued which protect our technology or drugs, in whole or in part, or which effectively </w:t>
      </w:r>
      <w:r>
        <w:rPr>
          <w:sz w:val="20"/>
          <w:szCs w:val="20"/>
        </w:rPr>
        <w:t xml:space="preserve">prevent others from commercializing competitive technologies and drugs. Changes in either the patent laws or interpretation of the patent laws in the United States and other countries may diminish the value of our patents or narrow the scope of our patent </w:t>
      </w:r>
      <w:r>
        <w:rPr>
          <w:sz w:val="20"/>
          <w:szCs w:val="20"/>
        </w:rPr>
        <w:t xml:space="preserve">protection. </w:t>
      </w:r>
    </w:p>
    <w:p w:rsidR="00000000" w:rsidRDefault="00D33C21">
      <w:pPr>
        <w:pStyle w:val="a3"/>
        <w:spacing w:before="240" w:beforeAutospacing="0" w:after="0" w:afterAutospacing="0"/>
        <w:ind w:firstLine="556"/>
        <w:jc w:val="both"/>
        <w:rPr>
          <w:sz w:val="20"/>
          <w:szCs w:val="20"/>
        </w:rPr>
      </w:pPr>
      <w:r>
        <w:rPr>
          <w:sz w:val="20"/>
          <w:szCs w:val="20"/>
        </w:rPr>
        <w:t xml:space="preserve">Recent patent reform legislation could increase the uncertainties and costs surrounding the prosecution of our patent applications and the enforcement or defense of our issued patents. On December 16, 2011, the Leahy-Smith America Invents Act </w:t>
      </w:r>
      <w:r>
        <w:rPr>
          <w:sz w:val="20"/>
          <w:szCs w:val="20"/>
        </w:rPr>
        <w:t>(the “Leahy-Smith Act”) was signed into law. The Leahy-Smith Act includes a number of significant changes to United States patent law. These include provisions that affect the way patent applications are prosecuted and may also affect patent litigation. Th</w:t>
      </w:r>
      <w:r>
        <w:rPr>
          <w:sz w:val="20"/>
          <w:szCs w:val="20"/>
        </w:rPr>
        <w:t>e United States Patent Office recently developed new regulations and procedures to govern administration of the Leahy-Smith Act, and many of the substantive changes to patent law associated with the Leahy-Smith Act, and in particular, the first to file pro</w:t>
      </w:r>
      <w:r>
        <w:rPr>
          <w:sz w:val="20"/>
          <w:szCs w:val="20"/>
        </w:rPr>
        <w:t>visions, only became effective on March 16, 2013. Accordingly, it is not clear what, if any, impact the Leahy-Smith Act will have on the operation of our business. However, the Leahy-Smith Act and its implementation could increase the uncertainties and cos</w:t>
      </w:r>
      <w:r>
        <w:rPr>
          <w:sz w:val="20"/>
          <w:szCs w:val="20"/>
        </w:rPr>
        <w:t xml:space="preserve">ts surrounding the prosecution of our patent applications and the enforcement or defense of our issued patents, all of which could harm our business and financial condition. </w:t>
      </w:r>
    </w:p>
    <w:p w:rsidR="00000000" w:rsidRDefault="00D33C21">
      <w:pPr>
        <w:pStyle w:val="a3"/>
        <w:spacing w:before="240" w:beforeAutospacing="0" w:after="0" w:afterAutospacing="0"/>
        <w:ind w:firstLine="556"/>
        <w:jc w:val="both"/>
        <w:rPr>
          <w:sz w:val="20"/>
          <w:szCs w:val="20"/>
        </w:rPr>
      </w:pPr>
      <w:r>
        <w:rPr>
          <w:sz w:val="20"/>
          <w:szCs w:val="20"/>
        </w:rPr>
        <w:t>Moreover, we may be subject to a third-party pre-issuance submission of prior art</w:t>
      </w:r>
      <w:r>
        <w:rPr>
          <w:sz w:val="20"/>
          <w:szCs w:val="20"/>
        </w:rPr>
        <w:t xml:space="preserve"> to the U.S. Patent and Trademark Office (the “USPTO”) or become involved in opposition, derivation, reexamination, inter partes review, post-grant review or interference proceedings challenging our patent rights or the patent rights of others. An adverse </w:t>
      </w:r>
      <w:r>
        <w:rPr>
          <w:sz w:val="20"/>
          <w:szCs w:val="20"/>
        </w:rPr>
        <w:t>determination in any such submission, proceeding or litigation could reduce the scope of, or invalidate, our patent rights, allow third parties to commercialize our technology or drugs and compete directly with us, without payment to us, or result in our i</w:t>
      </w:r>
      <w:r>
        <w:rPr>
          <w:sz w:val="20"/>
          <w:szCs w:val="20"/>
        </w:rPr>
        <w:t>nability to manufacture or commercialize drugs without infringing third-party patent rights. In addition, if the breadth or strength of protection provided by our patents and patent applications is threatened, it could dissuade companies from collaborating</w:t>
      </w:r>
      <w:r>
        <w:rPr>
          <w:sz w:val="20"/>
          <w:szCs w:val="20"/>
        </w:rPr>
        <w:t xml:space="preserve"> with us to license, develop or commercialize current or future drug candidates. </w:t>
      </w:r>
    </w:p>
    <w:p w:rsidR="00000000" w:rsidRDefault="00D33C21">
      <w:pPr>
        <w:pStyle w:val="a3"/>
        <w:spacing w:before="240" w:beforeAutospacing="0" w:after="0" w:afterAutospacing="0"/>
        <w:ind w:firstLine="556"/>
        <w:jc w:val="both"/>
        <w:rPr>
          <w:sz w:val="20"/>
          <w:szCs w:val="20"/>
        </w:rPr>
      </w:pPr>
      <w:r>
        <w:rPr>
          <w:sz w:val="20"/>
          <w:szCs w:val="20"/>
        </w:rPr>
        <w:t>The issuance of a patent is not conclusive as to its inventorship, scope, validity or enforceability, and our owned and licensed patents may be challenged in the courts or pa</w:t>
      </w:r>
      <w:r>
        <w:rPr>
          <w:sz w:val="20"/>
          <w:szCs w:val="20"/>
        </w:rPr>
        <w:t>tent offices in the United States and abroad. An adverse determination in any such challenges may result in loss of exclusivity or in patent claims being narrowed, invalidated or held unenforceable, in whole or in part, which could limit our ability to sto</w:t>
      </w:r>
      <w:r>
        <w:rPr>
          <w:sz w:val="20"/>
          <w:szCs w:val="20"/>
        </w:rPr>
        <w:t>p others from using or commercializing similar or identical technology and drugs, or limit the duration of the patent protection of our technology and drugs. Moreover, patents have a limited lifespan. In the United States, the natural expiration of a paten</w:t>
      </w:r>
      <w:r>
        <w:rPr>
          <w:sz w:val="20"/>
          <w:szCs w:val="20"/>
        </w:rPr>
        <w:t>t is generally 20 years from the earliest filing date of a non-provisional patent application. Various extensions may be available; however, the life of a patent, and the protection it affords, is limited. Without patent protection for our current or futur</w:t>
      </w:r>
      <w:r>
        <w:rPr>
          <w:sz w:val="20"/>
          <w:szCs w:val="20"/>
        </w:rPr>
        <w:t>e drug candidates, we may be open to competition from generic versions of such drugs. Given the amount of time required for the development, testing and regulatory review of new drug candidates, patents protecting such candidates might expire before or sho</w:t>
      </w:r>
      <w:r>
        <w:rPr>
          <w:sz w:val="20"/>
          <w:szCs w:val="20"/>
        </w:rPr>
        <w:t xml:space="preserve">rtly after such candidates are commercialized. As a result, our owned and licensed patent portfolio may not provide us with sufficient rights to exclude others from commercializing drugs similar or identical to ours. </w:t>
      </w:r>
    </w:p>
    <w:p w:rsidR="00000000" w:rsidRDefault="00D33C21">
      <w:pPr>
        <w:pStyle w:val="a3"/>
        <w:spacing w:before="360" w:beforeAutospacing="0" w:after="0" w:afterAutospacing="0"/>
        <w:ind w:left="238"/>
        <w:jc w:val="both"/>
        <w:rPr>
          <w:b/>
          <w:bCs/>
          <w:i/>
          <w:iCs/>
          <w:sz w:val="20"/>
          <w:szCs w:val="20"/>
        </w:rPr>
      </w:pPr>
      <w:r>
        <w:rPr>
          <w:b/>
          <w:bCs/>
          <w:i/>
          <w:iCs/>
          <w:sz w:val="20"/>
          <w:szCs w:val="20"/>
        </w:rPr>
        <w:t>We may be unable to prevent third part</w:t>
      </w:r>
      <w:r>
        <w:rPr>
          <w:b/>
          <w:bCs/>
          <w:i/>
          <w:iCs/>
          <w:sz w:val="20"/>
          <w:szCs w:val="20"/>
        </w:rPr>
        <w:t>ies from selling, making, promoting, manufacturing, or distributing alternative polymorphic forms of OV101.</w:t>
      </w:r>
    </w:p>
    <w:p w:rsidR="00000000" w:rsidRDefault="00D33C21">
      <w:pPr>
        <w:pStyle w:val="a3"/>
        <w:spacing w:before="120" w:beforeAutospacing="0" w:after="0" w:afterAutospacing="0"/>
        <w:ind w:firstLine="556"/>
        <w:jc w:val="both"/>
        <w:rPr>
          <w:sz w:val="20"/>
          <w:szCs w:val="20"/>
        </w:rPr>
      </w:pPr>
      <w:r>
        <w:rPr>
          <w:sz w:val="20"/>
          <w:szCs w:val="20"/>
        </w:rPr>
        <w:t>We currently have issued patents directed to polymorphic forms of OV101. These patents would not prevent a third-party from creating, making and mar</w:t>
      </w:r>
      <w:r>
        <w:rPr>
          <w:sz w:val="20"/>
          <w:szCs w:val="20"/>
        </w:rPr>
        <w:t xml:space="preserve">keting alternative polymorphic forms that fall outside the scope of these patent claims. There can be no assurance that any such alternative polymorphic forms will not be therapeutically equivalent and/or commercially feasible. In the event an alternative </w:t>
      </w:r>
      <w:r>
        <w:rPr>
          <w:sz w:val="20"/>
          <w:szCs w:val="20"/>
        </w:rPr>
        <w:t xml:space="preserve">polymorphic form of OV101 is developed and approved for use in indications that we may seek approval for, the marketability and commercial success of OV101, if approved, could be materially harmed. </w:t>
      </w:r>
    </w:p>
    <w:p w:rsidR="00000000" w:rsidRDefault="00D33C21">
      <w:pPr>
        <w:pStyle w:val="a3"/>
        <w:spacing w:before="240" w:beforeAutospacing="0" w:after="0" w:afterAutospacing="0"/>
        <w:jc w:val="center"/>
        <w:rPr>
          <w:sz w:val="20"/>
          <w:szCs w:val="20"/>
        </w:rPr>
      </w:pPr>
      <w:r>
        <w:rPr>
          <w:sz w:val="20"/>
          <w:szCs w:val="20"/>
        </w:rPr>
        <w:t>44</w:t>
      </w:r>
    </w:p>
    <w:p w:rsidR="00000000" w:rsidRDefault="00D33C21">
      <w:pPr>
        <w:rPr>
          <w:rFonts w:eastAsia="Times New Roman"/>
        </w:rPr>
      </w:pPr>
      <w:r>
        <w:rPr>
          <w:rFonts w:eastAsia="Times New Roman"/>
        </w:rPr>
        <w:pict>
          <v:rect id="_x0000_i1069"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ind w:left="238"/>
        <w:jc w:val="both"/>
        <w:rPr>
          <w:b/>
          <w:bCs/>
          <w:i/>
          <w:iCs/>
          <w:sz w:val="20"/>
          <w:szCs w:val="20"/>
        </w:rPr>
      </w:pPr>
      <w:bookmarkStart w:id="66" w:name="_AEIOULastRenderedPageBreakAEIOU44"/>
      <w:bookmarkEnd w:id="66"/>
      <w:r>
        <w:rPr>
          <w:b/>
          <w:bCs/>
          <w:i/>
          <w:iCs/>
          <w:sz w:val="20"/>
          <w:szCs w:val="20"/>
        </w:rPr>
        <w:t xml:space="preserve">Obtaining and maintaining our patent protection depends on compliance with various procedural, document submission, fee payment </w:t>
      </w:r>
      <w:r>
        <w:rPr>
          <w:b/>
          <w:bCs/>
          <w:i/>
          <w:iCs/>
          <w:sz w:val="20"/>
          <w:szCs w:val="20"/>
        </w:rPr>
        <w:t xml:space="preserve">and other requirements imposed by government patent agencies, and our patent protection could be reduced or eliminated for non-compliance with these requirements. </w:t>
      </w:r>
    </w:p>
    <w:p w:rsidR="00000000" w:rsidRDefault="00D33C21">
      <w:pPr>
        <w:pStyle w:val="a3"/>
        <w:spacing w:before="120" w:beforeAutospacing="0" w:after="0" w:afterAutospacing="0"/>
        <w:ind w:firstLine="556"/>
        <w:jc w:val="both"/>
        <w:rPr>
          <w:sz w:val="20"/>
          <w:szCs w:val="20"/>
        </w:rPr>
      </w:pPr>
      <w:r>
        <w:rPr>
          <w:sz w:val="20"/>
          <w:szCs w:val="20"/>
        </w:rPr>
        <w:t>Periodic maintenance fees, renewal fees, annuity fees and various other government fees on p</w:t>
      </w:r>
      <w:r>
        <w:rPr>
          <w:sz w:val="20"/>
          <w:szCs w:val="20"/>
        </w:rPr>
        <w:t>atents and/or applications will be due to be paid to the USPTO and various government patent agencies outside of the United States over the lifetime of our owned and licensed patents and/or applications and any patent rights we may own or license in the fu</w:t>
      </w:r>
      <w:r>
        <w:rPr>
          <w:sz w:val="20"/>
          <w:szCs w:val="20"/>
        </w:rPr>
        <w:t>ture. We rely on our outside counsel or our licensing partners to pay these fees due to non-U.S. patent agencies. The USPTO and various non-U.S. government patent agencies require compliance with several procedural, documentary, fee payment and other simil</w:t>
      </w:r>
      <w:r>
        <w:rPr>
          <w:sz w:val="20"/>
          <w:szCs w:val="20"/>
        </w:rPr>
        <w:t>ar provisions during the patent application process. We employ reputable law firms and other professionals to help us comply and we are also dependent on our licensors to take the necessary action to comply with these requirements with respect to our licen</w:t>
      </w:r>
      <w:r>
        <w:rPr>
          <w:sz w:val="20"/>
          <w:szCs w:val="20"/>
        </w:rPr>
        <w:t>sed intellectual property. In many cases, an inadvertent lapse can be cured by payment of a late fee or by other means in accordance with the applicable rules. There are situations, however, in which non-compliance can result in abandonment or lapse of the</w:t>
      </w:r>
      <w:r>
        <w:rPr>
          <w:sz w:val="20"/>
          <w:szCs w:val="20"/>
        </w:rPr>
        <w:t xml:space="preserve"> patent or patent application, resulting in partial or complete loss of patent rights in the relevant jurisdiction. In such an event, potential competitors might be able to enter the market and this circumstance could harm our business. </w:t>
      </w:r>
    </w:p>
    <w:p w:rsidR="00000000" w:rsidRDefault="00D33C21">
      <w:pPr>
        <w:pStyle w:val="a3"/>
        <w:spacing w:before="360" w:beforeAutospacing="0" w:after="0" w:afterAutospacing="0"/>
        <w:ind w:left="238"/>
        <w:jc w:val="both"/>
        <w:rPr>
          <w:b/>
          <w:bCs/>
          <w:i/>
          <w:iCs/>
          <w:sz w:val="20"/>
          <w:szCs w:val="20"/>
        </w:rPr>
      </w:pPr>
      <w:r>
        <w:rPr>
          <w:b/>
          <w:bCs/>
          <w:i/>
          <w:iCs/>
          <w:sz w:val="20"/>
          <w:szCs w:val="20"/>
        </w:rPr>
        <w:t>Patent terms may b</w:t>
      </w:r>
      <w:r>
        <w:rPr>
          <w:b/>
          <w:bCs/>
          <w:i/>
          <w:iCs/>
          <w:sz w:val="20"/>
          <w:szCs w:val="20"/>
        </w:rPr>
        <w:t xml:space="preserve">e inadequate to protect our competitive position on our drug candidates for an adequate amount of time. </w:t>
      </w:r>
    </w:p>
    <w:p w:rsidR="00000000" w:rsidRDefault="00D33C21">
      <w:pPr>
        <w:pStyle w:val="a3"/>
        <w:spacing w:before="120" w:beforeAutospacing="0" w:after="0" w:afterAutospacing="0"/>
        <w:ind w:firstLine="556"/>
        <w:jc w:val="both"/>
        <w:rPr>
          <w:sz w:val="20"/>
          <w:szCs w:val="20"/>
        </w:rPr>
      </w:pPr>
      <w:r>
        <w:rPr>
          <w:sz w:val="20"/>
          <w:szCs w:val="20"/>
        </w:rPr>
        <w:t>Given the amount of time required for the development, testing and regulatory review of new drug candidates such as OV101, patents protecting such cand</w:t>
      </w:r>
      <w:r>
        <w:rPr>
          <w:sz w:val="20"/>
          <w:szCs w:val="20"/>
        </w:rPr>
        <w:t>idates might expire before or shortly after such candidates are commercialized. We expect to seek extensions of patent terms in the United States and, if available, in other countries where we are prosecuting patents. In the United States, the Drug Price C</w:t>
      </w:r>
      <w:r>
        <w:rPr>
          <w:sz w:val="20"/>
          <w:szCs w:val="20"/>
        </w:rPr>
        <w:t>ompetition and Patent Term Restoration Act of 1984 permits a patent term extension of up to five years beyond the normal expiration of the patent, which is limited to the approved indication (or any additional indications approved during the period of exte</w:t>
      </w:r>
      <w:r>
        <w:rPr>
          <w:sz w:val="20"/>
          <w:szCs w:val="20"/>
        </w:rPr>
        <w:t>nsion). However, the applicable authorities, including the FDA and the USPTO in the United States, and any equivalent regulatory authority in other countries, may not agree with our assessment of whether such extensions are available, and may refuse to gra</w:t>
      </w:r>
      <w:r>
        <w:rPr>
          <w:sz w:val="20"/>
          <w:szCs w:val="20"/>
        </w:rPr>
        <w:t>nt extensions to our patents, or may grant more limited extensions than we request. If this occurs, our competitors may be able to take advantage of our investment in development and clinical trials by referencing our clinical and preclinical data and laun</w:t>
      </w:r>
      <w:r>
        <w:rPr>
          <w:sz w:val="20"/>
          <w:szCs w:val="20"/>
        </w:rPr>
        <w:t xml:space="preserve">ch their drug earlier than might otherwise be the case. </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Intellectual property rights do not necessarily address all potential threats to our business. </w:t>
      </w:r>
    </w:p>
    <w:p w:rsidR="00000000" w:rsidRDefault="00D33C21">
      <w:pPr>
        <w:pStyle w:val="a3"/>
        <w:spacing w:before="120" w:beforeAutospacing="0" w:after="0" w:afterAutospacing="0"/>
        <w:ind w:firstLine="556"/>
        <w:jc w:val="both"/>
        <w:rPr>
          <w:sz w:val="20"/>
          <w:szCs w:val="20"/>
        </w:rPr>
      </w:pPr>
      <w:r>
        <w:rPr>
          <w:sz w:val="20"/>
          <w:szCs w:val="20"/>
        </w:rPr>
        <w:t>The degree of future protection afforded by our intellectual property rights is uncertain because intel</w:t>
      </w:r>
      <w:r>
        <w:rPr>
          <w:sz w:val="20"/>
          <w:szCs w:val="20"/>
        </w:rPr>
        <w:t xml:space="preserve">lectual property rights have limitations, and may not adequately protect our business. The following examples are illustrative: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others may be able to make compounds or formulations that are similar to our drug candidates but that are not covered by the claims of any patents, should they issue, that we own or control;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we or any strategic partners might not have been the first</w:t>
            </w:r>
            <w:r>
              <w:rPr>
                <w:sz w:val="20"/>
                <w:szCs w:val="20"/>
              </w:rPr>
              <w:t xml:space="preserve"> to make the inventions covered by the issued patents or pending patent applications that we own or control;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we might not have been the first to file patent applications covering certain of our inventions;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others may independently develop sim</w:t>
            </w:r>
            <w:r>
              <w:rPr>
                <w:sz w:val="20"/>
                <w:szCs w:val="20"/>
              </w:rPr>
              <w:t xml:space="preserve">ilar or alternative technologies or duplicate any of our technologies without infringing our intellectual property rights;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it is possible that our pending patent applications will not lead to issued patents;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issued patents that we own or control may not provide us with any competitive advantages, or may be held invalid or unenforceable because of legal challenges;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our competitors might conduct research and development activities in the United States and other countries that provide a safe harbor from patent infringement claims for certain research and development activities, as well as in countries where we do not</w:t>
            </w:r>
            <w:r>
              <w:rPr>
                <w:sz w:val="20"/>
                <w:szCs w:val="20"/>
              </w:rPr>
              <w:t xml:space="preserve"> have patent rights and then use the information learned from such activities to develop competitive drugs for sale in our major commercial markets;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we may not develop additional proprietary technologies that are patentable;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patents of others may have an adverse effect on our business. </w:t>
            </w:r>
          </w:p>
        </w:tc>
      </w:tr>
    </w:tbl>
    <w:p w:rsidR="00000000" w:rsidRDefault="00D33C21">
      <w:pPr>
        <w:pStyle w:val="a3"/>
        <w:spacing w:before="240" w:beforeAutospacing="0" w:after="0" w:afterAutospacing="0"/>
        <w:ind w:firstLine="556"/>
        <w:jc w:val="both"/>
        <w:rPr>
          <w:sz w:val="20"/>
          <w:szCs w:val="20"/>
        </w:rPr>
      </w:pPr>
      <w:r>
        <w:rPr>
          <w:sz w:val="20"/>
          <w:szCs w:val="20"/>
        </w:rPr>
        <w:t xml:space="preserve">The proprietary map of disease-relevant biological pathways underlying orphan disorders of the brain that we developed would not be appropriate for patent protection and, as a result, we rely on trade secrets to protect this aspect of our business. </w:t>
      </w:r>
    </w:p>
    <w:p w:rsidR="00000000" w:rsidRDefault="00D33C21">
      <w:pPr>
        <w:pStyle w:val="a3"/>
        <w:spacing w:before="240" w:beforeAutospacing="0" w:after="0" w:afterAutospacing="0"/>
        <w:jc w:val="center"/>
        <w:rPr>
          <w:sz w:val="20"/>
          <w:szCs w:val="20"/>
        </w:rPr>
      </w:pPr>
      <w:r>
        <w:rPr>
          <w:sz w:val="20"/>
          <w:szCs w:val="20"/>
        </w:rPr>
        <w:t>45</w:t>
      </w:r>
    </w:p>
    <w:p w:rsidR="00000000" w:rsidRDefault="00D33C21">
      <w:pPr>
        <w:rPr>
          <w:rFonts w:eastAsia="Times New Roman"/>
        </w:rPr>
      </w:pPr>
      <w:r>
        <w:rPr>
          <w:rFonts w:eastAsia="Times New Roman"/>
        </w:rPr>
        <w:pict>
          <v:rect id="_x0000_i1070"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ind w:left="238"/>
        <w:jc w:val="both"/>
        <w:rPr>
          <w:b/>
          <w:bCs/>
          <w:i/>
          <w:iCs/>
          <w:sz w:val="20"/>
          <w:szCs w:val="20"/>
        </w:rPr>
      </w:pPr>
      <w:bookmarkStart w:id="67" w:name="_AEIOULastRenderedPageBreakAEIOU45"/>
      <w:bookmarkEnd w:id="67"/>
      <w:r>
        <w:rPr>
          <w:b/>
          <w:bCs/>
          <w:i/>
          <w:iCs/>
          <w:sz w:val="20"/>
          <w:szCs w:val="20"/>
        </w:rPr>
        <w:t>Third parties may initiate legal proceedings alleging that we are infringing</w:t>
      </w:r>
      <w:r>
        <w:rPr>
          <w:b/>
          <w:bCs/>
          <w:i/>
          <w:iCs/>
          <w:sz w:val="20"/>
          <w:szCs w:val="20"/>
        </w:rPr>
        <w:t xml:space="preserve"> their intellectual property rights, the outcome of which would be uncertain and could have a negative impact on the success of our business. </w:t>
      </w:r>
    </w:p>
    <w:p w:rsidR="00000000" w:rsidRDefault="00D33C21">
      <w:pPr>
        <w:pStyle w:val="a3"/>
        <w:spacing w:before="120" w:beforeAutospacing="0" w:after="0" w:afterAutospacing="0"/>
        <w:ind w:firstLine="556"/>
        <w:jc w:val="both"/>
        <w:rPr>
          <w:sz w:val="20"/>
          <w:szCs w:val="20"/>
        </w:rPr>
      </w:pPr>
      <w:r>
        <w:rPr>
          <w:sz w:val="20"/>
          <w:szCs w:val="20"/>
        </w:rPr>
        <w:t xml:space="preserve">Our commercial success depends, in part, upon our ability and the ability of our current or future collaborators </w:t>
      </w:r>
      <w:r>
        <w:rPr>
          <w:sz w:val="20"/>
          <w:szCs w:val="20"/>
        </w:rPr>
        <w:t>to develop, manufacture, market and sell our current and any future drug candidates and use our proprietary technologies without infringing the proprietary rights and intellectual property of third parties. The biotechnology and pharmaceutical industries a</w:t>
      </w:r>
      <w:r>
        <w:rPr>
          <w:sz w:val="20"/>
          <w:szCs w:val="20"/>
        </w:rPr>
        <w:t>re characterized by extensive and complex litigation regarding patents and other intellectual property rights. We may in the future become party to, or be threatened with, adversarial proceedings or litigation regarding intellectual property rights with re</w:t>
      </w:r>
      <w:r>
        <w:rPr>
          <w:sz w:val="20"/>
          <w:szCs w:val="20"/>
        </w:rPr>
        <w:t>spect to our current and any future drug candidates and technology, including interference proceedings, post grant review and inter partes review before the USPTO. Third parties may assert infringement claims against us based on existing patents or patents</w:t>
      </w:r>
      <w:r>
        <w:rPr>
          <w:sz w:val="20"/>
          <w:szCs w:val="20"/>
        </w:rPr>
        <w:t xml:space="preserve"> that may be granted in the future, regardless of their merit. There is a risk that third parties may choose to engage in litigation with us to enforce or to otherwise assert their patent rights against us. Even if we believe such claims are without merit,</w:t>
      </w:r>
      <w:r>
        <w:rPr>
          <w:sz w:val="20"/>
          <w:szCs w:val="20"/>
        </w:rPr>
        <w:t xml:space="preserve"> a court of competent jurisdiction could hold that these third-party patents are valid, enforceable and infringed, which could have a negative impact on our ability to commercialize our current and any future drug candidates.  In order to successfully chal</w:t>
      </w:r>
      <w:r>
        <w:rPr>
          <w:sz w:val="20"/>
          <w:szCs w:val="20"/>
        </w:rPr>
        <w:t>lenge the validity of any such U.S. patent in federal court, we would need to overcome a presumption of validity. As this burden is a high one requiring us to present clear and convincing evidence as to the invalidity of any such U.S. patent claim, there i</w:t>
      </w:r>
      <w:r>
        <w:rPr>
          <w:sz w:val="20"/>
          <w:szCs w:val="20"/>
        </w:rPr>
        <w:t>s no assurance that a court of competent jurisdiction would invalidate the claims of any such U.S. patent. If we are found to infringe a third party’s valid and enforceable intellectual property rights, we could be required to obtain a license from such th</w:t>
      </w:r>
      <w:r>
        <w:rPr>
          <w:sz w:val="20"/>
          <w:szCs w:val="20"/>
        </w:rPr>
        <w:t>ird party to continue developing, manufacturing and marketing our drug candidate(s) and technology. However, we may not be able to obtain any required license on commercially reasonable terms or at all. Even if we were able to obtain a license, it could be</w:t>
      </w:r>
      <w:r>
        <w:rPr>
          <w:sz w:val="20"/>
          <w:szCs w:val="20"/>
        </w:rPr>
        <w:t xml:space="preserve"> non-exclusive, thereby giving our competitors and other third parties access to the same technologies licensed to us, and it could require us to make substantial licensing and royalty payments. We could be forced, including by court order, to cease develo</w:t>
      </w:r>
      <w:r>
        <w:rPr>
          <w:sz w:val="20"/>
          <w:szCs w:val="20"/>
        </w:rPr>
        <w:t>ping, manufacturing and commercializing the infringing technology or drug candidate. In addition, we could be found liable for monetary damages, including treble damages and attorneys’ fees, if we are found to have willfully infringed a patent or other int</w:t>
      </w:r>
      <w:r>
        <w:rPr>
          <w:sz w:val="20"/>
          <w:szCs w:val="20"/>
        </w:rPr>
        <w:t>ellectual property right. A finding of infringement could prevent us from manufacturing and commercializing our current or any future drug candidates or force us to cease some or all of our business operations, which could materially harm our business. Cla</w:t>
      </w:r>
      <w:r>
        <w:rPr>
          <w:sz w:val="20"/>
          <w:szCs w:val="20"/>
        </w:rPr>
        <w:t>ims that we have misappropriated the confidential information or trade secrets of third parties could have a similar negative impact on our business, financial condition, results of operations and prospects.  See the section herein titled “Legal Proceeding</w:t>
      </w:r>
      <w:r>
        <w:rPr>
          <w:sz w:val="20"/>
          <w:szCs w:val="20"/>
        </w:rPr>
        <w:t xml:space="preserve">s” for additional information. </w:t>
      </w:r>
    </w:p>
    <w:p w:rsidR="00000000" w:rsidRDefault="00D33C21">
      <w:pPr>
        <w:pStyle w:val="a3"/>
        <w:spacing w:before="360" w:beforeAutospacing="0" w:after="0" w:afterAutospacing="0"/>
        <w:ind w:left="238"/>
        <w:jc w:val="both"/>
        <w:rPr>
          <w:b/>
          <w:bCs/>
          <w:i/>
          <w:iCs/>
          <w:sz w:val="20"/>
          <w:szCs w:val="20"/>
        </w:rPr>
      </w:pPr>
      <w:r>
        <w:rPr>
          <w:b/>
          <w:bCs/>
          <w:i/>
          <w:iCs/>
          <w:sz w:val="20"/>
          <w:szCs w:val="20"/>
        </w:rPr>
        <w:t>We may be subject to claims asserting that our employees, consultants or advisors have wrongfully used or disclosed alleged trade secrets of their current or former employers or claims asserting ownership of what we regard a</w:t>
      </w:r>
      <w:r>
        <w:rPr>
          <w:b/>
          <w:bCs/>
          <w:i/>
          <w:iCs/>
          <w:sz w:val="20"/>
          <w:szCs w:val="20"/>
        </w:rPr>
        <w:t xml:space="preserve">s our own intellectual property. </w:t>
      </w:r>
    </w:p>
    <w:p w:rsidR="00000000" w:rsidRDefault="00D33C21">
      <w:pPr>
        <w:pStyle w:val="a3"/>
        <w:spacing w:before="120" w:beforeAutospacing="0" w:after="0" w:afterAutospacing="0"/>
        <w:ind w:firstLine="556"/>
        <w:jc w:val="both"/>
        <w:rPr>
          <w:sz w:val="20"/>
          <w:szCs w:val="20"/>
        </w:rPr>
      </w:pPr>
      <w:r>
        <w:rPr>
          <w:sz w:val="20"/>
          <w:szCs w:val="20"/>
        </w:rPr>
        <w:t>Certain of our employees, consultants or advisors are currently, or were previously, employed at universities or other biotechnology or pharmaceutical companies, including our competitors or potential competitors. Although</w:t>
      </w:r>
      <w:r>
        <w:rPr>
          <w:sz w:val="20"/>
          <w:szCs w:val="20"/>
        </w:rPr>
        <w:t xml:space="preserve"> we try to ensure that our employees, consultants and advisors do not use the proprietary information or know-how of others in their work for us, we may be subject to claims that these individuals or we have used or disclosed intellectual property, includi</w:t>
      </w:r>
      <w:r>
        <w:rPr>
          <w:sz w:val="20"/>
          <w:szCs w:val="20"/>
        </w:rPr>
        <w:t>ng trade secrets or other proprietary information, of any such individual’s current or former employer. Litigation may be necessary to defend against these claims. If we fail in defending any such claims, in addition to paying monetary damages, we may lose</w:t>
      </w:r>
      <w:r>
        <w:rPr>
          <w:sz w:val="20"/>
          <w:szCs w:val="20"/>
        </w:rPr>
        <w:t xml:space="preserve"> valuable intellectual property rights or personnel. Even if we are successful in defending against such claims, litigation could result in substantial costs and be a distraction to management. </w:t>
      </w:r>
    </w:p>
    <w:p w:rsidR="00000000" w:rsidRDefault="00D33C21">
      <w:pPr>
        <w:pStyle w:val="a3"/>
        <w:spacing w:before="240" w:beforeAutospacing="0" w:after="0" w:afterAutospacing="0"/>
        <w:ind w:firstLine="556"/>
        <w:jc w:val="both"/>
        <w:rPr>
          <w:sz w:val="20"/>
          <w:szCs w:val="20"/>
        </w:rPr>
      </w:pPr>
      <w:r>
        <w:rPr>
          <w:sz w:val="20"/>
          <w:szCs w:val="20"/>
        </w:rPr>
        <w:t xml:space="preserve">In addition, while it is our policy to require our employees </w:t>
      </w:r>
      <w:r>
        <w:rPr>
          <w:sz w:val="20"/>
          <w:szCs w:val="20"/>
        </w:rPr>
        <w:t>and contractors who may be involved in the conception or development of intellectual property to execute agreements assigning such intellectual property to us, we may be unsuccessful in executing such an agreement with each party who, in fact, conceives or</w:t>
      </w:r>
      <w:r>
        <w:rPr>
          <w:sz w:val="20"/>
          <w:szCs w:val="20"/>
        </w:rPr>
        <w:t xml:space="preserve"> develops intellectual property that we regard as our own. The assignment of intellectual property rights may not be self-executing or the assignment agreements may be breached, and we may be forced to bring claims against third parties, or defend claims t</w:t>
      </w:r>
      <w:r>
        <w:rPr>
          <w:sz w:val="20"/>
          <w:szCs w:val="20"/>
        </w:rPr>
        <w:t xml:space="preserve">hat they may bring against us, to determine the ownership of what we regard as our intellectual property. </w:t>
      </w:r>
    </w:p>
    <w:p w:rsidR="00000000" w:rsidRDefault="00D33C21">
      <w:pPr>
        <w:pStyle w:val="a3"/>
        <w:spacing w:before="360" w:beforeAutospacing="0" w:after="0" w:afterAutospacing="0"/>
        <w:ind w:left="238"/>
        <w:jc w:val="both"/>
        <w:rPr>
          <w:b/>
          <w:bCs/>
          <w:i/>
          <w:iCs/>
          <w:sz w:val="20"/>
          <w:szCs w:val="20"/>
        </w:rPr>
      </w:pPr>
      <w:r>
        <w:rPr>
          <w:b/>
          <w:bCs/>
          <w:i/>
          <w:iCs/>
          <w:sz w:val="20"/>
          <w:szCs w:val="20"/>
        </w:rPr>
        <w:t>We may be involved in lawsuits to protect or enforce our patents, the patents of our licensors or our other intellectual property rights, which could</w:t>
      </w:r>
      <w:r>
        <w:rPr>
          <w:b/>
          <w:bCs/>
          <w:i/>
          <w:iCs/>
          <w:sz w:val="20"/>
          <w:szCs w:val="20"/>
        </w:rPr>
        <w:t xml:space="preserve"> be expensive, time consuming and unsuccessful. </w:t>
      </w:r>
    </w:p>
    <w:p w:rsidR="00000000" w:rsidRDefault="00D33C21">
      <w:pPr>
        <w:pStyle w:val="a3"/>
        <w:spacing w:before="120" w:beforeAutospacing="0" w:after="0" w:afterAutospacing="0"/>
        <w:ind w:firstLine="556"/>
        <w:jc w:val="both"/>
        <w:rPr>
          <w:sz w:val="20"/>
          <w:szCs w:val="20"/>
        </w:rPr>
      </w:pPr>
      <w:bookmarkStart w:id="68" w:name="_AEIOULastRenderedPageBreakAEIOU46"/>
      <w:bookmarkEnd w:id="68"/>
      <w:r>
        <w:rPr>
          <w:sz w:val="20"/>
          <w:szCs w:val="20"/>
        </w:rPr>
        <w:t>Competitors may infringe or otherwise violate our patents, the patents of our licensors or our other intellectual property rights. To counter infringement or unauthorized use, we may be required to file lega</w:t>
      </w:r>
      <w:r>
        <w:rPr>
          <w:sz w:val="20"/>
          <w:szCs w:val="20"/>
        </w:rPr>
        <w:t xml:space="preserve">l claims, which can be expensive and time-consuming. In addition, in an infringement proceeding, a court may decide that a patent of ours or our licensors is not valid or is unenforceable, or may refuse to stop the other party from using the technology at </w:t>
      </w:r>
      <w:r>
        <w:rPr>
          <w:sz w:val="20"/>
          <w:szCs w:val="20"/>
        </w:rPr>
        <w:t>issue on the grounds that our patents do not cover the technology in question. An adverse result in any litigation or defense proceedings could put one or more of our patents at risk of being invalidated or interpreted narrowly and could put our patent app</w:t>
      </w:r>
      <w:r>
        <w:rPr>
          <w:sz w:val="20"/>
          <w:szCs w:val="20"/>
        </w:rPr>
        <w:t>lications at risk of not issuing. The initiation of a claim against a third party may also cause the third party to bring counter claims against us such as claims asserting that our patents are invalid or unenforceable. In patent litigation in the United S</w:t>
      </w:r>
      <w:r>
        <w:rPr>
          <w:sz w:val="20"/>
          <w:szCs w:val="20"/>
        </w:rPr>
        <w:t xml:space="preserve">tates, defendant counterclaims alleging invalidity or unenforceability are commonplace. Grounds for a validity challenge could be an alleged failure to meet any of several statutory requirements, including lack of novelty, obviousness, </w:t>
      </w:r>
    </w:p>
    <w:p w:rsidR="00000000" w:rsidRDefault="00D33C21">
      <w:pPr>
        <w:pStyle w:val="a3"/>
        <w:spacing w:before="240" w:beforeAutospacing="0" w:after="0" w:afterAutospacing="0"/>
        <w:jc w:val="center"/>
        <w:rPr>
          <w:sz w:val="20"/>
          <w:szCs w:val="20"/>
        </w:rPr>
      </w:pPr>
      <w:r>
        <w:rPr>
          <w:sz w:val="20"/>
          <w:szCs w:val="20"/>
        </w:rPr>
        <w:t>46</w:t>
      </w:r>
    </w:p>
    <w:p w:rsidR="00000000" w:rsidRDefault="00D33C21">
      <w:pPr>
        <w:rPr>
          <w:rFonts w:eastAsia="Times New Roman"/>
        </w:rPr>
      </w:pPr>
      <w:r>
        <w:rPr>
          <w:rFonts w:eastAsia="Times New Roman"/>
        </w:rPr>
        <w:pict>
          <v:rect id="_x0000_i1071"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120" w:beforeAutospacing="0" w:after="0" w:afterAutospacing="0"/>
        <w:jc w:val="both"/>
        <w:rPr>
          <w:sz w:val="20"/>
          <w:szCs w:val="20"/>
        </w:rPr>
      </w:pPr>
      <w:r>
        <w:rPr>
          <w:sz w:val="20"/>
          <w:szCs w:val="20"/>
        </w:rPr>
        <w:t>non-enablement or lack of statutory subject matter. Grounds for an unenforceability assert</w:t>
      </w:r>
      <w:r>
        <w:rPr>
          <w:sz w:val="20"/>
          <w:szCs w:val="20"/>
        </w:rPr>
        <w:t>ion could be an allegation that someone connected with prosecution of the patent withheld relevant material information from the USPTO, or made a materially misleading statement, during prosecution. Third parties may also raise similar validity claims befo</w:t>
      </w:r>
      <w:r>
        <w:rPr>
          <w:sz w:val="20"/>
          <w:szCs w:val="20"/>
        </w:rPr>
        <w:t>re the USPTO in post-grant proceedings such as ex parte reexaminations, inter partes review, or post-grant review, or oppositions or similar proceedings outside the United States, in parallel with litigation or even outside the context of litigation. The o</w:t>
      </w:r>
      <w:r>
        <w:rPr>
          <w:sz w:val="20"/>
          <w:szCs w:val="20"/>
        </w:rPr>
        <w:t>utcome following legal assertions of invalidity and unenforceability is unpredictable. We cannot be certain that there is no invalidating prior art, of which we and the patent examiner were unaware during prosecution. For the patents and patent application</w:t>
      </w:r>
      <w:r>
        <w:rPr>
          <w:sz w:val="20"/>
          <w:szCs w:val="20"/>
        </w:rPr>
        <w:t>s that we have licensed, we may have limited or no right to participate in the defense of any licensed patents against challenge by a third party. If a defendant were to prevail on a legal assertion of invalidity or unenforceability, we would lose at least</w:t>
      </w:r>
      <w:r>
        <w:rPr>
          <w:sz w:val="20"/>
          <w:szCs w:val="20"/>
        </w:rPr>
        <w:t xml:space="preserve"> part, and perhaps all, of any future patent protection on our current or future drug candidates. Such a loss of patent protection could harm our business. </w:t>
      </w:r>
    </w:p>
    <w:p w:rsidR="00000000" w:rsidRDefault="00D33C21">
      <w:pPr>
        <w:pStyle w:val="a3"/>
        <w:spacing w:before="240" w:beforeAutospacing="0" w:after="0" w:afterAutospacing="0"/>
        <w:ind w:firstLine="556"/>
        <w:jc w:val="both"/>
        <w:rPr>
          <w:sz w:val="20"/>
          <w:szCs w:val="20"/>
        </w:rPr>
      </w:pPr>
      <w:r>
        <w:rPr>
          <w:sz w:val="20"/>
          <w:szCs w:val="20"/>
        </w:rPr>
        <w:t>We may not be able to prevent, alone or with our licensors, misappropriation of our intellectual property rights, particularly in countries where the laws may not protect those rights as fully as in the United States. Our business could be harmed if in lit</w:t>
      </w:r>
      <w:r>
        <w:rPr>
          <w:sz w:val="20"/>
          <w:szCs w:val="20"/>
        </w:rPr>
        <w:t>igation the prevailing party does not offer us a license on commercially reasonable terms. Any litigation or other proceedings to enforce our intellectual property rights may fail, and even if successful, may result in substantial costs and distract our ma</w:t>
      </w:r>
      <w:r>
        <w:rPr>
          <w:sz w:val="20"/>
          <w:szCs w:val="20"/>
        </w:rPr>
        <w:t xml:space="preserve">nagement and other employees. </w:t>
      </w:r>
    </w:p>
    <w:p w:rsidR="00000000" w:rsidRDefault="00D33C21">
      <w:pPr>
        <w:pStyle w:val="a3"/>
        <w:spacing w:before="240" w:beforeAutospacing="0" w:after="0" w:afterAutospacing="0"/>
        <w:ind w:firstLine="556"/>
        <w:jc w:val="both"/>
        <w:rPr>
          <w:sz w:val="20"/>
          <w:szCs w:val="20"/>
        </w:rPr>
      </w:pPr>
      <w:r>
        <w:rPr>
          <w:sz w:val="20"/>
          <w:szCs w:val="20"/>
        </w:rPr>
        <w:t>Furthermore, because of the substantial amount of discovery required in connection with intellectual property litigation, there is a risk that some of our confidential information could be compromised by disclosure during thi</w:t>
      </w:r>
      <w:r>
        <w:rPr>
          <w:sz w:val="20"/>
          <w:szCs w:val="20"/>
        </w:rPr>
        <w:t>s type of litigation. There could also be public announcements of the results of hearings, motions or other interim proceedings or developments. If securities analysts or investors perceive these results to be negative, it could have an adverse effect on t</w:t>
      </w:r>
      <w:r>
        <w:rPr>
          <w:sz w:val="20"/>
          <w:szCs w:val="20"/>
        </w:rPr>
        <w:t xml:space="preserve">he price of our common stock. </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Changes in U.S. patent law or the patent law of other countries or jurisdictions could diminish the value of patents in general, thereby impairing our ability to protect our current and any future drug candidates. </w:t>
      </w:r>
    </w:p>
    <w:p w:rsidR="00000000" w:rsidRDefault="00D33C21">
      <w:pPr>
        <w:pStyle w:val="a3"/>
        <w:spacing w:before="120" w:beforeAutospacing="0" w:after="0" w:afterAutospacing="0"/>
        <w:ind w:firstLine="556"/>
        <w:jc w:val="both"/>
        <w:rPr>
          <w:sz w:val="20"/>
          <w:szCs w:val="20"/>
        </w:rPr>
      </w:pPr>
      <w:r>
        <w:rPr>
          <w:sz w:val="20"/>
          <w:szCs w:val="20"/>
        </w:rPr>
        <w:t>The United</w:t>
      </w:r>
      <w:r>
        <w:rPr>
          <w:sz w:val="20"/>
          <w:szCs w:val="20"/>
        </w:rPr>
        <w:t xml:space="preserve"> States has recently enacted and implemented wide-ranging patent reform legislation. The U.S. Supreme Court has ruled on several patent cases in recent years, either narrowing the scope of patent protection available in certain circumstances or weakening t</w:t>
      </w:r>
      <w:r>
        <w:rPr>
          <w:sz w:val="20"/>
          <w:szCs w:val="20"/>
        </w:rPr>
        <w:t>he rights of patent owners in certain situations. In addition to increasing uncertainty with regard to our ability to obtain patents in the future, this combination of events has created uncertainty with respect to the value of patents, once obtained. Depe</w:t>
      </w:r>
      <w:r>
        <w:rPr>
          <w:sz w:val="20"/>
          <w:szCs w:val="20"/>
        </w:rPr>
        <w:t xml:space="preserve">nding on actions by the U.S. Congress, the federal courts, and the USPTO, the laws and regulations governing patents could change in unpredictable ways that would weaken our ability to obtain new patents or to enforce patents that we have licensed or that </w:t>
      </w:r>
      <w:r>
        <w:rPr>
          <w:sz w:val="20"/>
          <w:szCs w:val="20"/>
        </w:rPr>
        <w:t>we might obtain in the future. Similarly, changes in patent law and regulations in other countries or jurisdictions or changes in the governmental bodies that enforce them or changes in how the relevant governmental authority enforces patent laws or regula</w:t>
      </w:r>
      <w:r>
        <w:rPr>
          <w:sz w:val="20"/>
          <w:szCs w:val="20"/>
        </w:rPr>
        <w:t xml:space="preserve">tions may weaken our ability to obtain new patents or to enforce patents that we have licensed or that we may obtain in the future. </w:t>
      </w:r>
    </w:p>
    <w:p w:rsidR="00000000" w:rsidRDefault="00D33C21">
      <w:pPr>
        <w:pStyle w:val="a3"/>
        <w:spacing w:before="240" w:beforeAutospacing="0" w:after="0" w:afterAutospacing="0"/>
        <w:jc w:val="center"/>
        <w:rPr>
          <w:sz w:val="20"/>
          <w:szCs w:val="20"/>
        </w:rPr>
      </w:pPr>
      <w:r>
        <w:rPr>
          <w:sz w:val="20"/>
          <w:szCs w:val="20"/>
        </w:rPr>
        <w:t>47</w:t>
      </w:r>
    </w:p>
    <w:p w:rsidR="00000000" w:rsidRDefault="00D33C21">
      <w:pPr>
        <w:rPr>
          <w:rFonts w:eastAsia="Times New Roman"/>
        </w:rPr>
      </w:pPr>
      <w:r>
        <w:rPr>
          <w:rFonts w:eastAsia="Times New Roman"/>
        </w:rPr>
        <w:pict>
          <v:rect id="_x0000_i1072"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ind w:left="238"/>
        <w:jc w:val="both"/>
        <w:rPr>
          <w:b/>
          <w:bCs/>
          <w:i/>
          <w:iCs/>
          <w:sz w:val="20"/>
          <w:szCs w:val="20"/>
        </w:rPr>
      </w:pPr>
      <w:bookmarkStart w:id="69" w:name="_AEIOULastRenderedPageBreakAEIOU47"/>
      <w:bookmarkEnd w:id="69"/>
      <w:r>
        <w:rPr>
          <w:b/>
          <w:bCs/>
          <w:i/>
          <w:iCs/>
          <w:sz w:val="20"/>
          <w:szCs w:val="20"/>
        </w:rPr>
        <w:t xml:space="preserve">We may not be able to protect our intellectual property rights throughout the world, which could negatively impact our business. </w:t>
      </w:r>
    </w:p>
    <w:p w:rsidR="00000000" w:rsidRDefault="00D33C21">
      <w:pPr>
        <w:pStyle w:val="a3"/>
        <w:spacing w:before="120" w:beforeAutospacing="0" w:after="0" w:afterAutospacing="0"/>
        <w:ind w:firstLine="556"/>
        <w:jc w:val="both"/>
        <w:rPr>
          <w:sz w:val="20"/>
          <w:szCs w:val="20"/>
        </w:rPr>
      </w:pPr>
      <w:r>
        <w:rPr>
          <w:sz w:val="20"/>
          <w:szCs w:val="20"/>
        </w:rPr>
        <w:t>Filing, prosecuting and defending patents covering our current a</w:t>
      </w:r>
      <w:r>
        <w:rPr>
          <w:sz w:val="20"/>
          <w:szCs w:val="20"/>
        </w:rPr>
        <w:t>nd any future drug candidates throughout the world would be prohibitively expensive. Competitors may use our technologies in jurisdictions where we have not obtained patent protection to develop their own drugs and, further, may export otherwise infringing</w:t>
      </w:r>
      <w:r>
        <w:rPr>
          <w:sz w:val="20"/>
          <w:szCs w:val="20"/>
        </w:rPr>
        <w:t xml:space="preserve"> drugs to territories where we may obtain patent protection, but where patent enforcement is not as strong as that in the United States. These drugs may compete with our drugs in jurisdictions where we do not have any issued or licensed patents and any fut</w:t>
      </w:r>
      <w:r>
        <w:rPr>
          <w:sz w:val="20"/>
          <w:szCs w:val="20"/>
        </w:rPr>
        <w:t xml:space="preserve">ure patent claims or other intellectual property rights may not be effective or sufficient to prevent them from so competing. </w:t>
      </w:r>
    </w:p>
    <w:p w:rsidR="00000000" w:rsidRDefault="00D33C21">
      <w:pPr>
        <w:pStyle w:val="a3"/>
        <w:spacing w:before="360" w:beforeAutospacing="0" w:after="0" w:afterAutospacing="0"/>
        <w:ind w:left="238"/>
        <w:jc w:val="both"/>
        <w:rPr>
          <w:b/>
          <w:bCs/>
          <w:i/>
          <w:iCs/>
          <w:sz w:val="20"/>
          <w:szCs w:val="20"/>
        </w:rPr>
      </w:pPr>
      <w:r>
        <w:rPr>
          <w:b/>
          <w:bCs/>
          <w:i/>
          <w:iCs/>
          <w:sz w:val="20"/>
          <w:szCs w:val="20"/>
        </w:rPr>
        <w:t>Reliance on third parties requires us to share our trade secrets, which increases the possibility that a competitor will discover</w:t>
      </w:r>
      <w:r>
        <w:rPr>
          <w:b/>
          <w:bCs/>
          <w:i/>
          <w:iCs/>
          <w:sz w:val="20"/>
          <w:szCs w:val="20"/>
        </w:rPr>
        <w:t xml:space="preserve"> them or that our trade secrets will be misappropriated or disclosed. </w:t>
      </w:r>
    </w:p>
    <w:p w:rsidR="00000000" w:rsidRDefault="00D33C21">
      <w:pPr>
        <w:pStyle w:val="a3"/>
        <w:spacing w:before="120" w:beforeAutospacing="0" w:after="0" w:afterAutospacing="0"/>
        <w:ind w:firstLine="556"/>
        <w:jc w:val="both"/>
        <w:rPr>
          <w:sz w:val="20"/>
          <w:szCs w:val="20"/>
        </w:rPr>
      </w:pPr>
      <w:r>
        <w:rPr>
          <w:sz w:val="20"/>
          <w:szCs w:val="20"/>
        </w:rPr>
        <w:t>If we rely on third parties to manufacture or commercialize our current or any future drug candidates, or if we collaborate with additional third parties for the development of our curr</w:t>
      </w:r>
      <w:r>
        <w:rPr>
          <w:sz w:val="20"/>
          <w:szCs w:val="20"/>
        </w:rPr>
        <w:t>ent or any future drug candidates, we must, at times, share trade secrets with them. We may also conduct joint research and development programs that may require us to share trade secrets under the terms of our research and development partnerships or simi</w:t>
      </w:r>
      <w:r>
        <w:rPr>
          <w:sz w:val="20"/>
          <w:szCs w:val="20"/>
        </w:rPr>
        <w:t xml:space="preserve">lar agreements. We seek to protect our proprietary technology in part by entering into confidentiality agreements and, if applicable, material transfer agreements, consulting agreements or other similar agreements with our advisors, employees, third-party </w:t>
      </w:r>
      <w:r>
        <w:rPr>
          <w:sz w:val="20"/>
          <w:szCs w:val="20"/>
        </w:rPr>
        <w:t>contractors and consultants prior to beginning research or disclosing proprietary information. These agreements typically limit the rights of the third parties to use or disclose our confidential information, including our trade secrets. Despite the contra</w:t>
      </w:r>
      <w:r>
        <w:rPr>
          <w:sz w:val="20"/>
          <w:szCs w:val="20"/>
        </w:rPr>
        <w:t xml:space="preserve">ctual provisions employed when working with third parties, the need to share trade secrets and other confidential information increases the risk that such trade secrets become known by our competitors, are inadvertently incorporated into the technology of </w:t>
      </w:r>
      <w:r>
        <w:rPr>
          <w:sz w:val="20"/>
          <w:szCs w:val="20"/>
        </w:rPr>
        <w:t>others, or are disclosed or used in violation of these agreements. Given that our proprietary position is based, in part, on our know-how and trade secrets, a competitor’s discovery of our trade secrets or other unauthorized use or disclosure could have an</w:t>
      </w:r>
      <w:r>
        <w:rPr>
          <w:sz w:val="20"/>
          <w:szCs w:val="20"/>
        </w:rPr>
        <w:t xml:space="preserve"> adverse effect on our business and results of operations. </w:t>
      </w:r>
    </w:p>
    <w:p w:rsidR="00000000" w:rsidRDefault="00D33C21">
      <w:pPr>
        <w:pStyle w:val="a3"/>
        <w:spacing w:before="240" w:beforeAutospacing="0" w:after="0" w:afterAutospacing="0"/>
        <w:ind w:firstLine="556"/>
        <w:jc w:val="both"/>
        <w:rPr>
          <w:sz w:val="20"/>
          <w:szCs w:val="20"/>
        </w:rPr>
      </w:pPr>
      <w:r>
        <w:rPr>
          <w:sz w:val="20"/>
          <w:szCs w:val="20"/>
        </w:rPr>
        <w:t xml:space="preserve">In addition, these agreements typically restrict the ability of our advisors, employees, third-party contractors and consultants to publish data potentially relating to our trade secrets. Despite </w:t>
      </w:r>
      <w:r>
        <w:rPr>
          <w:sz w:val="20"/>
          <w:szCs w:val="20"/>
        </w:rPr>
        <w:t>our efforts to protect our trade secrets, our competitors may discover our trade secrets, either through breach of our agreements with third parties, independent development or publication of information by any third-party collaborators. A competitor’s dis</w:t>
      </w:r>
      <w:r>
        <w:rPr>
          <w:sz w:val="20"/>
          <w:szCs w:val="20"/>
        </w:rPr>
        <w:t xml:space="preserve">covery of our trade secrets would harm our business. </w:t>
      </w:r>
    </w:p>
    <w:p w:rsidR="00000000" w:rsidRDefault="00D33C21">
      <w:pPr>
        <w:pStyle w:val="a3"/>
        <w:spacing w:before="360" w:beforeAutospacing="0" w:after="0" w:afterAutospacing="0"/>
        <w:jc w:val="both"/>
        <w:rPr>
          <w:b/>
          <w:bCs/>
          <w:sz w:val="20"/>
          <w:szCs w:val="20"/>
        </w:rPr>
      </w:pPr>
      <w:r>
        <w:rPr>
          <w:b/>
          <w:bCs/>
          <w:sz w:val="20"/>
          <w:szCs w:val="20"/>
        </w:rPr>
        <w:t xml:space="preserve">Risks Related to Our Dependence on Third Parties </w:t>
      </w:r>
    </w:p>
    <w:p w:rsidR="00000000" w:rsidRDefault="00D33C21">
      <w:pPr>
        <w:pStyle w:val="a3"/>
        <w:spacing w:before="120" w:beforeAutospacing="0" w:after="0" w:afterAutospacing="0"/>
        <w:ind w:left="238"/>
        <w:jc w:val="both"/>
        <w:rPr>
          <w:b/>
          <w:bCs/>
          <w:i/>
          <w:iCs/>
          <w:sz w:val="20"/>
          <w:szCs w:val="20"/>
        </w:rPr>
      </w:pPr>
      <w:r>
        <w:rPr>
          <w:b/>
          <w:bCs/>
          <w:i/>
          <w:iCs/>
          <w:sz w:val="20"/>
          <w:szCs w:val="20"/>
        </w:rPr>
        <w:t>We do not have our own manufacturing capabilities and will rely on third parties to produce clinical and commercial supplies of our current and any futu</w:t>
      </w:r>
      <w:r>
        <w:rPr>
          <w:b/>
          <w:bCs/>
          <w:i/>
          <w:iCs/>
          <w:sz w:val="20"/>
          <w:szCs w:val="20"/>
        </w:rPr>
        <w:t xml:space="preserve">re drug candidates. </w:t>
      </w:r>
    </w:p>
    <w:p w:rsidR="00000000" w:rsidRDefault="00D33C21">
      <w:pPr>
        <w:pStyle w:val="a3"/>
        <w:spacing w:before="120" w:beforeAutospacing="0" w:after="0" w:afterAutospacing="0"/>
        <w:ind w:firstLine="556"/>
        <w:jc w:val="both"/>
        <w:rPr>
          <w:sz w:val="20"/>
          <w:szCs w:val="20"/>
        </w:rPr>
      </w:pPr>
      <w:r>
        <w:rPr>
          <w:sz w:val="20"/>
          <w:szCs w:val="20"/>
        </w:rPr>
        <w:t>We do not own or operate, and we do not expect to own or operate, facilities for drug manufacturing, storage and distribution, or testing. We will be dependent on third parties to manufacture the clinical supplies of our drug candidate</w:t>
      </w:r>
      <w:r>
        <w:rPr>
          <w:sz w:val="20"/>
          <w:szCs w:val="20"/>
        </w:rPr>
        <w:t>s. The drug substance for OV101 was manufactured by Lundbeck. We believe that the drug substance transferred from Lundbeck under the Lundbeck Agreement will be sufficient for us to complete our ongoing and future clinical trials. We will also continue to r</w:t>
      </w:r>
      <w:r>
        <w:rPr>
          <w:sz w:val="20"/>
          <w:szCs w:val="20"/>
        </w:rPr>
        <w:t xml:space="preserve">ely on Takeda to provide the drug product supply for our planned clinical trials of OV935. </w:t>
      </w:r>
    </w:p>
    <w:p w:rsidR="00000000" w:rsidRDefault="00D33C21">
      <w:pPr>
        <w:pStyle w:val="a3"/>
        <w:spacing w:before="240" w:beforeAutospacing="0" w:after="0" w:afterAutospacing="0"/>
        <w:ind w:firstLine="556"/>
        <w:jc w:val="both"/>
        <w:rPr>
          <w:sz w:val="20"/>
          <w:szCs w:val="20"/>
        </w:rPr>
      </w:pPr>
      <w:r>
        <w:rPr>
          <w:sz w:val="20"/>
          <w:szCs w:val="20"/>
        </w:rPr>
        <w:t>Further, we also will rely on third-party manufacturers to supply us with sufficient quantities of our drug candidates, including OV101 and OV935, to be used, if ap</w:t>
      </w:r>
      <w:r>
        <w:rPr>
          <w:sz w:val="20"/>
          <w:szCs w:val="20"/>
        </w:rPr>
        <w:t>proved, for commercialization. Any significant delay in the supply of a drug candidate, or the raw material components thereof, for an ongoing clinical trial due to the need to replace a third-party manufacturer could considerably delay completion of our c</w:t>
      </w:r>
      <w:r>
        <w:rPr>
          <w:sz w:val="20"/>
          <w:szCs w:val="20"/>
        </w:rPr>
        <w:t xml:space="preserve">linical trials, product testing and potential regulatory approval of our drug candidates. </w:t>
      </w:r>
    </w:p>
    <w:p w:rsidR="00000000" w:rsidRDefault="00D33C21">
      <w:pPr>
        <w:pStyle w:val="a3"/>
        <w:spacing w:before="240" w:beforeAutospacing="0" w:after="0" w:afterAutospacing="0"/>
        <w:ind w:firstLine="556"/>
        <w:jc w:val="both"/>
        <w:rPr>
          <w:sz w:val="20"/>
          <w:szCs w:val="20"/>
        </w:rPr>
      </w:pPr>
      <w:r>
        <w:rPr>
          <w:sz w:val="20"/>
          <w:szCs w:val="20"/>
        </w:rPr>
        <w:t xml:space="preserve">Further, our reliance on third-party manufacturers entails risks to which we would not be subject if we manufactured drug candidates ourselves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inability to meet our drug specifications and quality requirements consistently;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delay or inability to procure or expand sufficient manufacturing capacity;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issues related to scale-up of manufacturing;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costs and validation of new equipment and facilities required for scale-up;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failure to comply with cGMP and similar foreign standards;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inability to negotiate manufacturing agreements with third parties under commercially reasonable terms, if at all;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termination or nonrenewal of manufacturing agreements with third par</w:t>
            </w:r>
            <w:r>
              <w:rPr>
                <w:sz w:val="20"/>
                <w:szCs w:val="20"/>
              </w:rPr>
              <w:t xml:space="preserve">ties in a manner or at a time that is costly or damaging to us; </w:t>
            </w:r>
          </w:p>
        </w:tc>
      </w:tr>
    </w:tbl>
    <w:p w:rsidR="00000000" w:rsidRDefault="00D33C21">
      <w:pPr>
        <w:pStyle w:val="a3"/>
        <w:spacing w:before="240" w:beforeAutospacing="0" w:after="0" w:afterAutospacing="0"/>
        <w:jc w:val="center"/>
        <w:rPr>
          <w:sz w:val="20"/>
          <w:szCs w:val="20"/>
        </w:rPr>
      </w:pPr>
      <w:r>
        <w:rPr>
          <w:sz w:val="20"/>
          <w:szCs w:val="20"/>
        </w:rPr>
        <w:t>48</w:t>
      </w:r>
    </w:p>
    <w:p w:rsidR="00000000" w:rsidRDefault="00D33C21">
      <w:pPr>
        <w:rPr>
          <w:rFonts w:eastAsia="Times New Roman"/>
        </w:rPr>
      </w:pPr>
      <w:r>
        <w:rPr>
          <w:rFonts w:eastAsia="Times New Roman"/>
        </w:rPr>
        <w:pict>
          <v:rect id="_x0000_i1073"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bookmarkStart w:id="70" w:name="_AEIOULastRenderedPageBreakAEIOU48"/>
            <w:bookmarkEnd w:id="70"/>
            <w:r>
              <w:rPr>
                <w:sz w:val="20"/>
                <w:szCs w:val="20"/>
              </w:rPr>
              <w:t xml:space="preserve">reliance on single sources for drug components;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lack of qualified backup suppliers for those components that are currently purchased from a sole or single source supplier;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operations of our third-party manufacturers or suppliers could be disrupted by conditions unrelated to our business or operat</w:t>
            </w:r>
            <w:r>
              <w:rPr>
                <w:sz w:val="20"/>
                <w:szCs w:val="20"/>
              </w:rPr>
              <w:t xml:space="preserve">ions, including the bankruptcy of the manufacturer or supplier;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carrier disruptions or increased costs that are beyond our control. </w:t>
            </w:r>
          </w:p>
        </w:tc>
      </w:tr>
    </w:tbl>
    <w:p w:rsidR="00000000" w:rsidRDefault="00D33C21">
      <w:pPr>
        <w:pStyle w:val="a3"/>
        <w:spacing w:before="240" w:beforeAutospacing="0" w:after="0" w:afterAutospacing="0"/>
        <w:ind w:firstLine="556"/>
        <w:jc w:val="both"/>
        <w:rPr>
          <w:sz w:val="20"/>
          <w:szCs w:val="20"/>
        </w:rPr>
      </w:pPr>
      <w:r>
        <w:rPr>
          <w:sz w:val="20"/>
          <w:szCs w:val="20"/>
        </w:rPr>
        <w:t>Any of these events could lead to clinical trial delays, failure to obtain regulatory approval or impact our ab</w:t>
      </w:r>
      <w:r>
        <w:rPr>
          <w:sz w:val="20"/>
          <w:szCs w:val="20"/>
        </w:rPr>
        <w:t xml:space="preserve">ility to successfully commercialize our current or any future drug candidates once approved. Some of these events could be the basis for FDA action, including injunction, request for recall, seizure, or total or partial suspension of production. </w:t>
      </w:r>
    </w:p>
    <w:p w:rsidR="00000000" w:rsidRDefault="00D33C21">
      <w:pPr>
        <w:pStyle w:val="a3"/>
        <w:spacing w:before="360" w:beforeAutospacing="0" w:after="0" w:afterAutospacing="0"/>
        <w:ind w:left="238"/>
        <w:jc w:val="both"/>
        <w:rPr>
          <w:b/>
          <w:bCs/>
          <w:i/>
          <w:iCs/>
          <w:sz w:val="20"/>
          <w:szCs w:val="20"/>
        </w:rPr>
      </w:pPr>
      <w:r>
        <w:rPr>
          <w:b/>
          <w:bCs/>
          <w:i/>
          <w:iCs/>
          <w:sz w:val="20"/>
          <w:szCs w:val="20"/>
        </w:rPr>
        <w:t>We intend</w:t>
      </w:r>
      <w:r>
        <w:rPr>
          <w:b/>
          <w:bCs/>
          <w:i/>
          <w:iCs/>
          <w:sz w:val="20"/>
          <w:szCs w:val="20"/>
        </w:rPr>
        <w:t xml:space="preserve"> to rely on third parties to conduct, supervise and monitor our preclinical studies and clinical trials, and if those third parties perform in an unsatisfactory manner, it may harm our business. </w:t>
      </w:r>
    </w:p>
    <w:p w:rsidR="00000000" w:rsidRDefault="00D33C21">
      <w:pPr>
        <w:pStyle w:val="a3"/>
        <w:spacing w:before="120" w:beforeAutospacing="0" w:after="0" w:afterAutospacing="0"/>
        <w:ind w:firstLine="556"/>
        <w:jc w:val="both"/>
        <w:rPr>
          <w:sz w:val="20"/>
          <w:szCs w:val="20"/>
        </w:rPr>
      </w:pPr>
      <w:r>
        <w:rPr>
          <w:sz w:val="20"/>
          <w:szCs w:val="20"/>
        </w:rPr>
        <w:t>We do not currently have the ability to independently conduc</w:t>
      </w:r>
      <w:r>
        <w:rPr>
          <w:sz w:val="20"/>
          <w:szCs w:val="20"/>
        </w:rPr>
        <w:t xml:space="preserve">t any clinical trials. We intend to rely on CROs and clinical trial sites to ensure the proper and timely conduct of our preclinical studies and clinical trials, and we expect to have limited influence over their actual performance. We intend to rely upon </w:t>
      </w:r>
      <w:r>
        <w:rPr>
          <w:sz w:val="20"/>
          <w:szCs w:val="20"/>
        </w:rPr>
        <w:t>CROs to monitor and manage data for our clinical programs, as well as the execution of future nonclinical studies. We expect to control only certain aspects of our CROs’ activities. Nevertheless, we will be responsible for ensuring that each of our preclin</w:t>
      </w:r>
      <w:r>
        <w:rPr>
          <w:sz w:val="20"/>
          <w:szCs w:val="20"/>
        </w:rPr>
        <w:t xml:space="preserve">ical studies or clinical trials are conducted in accordance with the applicable protocol, legal, regulatory and scientific standards and our reliance on the CROs does not relieve us of our regulatory responsibilities. </w:t>
      </w:r>
    </w:p>
    <w:p w:rsidR="00000000" w:rsidRDefault="00D33C21">
      <w:pPr>
        <w:pStyle w:val="a3"/>
        <w:spacing w:before="240" w:beforeAutospacing="0" w:after="0" w:afterAutospacing="0"/>
        <w:ind w:firstLine="556"/>
        <w:jc w:val="both"/>
        <w:rPr>
          <w:sz w:val="20"/>
          <w:szCs w:val="20"/>
        </w:rPr>
      </w:pPr>
      <w:r>
        <w:rPr>
          <w:sz w:val="20"/>
          <w:szCs w:val="20"/>
        </w:rPr>
        <w:t>We and our CROs will be required to comply with good laboratory practices (“GLPs”) and good clinical practices (“GCPs”), which are regulations and guidelines enforced by the FDA and are also required by the Competent Authorities of the Member States of the</w:t>
      </w:r>
      <w:r>
        <w:rPr>
          <w:sz w:val="20"/>
          <w:szCs w:val="20"/>
        </w:rPr>
        <w:t xml:space="preserve"> European Economic Area and comparable foreign regulatory authorities in the form of International Conference on Harmonization guidelines for any of our drug candidates that are in preclinical and clinical development. The regulatory authorities enforce GC</w:t>
      </w:r>
      <w:r>
        <w:rPr>
          <w:sz w:val="20"/>
          <w:szCs w:val="20"/>
        </w:rPr>
        <w:t>Ps through periodic inspections of trial sponsors, principal investigators and clinical trial sites. Although we will rely on CROs to conduct GCP-compliant clinical trials, we remain responsible for ensuring that each of our GLP preclinical studies and cli</w:t>
      </w:r>
      <w:r>
        <w:rPr>
          <w:sz w:val="20"/>
          <w:szCs w:val="20"/>
        </w:rPr>
        <w:t>nical trials is conducted in accordance with its investigational plan and protocol and applicable laws and regulations, and our reliance on the CROs does not relieve us of our regulatory responsibilities. If we or our CROs fail to comply with GCPs, the cli</w:t>
      </w:r>
      <w:r>
        <w:rPr>
          <w:sz w:val="20"/>
          <w:szCs w:val="20"/>
        </w:rPr>
        <w:t>nical data generated in our clinical trials may be deemed unreliable and the FDA or comparable foreign regulatory authorities may require us to perform additional clinical trials before approving our marketing applications. Accordingly, if our CROs fail to</w:t>
      </w:r>
      <w:r>
        <w:rPr>
          <w:sz w:val="20"/>
          <w:szCs w:val="20"/>
        </w:rPr>
        <w:t xml:space="preserve"> comply with these regulations or fail to recruit a sufficient number of subjects, we may be required to repeat clinical trials, which would delay the regulatory approval process. </w:t>
      </w:r>
    </w:p>
    <w:p w:rsidR="00000000" w:rsidRDefault="00D33C21">
      <w:pPr>
        <w:pStyle w:val="a3"/>
        <w:spacing w:before="240" w:beforeAutospacing="0" w:after="0" w:afterAutospacing="0"/>
        <w:ind w:firstLine="556"/>
        <w:jc w:val="both"/>
        <w:rPr>
          <w:sz w:val="20"/>
          <w:szCs w:val="20"/>
        </w:rPr>
      </w:pPr>
      <w:r>
        <w:rPr>
          <w:sz w:val="20"/>
          <w:szCs w:val="20"/>
        </w:rPr>
        <w:t>While we will have agreements governing their activities, our CROs will not</w:t>
      </w:r>
      <w:r>
        <w:rPr>
          <w:sz w:val="20"/>
          <w:szCs w:val="20"/>
        </w:rPr>
        <w:t xml:space="preserve"> be our employees, and we will not control whether or not they devote sufficient time and resources to our future clinical and nonclinical programs. These CROs may also have relationships with other commercial entities, including our competitors, for whom </w:t>
      </w:r>
      <w:r>
        <w:rPr>
          <w:sz w:val="20"/>
          <w:szCs w:val="20"/>
        </w:rPr>
        <w:t>they may also be conducting clinical trials, or other drug development activities which could harm our business. We face the risk of potential unauthorized disclosure or misappropriation of our intellectual property by CROs, which may reduce our trade secr</w:t>
      </w:r>
      <w:r>
        <w:rPr>
          <w:sz w:val="20"/>
          <w:szCs w:val="20"/>
        </w:rPr>
        <w:t>et protection and allow our potential competitors to access and exploit our proprietary technology. If our CROs do not successfully carry out their contractual duties or obligations, fail to meet expected deadlines, or if the quality or accuracy of the cli</w:t>
      </w:r>
      <w:r>
        <w:rPr>
          <w:sz w:val="20"/>
          <w:szCs w:val="20"/>
        </w:rPr>
        <w:t>nical data they obtain is compromised due to the failure to adhere to our clinical protocols or regulatory requirements or for any other reasons, our clinical trials may be extended, delayed or terminated, and we may not be able to obtain regulatory approv</w:t>
      </w:r>
      <w:r>
        <w:rPr>
          <w:sz w:val="20"/>
          <w:szCs w:val="20"/>
        </w:rPr>
        <w:t xml:space="preserve">al for, or successfully commercialize any drug candidate that we develop. As a result, our financial results and the commercial prospects for any drug candidate that we develop would be harmed, our costs could increase, and our ability to generate revenue </w:t>
      </w:r>
      <w:r>
        <w:rPr>
          <w:sz w:val="20"/>
          <w:szCs w:val="20"/>
        </w:rPr>
        <w:t xml:space="preserve">could be delayed. </w:t>
      </w:r>
    </w:p>
    <w:p w:rsidR="00000000" w:rsidRDefault="00D33C21">
      <w:pPr>
        <w:pStyle w:val="a3"/>
        <w:spacing w:before="240" w:beforeAutospacing="0" w:after="0" w:afterAutospacing="0"/>
        <w:ind w:firstLine="556"/>
        <w:jc w:val="both"/>
        <w:rPr>
          <w:sz w:val="20"/>
          <w:szCs w:val="20"/>
        </w:rPr>
      </w:pPr>
      <w:r>
        <w:rPr>
          <w:sz w:val="20"/>
          <w:szCs w:val="20"/>
        </w:rPr>
        <w:t>If our relationship with these CROs terminates, we may not be able to enter into arrangements with alternative CROs or do so on commercially reasonable terms. Switching or adding additional CROs involves substantial cost and requires man</w:t>
      </w:r>
      <w:r>
        <w:rPr>
          <w:sz w:val="20"/>
          <w:szCs w:val="20"/>
        </w:rPr>
        <w:t>agement time and focus. In addition, there is a natural transition period when a new CRO commences work. As a result, delays occur, which can negatively impact our ability to meet our desired clinical development timelines. Though we intend to carefully ma</w:t>
      </w:r>
      <w:r>
        <w:rPr>
          <w:sz w:val="20"/>
          <w:szCs w:val="20"/>
        </w:rPr>
        <w:t xml:space="preserve">nage our relationships with our CROs, there can be no assurance that we will not encounter challenges or delays in the future or that these delays or challenges will not have a negative impact on our business, financial condition and prospects. </w:t>
      </w:r>
    </w:p>
    <w:p w:rsidR="00000000" w:rsidRDefault="00D33C21">
      <w:pPr>
        <w:pStyle w:val="a3"/>
        <w:spacing w:before="240" w:beforeAutospacing="0" w:after="0" w:afterAutospacing="0"/>
        <w:ind w:firstLine="556"/>
        <w:jc w:val="both"/>
        <w:rPr>
          <w:sz w:val="20"/>
          <w:szCs w:val="20"/>
        </w:rPr>
      </w:pPr>
      <w:r>
        <w:rPr>
          <w:sz w:val="20"/>
          <w:szCs w:val="20"/>
        </w:rPr>
        <w:t>In additio</w:t>
      </w:r>
      <w:r>
        <w:rPr>
          <w:sz w:val="20"/>
          <w:szCs w:val="20"/>
        </w:rPr>
        <w:t>n, principal investigators for our clinical trials may serve as scientific advisors or consultants to us from time to time and receive compensation in connection with such services. Under certain circumstances, we may be required to report some of these re</w:t>
      </w:r>
      <w:r>
        <w:rPr>
          <w:sz w:val="20"/>
          <w:szCs w:val="20"/>
        </w:rPr>
        <w:t>lationships to the FDA. The FDA may conclude that a financial relationship between us and a principal investigator has created a conflict of interest or otherwise affected interpretation of the trial. The FDA may therefore question the integrity of the dat</w:t>
      </w:r>
      <w:r>
        <w:rPr>
          <w:sz w:val="20"/>
          <w:szCs w:val="20"/>
        </w:rPr>
        <w:t>a generated at the applicable clinical trial site and the utility of the clinical trial itself may be jeopardized. This could result in a delay in approval, or rejection, of our marketing applications by the FDA and may ultimately lead to the denial of mar</w:t>
      </w:r>
      <w:r>
        <w:rPr>
          <w:sz w:val="20"/>
          <w:szCs w:val="20"/>
        </w:rPr>
        <w:t xml:space="preserve">keting approval of our current and future drug candidates. </w:t>
      </w:r>
    </w:p>
    <w:p w:rsidR="00000000" w:rsidRDefault="00D33C21">
      <w:pPr>
        <w:pStyle w:val="a3"/>
        <w:spacing w:before="240" w:beforeAutospacing="0" w:after="0" w:afterAutospacing="0"/>
        <w:jc w:val="center"/>
        <w:rPr>
          <w:sz w:val="20"/>
          <w:szCs w:val="20"/>
        </w:rPr>
      </w:pPr>
      <w:r>
        <w:rPr>
          <w:sz w:val="20"/>
          <w:szCs w:val="20"/>
        </w:rPr>
        <w:t>49</w:t>
      </w:r>
    </w:p>
    <w:p w:rsidR="00000000" w:rsidRDefault="00D33C21">
      <w:pPr>
        <w:rPr>
          <w:rFonts w:eastAsia="Times New Roman"/>
        </w:rPr>
      </w:pPr>
      <w:r>
        <w:rPr>
          <w:rFonts w:eastAsia="Times New Roman"/>
        </w:rPr>
        <w:pict>
          <v:rect id="_x0000_i1074"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jc w:val="both"/>
        <w:rPr>
          <w:b/>
          <w:bCs/>
          <w:sz w:val="20"/>
          <w:szCs w:val="20"/>
        </w:rPr>
      </w:pPr>
      <w:bookmarkStart w:id="71" w:name="_AEIOULastRenderedPageBreakAEIOU49"/>
      <w:bookmarkEnd w:id="71"/>
      <w:r>
        <w:rPr>
          <w:b/>
          <w:bCs/>
          <w:sz w:val="20"/>
          <w:szCs w:val="20"/>
        </w:rPr>
        <w:t>Risks Rela</w:t>
      </w:r>
      <w:r>
        <w:rPr>
          <w:b/>
          <w:bCs/>
          <w:sz w:val="20"/>
          <w:szCs w:val="20"/>
        </w:rPr>
        <w:t xml:space="preserve">ted to Our Business Operations, Employee Matters and Managing Growth </w:t>
      </w:r>
    </w:p>
    <w:p w:rsidR="00000000" w:rsidRDefault="00D33C21">
      <w:pPr>
        <w:pStyle w:val="a3"/>
        <w:spacing w:before="120" w:beforeAutospacing="0" w:after="0" w:afterAutospacing="0"/>
        <w:ind w:left="238"/>
        <w:jc w:val="both"/>
        <w:rPr>
          <w:b/>
          <w:bCs/>
          <w:i/>
          <w:iCs/>
          <w:sz w:val="20"/>
          <w:szCs w:val="20"/>
        </w:rPr>
      </w:pPr>
      <w:r>
        <w:rPr>
          <w:b/>
          <w:bCs/>
          <w:i/>
          <w:iCs/>
          <w:sz w:val="20"/>
          <w:szCs w:val="20"/>
        </w:rPr>
        <w:t>We are highly dependent on the services of our senior management team, including our Chairman and Chief Executive Officer, Dr. Jeremy Levin, and if we are not able to retain these member</w:t>
      </w:r>
      <w:r>
        <w:rPr>
          <w:b/>
          <w:bCs/>
          <w:i/>
          <w:iCs/>
          <w:sz w:val="20"/>
          <w:szCs w:val="20"/>
        </w:rPr>
        <w:t xml:space="preserve">s of our management team or recruit and retain additional management, clinical and scientific personnel, our business will be harmed. </w:t>
      </w:r>
    </w:p>
    <w:p w:rsidR="00000000" w:rsidRDefault="00D33C21">
      <w:pPr>
        <w:pStyle w:val="a3"/>
        <w:spacing w:before="120" w:beforeAutospacing="0" w:after="0" w:afterAutospacing="0"/>
        <w:ind w:firstLine="556"/>
        <w:jc w:val="both"/>
        <w:rPr>
          <w:sz w:val="20"/>
          <w:szCs w:val="20"/>
        </w:rPr>
      </w:pPr>
      <w:r>
        <w:rPr>
          <w:sz w:val="20"/>
          <w:szCs w:val="20"/>
        </w:rPr>
        <w:t>We are highly dependent on our senior management team, including our Chairman and Chief Executive Officer, Dr. Levin. The</w:t>
      </w:r>
      <w:r>
        <w:rPr>
          <w:sz w:val="20"/>
          <w:szCs w:val="20"/>
        </w:rPr>
        <w:t xml:space="preserve"> employment agreements we have with these officers do not prevent such persons from terminating their employment with us at any time. The loss of the services of any of these persons could impede the achievement of our research, development and commerciali</w:t>
      </w:r>
      <w:r>
        <w:rPr>
          <w:sz w:val="20"/>
          <w:szCs w:val="20"/>
        </w:rPr>
        <w:t xml:space="preserve">zation objectives. </w:t>
      </w:r>
    </w:p>
    <w:p w:rsidR="00000000" w:rsidRDefault="00D33C21">
      <w:pPr>
        <w:pStyle w:val="a3"/>
        <w:spacing w:before="240" w:beforeAutospacing="0" w:after="0" w:afterAutospacing="0"/>
        <w:ind w:firstLine="556"/>
        <w:jc w:val="both"/>
        <w:rPr>
          <w:sz w:val="20"/>
          <w:szCs w:val="20"/>
        </w:rPr>
      </w:pPr>
      <w:r>
        <w:rPr>
          <w:sz w:val="20"/>
          <w:szCs w:val="20"/>
        </w:rPr>
        <w:t xml:space="preserve">In addition, we are dependent on our continued ability to attract, retain and motivate highly qualified additional management, clinical and scientific personnel. If we are not able to retain our management and to attract, on acceptable </w:t>
      </w:r>
      <w:r>
        <w:rPr>
          <w:sz w:val="20"/>
          <w:szCs w:val="20"/>
        </w:rPr>
        <w:t xml:space="preserve">terms, additional qualified personnel necessary for the continued development of our business, we may not be able to sustain our operations or grow.  This risk may be further amplified given the particularly competitive hiring market in New York City, the </w:t>
      </w:r>
      <w:r>
        <w:rPr>
          <w:sz w:val="20"/>
          <w:szCs w:val="20"/>
        </w:rPr>
        <w:t>location of our corporate headquarters.</w:t>
      </w:r>
    </w:p>
    <w:p w:rsidR="00000000" w:rsidRDefault="00D33C21">
      <w:pPr>
        <w:pStyle w:val="a3"/>
        <w:spacing w:before="240" w:beforeAutospacing="0" w:after="0" w:afterAutospacing="0"/>
        <w:ind w:firstLine="556"/>
        <w:jc w:val="both"/>
        <w:rPr>
          <w:sz w:val="20"/>
          <w:szCs w:val="20"/>
        </w:rPr>
      </w:pPr>
      <w:r>
        <w:rPr>
          <w:sz w:val="20"/>
          <w:szCs w:val="20"/>
        </w:rPr>
        <w:t>We may not be able to attract or retain qualified personnel in the future due to the intense competition for qualified personnel among biotechnology, pharmaceutical and other businesses. Many of the other pharmaceuti</w:t>
      </w:r>
      <w:r>
        <w:rPr>
          <w:sz w:val="20"/>
          <w:szCs w:val="20"/>
        </w:rPr>
        <w:t>cal companies that we compete against for qualified personnel and consultants have greater financial and other resources, different risk profiles and a longer history in the industry than we do. They also may provide more diverse opportunities and better c</w:t>
      </w:r>
      <w:r>
        <w:rPr>
          <w:sz w:val="20"/>
          <w:szCs w:val="20"/>
        </w:rPr>
        <w:t>hances for career advancement. Some of these characteristics may be more appealing to high-quality candidates and consultants than what we have to offer. If we are unable to continue to attract, retain and motivate high-quality personnel and consultants to</w:t>
      </w:r>
      <w:r>
        <w:rPr>
          <w:sz w:val="20"/>
          <w:szCs w:val="20"/>
        </w:rPr>
        <w:t xml:space="preserve"> accomplish our business objectives, the rate and success at which we can discover and develop drug candidates and our business will be limited and we may experience constraints on our development objectives. </w:t>
      </w:r>
    </w:p>
    <w:p w:rsidR="00000000" w:rsidRDefault="00D33C21">
      <w:pPr>
        <w:pStyle w:val="a3"/>
        <w:spacing w:before="240" w:beforeAutospacing="0" w:after="0" w:afterAutospacing="0"/>
        <w:ind w:firstLine="556"/>
        <w:jc w:val="both"/>
        <w:rPr>
          <w:sz w:val="20"/>
          <w:szCs w:val="20"/>
        </w:rPr>
      </w:pPr>
      <w:r>
        <w:rPr>
          <w:sz w:val="20"/>
          <w:szCs w:val="20"/>
        </w:rPr>
        <w:t>Our future performance will also depend, in pa</w:t>
      </w:r>
      <w:r>
        <w:rPr>
          <w:sz w:val="20"/>
          <w:szCs w:val="20"/>
        </w:rPr>
        <w:t>rt, on our ability to successfully integrate newly hired executive officers into our management team and our ability to develop an effective working relationship among senior management. Our failure to integrate these individuals and create effective worki</w:t>
      </w:r>
      <w:r>
        <w:rPr>
          <w:sz w:val="20"/>
          <w:szCs w:val="20"/>
        </w:rPr>
        <w:t>ng relationships among them and other members of management could result in inefficiencies in the development and commercialization of our drug candidates, harming future regulatory approvals, sales of our drug candidates and our results of operations. Add</w:t>
      </w:r>
      <w:r>
        <w:rPr>
          <w:sz w:val="20"/>
          <w:szCs w:val="20"/>
        </w:rPr>
        <w:t xml:space="preserve">itionally, we do not currently maintain “key person” life insurance on the lives of our executives or any of our employees. </w:t>
      </w:r>
    </w:p>
    <w:p w:rsidR="00000000" w:rsidRDefault="00D33C21">
      <w:pPr>
        <w:pStyle w:val="a3"/>
        <w:spacing w:before="360" w:beforeAutospacing="0" w:after="0" w:afterAutospacing="0"/>
        <w:ind w:left="238"/>
        <w:jc w:val="both"/>
        <w:rPr>
          <w:b/>
          <w:bCs/>
          <w:i/>
          <w:iCs/>
          <w:sz w:val="20"/>
          <w:szCs w:val="20"/>
        </w:rPr>
      </w:pPr>
      <w:r>
        <w:rPr>
          <w:b/>
          <w:bCs/>
          <w:i/>
          <w:iCs/>
          <w:sz w:val="20"/>
          <w:szCs w:val="20"/>
        </w:rPr>
        <w:t>We will need to expand our organization, and we may experience difficulties in managing this growth, which could disrupt our operat</w:t>
      </w:r>
      <w:r>
        <w:rPr>
          <w:b/>
          <w:bCs/>
          <w:i/>
          <w:iCs/>
          <w:sz w:val="20"/>
          <w:szCs w:val="20"/>
        </w:rPr>
        <w:t xml:space="preserve">ions. </w:t>
      </w:r>
    </w:p>
    <w:p w:rsidR="00000000" w:rsidRDefault="00D33C21">
      <w:pPr>
        <w:pStyle w:val="a3"/>
        <w:spacing w:before="120" w:beforeAutospacing="0" w:after="0" w:afterAutospacing="0"/>
        <w:ind w:firstLine="556"/>
        <w:jc w:val="both"/>
        <w:rPr>
          <w:sz w:val="20"/>
          <w:szCs w:val="20"/>
        </w:rPr>
      </w:pPr>
      <w:r>
        <w:rPr>
          <w:sz w:val="20"/>
          <w:szCs w:val="20"/>
        </w:rPr>
        <w:t>As of June 30, 2019, we had 47 full-time employees. As our development and commercialization plans and strategies develop, we expect to need additional managerial, operational, sales, marketing, financial, legal and other resources. Our management m</w:t>
      </w:r>
      <w:r>
        <w:rPr>
          <w:sz w:val="20"/>
          <w:szCs w:val="20"/>
        </w:rPr>
        <w:t>ay need to divert a disproportionate amount of its attention away from our day-to-day operations and devote a substantial amount of time to managing these growth activities. We may not be able to effectively manage the expansion of our operations, which ma</w:t>
      </w:r>
      <w:r>
        <w:rPr>
          <w:sz w:val="20"/>
          <w:szCs w:val="20"/>
        </w:rPr>
        <w:t>y result in weaknesses in our infrastructure, operational inefficiencies, loss of business opportunities, loss of employees and reduced productivity among remaining employees. Our expected growth could require significant capital expenditures and may diver</w:t>
      </w:r>
      <w:r>
        <w:rPr>
          <w:sz w:val="20"/>
          <w:szCs w:val="20"/>
        </w:rPr>
        <w:t xml:space="preserve">t financial resources from other projects, such as the development of our current and potential future drug candidates. If our management is unable to effectively manage our growth, our expenses may increase more than expected, our ability to generate and </w:t>
      </w:r>
      <w:r>
        <w:rPr>
          <w:sz w:val="20"/>
          <w:szCs w:val="20"/>
        </w:rPr>
        <w:t xml:space="preserve">grow revenue could be reduced and we may not be able to implement our business strategy. Our future financial performance, our ability to commercialize drug candidates, develop a scalable infrastructure and compete effectively will depend, in part, on our </w:t>
      </w:r>
      <w:r>
        <w:rPr>
          <w:sz w:val="20"/>
          <w:szCs w:val="20"/>
        </w:rPr>
        <w:t xml:space="preserve">ability to effectively manage any future growth. </w:t>
      </w:r>
    </w:p>
    <w:p w:rsidR="00000000" w:rsidRDefault="00D33C21">
      <w:pPr>
        <w:pStyle w:val="a3"/>
        <w:spacing w:before="360" w:beforeAutospacing="0" w:after="0" w:afterAutospacing="0"/>
        <w:ind w:left="238"/>
        <w:jc w:val="both"/>
        <w:rPr>
          <w:b/>
          <w:bCs/>
          <w:i/>
          <w:iCs/>
          <w:sz w:val="20"/>
          <w:szCs w:val="20"/>
        </w:rPr>
      </w:pPr>
      <w:r>
        <w:rPr>
          <w:b/>
          <w:bCs/>
          <w:i/>
          <w:iCs/>
          <w:sz w:val="20"/>
          <w:szCs w:val="20"/>
        </w:rPr>
        <w:t>Our employees, principal investigators, consultants and commercial partners may engage in misconduct or other improper activities, including non-compliance with regulatory standards and requirements and ins</w:t>
      </w:r>
      <w:r>
        <w:rPr>
          <w:b/>
          <w:bCs/>
          <w:i/>
          <w:iCs/>
          <w:sz w:val="20"/>
          <w:szCs w:val="20"/>
        </w:rPr>
        <w:t xml:space="preserve">ider trading. </w:t>
      </w:r>
    </w:p>
    <w:p w:rsidR="00000000" w:rsidRDefault="00D33C21">
      <w:pPr>
        <w:pStyle w:val="a3"/>
        <w:spacing w:before="200" w:beforeAutospacing="0" w:after="0" w:afterAutospacing="0"/>
        <w:ind w:firstLine="630"/>
        <w:jc w:val="both"/>
        <w:rPr>
          <w:color w:val="000000"/>
          <w:sz w:val="20"/>
          <w:szCs w:val="20"/>
        </w:rPr>
      </w:pPr>
      <w:bookmarkStart w:id="72" w:name="_AEIOULastRenderedPageBreakAEIOU50"/>
      <w:bookmarkEnd w:id="72"/>
      <w:r>
        <w:rPr>
          <w:color w:val="000000"/>
          <w:sz w:val="20"/>
          <w:szCs w:val="20"/>
        </w:rPr>
        <w:t>We are exposed to the risk that our employees, consultants, distributors, and collaborators may engage in fraudulent or illegal activity. Misconduct by these parties could include intentional, reckless or negligent conduct or disclosure of u</w:t>
      </w:r>
      <w:r>
        <w:rPr>
          <w:color w:val="000000"/>
          <w:sz w:val="20"/>
          <w:szCs w:val="20"/>
        </w:rPr>
        <w:t>nauthorized activities to us that violates the regulations of the FDA and non-U.S. regulators, including those laws requiring the reporting of true, complete and accurate information to such regulators, manufacturing standards, healthcare fraud and abuse l</w:t>
      </w:r>
      <w:r>
        <w:rPr>
          <w:color w:val="000000"/>
          <w:sz w:val="20"/>
          <w:szCs w:val="20"/>
        </w:rPr>
        <w:t>aws and regulations in the United States and abroad or laws that require the true, complete and accurate reporting of financial information or data. In particular, sales, marketing and business arrangements in the healthcare industry, including the sale of</w:t>
      </w:r>
      <w:r>
        <w:rPr>
          <w:color w:val="000000"/>
          <w:sz w:val="20"/>
          <w:szCs w:val="20"/>
        </w:rPr>
        <w:t xml:space="preserve"> pharmaceuticals, are subject to extensive laws and regulations intended to prevent fraud, misconduct, kickbacks, self-dealing and other abusive practices. These laws and regulations may restrict or prohibit a wide range of pricing, discounting, marketing </w:t>
      </w:r>
      <w:r>
        <w:rPr>
          <w:color w:val="000000"/>
          <w:sz w:val="20"/>
          <w:szCs w:val="20"/>
        </w:rPr>
        <w:t xml:space="preserve">and promotion, sales commission, customer incentive </w:t>
      </w:r>
    </w:p>
    <w:p w:rsidR="00000000" w:rsidRDefault="00D33C21">
      <w:pPr>
        <w:pStyle w:val="a3"/>
        <w:spacing w:before="240" w:beforeAutospacing="0" w:after="0" w:afterAutospacing="0"/>
        <w:jc w:val="center"/>
        <w:rPr>
          <w:sz w:val="20"/>
          <w:szCs w:val="20"/>
        </w:rPr>
      </w:pPr>
      <w:r>
        <w:rPr>
          <w:sz w:val="20"/>
          <w:szCs w:val="20"/>
        </w:rPr>
        <w:t>50</w:t>
      </w:r>
    </w:p>
    <w:p w:rsidR="00000000" w:rsidRDefault="00D33C21">
      <w:pPr>
        <w:rPr>
          <w:rFonts w:eastAsia="Times New Roman"/>
        </w:rPr>
      </w:pPr>
      <w:r>
        <w:rPr>
          <w:rFonts w:eastAsia="Times New Roman"/>
        </w:rPr>
        <w:pict>
          <v:rect id="_x0000_i1075"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00" w:beforeAutospacing="0" w:after="0" w:afterAutospacing="0"/>
        <w:jc w:val="both"/>
        <w:rPr>
          <w:color w:val="000000"/>
          <w:sz w:val="20"/>
          <w:szCs w:val="20"/>
        </w:rPr>
      </w:pPr>
      <w:r>
        <w:rPr>
          <w:color w:val="000000"/>
          <w:sz w:val="20"/>
          <w:szCs w:val="20"/>
        </w:rPr>
        <w:t>programs and other business arrangements. It is not always possible to identify and deter misconduct by our employees and other third parties, and</w:t>
      </w:r>
      <w:r>
        <w:rPr>
          <w:color w:val="000000"/>
          <w:sz w:val="20"/>
          <w:szCs w:val="20"/>
        </w:rPr>
        <w:t xml:space="preserve"> the precautions we take to detect and prevent this activity may not be effective in controlling unknown or unmanaged risks or losses or in protecting us from governmental investigations or other actions or lawsuits stemming from a failure to comply with t</w:t>
      </w:r>
      <w:r>
        <w:rPr>
          <w:color w:val="000000"/>
          <w:sz w:val="20"/>
          <w:szCs w:val="20"/>
        </w:rPr>
        <w:t>hese laws or regulations. If any such actions are instituted against us and we are not successful in defending ourselves or asserting our rights, those actions could result in the imposition of significant fines or other sanctions, including the imposition</w:t>
      </w:r>
      <w:r>
        <w:rPr>
          <w:color w:val="000000"/>
          <w:sz w:val="20"/>
          <w:szCs w:val="20"/>
        </w:rPr>
        <w:t xml:space="preserve"> of civil, criminal and administrative penalties, damages, monetary fines, imprisonment, possible exclusion from participation in Medicare, Medicaid and other federal healthcare programs, additional reporting obligations and oversight if we become subject </w:t>
      </w:r>
      <w:r>
        <w:rPr>
          <w:color w:val="000000"/>
          <w:sz w:val="20"/>
          <w:szCs w:val="20"/>
        </w:rPr>
        <w:t>to a corporate integrity agreement or other agreement to resolve allegations of non-compliance with these laws, contractual damages, reputational harm, diminished profits and future earnings and curtailment of operations, any of which could adversely affec</w:t>
      </w:r>
      <w:r>
        <w:rPr>
          <w:color w:val="000000"/>
          <w:sz w:val="20"/>
          <w:szCs w:val="20"/>
        </w:rPr>
        <w:t>t our ability to operate our business and our results of operations. Whether or not we are successful in defending against such actions or investigations, we could incur substantial costs, including legal fees, and divert the attention of management in def</w:t>
      </w:r>
      <w:r>
        <w:rPr>
          <w:color w:val="000000"/>
          <w:sz w:val="20"/>
          <w:szCs w:val="20"/>
        </w:rPr>
        <w:t>ending ourselves against any of these claims or investigations.</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Significant disruptions of our information technology systems or data security incidents could result in significant financial, legal, regulatory, business and reputational harm to us. </w:t>
      </w:r>
    </w:p>
    <w:p w:rsidR="00000000" w:rsidRDefault="00D33C21">
      <w:pPr>
        <w:pStyle w:val="a3"/>
        <w:spacing w:before="120" w:beforeAutospacing="0" w:after="0" w:afterAutospacing="0"/>
        <w:ind w:firstLine="556"/>
        <w:jc w:val="both"/>
        <w:rPr>
          <w:sz w:val="20"/>
          <w:szCs w:val="20"/>
        </w:rPr>
      </w:pPr>
      <w:r>
        <w:rPr>
          <w:sz w:val="20"/>
          <w:szCs w:val="20"/>
        </w:rPr>
        <w:t>We are</w:t>
      </w:r>
      <w:r>
        <w:rPr>
          <w:sz w:val="20"/>
          <w:szCs w:val="20"/>
        </w:rPr>
        <w:t xml:space="preserve"> increasingly dependent on information technology systems and infrastructure, including mobile technologies, to operate our business. In the ordinary course of our business, we collect, store, process and transmit large amounts of sensitive information, in</w:t>
      </w:r>
      <w:r>
        <w:rPr>
          <w:sz w:val="20"/>
          <w:szCs w:val="20"/>
        </w:rPr>
        <w:t>cluding intellectual property, proprietary business information, personal information and other confidential information. It is critical that we do so in a secure manner to maintain the confidentiality, integrity and availability of such sensitive informat</w:t>
      </w:r>
      <w:r>
        <w:rPr>
          <w:sz w:val="20"/>
          <w:szCs w:val="20"/>
        </w:rPr>
        <w:t xml:space="preserve">ion. We have also outsourced elements of our operations (including elements of our information technology infrastructure) to third parties, and as a result, we manage a number of third-party vendors who may or could have access to our computer networks or </w:t>
      </w:r>
      <w:r>
        <w:rPr>
          <w:sz w:val="20"/>
          <w:szCs w:val="20"/>
        </w:rPr>
        <w:t>our confidential information. In addition, many of those third parties in turn subcontract or outsource some of their responsibilities to third parties. While all information technology operations are inherently vulnerable to inadvertent or intentional sec</w:t>
      </w:r>
      <w:r>
        <w:rPr>
          <w:sz w:val="20"/>
          <w:szCs w:val="20"/>
        </w:rPr>
        <w:t>urity breaches, incidents, attacks and exposures, the accessibility and distributed nature of our information technology systems, and the sensitive information stored on those systems, make such systems potentially vulnerable to unintentional or malicious,</w:t>
      </w:r>
      <w:r>
        <w:rPr>
          <w:sz w:val="20"/>
          <w:szCs w:val="20"/>
        </w:rPr>
        <w:t xml:space="preserve"> internal and external attacks on our technology environment. Potential vulnerabilities can be exploited from inadvertent or intentional actions of our employees, third-party vendors, business partners, or by malicious third parties. Attacks of this nature</w:t>
      </w:r>
      <w:r>
        <w:rPr>
          <w:sz w:val="20"/>
          <w:szCs w:val="20"/>
        </w:rPr>
        <w:t xml:space="preserve"> are increasing in their frequency, levels of persistence, sophistication and intensity, and are being conducted by sophisticated and organized groups and individuals with a wide range of motives (including, but not limited to, industrial espionage) and ex</w:t>
      </w:r>
      <w:r>
        <w:rPr>
          <w:sz w:val="20"/>
          <w:szCs w:val="20"/>
        </w:rPr>
        <w:t>pertise, including organized criminal groups, “hacktivists,” nation states and others. In addition to the extraction of sensitive information, such attacks could include the deployment of harmful malware, ransomware, denial-of-service attacks, social engin</w:t>
      </w:r>
      <w:r>
        <w:rPr>
          <w:sz w:val="20"/>
          <w:szCs w:val="20"/>
        </w:rPr>
        <w:t xml:space="preserve">eering and other means to affect service reliability and threaten the confidentiality, integrity and availability of information. In addition, the prevalent use of mobile devices increases the risk of data security incidents. </w:t>
      </w:r>
    </w:p>
    <w:p w:rsidR="00000000" w:rsidRDefault="00D33C21">
      <w:pPr>
        <w:pStyle w:val="a3"/>
        <w:spacing w:before="240" w:beforeAutospacing="0" w:after="0" w:afterAutospacing="0"/>
        <w:ind w:firstLine="556"/>
        <w:jc w:val="both"/>
        <w:rPr>
          <w:sz w:val="20"/>
          <w:szCs w:val="20"/>
        </w:rPr>
      </w:pPr>
      <w:r>
        <w:rPr>
          <w:sz w:val="20"/>
          <w:szCs w:val="20"/>
        </w:rPr>
        <w:t>Significant disruptions of ou</w:t>
      </w:r>
      <w:r>
        <w:rPr>
          <w:sz w:val="20"/>
          <w:szCs w:val="20"/>
        </w:rPr>
        <w:t>r, our third-party vendors’ and/or business partners’ information technology systems or other similar data security incidents could adversely affect our business operations and/or result in the loss, misappropriation, and/or unauthorized access, use or dis</w:t>
      </w:r>
      <w:r>
        <w:rPr>
          <w:sz w:val="20"/>
          <w:szCs w:val="20"/>
        </w:rPr>
        <w:t>closure of, or the prevention of access to, sensitive information, which could result in financial, legal, regulatory, business and reputational harm to us. In addition, information technology system disruptions, whether from attacks on our technology envi</w:t>
      </w:r>
      <w:r>
        <w:rPr>
          <w:sz w:val="20"/>
          <w:szCs w:val="20"/>
        </w:rPr>
        <w:t>ronment or from computer viruses, natural disasters, terrorism, war and telecommunication and electrical failures, could result in a material disruption of our development programs and our business operations. For example, the loss of clinical trial data f</w:t>
      </w:r>
      <w:r>
        <w:rPr>
          <w:sz w:val="20"/>
          <w:szCs w:val="20"/>
        </w:rPr>
        <w:t xml:space="preserve">rom completed or future clinical trials could result in delays in our regulatory approval efforts and significantly increase our costs to recover or reproduce the data. </w:t>
      </w:r>
    </w:p>
    <w:p w:rsidR="00000000" w:rsidRDefault="00D33C21">
      <w:pPr>
        <w:pStyle w:val="a3"/>
        <w:spacing w:before="240" w:beforeAutospacing="0" w:after="0" w:afterAutospacing="0"/>
        <w:ind w:firstLine="556"/>
        <w:jc w:val="both"/>
        <w:rPr>
          <w:sz w:val="20"/>
          <w:szCs w:val="20"/>
        </w:rPr>
      </w:pPr>
      <w:bookmarkStart w:id="73" w:name="_AEIOULastRenderedPageBreakAEIOU51"/>
      <w:bookmarkEnd w:id="73"/>
      <w:r>
        <w:rPr>
          <w:sz w:val="20"/>
          <w:szCs w:val="20"/>
        </w:rPr>
        <w:t>There is no way of knowing with certainty whether we have experienced any data securit</w:t>
      </w:r>
      <w:r>
        <w:rPr>
          <w:sz w:val="20"/>
          <w:szCs w:val="20"/>
        </w:rPr>
        <w:t>y incidents that have not been discovered. While we have no reason to believe this to be the case, attackers have become very sophisticated in the way they conceal access to systems, and many companies that have been attacked are not aware that they have b</w:t>
      </w:r>
      <w:r>
        <w:rPr>
          <w:sz w:val="20"/>
          <w:szCs w:val="20"/>
        </w:rPr>
        <w:t>een attacked. Any event that leads to unauthorized access, use or disclosure of personal information, including but not limited to personal information regarding our patients or employees, could disrupt our business, harm our reputation, compel us to compl</w:t>
      </w:r>
      <w:r>
        <w:rPr>
          <w:sz w:val="20"/>
          <w:szCs w:val="20"/>
        </w:rPr>
        <w:t>y with applicable federal and/or state breach notification laws and foreign law equivalents, subject us to time consuming, distracting and expensive litigation, regulatory investigation and oversight, mandatory corrective action, require us to verify the c</w:t>
      </w:r>
      <w:r>
        <w:rPr>
          <w:sz w:val="20"/>
          <w:szCs w:val="20"/>
        </w:rPr>
        <w:t>orrectness of database contents, or otherwise subject us to liability under laws, regulations and contractual obligations, including those that protect the privacy and security of personal information. This could result in increased costs to us, and result</w:t>
      </w:r>
      <w:r>
        <w:rPr>
          <w:sz w:val="20"/>
          <w:szCs w:val="20"/>
        </w:rPr>
        <w:t xml:space="preserve"> in significant legal and financial exposure and/or reputational harm. In addition, any failure or perceived failure by us or our vendors or business partners to comply with our privacy, confidentiality or data security-related legal or other obligations t</w:t>
      </w:r>
      <w:r>
        <w:rPr>
          <w:sz w:val="20"/>
          <w:szCs w:val="20"/>
        </w:rPr>
        <w:t>o third parties, or any further security incidents or other inappropriate access events that result in the unauthorized access, release or transfer of sensitive information, which could include personally identifiable information, may result in governmenta</w:t>
      </w:r>
      <w:r>
        <w:rPr>
          <w:sz w:val="20"/>
          <w:szCs w:val="20"/>
        </w:rPr>
        <w:t>l investigations, enforcement actions, regulatory fines, litigation, or public statements against us by advocacy groups or others, and could cause third parties, including clinical sites, regulators or current and potential partners, to lose trust in us or</w:t>
      </w:r>
      <w:r>
        <w:rPr>
          <w:sz w:val="20"/>
          <w:szCs w:val="20"/>
        </w:rPr>
        <w:t xml:space="preserve"> we could be subject to claims by third parties that we have breached our privacy- or confidentiality-related obligations, which could materially and adversely affect our business and prospects. Moreover, data security incidents and other </w:t>
      </w:r>
    </w:p>
    <w:p w:rsidR="00000000" w:rsidRDefault="00D33C21">
      <w:pPr>
        <w:pStyle w:val="a3"/>
        <w:spacing w:before="240" w:beforeAutospacing="0" w:after="0" w:afterAutospacing="0"/>
        <w:jc w:val="center"/>
        <w:rPr>
          <w:sz w:val="20"/>
          <w:szCs w:val="20"/>
        </w:rPr>
      </w:pPr>
      <w:r>
        <w:rPr>
          <w:sz w:val="20"/>
          <w:szCs w:val="20"/>
        </w:rPr>
        <w:t>51</w:t>
      </w:r>
    </w:p>
    <w:p w:rsidR="00000000" w:rsidRDefault="00D33C21">
      <w:pPr>
        <w:rPr>
          <w:rFonts w:eastAsia="Times New Roman"/>
        </w:rPr>
      </w:pPr>
      <w:r>
        <w:rPr>
          <w:rFonts w:eastAsia="Times New Roman"/>
        </w:rPr>
        <w:pict>
          <v:rect id="_x0000_i1076"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both"/>
        <w:rPr>
          <w:sz w:val="20"/>
          <w:szCs w:val="20"/>
        </w:rPr>
      </w:pPr>
      <w:r>
        <w:rPr>
          <w:sz w:val="20"/>
          <w:szCs w:val="20"/>
        </w:rPr>
        <w:t>inappropriate access can be difficult to detect, and any delay in identifying them may</w:t>
      </w:r>
      <w:r>
        <w:rPr>
          <w:sz w:val="20"/>
          <w:szCs w:val="20"/>
        </w:rPr>
        <w:t xml:space="preserve"> lead to increased harm of the type described above. While we have implemented security measures intended to protect our information technology systems and infrastructure, there can be no assurance that such measures will successfully prevent service inter</w:t>
      </w:r>
      <w:r>
        <w:rPr>
          <w:sz w:val="20"/>
          <w:szCs w:val="20"/>
        </w:rPr>
        <w:t xml:space="preserve">ruptions or security incidents. </w:t>
      </w:r>
    </w:p>
    <w:p w:rsidR="00000000" w:rsidRDefault="00D33C21">
      <w:pPr>
        <w:pStyle w:val="a3"/>
        <w:spacing w:before="240" w:beforeAutospacing="0" w:after="0" w:afterAutospacing="0"/>
        <w:ind w:firstLine="556"/>
        <w:jc w:val="both"/>
        <w:rPr>
          <w:b/>
          <w:bCs/>
          <w:i/>
          <w:iCs/>
          <w:sz w:val="20"/>
          <w:szCs w:val="20"/>
        </w:rPr>
      </w:pPr>
      <w:r>
        <w:rPr>
          <w:b/>
          <w:bCs/>
          <w:i/>
          <w:iCs/>
          <w:sz w:val="20"/>
          <w:szCs w:val="20"/>
        </w:rPr>
        <w:t>We may be subject to numerous and varying privacy and security laws, and our failure to comply could result in penalties and reputational damage.</w:t>
      </w:r>
    </w:p>
    <w:p w:rsidR="00000000" w:rsidRDefault="00D33C21">
      <w:pPr>
        <w:pStyle w:val="a3"/>
        <w:spacing w:before="240" w:beforeAutospacing="0" w:after="0" w:afterAutospacing="0"/>
        <w:ind w:firstLine="556"/>
        <w:jc w:val="both"/>
        <w:rPr>
          <w:sz w:val="20"/>
          <w:szCs w:val="20"/>
        </w:rPr>
      </w:pPr>
      <w:r>
        <w:rPr>
          <w:sz w:val="20"/>
          <w:szCs w:val="20"/>
        </w:rPr>
        <w:t>We are subject to laws and regulations covering data privacy and the protecti</w:t>
      </w:r>
      <w:r>
        <w:rPr>
          <w:sz w:val="20"/>
          <w:szCs w:val="20"/>
        </w:rPr>
        <w:t>on of personal information including health information. The legislative and regulatory landscape for privacy and data protection continues to evolve, and there has been an increasing focus on privacy and data protection issues which may affect our busines</w:t>
      </w:r>
      <w:r>
        <w:rPr>
          <w:sz w:val="20"/>
          <w:szCs w:val="20"/>
        </w:rPr>
        <w:t>s. In the U.S., we may be subject to state security breach notification laws, state health information privacy laws and federal and state consumer protections laws which impose requirements for the collection, use, disclosure and transmission of personal i</w:t>
      </w:r>
      <w:r>
        <w:rPr>
          <w:sz w:val="20"/>
          <w:szCs w:val="20"/>
        </w:rPr>
        <w:t>nformation. Each of these laws is subject to varying interpretations by courts and government agencies, creating complex compliance issues for us. If we fail to comply with applicable laws and regulations we could be subject to penalties or sanctions, incl</w:t>
      </w:r>
      <w:r>
        <w:rPr>
          <w:sz w:val="20"/>
          <w:szCs w:val="20"/>
        </w:rPr>
        <w:t xml:space="preserve">uding criminal penalties if we knowingly obtain individually identifiable health information from a covered entity in a manner that is not authorized or permitted by HIPAA or for aiding and abetting the violation of HIPAA. </w:t>
      </w:r>
    </w:p>
    <w:p w:rsidR="00000000" w:rsidRDefault="00D33C21">
      <w:pPr>
        <w:pStyle w:val="a3"/>
        <w:spacing w:before="240" w:beforeAutospacing="0" w:after="0" w:afterAutospacing="0"/>
        <w:ind w:firstLine="556"/>
        <w:jc w:val="both"/>
        <w:rPr>
          <w:sz w:val="20"/>
          <w:szCs w:val="20"/>
        </w:rPr>
      </w:pPr>
      <w:r>
        <w:rPr>
          <w:sz w:val="20"/>
          <w:szCs w:val="20"/>
        </w:rPr>
        <w:t>Numerous other countries have, o</w:t>
      </w:r>
      <w:r>
        <w:rPr>
          <w:sz w:val="20"/>
          <w:szCs w:val="20"/>
        </w:rPr>
        <w:t>r are developing, laws governing the collection, use and transmission of personal information as well. EU member states and other jurisdictions have adopted data protection laws and regulations, which impose significant compliance obligations. For example,</w:t>
      </w:r>
      <w:r>
        <w:rPr>
          <w:sz w:val="20"/>
          <w:szCs w:val="20"/>
        </w:rPr>
        <w:t xml:space="preserve"> in May 2016, the EU formally adopted the General Data Protection Regulation, or GDPR, which applies to all EU member states as of May 25, 2018 and replaces the former EU Data Protection Directive. The regulation introduces new data protection requirements</w:t>
      </w:r>
      <w:r>
        <w:rPr>
          <w:sz w:val="20"/>
          <w:szCs w:val="20"/>
        </w:rPr>
        <w:t xml:space="preserve"> in the EU and imposes substantial fines for breaches of the data protection rules. The GDPR must be implemented into national laws by the EU member states imposes strict obligations and restrictions on the ability to collect, analyze, and transfer persona</w:t>
      </w:r>
      <w:r>
        <w:rPr>
          <w:sz w:val="20"/>
          <w:szCs w:val="20"/>
        </w:rPr>
        <w:t>l data, including health data from clinical trials and adverse event reporting. Data protection authorities from different EU member states have interpreted the privacy laws differently, which adds to the complexity of processing personal data in the EU, a</w:t>
      </w:r>
      <w:r>
        <w:rPr>
          <w:sz w:val="20"/>
          <w:szCs w:val="20"/>
        </w:rPr>
        <w:t>nd guidance on implementation and compliance practices are often updated or otherwise revised. Any failure to comply with the rules arising from the GDPR and related national laws of EU member states could lead to government enforcement actions and signifi</w:t>
      </w:r>
      <w:r>
        <w:rPr>
          <w:sz w:val="20"/>
          <w:szCs w:val="20"/>
        </w:rPr>
        <w:t>cant penalties against us, and adversely impact our operating results. The GDPR will increase our responsibility and liability in relation to personal data that we process and we may be required to put in place additional mechanisms ensuring compliance wit</w:t>
      </w:r>
      <w:r>
        <w:rPr>
          <w:sz w:val="20"/>
          <w:szCs w:val="20"/>
        </w:rPr>
        <w:t>h EU data protection rules.</w:t>
      </w:r>
    </w:p>
    <w:p w:rsidR="00000000" w:rsidRDefault="00D33C21">
      <w:pPr>
        <w:pStyle w:val="a3"/>
        <w:spacing w:before="360" w:beforeAutospacing="0" w:after="0" w:afterAutospacing="0"/>
        <w:jc w:val="both"/>
        <w:rPr>
          <w:b/>
          <w:bCs/>
          <w:sz w:val="20"/>
          <w:szCs w:val="20"/>
        </w:rPr>
      </w:pPr>
      <w:r>
        <w:rPr>
          <w:b/>
          <w:bCs/>
          <w:sz w:val="20"/>
          <w:szCs w:val="20"/>
        </w:rPr>
        <w:t xml:space="preserve">Risks Related to the Ownership of Our Common Stock </w:t>
      </w:r>
    </w:p>
    <w:p w:rsidR="00000000" w:rsidRDefault="00D33C21">
      <w:pPr>
        <w:pStyle w:val="a3"/>
        <w:spacing w:before="120" w:beforeAutospacing="0" w:after="0" w:afterAutospacing="0"/>
        <w:jc w:val="both"/>
        <w:rPr>
          <w:b/>
          <w:bCs/>
          <w:i/>
          <w:iCs/>
          <w:sz w:val="20"/>
          <w:szCs w:val="20"/>
        </w:rPr>
      </w:pPr>
      <w:r>
        <w:rPr>
          <w:b/>
          <w:bCs/>
          <w:i/>
          <w:iCs/>
          <w:sz w:val="20"/>
          <w:szCs w:val="20"/>
        </w:rPr>
        <w:t>The market price of our common stock may be volatile and fluctuate substantially, which could result in substantial losses for our common stock</w:t>
      </w:r>
      <w:r>
        <w:rPr>
          <w:sz w:val="20"/>
          <w:szCs w:val="20"/>
        </w:rPr>
        <w:t>.</w:t>
      </w:r>
    </w:p>
    <w:p w:rsidR="00000000" w:rsidRDefault="00D33C21">
      <w:pPr>
        <w:pStyle w:val="a3"/>
        <w:spacing w:before="120" w:beforeAutospacing="0" w:after="0" w:afterAutospacing="0"/>
        <w:ind w:firstLine="556"/>
        <w:jc w:val="both"/>
        <w:rPr>
          <w:sz w:val="20"/>
          <w:szCs w:val="20"/>
        </w:rPr>
      </w:pPr>
      <w:r>
        <w:rPr>
          <w:sz w:val="20"/>
          <w:szCs w:val="20"/>
        </w:rPr>
        <w:t>The market price of our common stock is likely to be volatile. The stock market in general and the market for b</w:t>
      </w:r>
      <w:r>
        <w:rPr>
          <w:sz w:val="20"/>
          <w:szCs w:val="20"/>
        </w:rPr>
        <w:t>iopharmaceutical or pharmaceutical companies in particular, has experienced extreme volatility that has often been unrelated to the operating performance of particular companies. As a result of this volatility, you may lose all or part of your investment i</w:t>
      </w:r>
      <w:r>
        <w:rPr>
          <w:sz w:val="20"/>
          <w:szCs w:val="20"/>
        </w:rPr>
        <w:t xml:space="preserve">n our common stock since you might be unable to sell your shares at or above the price you paid for the shares. The market price for our common stock may be influenced by many factors,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results of clinical trials of our current and any futur</w:t>
            </w:r>
            <w:r>
              <w:rPr>
                <w:sz w:val="20"/>
                <w:szCs w:val="20"/>
              </w:rPr>
              <w:t xml:space="preserve">e drug candidates or those of our competitors;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success of competitive drugs or therapies;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regulatory or legal developments in the United States and other countries;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developments or disputes concerning patent applications, issued patents or other proprietary rights;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recruitment or departure of key personnel;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the level of expenses related to our current and any future drug candidates or clinical develo</w:t>
            </w:r>
            <w:r>
              <w:rPr>
                <w:sz w:val="20"/>
                <w:szCs w:val="20"/>
              </w:rPr>
              <w:t xml:space="preserve">pment programs;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results of our efforts to discover, develop, acquire or in-license additional drug candidates;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actual or anticipated changes in estimates as to financial results, development timelines or recommendations by securities anal</w:t>
            </w:r>
            <w:r>
              <w:rPr>
                <w:sz w:val="20"/>
                <w:szCs w:val="20"/>
              </w:rPr>
              <w:t xml:space="preserve">ysts;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our inability to obtain or delays in obtaining adequate drug supply for any approved drug or inability to do so at acceptable prices; </w:t>
            </w:r>
          </w:p>
        </w:tc>
      </w:tr>
    </w:tbl>
    <w:p w:rsidR="00000000" w:rsidRDefault="00D33C21">
      <w:pPr>
        <w:pStyle w:val="a3"/>
        <w:spacing w:before="240" w:beforeAutospacing="0" w:after="0" w:afterAutospacing="0"/>
        <w:jc w:val="center"/>
        <w:rPr>
          <w:sz w:val="20"/>
          <w:szCs w:val="20"/>
        </w:rPr>
      </w:pPr>
      <w:r>
        <w:rPr>
          <w:sz w:val="20"/>
          <w:szCs w:val="20"/>
        </w:rPr>
        <w:t>52</w:t>
      </w:r>
    </w:p>
    <w:p w:rsidR="00000000" w:rsidRDefault="00D33C21">
      <w:pPr>
        <w:rPr>
          <w:rFonts w:eastAsia="Times New Roman"/>
        </w:rPr>
      </w:pPr>
      <w:r>
        <w:rPr>
          <w:rFonts w:eastAsia="Times New Roman"/>
        </w:rPr>
        <w:pict>
          <v:rect id="_x0000_i1077"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bookmarkStart w:id="74" w:name="_AEIOULastRenderedPageBreakAEIOU52"/>
            <w:bookmarkEnd w:id="74"/>
            <w:r>
              <w:rPr>
                <w:sz w:val="20"/>
                <w:szCs w:val="20"/>
              </w:rPr>
              <w:t xml:space="preserve">disputes or other developments relating to proprietary rights, including patents, litigation matters and our ability to obtain patent protection for our technologies;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sign</w:t>
            </w:r>
            <w:r>
              <w:rPr>
                <w:sz w:val="20"/>
                <w:szCs w:val="20"/>
              </w:rPr>
              <w:t xml:space="preserve">ificant lawsuits, including patent or stockholder litigation;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variations in our financial results or those of companies that are perceived to be similar to us;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changes in the structure of healthcare payment systems;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market conditions in the pharmaceutical and biotechnology sectors;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general economic, industry and market conditions;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the other factors described in this “Risk Factors” section</w:t>
            </w:r>
            <w:r>
              <w:rPr>
                <w:sz w:val="20"/>
                <w:szCs w:val="20"/>
              </w:rPr>
              <w:t xml:space="preserve">. </w:t>
            </w:r>
          </w:p>
        </w:tc>
      </w:tr>
    </w:tbl>
    <w:p w:rsidR="00000000" w:rsidRDefault="00D33C21">
      <w:pPr>
        <w:pStyle w:val="a3"/>
        <w:spacing w:before="240" w:beforeAutospacing="0" w:after="0" w:afterAutospacing="0"/>
        <w:ind w:firstLine="556"/>
        <w:jc w:val="both"/>
        <w:rPr>
          <w:sz w:val="20"/>
          <w:szCs w:val="20"/>
        </w:rPr>
      </w:pPr>
      <w:r>
        <w:rPr>
          <w:sz w:val="20"/>
          <w:szCs w:val="20"/>
        </w:rPr>
        <w:t>In addition, in the past, stockholders have initiated class action lawsuits against companies following periods of volatility in the market prices of these companies’ stock. Such litigation, if instituted against us, could cause us to incur substantial</w:t>
      </w:r>
      <w:r>
        <w:rPr>
          <w:sz w:val="20"/>
          <w:szCs w:val="20"/>
        </w:rPr>
        <w:t xml:space="preserve"> costs and divert management’s attention and resources. </w:t>
      </w:r>
    </w:p>
    <w:p w:rsidR="00000000" w:rsidRDefault="00D33C21">
      <w:pPr>
        <w:pStyle w:val="a3"/>
        <w:spacing w:before="240" w:beforeAutospacing="0" w:after="0" w:afterAutospacing="0"/>
        <w:ind w:firstLine="556"/>
        <w:jc w:val="both"/>
        <w:rPr>
          <w:b/>
          <w:bCs/>
          <w:i/>
          <w:iCs/>
          <w:sz w:val="20"/>
          <w:szCs w:val="20"/>
        </w:rPr>
      </w:pPr>
      <w:r>
        <w:rPr>
          <w:b/>
          <w:bCs/>
          <w:i/>
          <w:iCs/>
          <w:sz w:val="20"/>
          <w:szCs w:val="20"/>
        </w:rPr>
        <w:t>There is no public market for our Series A preferred stock</w:t>
      </w:r>
      <w:r>
        <w:rPr>
          <w:sz w:val="20"/>
          <w:szCs w:val="20"/>
        </w:rPr>
        <w:t>.</w:t>
      </w:r>
    </w:p>
    <w:p w:rsidR="00000000" w:rsidRDefault="00D33C21">
      <w:pPr>
        <w:pStyle w:val="a3"/>
        <w:spacing w:before="240" w:beforeAutospacing="0" w:after="0" w:afterAutospacing="0"/>
        <w:ind w:firstLine="556"/>
        <w:jc w:val="both"/>
        <w:rPr>
          <w:sz w:val="20"/>
          <w:szCs w:val="20"/>
        </w:rPr>
      </w:pPr>
      <w:r>
        <w:rPr>
          <w:sz w:val="20"/>
          <w:szCs w:val="20"/>
        </w:rPr>
        <w:t>There is no established public trading market for our Series A preferred stock, and we do not expect a market to develop. In addition, we do not intend to apply for listing of the Series A preferred stock on any national securities exchange or other nation</w:t>
      </w:r>
      <w:r>
        <w:rPr>
          <w:sz w:val="20"/>
          <w:szCs w:val="20"/>
        </w:rPr>
        <w:t>ally recognized trading system. Without an active market, the liquidity of the Series A preferred stock will be limited.</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We may sell additional equity or debt securities or enter into other arrangements to fund our operations, which may result in dilution </w:t>
      </w:r>
      <w:r>
        <w:rPr>
          <w:b/>
          <w:bCs/>
          <w:i/>
          <w:iCs/>
          <w:sz w:val="20"/>
          <w:szCs w:val="20"/>
        </w:rPr>
        <w:t>to our stockholders and impose restrictions or limitations on our business.</w:t>
      </w:r>
    </w:p>
    <w:p w:rsidR="00000000" w:rsidRDefault="00D33C21">
      <w:pPr>
        <w:pStyle w:val="a3"/>
        <w:spacing w:before="120" w:beforeAutospacing="0" w:after="0" w:afterAutospacing="0"/>
        <w:ind w:firstLine="556"/>
        <w:jc w:val="both"/>
        <w:rPr>
          <w:color w:val="000000"/>
          <w:sz w:val="20"/>
          <w:szCs w:val="20"/>
        </w:rPr>
      </w:pPr>
      <w:bookmarkStart w:id="75" w:name="_Hlk505764112"/>
      <w:bookmarkEnd w:id="75"/>
      <w:r>
        <w:rPr>
          <w:color w:val="000000"/>
          <w:sz w:val="20"/>
          <w:szCs w:val="20"/>
        </w:rPr>
        <w:t xml:space="preserve">Until we can generate a sufficient amount of revenue from our products, if ever, we expect to finance future cash needs through public or private equity or debt offerings. In June </w:t>
      </w:r>
      <w:r>
        <w:rPr>
          <w:color w:val="000000"/>
          <w:sz w:val="20"/>
          <w:szCs w:val="20"/>
        </w:rPr>
        <w:t>2018, we filed a shelf registration statement on Form S-3 (Registration No. 333-225391) that allows us to sell up to an aggregate of $200 million of our common stock, which includes up to $50.0 million designated in the prospectus supplement for an at-the-</w:t>
      </w:r>
      <w:r>
        <w:rPr>
          <w:color w:val="000000"/>
          <w:sz w:val="20"/>
          <w:szCs w:val="20"/>
        </w:rPr>
        <w:t>market offering program. As of June 30, 2019, no sales have been made pursuant to the at-the-market offering program. We may also seek additional funding through government or other third-party funding and other collaborations, strategic alliances and lice</w:t>
      </w:r>
      <w:r>
        <w:rPr>
          <w:color w:val="000000"/>
          <w:sz w:val="20"/>
          <w:szCs w:val="20"/>
        </w:rPr>
        <w:t>nsing arrangements. These financing activities may have an adverse impact on our stockholders’ rights as well as on our operations, and such additional funding may not be available on reasonable terms, if at all. If we raise additional funds through the is</w:t>
      </w:r>
      <w:r>
        <w:rPr>
          <w:color w:val="000000"/>
          <w:sz w:val="20"/>
          <w:szCs w:val="20"/>
        </w:rPr>
        <w:t>suance of additional debt or equity securities, it may result in dilution to our existing stockholders and/or increased fixed payment obligations. Furthermore, these securities may have rights senior to those of our common stock and could contain covenants</w:t>
      </w:r>
      <w:r>
        <w:rPr>
          <w:color w:val="000000"/>
          <w:sz w:val="20"/>
          <w:szCs w:val="20"/>
        </w:rPr>
        <w:t xml:space="preserve"> that would restrict our operations and potentially impair our competitiveness, such as redeeming our shares, making investments, issuing additional equity, limitations on our ability to incur additional debt, limitations on our ability to acquire, sell or</w:t>
      </w:r>
      <w:r>
        <w:rPr>
          <w:color w:val="000000"/>
          <w:sz w:val="20"/>
          <w:szCs w:val="20"/>
        </w:rPr>
        <w:t xml:space="preserve"> license intellectual property rights and other operating restrictions that could adversely impact our ability to conduct our business. Additionally, if we seek funds through arrangements with collaborative partners, these arrangements may require us to re</w:t>
      </w:r>
      <w:r>
        <w:rPr>
          <w:color w:val="000000"/>
          <w:sz w:val="20"/>
          <w:szCs w:val="20"/>
        </w:rPr>
        <w:t>linquish rights to some of our technologies or product candidates or otherwise agree to terms unfavorable to us. Any of these events could significantly harm our business, financial condition and prospects.</w:t>
      </w:r>
    </w:p>
    <w:p w:rsidR="00000000" w:rsidRDefault="00D33C21">
      <w:pPr>
        <w:pStyle w:val="a3"/>
        <w:spacing w:before="360" w:beforeAutospacing="0" w:after="0" w:afterAutospacing="0"/>
        <w:ind w:left="238"/>
        <w:jc w:val="both"/>
        <w:rPr>
          <w:b/>
          <w:bCs/>
          <w:i/>
          <w:iCs/>
          <w:sz w:val="20"/>
          <w:szCs w:val="20"/>
        </w:rPr>
      </w:pPr>
      <w:r>
        <w:rPr>
          <w:b/>
          <w:bCs/>
          <w:i/>
          <w:iCs/>
          <w:sz w:val="20"/>
          <w:szCs w:val="20"/>
        </w:rPr>
        <w:t>Concentration of ownership of our common stock am</w:t>
      </w:r>
      <w:r>
        <w:rPr>
          <w:b/>
          <w:bCs/>
          <w:i/>
          <w:iCs/>
          <w:sz w:val="20"/>
          <w:szCs w:val="20"/>
        </w:rPr>
        <w:t xml:space="preserve">ong our existing executive officers, directors and principal stockholders may prevent new investors from influencing significant corporate decisions. </w:t>
      </w:r>
    </w:p>
    <w:p w:rsidR="00000000" w:rsidRDefault="00D33C21">
      <w:pPr>
        <w:pStyle w:val="a3"/>
        <w:spacing w:before="120" w:beforeAutospacing="0" w:after="0" w:afterAutospacing="0"/>
        <w:ind w:firstLine="556"/>
        <w:jc w:val="both"/>
        <w:rPr>
          <w:sz w:val="20"/>
          <w:szCs w:val="20"/>
        </w:rPr>
      </w:pPr>
      <w:r>
        <w:rPr>
          <w:sz w:val="20"/>
          <w:szCs w:val="20"/>
        </w:rPr>
        <w:t>Based upon our shares of our common stock outstanding as of July 30, 2019, our executive officers, direct</w:t>
      </w:r>
      <w:r>
        <w:rPr>
          <w:sz w:val="20"/>
          <w:szCs w:val="20"/>
        </w:rPr>
        <w:t xml:space="preserve">ors and stockholders who owned more than 5% of our outstanding common stock, in the aggregate, beneficially own shares representing approximately 70.4% of our outstanding common stock. </w:t>
      </w:r>
    </w:p>
    <w:p w:rsidR="00000000" w:rsidRDefault="00D33C21">
      <w:pPr>
        <w:pStyle w:val="a3"/>
        <w:spacing w:before="240" w:beforeAutospacing="0" w:after="0" w:afterAutospacing="0"/>
        <w:jc w:val="center"/>
        <w:rPr>
          <w:sz w:val="20"/>
          <w:szCs w:val="20"/>
        </w:rPr>
      </w:pPr>
      <w:r>
        <w:rPr>
          <w:sz w:val="20"/>
          <w:szCs w:val="20"/>
        </w:rPr>
        <w:t>53</w:t>
      </w:r>
    </w:p>
    <w:p w:rsidR="00000000" w:rsidRDefault="00D33C21">
      <w:pPr>
        <w:rPr>
          <w:rFonts w:eastAsia="Times New Roman"/>
        </w:rPr>
      </w:pPr>
      <w:r>
        <w:rPr>
          <w:rFonts w:eastAsia="Times New Roman"/>
        </w:rPr>
        <w:pict>
          <v:rect id="_x0000_i1078"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ind w:firstLine="556"/>
        <w:jc w:val="both"/>
        <w:rPr>
          <w:sz w:val="20"/>
          <w:szCs w:val="20"/>
        </w:rPr>
      </w:pPr>
      <w:bookmarkStart w:id="76" w:name="_AEIOULastRenderedPageBreakAEIOU53"/>
      <w:bookmarkEnd w:id="76"/>
      <w:r>
        <w:rPr>
          <w:sz w:val="20"/>
          <w:szCs w:val="20"/>
        </w:rPr>
        <w:t>Takeda, a greater than 5% holder, may receive additional securities upon the achievement of certain development, commercial and regulatory m</w:t>
      </w:r>
      <w:r>
        <w:rPr>
          <w:sz w:val="20"/>
          <w:szCs w:val="20"/>
        </w:rPr>
        <w:t>ilestones pursuant to the Takeda collaboration. Specifically, we will be obligated to issue additional securities to Takeda equal to the lesser of 8% of our outstanding capital stock or $50.0 million unless certain events occur, and may issue, at our discr</w:t>
      </w:r>
      <w:r>
        <w:rPr>
          <w:sz w:val="20"/>
          <w:szCs w:val="20"/>
        </w:rPr>
        <w:t>etion, additional securities to Takeda upon the achievement of other milestones</w:t>
      </w:r>
      <w:r>
        <w:rPr>
          <w:color w:val="000000"/>
          <w:sz w:val="20"/>
          <w:szCs w:val="20"/>
        </w:rPr>
        <w:t xml:space="preserve">. </w:t>
      </w:r>
      <w:r>
        <w:rPr>
          <w:sz w:val="20"/>
          <w:szCs w:val="20"/>
        </w:rPr>
        <w:t xml:space="preserve">Further, pursuant to the Series B-1 preferred stock purchase agreement entered into with Takeda in January 2017, or the Takeda stock purchase agreement, Takeda has agreed to, </w:t>
      </w:r>
      <w:r>
        <w:rPr>
          <w:sz w:val="20"/>
          <w:szCs w:val="20"/>
        </w:rPr>
        <w:t>among other things, (i) a standstill provision, (ii) restrictions on its ability to sell or otherwise transfer it shares of our stock, (iii) vote its shares on certain matters in accordance with the holders of a majority of shares of our common stock and (</w:t>
      </w:r>
      <w:r>
        <w:rPr>
          <w:sz w:val="20"/>
          <w:szCs w:val="20"/>
        </w:rPr>
        <w:t xml:space="preserve">iv) restrictions on the percentage of our outstanding common stock it may own. </w:t>
      </w:r>
    </w:p>
    <w:p w:rsidR="00000000" w:rsidRDefault="00D33C21">
      <w:pPr>
        <w:pStyle w:val="a3"/>
        <w:spacing w:before="240" w:beforeAutospacing="0" w:after="0" w:afterAutospacing="0"/>
        <w:ind w:firstLine="556"/>
        <w:jc w:val="both"/>
        <w:rPr>
          <w:sz w:val="20"/>
          <w:szCs w:val="20"/>
        </w:rPr>
      </w:pPr>
      <w:r>
        <w:rPr>
          <w:sz w:val="20"/>
          <w:szCs w:val="20"/>
        </w:rPr>
        <w:t>If our executive officers, directors and stockholders who owned more than 5% of our outstanding common stock acted together, they may be able to significantly influence all mat</w:t>
      </w:r>
      <w:r>
        <w:rPr>
          <w:sz w:val="20"/>
          <w:szCs w:val="20"/>
        </w:rPr>
        <w:t>ters requiring stockholder approval, including the election and removal of directors and approval of any merger, consolidation or sale of all or substantially all of our assets. The concentration of voting power, Takeda standstill provisions, voting obliga</w:t>
      </w:r>
      <w:r>
        <w:rPr>
          <w:sz w:val="20"/>
          <w:szCs w:val="20"/>
        </w:rPr>
        <w:t xml:space="preserve">tions and transfer restrictions could delay or prevent an acquisition of our company on terms that other stockholders may desire or result in the management of our company in ways with which other stockholders disagree with. </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If securities analysts do not </w:t>
      </w:r>
      <w:r>
        <w:rPr>
          <w:b/>
          <w:bCs/>
          <w:i/>
          <w:iCs/>
          <w:sz w:val="20"/>
          <w:szCs w:val="20"/>
        </w:rPr>
        <w:t xml:space="preserve">publish research or reports about our business or if they publish negative evaluations of our stock, the price of our stock could decline. </w:t>
      </w:r>
    </w:p>
    <w:p w:rsidR="00000000" w:rsidRDefault="00D33C21">
      <w:pPr>
        <w:pStyle w:val="a3"/>
        <w:spacing w:before="120" w:beforeAutospacing="0" w:after="0" w:afterAutospacing="0"/>
        <w:ind w:firstLine="556"/>
        <w:jc w:val="both"/>
        <w:rPr>
          <w:sz w:val="20"/>
          <w:szCs w:val="20"/>
        </w:rPr>
      </w:pPr>
      <w:r>
        <w:rPr>
          <w:sz w:val="20"/>
          <w:szCs w:val="20"/>
        </w:rPr>
        <w:t>The trading market for our common stock relies, in part, on the research and reports that industry or financial anal</w:t>
      </w:r>
      <w:r>
        <w:rPr>
          <w:sz w:val="20"/>
          <w:szCs w:val="20"/>
        </w:rPr>
        <w:t>ysts publish about us or our business.  We do currently have research coverage offered by several industry or financial analysts. If one or more of the analysts covering our business downgrade their evaluations of our stock, the price of our stock could de</w:t>
      </w:r>
      <w:r>
        <w:rPr>
          <w:sz w:val="20"/>
          <w:szCs w:val="20"/>
        </w:rPr>
        <w:t xml:space="preserve">cline. If one or more of these analysts cease to cover our stock, we could lose visibility in the market for our stock, which in turn could cause our stock price to decline. </w:t>
      </w:r>
    </w:p>
    <w:p w:rsidR="00000000" w:rsidRDefault="00D33C21">
      <w:pPr>
        <w:pStyle w:val="a3"/>
        <w:spacing w:before="360" w:beforeAutospacing="0" w:after="0" w:afterAutospacing="0"/>
        <w:ind w:left="238"/>
        <w:jc w:val="both"/>
        <w:rPr>
          <w:b/>
          <w:bCs/>
          <w:i/>
          <w:iCs/>
          <w:sz w:val="20"/>
          <w:szCs w:val="20"/>
        </w:rPr>
      </w:pPr>
      <w:r>
        <w:rPr>
          <w:b/>
          <w:bCs/>
          <w:i/>
          <w:iCs/>
          <w:sz w:val="20"/>
          <w:szCs w:val="20"/>
        </w:rPr>
        <w:t>Because we do not anticipate paying any cash dividends on our capital stock in th</w:t>
      </w:r>
      <w:r>
        <w:rPr>
          <w:b/>
          <w:bCs/>
          <w:i/>
          <w:iCs/>
          <w:sz w:val="20"/>
          <w:szCs w:val="20"/>
        </w:rPr>
        <w:t xml:space="preserve">e foreseeable future, capital appreciation, if any, will be your sole source of gain. </w:t>
      </w:r>
    </w:p>
    <w:p w:rsidR="00000000" w:rsidRDefault="00D33C21">
      <w:pPr>
        <w:pStyle w:val="a3"/>
        <w:spacing w:before="120" w:beforeAutospacing="0" w:after="0" w:afterAutospacing="0"/>
        <w:ind w:firstLine="556"/>
        <w:jc w:val="both"/>
        <w:rPr>
          <w:sz w:val="20"/>
          <w:szCs w:val="20"/>
        </w:rPr>
      </w:pPr>
      <w:r>
        <w:rPr>
          <w:sz w:val="20"/>
          <w:szCs w:val="20"/>
        </w:rPr>
        <w:t>We have never declared or paid cash dividends on our capital stock. We currently intend to retain all of our future earnings, if any, to finance the growth and developme</w:t>
      </w:r>
      <w:r>
        <w:rPr>
          <w:sz w:val="20"/>
          <w:szCs w:val="20"/>
        </w:rPr>
        <w:t xml:space="preserve">nt of our business. In addition, the terms of any future debt agreements may preclude us from paying dividends. As a result, capital appreciation, if any, of our common stock will be your sole source of gain for the foreseeable future. </w:t>
      </w:r>
    </w:p>
    <w:p w:rsidR="00000000" w:rsidRDefault="00D33C21">
      <w:pPr>
        <w:pStyle w:val="a3"/>
        <w:spacing w:before="360" w:beforeAutospacing="0" w:after="0" w:afterAutospacing="0"/>
        <w:ind w:left="238"/>
        <w:jc w:val="both"/>
        <w:rPr>
          <w:b/>
          <w:bCs/>
          <w:i/>
          <w:iCs/>
          <w:sz w:val="20"/>
          <w:szCs w:val="20"/>
        </w:rPr>
      </w:pPr>
      <w:r>
        <w:rPr>
          <w:b/>
          <w:bCs/>
          <w:i/>
          <w:iCs/>
          <w:sz w:val="20"/>
          <w:szCs w:val="20"/>
        </w:rPr>
        <w:t>If we engage in fut</w:t>
      </w:r>
      <w:r>
        <w:rPr>
          <w:b/>
          <w:bCs/>
          <w:i/>
          <w:iCs/>
          <w:sz w:val="20"/>
          <w:szCs w:val="20"/>
        </w:rPr>
        <w:t xml:space="preserve">ure acquisitions or strategic partnerships, this may increase our capital requirements, dilute our stockholders, cause us to incur debt or assume contingent liabilities and subject us to other risks. </w:t>
      </w:r>
    </w:p>
    <w:p w:rsidR="00000000" w:rsidRDefault="00D33C21">
      <w:pPr>
        <w:pStyle w:val="a3"/>
        <w:spacing w:before="120" w:beforeAutospacing="0" w:after="0" w:afterAutospacing="0"/>
        <w:ind w:firstLine="556"/>
        <w:jc w:val="both"/>
        <w:rPr>
          <w:sz w:val="20"/>
          <w:szCs w:val="20"/>
        </w:rPr>
      </w:pPr>
      <w:r>
        <w:rPr>
          <w:sz w:val="20"/>
          <w:szCs w:val="20"/>
        </w:rPr>
        <w:t>Our business plan is to continue to evaluate various ac</w:t>
      </w:r>
      <w:r>
        <w:rPr>
          <w:sz w:val="20"/>
          <w:szCs w:val="20"/>
        </w:rPr>
        <w:t xml:space="preserve">quisitions and strategic partnerships, including licensing or acquiring complementary drugs, intellectual property rights, technologies, or businesses. Any potential acquisition or strategic partnership may entail numerous risks,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increased </w:t>
            </w:r>
            <w:r>
              <w:rPr>
                <w:sz w:val="20"/>
                <w:szCs w:val="20"/>
              </w:rPr>
              <w:t xml:space="preserve">operating expenses and cash requirements;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the assumption of additional indebtedness or contingent liabilities;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assimilation of operations, intellectual property and drugs of an acquired company, including difficulties associated with integrating new personnel;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the diversion of our management’s attention from our existing drug programs and initiatives in purs</w:t>
            </w:r>
            <w:r>
              <w:rPr>
                <w:sz w:val="20"/>
                <w:szCs w:val="20"/>
              </w:rPr>
              <w:t xml:space="preserve">uing such a strategic partnership, merger or acquisition;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retention of key employees, the loss of key personnel, and uncertainties in our ability to maintain key business relationships;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risks and uncertainties associated with the other party to such a transaction, including the prospects of that party and their existing drugs or drug candidates and regulatory approvals;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our inability to generate revenue from acquired technology</w:t>
            </w:r>
            <w:r>
              <w:rPr>
                <w:sz w:val="20"/>
                <w:szCs w:val="20"/>
              </w:rPr>
              <w:t xml:space="preserve"> and/or drugs sufficient to meet our objectives in undertaking the acquisition or even to offset the associated acquisition and maintenance costs. </w:t>
            </w:r>
          </w:p>
        </w:tc>
      </w:tr>
    </w:tbl>
    <w:p w:rsidR="00000000" w:rsidRDefault="00D33C21">
      <w:pPr>
        <w:pStyle w:val="a3"/>
        <w:spacing w:before="240" w:beforeAutospacing="0" w:after="0" w:afterAutospacing="0"/>
        <w:ind w:firstLine="556"/>
        <w:jc w:val="both"/>
        <w:rPr>
          <w:sz w:val="20"/>
          <w:szCs w:val="20"/>
        </w:rPr>
      </w:pPr>
      <w:r>
        <w:rPr>
          <w:sz w:val="20"/>
          <w:szCs w:val="20"/>
        </w:rPr>
        <w:t>In addition, if we engage in future acquisitions or strategic partnerships, we may issue dilutive securitie</w:t>
      </w:r>
      <w:r>
        <w:rPr>
          <w:sz w:val="20"/>
          <w:szCs w:val="20"/>
        </w:rPr>
        <w:t>s, assume or incur debt obligations, incur large one-time expenses and acquire intangible assets that could result in significant future amortization expense. Moreover, we may not be able to locate suitable acquisition opportunities and this inability coul</w:t>
      </w:r>
      <w:r>
        <w:rPr>
          <w:sz w:val="20"/>
          <w:szCs w:val="20"/>
        </w:rPr>
        <w:t xml:space="preserve">d impair our ability to grow or obtain access to technology or drugs that may be important to the development of our business. </w:t>
      </w:r>
    </w:p>
    <w:p w:rsidR="00000000" w:rsidRDefault="00D33C21">
      <w:pPr>
        <w:pStyle w:val="a3"/>
        <w:spacing w:before="240" w:beforeAutospacing="0" w:after="0" w:afterAutospacing="0"/>
        <w:jc w:val="center"/>
        <w:rPr>
          <w:sz w:val="20"/>
          <w:szCs w:val="20"/>
        </w:rPr>
      </w:pPr>
      <w:r>
        <w:rPr>
          <w:sz w:val="20"/>
          <w:szCs w:val="20"/>
        </w:rPr>
        <w:t>54</w:t>
      </w:r>
    </w:p>
    <w:p w:rsidR="00000000" w:rsidRDefault="00D33C21">
      <w:pPr>
        <w:rPr>
          <w:rFonts w:eastAsia="Times New Roman"/>
        </w:rPr>
      </w:pPr>
      <w:r>
        <w:rPr>
          <w:rFonts w:eastAsia="Times New Roman"/>
        </w:rPr>
        <w:pict>
          <v:rect id="_x0000_i1079"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ind w:left="238"/>
        <w:jc w:val="both"/>
        <w:rPr>
          <w:b/>
          <w:bCs/>
          <w:i/>
          <w:iCs/>
          <w:sz w:val="20"/>
          <w:szCs w:val="20"/>
        </w:rPr>
      </w:pPr>
      <w:bookmarkStart w:id="77" w:name="_AEIOULastRenderedPageBreakAEIOU54"/>
      <w:bookmarkEnd w:id="77"/>
      <w:r>
        <w:rPr>
          <w:b/>
          <w:bCs/>
          <w:i/>
          <w:iCs/>
          <w:sz w:val="20"/>
          <w:szCs w:val="20"/>
        </w:rPr>
        <w:t>Sales of a substantial number of shares of our common stock in the public market could cause the market price of our common stock to drop significantly.</w:t>
      </w:r>
    </w:p>
    <w:p w:rsidR="00000000" w:rsidRDefault="00D33C21">
      <w:pPr>
        <w:pStyle w:val="a3"/>
        <w:spacing w:before="120" w:beforeAutospacing="0" w:after="0" w:afterAutospacing="0"/>
        <w:ind w:firstLine="556"/>
        <w:jc w:val="both"/>
        <w:rPr>
          <w:color w:val="000000"/>
          <w:sz w:val="20"/>
          <w:szCs w:val="20"/>
        </w:rPr>
      </w:pPr>
      <w:r>
        <w:rPr>
          <w:color w:val="000000"/>
          <w:sz w:val="20"/>
          <w:szCs w:val="20"/>
        </w:rPr>
        <w:t>Sales of a substantial number of shares of ou</w:t>
      </w:r>
      <w:r>
        <w:rPr>
          <w:color w:val="000000"/>
          <w:sz w:val="20"/>
          <w:szCs w:val="20"/>
        </w:rPr>
        <w:t>r common stock in the public market could occur at any time. These sales, or the perception in the market that the holders of a large number of shares intend to sell shares, could reduce the market price of our common stock. Some of the holders of our secu</w:t>
      </w:r>
      <w:r>
        <w:rPr>
          <w:color w:val="000000"/>
          <w:sz w:val="20"/>
          <w:szCs w:val="20"/>
        </w:rPr>
        <w:t xml:space="preserve">rities have rights, subject to certain conditions, to require us to file registration statements covering their shares or to include their shares in registration statements that we may file for ourselves or other stockholders. Registration of these shares </w:t>
      </w:r>
      <w:r>
        <w:rPr>
          <w:color w:val="000000"/>
          <w:sz w:val="20"/>
          <w:szCs w:val="20"/>
        </w:rPr>
        <w:t>would result in the shares becoming freely tradable without restriction under the Securities Act except for shares held by our affiliates. Any sales of securities by these stockholders could have a material adverse effect on the trading price of our common</w:t>
      </w:r>
      <w:r>
        <w:rPr>
          <w:color w:val="000000"/>
          <w:sz w:val="20"/>
          <w:szCs w:val="20"/>
        </w:rPr>
        <w:t xml:space="preserve"> stock.</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We are an “emerging growth company,” and the reduced disclosure requirements applicable to emerging growth companies may make our common stock less attractive to investors. </w:t>
      </w:r>
    </w:p>
    <w:p w:rsidR="00000000" w:rsidRDefault="00D33C21">
      <w:pPr>
        <w:pStyle w:val="a3"/>
        <w:spacing w:before="120" w:beforeAutospacing="0" w:after="0" w:afterAutospacing="0"/>
        <w:jc w:val="both"/>
        <w:rPr>
          <w:color w:val="000000"/>
          <w:sz w:val="20"/>
          <w:szCs w:val="20"/>
        </w:rPr>
      </w:pPr>
      <w:r>
        <w:rPr>
          <w:color w:val="000000"/>
          <w:sz w:val="20"/>
          <w:szCs w:val="20"/>
        </w:rPr>
        <w:t>We are an emerging growth company (“EGC”</w:t>
      </w:r>
      <w:r>
        <w:rPr>
          <w:color w:val="000000"/>
          <w:sz w:val="20"/>
          <w:szCs w:val="20"/>
        </w:rPr>
        <w:t>), as defined in the Jumpstart Our Business Startups Act of 2012 (the “JOBS Act”). We will remain an EGC until the earlier of: (i) the last day of the fiscal year in which we have total annual gross revenues of $1.07  billion or more; (ii) December 31, 202</w:t>
      </w:r>
      <w:r>
        <w:rPr>
          <w:color w:val="000000"/>
          <w:sz w:val="20"/>
          <w:szCs w:val="20"/>
        </w:rPr>
        <w:t>2, the last day of the fiscal year following the fifth anniversary of the date of the completion of our IPO; (iii) the date on which we have issued more than $1.0  billion in nonconvertible debt during the previous three years; or (iv) the date on which we</w:t>
      </w:r>
      <w:r>
        <w:rPr>
          <w:color w:val="000000"/>
          <w:sz w:val="20"/>
          <w:szCs w:val="20"/>
        </w:rPr>
        <w:t xml:space="preserve"> are deemed to be a large accelerated filer under the rules of the Securities and Exchange Commission (“SEC”). For so long as we remain an EGC, we are permitted and intend to rely on exemptions from certain disclosure requirements that are applicable to ot</w:t>
      </w:r>
      <w:r>
        <w:rPr>
          <w:color w:val="000000"/>
          <w:sz w:val="20"/>
          <w:szCs w:val="20"/>
        </w:rPr>
        <w:t xml:space="preserve">her public companies that are not emerging growth companies. These exemptions include: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not being required to comply with the auditor attestation requirements of Section 404 of the Sarbanes-Oxley Act of 2002 (“Section 404”);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not being required t</w:t>
            </w:r>
            <w:r>
              <w:rPr>
                <w:sz w:val="20"/>
                <w:szCs w:val="20"/>
              </w:rPr>
              <w:t>o comply with any requirement that may be adopted by the Public Company Accounting Oversight Board regarding mandatory audit firm rotation or a supplement to the auditor’s report providing additional information about the audit and the financial statements</w:t>
            </w:r>
            <w:r>
              <w:rPr>
                <w:sz w:val="20"/>
                <w:szCs w:val="20"/>
              </w:rPr>
              <w:t xml:space="preserve">;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being permitted to provide only two years of audited financial statements, in addition to any required unaudited interim financial statements, with correspondingly reduced ‘‘Management’s Discussion and Analysis of Financial Condition and Results o</w:t>
            </w:r>
            <w:r>
              <w:rPr>
                <w:sz w:val="20"/>
                <w:szCs w:val="20"/>
              </w:rPr>
              <w:t xml:space="preserve">f Operations’’ disclosure;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reduced disclosure obligations regarding executive compensation arrangements;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exemptions from the requirements of holding a nonbinding advisory vote on executive compensation and stockholder approval of any golden parachute payments not previously approved. </w:t>
            </w:r>
          </w:p>
        </w:tc>
      </w:tr>
    </w:tbl>
    <w:p w:rsidR="00000000" w:rsidRDefault="00D33C21">
      <w:pPr>
        <w:pStyle w:val="a3"/>
        <w:spacing w:before="240" w:beforeAutospacing="0" w:after="0" w:afterAutospacing="0"/>
        <w:ind w:firstLine="556"/>
        <w:jc w:val="both"/>
        <w:rPr>
          <w:color w:val="000000"/>
          <w:sz w:val="20"/>
          <w:szCs w:val="20"/>
        </w:rPr>
      </w:pPr>
      <w:r>
        <w:rPr>
          <w:color w:val="000000"/>
          <w:sz w:val="20"/>
          <w:szCs w:val="20"/>
        </w:rPr>
        <w:t>We currently intend to take advantage of some, but not all, of the reduced</w:t>
      </w:r>
      <w:r>
        <w:rPr>
          <w:color w:val="000000"/>
          <w:sz w:val="20"/>
          <w:szCs w:val="20"/>
        </w:rPr>
        <w:t xml:space="preserve"> regulatory and reporting requirements that will be available to us so long as we qualify as an EGC. For example, our independent registered public accounting firm will not be required to provide an attestation report on the effectiveness of our internal c</w:t>
      </w:r>
      <w:r>
        <w:rPr>
          <w:color w:val="000000"/>
          <w:sz w:val="20"/>
          <w:szCs w:val="20"/>
        </w:rPr>
        <w:t xml:space="preserve">ontrol over financial reporting so long as we qualify as an EGC, which may increase the risk that material weaknesses or significant deficiencies in our internal control over financial reporting go undetected. Likewise, so long as we qualify as an EGC, we </w:t>
      </w:r>
      <w:r>
        <w:rPr>
          <w:color w:val="000000"/>
          <w:sz w:val="20"/>
          <w:szCs w:val="20"/>
        </w:rPr>
        <w:t xml:space="preserve">may elect not to provide you with certain information, including certain financial information and certain information regarding compensation of our executive officers, that we would otherwise have been required to provide in filings we make with the SEC, </w:t>
      </w:r>
      <w:r>
        <w:rPr>
          <w:color w:val="000000"/>
          <w:sz w:val="20"/>
          <w:szCs w:val="20"/>
        </w:rPr>
        <w:t xml:space="preserve">which may make it more difficult for investors and securities analysts to evaluate our company. We cannot predict if investors will find our common stock less attractive because we may rely on these exemptions. If some investors find our common stock less </w:t>
      </w:r>
      <w:r>
        <w:rPr>
          <w:color w:val="000000"/>
          <w:sz w:val="20"/>
          <w:szCs w:val="20"/>
        </w:rPr>
        <w:t>attractive as a result, there may be a less active trading market for our common stock, and our stock price may be more volatile and may decline.</w:t>
      </w:r>
    </w:p>
    <w:p w:rsidR="00000000" w:rsidRDefault="00D33C21">
      <w:pPr>
        <w:pStyle w:val="a3"/>
        <w:spacing w:before="240" w:beforeAutospacing="0" w:after="0" w:afterAutospacing="0"/>
        <w:ind w:firstLine="556"/>
        <w:jc w:val="both"/>
        <w:rPr>
          <w:sz w:val="20"/>
          <w:szCs w:val="20"/>
        </w:rPr>
      </w:pPr>
      <w:r>
        <w:rPr>
          <w:sz w:val="20"/>
          <w:szCs w:val="20"/>
        </w:rPr>
        <w:t>In addition, the JOBS Act provides that an EGC may take advantage of an extended transition period for complyi</w:t>
      </w:r>
      <w:r>
        <w:rPr>
          <w:sz w:val="20"/>
          <w:szCs w:val="20"/>
        </w:rPr>
        <w:t>ng with new or revised accounting standards. This allows an EGC to delay the adoption of certain accounting standards until those standards would otherwise apply to private companies. We have irrevocably elected not to avail ourselves of this exemption fro</w:t>
      </w:r>
      <w:r>
        <w:rPr>
          <w:sz w:val="20"/>
          <w:szCs w:val="20"/>
        </w:rPr>
        <w:t xml:space="preserve">m new or revised accounting standards and, therefore, we will be subject to the same new or revised accounting standards as other public companies that are not an EGC. </w:t>
      </w:r>
    </w:p>
    <w:p w:rsidR="00000000" w:rsidRDefault="00D33C21">
      <w:pPr>
        <w:pStyle w:val="a3"/>
        <w:spacing w:before="240" w:beforeAutospacing="0" w:after="0" w:afterAutospacing="0"/>
        <w:jc w:val="center"/>
        <w:rPr>
          <w:sz w:val="20"/>
          <w:szCs w:val="20"/>
        </w:rPr>
      </w:pPr>
      <w:r>
        <w:rPr>
          <w:sz w:val="20"/>
          <w:szCs w:val="20"/>
        </w:rPr>
        <w:t>55</w:t>
      </w:r>
    </w:p>
    <w:p w:rsidR="00000000" w:rsidRDefault="00D33C21">
      <w:pPr>
        <w:rPr>
          <w:rFonts w:eastAsia="Times New Roman"/>
        </w:rPr>
      </w:pPr>
      <w:r>
        <w:rPr>
          <w:rFonts w:eastAsia="Times New Roman"/>
        </w:rPr>
        <w:pict>
          <v:rect id="_x0000_i1080"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ind w:left="238"/>
        <w:jc w:val="both"/>
        <w:rPr>
          <w:b/>
          <w:bCs/>
          <w:i/>
          <w:iCs/>
          <w:sz w:val="20"/>
          <w:szCs w:val="20"/>
        </w:rPr>
      </w:pPr>
      <w:bookmarkStart w:id="78" w:name="_AEIOULastRenderedPageBreakAEIOU55"/>
      <w:bookmarkEnd w:id="78"/>
      <w:r>
        <w:rPr>
          <w:b/>
          <w:bCs/>
          <w:i/>
          <w:iCs/>
          <w:sz w:val="20"/>
          <w:szCs w:val="20"/>
        </w:rPr>
        <w:t>We will continue to incur increased costs as a result of operating as a public company, and our management will devote substantial time to new compliance init</w:t>
      </w:r>
      <w:r>
        <w:rPr>
          <w:b/>
          <w:bCs/>
          <w:i/>
          <w:iCs/>
          <w:sz w:val="20"/>
          <w:szCs w:val="20"/>
        </w:rPr>
        <w:t xml:space="preserve">iatives. </w:t>
      </w:r>
    </w:p>
    <w:p w:rsidR="00000000" w:rsidRDefault="00D33C21">
      <w:pPr>
        <w:pStyle w:val="a3"/>
        <w:spacing w:before="120" w:beforeAutospacing="0" w:after="0" w:afterAutospacing="0"/>
        <w:ind w:firstLine="556"/>
        <w:jc w:val="both"/>
        <w:rPr>
          <w:sz w:val="20"/>
          <w:szCs w:val="20"/>
        </w:rPr>
      </w:pPr>
      <w:r>
        <w:rPr>
          <w:sz w:val="20"/>
          <w:szCs w:val="20"/>
        </w:rPr>
        <w:t>As a public company, and particularly after we are no longer an EGC, we will incur significant legal, accounting and other expenses that we did not incur as a private company. In addition, the Sarbanes-Oxley Act of 2002 and rules subsequently imp</w:t>
      </w:r>
      <w:r>
        <w:rPr>
          <w:sz w:val="20"/>
          <w:szCs w:val="20"/>
        </w:rPr>
        <w:t>lemented by the SEC and The Nasdaq Stock Market LLC have imposed various requirements on public companies, including establishment and maintenance of effective disclosure and financial controls and corporate governance practices. Our management and other p</w:t>
      </w:r>
      <w:r>
        <w:rPr>
          <w:sz w:val="20"/>
          <w:szCs w:val="20"/>
        </w:rPr>
        <w:t xml:space="preserve">ersonnel devote a substantial amount of time to these and other compliance initiatives. Moreover, these rules and regulations will continue to increase our legal and financial compliance costs and will make some activities more time-consuming and costly. </w:t>
      </w:r>
    </w:p>
    <w:p w:rsidR="00000000" w:rsidRDefault="00D33C21">
      <w:pPr>
        <w:pStyle w:val="a3"/>
        <w:spacing w:before="360" w:beforeAutospacing="0" w:after="0" w:afterAutospacing="0"/>
        <w:ind w:left="238"/>
        <w:jc w:val="both"/>
        <w:rPr>
          <w:b/>
          <w:bCs/>
          <w:i/>
          <w:iCs/>
          <w:sz w:val="20"/>
          <w:szCs w:val="20"/>
        </w:rPr>
      </w:pPr>
      <w:r>
        <w:rPr>
          <w:b/>
          <w:bCs/>
          <w:i/>
          <w:iCs/>
          <w:sz w:val="20"/>
          <w:szCs w:val="20"/>
        </w:rPr>
        <w:t xml:space="preserve">Provisions in our corporate charter documents and under Delaware law could make an acquisition of us, which may be beneficial to our stockholders, more difficult and may prevent attempts by our stockholders to replace or remove our current management. </w:t>
      </w:r>
    </w:p>
    <w:p w:rsidR="00000000" w:rsidRDefault="00D33C21">
      <w:pPr>
        <w:pStyle w:val="a3"/>
        <w:spacing w:before="120" w:beforeAutospacing="0" w:after="0" w:afterAutospacing="0"/>
        <w:ind w:firstLine="556"/>
        <w:jc w:val="both"/>
        <w:rPr>
          <w:sz w:val="20"/>
          <w:szCs w:val="20"/>
        </w:rPr>
      </w:pPr>
      <w:r>
        <w:rPr>
          <w:sz w:val="20"/>
          <w:szCs w:val="20"/>
        </w:rPr>
        <w:t>Pro</w:t>
      </w:r>
      <w:r>
        <w:rPr>
          <w:sz w:val="20"/>
          <w:szCs w:val="20"/>
        </w:rPr>
        <w:t>visions in our corporate charter and our bylaws may discourage, delay or prevent a merger, acquisition or other change in control of us that stockholders may consider favorable, including transactions in which you might otherwise receive a premium for your</w:t>
      </w:r>
      <w:r>
        <w:rPr>
          <w:sz w:val="20"/>
          <w:szCs w:val="20"/>
        </w:rPr>
        <w:t xml:space="preserve"> shares. These provisions also could limit the price that investors might be willing to pay in the future for shares of our common stock, thereby depressing the market price of our common stock. In addition, because our board of directors is responsible fo</w:t>
      </w:r>
      <w:r>
        <w:rPr>
          <w:sz w:val="20"/>
          <w:szCs w:val="20"/>
        </w:rPr>
        <w:t>r appointing the members of our management team, these provisions may frustrate or prevent any attempts by our stockholders to replace or remove our current management by making it more difficult for stockholders to replace members of our board of director</w:t>
      </w:r>
      <w:r>
        <w:rPr>
          <w:sz w:val="20"/>
          <w:szCs w:val="20"/>
        </w:rPr>
        <w:t xml:space="preserve">s. Among other things, these provisions: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establish a classified board of directors such that not all members of the board are elected at one time;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allow the authorized number of our directors to be changed only by resolution of our board of directors;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limit the manner in which stockholders can remove directors from the board;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establish advance notice requirements for stockholder proposa</w:t>
            </w:r>
            <w:r>
              <w:rPr>
                <w:sz w:val="20"/>
                <w:szCs w:val="20"/>
              </w:rPr>
              <w:t xml:space="preserve">ls that can be acted on at stockholder meetings and nominations to our board of directors;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require that stockholder actions must be effected at a duly called stockholder meeting and prohibit actions by our stockholders by written consent;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 xml:space="preserve">limit who may call stockholder meetings;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authorize our board of directors to issue preferred stock without stockholder approval, which could be used to institute a stockholder rights plan, or so-called “poison pill,” that would work to dilute the st</w:t>
            </w:r>
            <w:r>
              <w:rPr>
                <w:sz w:val="20"/>
                <w:szCs w:val="20"/>
              </w:rPr>
              <w:t xml:space="preserve">ock ownership of a potential hostile acquirer, effectively preventing acquisitions that have not been approved by our board of directors; and </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require the approval of the holders of at least 66</w:t>
            </w:r>
            <w:r>
              <w:rPr>
                <w:sz w:val="17"/>
                <w:szCs w:val="17"/>
                <w:vertAlign w:val="superscript"/>
              </w:rPr>
              <w:t> 2</w:t>
            </w:r>
            <w:r>
              <w:rPr>
                <w:sz w:val="20"/>
                <w:szCs w:val="20"/>
              </w:rPr>
              <w:t>/</w:t>
            </w:r>
            <w:r>
              <w:rPr>
                <w:sz w:val="17"/>
                <w:szCs w:val="17"/>
                <w:vertAlign w:val="subscript"/>
              </w:rPr>
              <w:t>3</w:t>
            </w:r>
            <w:r>
              <w:rPr>
                <w:sz w:val="20"/>
                <w:szCs w:val="20"/>
              </w:rPr>
              <w:t>% of the votes that all our stockholders would be ent</w:t>
            </w:r>
            <w:r>
              <w:rPr>
                <w:sz w:val="20"/>
                <w:szCs w:val="20"/>
              </w:rPr>
              <w:t xml:space="preserve">itled to cast to amend or repeal certain provisions of our charter or bylaws. </w:t>
            </w:r>
          </w:p>
        </w:tc>
      </w:tr>
    </w:tbl>
    <w:p w:rsidR="00000000" w:rsidRDefault="00D33C21">
      <w:pPr>
        <w:pStyle w:val="a3"/>
        <w:spacing w:before="240" w:beforeAutospacing="0" w:after="0" w:afterAutospacing="0"/>
        <w:ind w:firstLine="556"/>
        <w:jc w:val="both"/>
        <w:rPr>
          <w:sz w:val="20"/>
          <w:szCs w:val="20"/>
        </w:rPr>
      </w:pPr>
      <w:r>
        <w:rPr>
          <w:sz w:val="20"/>
          <w:szCs w:val="20"/>
        </w:rPr>
        <w:t>Moreover, because we are incorporated in Delaware, we are governed by the provisions of Section 203 of the Delaware General Corporation Law, which prohibits a person who owns i</w:t>
      </w:r>
      <w:r>
        <w:rPr>
          <w:sz w:val="20"/>
          <w:szCs w:val="20"/>
        </w:rPr>
        <w:t xml:space="preserve">n excess of 15% of our outstanding voting stock from merging or combining with us for a period of three years after the date of the transaction in which the person acquired in excess of 15% of our outstanding voting stock, unless the merger or combination </w:t>
      </w:r>
      <w:r>
        <w:rPr>
          <w:sz w:val="20"/>
          <w:szCs w:val="20"/>
        </w:rPr>
        <w:t xml:space="preserve">is approved in a prescribed manner. </w:t>
      </w:r>
    </w:p>
    <w:p w:rsidR="00000000" w:rsidRDefault="00D33C21">
      <w:pPr>
        <w:pStyle w:val="a3"/>
        <w:spacing w:before="240" w:beforeAutospacing="0" w:after="0" w:afterAutospacing="0"/>
        <w:ind w:firstLine="556"/>
        <w:jc w:val="both"/>
        <w:rPr>
          <w:sz w:val="20"/>
          <w:szCs w:val="20"/>
        </w:rPr>
      </w:pPr>
      <w:r>
        <w:rPr>
          <w:sz w:val="20"/>
          <w:szCs w:val="20"/>
        </w:rPr>
        <w:t xml:space="preserve">Additionally, the Takeda standstill provisions and transfer restrictions in the Takeda Stock Purchase Agreement may delay or prevent a merger, acquisition or other change in control of us that stockholders may consider </w:t>
      </w:r>
      <w:r>
        <w:rPr>
          <w:sz w:val="20"/>
          <w:szCs w:val="20"/>
        </w:rPr>
        <w:t xml:space="preserve">favorable, including transactions in which you might otherwise receive a premium for your shares. </w:t>
      </w:r>
    </w:p>
    <w:p w:rsidR="00000000" w:rsidRDefault="00D33C21">
      <w:pPr>
        <w:pStyle w:val="a3"/>
        <w:spacing w:before="360" w:beforeAutospacing="0" w:after="0" w:afterAutospacing="0"/>
        <w:ind w:left="238"/>
        <w:jc w:val="both"/>
        <w:rPr>
          <w:b/>
          <w:bCs/>
          <w:i/>
          <w:iCs/>
          <w:color w:val="000000"/>
          <w:sz w:val="20"/>
          <w:szCs w:val="20"/>
        </w:rPr>
      </w:pPr>
      <w:r>
        <w:rPr>
          <w:b/>
          <w:bCs/>
          <w:i/>
          <w:iCs/>
          <w:color w:val="000000"/>
          <w:sz w:val="20"/>
          <w:szCs w:val="20"/>
        </w:rPr>
        <w:t>We may be subject to securities litigation, which is expensive and could divert management attention.</w:t>
      </w:r>
    </w:p>
    <w:p w:rsidR="00000000" w:rsidRDefault="00D33C21">
      <w:pPr>
        <w:pStyle w:val="a3"/>
        <w:spacing w:before="120" w:beforeAutospacing="0" w:after="0" w:afterAutospacing="0"/>
        <w:ind w:firstLine="556"/>
        <w:jc w:val="both"/>
        <w:rPr>
          <w:color w:val="000000"/>
          <w:sz w:val="20"/>
          <w:szCs w:val="20"/>
        </w:rPr>
      </w:pPr>
      <w:r>
        <w:rPr>
          <w:color w:val="000000"/>
          <w:sz w:val="20"/>
          <w:szCs w:val="20"/>
        </w:rPr>
        <w:t>The market price of our common stock may be volatile.  </w:t>
      </w:r>
      <w:r>
        <w:rPr>
          <w:color w:val="000000"/>
          <w:sz w:val="20"/>
          <w:szCs w:val="20"/>
        </w:rPr>
        <w:t>For example, on August 6, 2018, we announced the topline results of our STARS clinical trial, and our stock experienced a material decline.  In the past, companies that have experienced volatility in the market price of their stock have been subject to sec</w:t>
      </w:r>
      <w:r>
        <w:rPr>
          <w:color w:val="000000"/>
          <w:sz w:val="20"/>
          <w:szCs w:val="20"/>
        </w:rPr>
        <w:t>urities class action litigation. We may be the target of this type of litigation in the future. Securities litigation against us could result in substantial costs and divert our management’s attention from other business concerns, which could seriously har</w:t>
      </w:r>
      <w:r>
        <w:rPr>
          <w:color w:val="000000"/>
          <w:sz w:val="20"/>
          <w:szCs w:val="20"/>
        </w:rPr>
        <w:t>m our business.</w:t>
      </w:r>
    </w:p>
    <w:p w:rsidR="00000000" w:rsidRDefault="00D33C21">
      <w:pPr>
        <w:pStyle w:val="a3"/>
        <w:spacing w:before="240" w:beforeAutospacing="0" w:after="0" w:afterAutospacing="0"/>
        <w:jc w:val="center"/>
        <w:rPr>
          <w:sz w:val="20"/>
          <w:szCs w:val="20"/>
        </w:rPr>
      </w:pPr>
      <w:r>
        <w:rPr>
          <w:sz w:val="20"/>
          <w:szCs w:val="20"/>
        </w:rPr>
        <w:t>56</w:t>
      </w:r>
    </w:p>
    <w:p w:rsidR="00000000" w:rsidRDefault="00D33C21">
      <w:pPr>
        <w:rPr>
          <w:rFonts w:eastAsia="Times New Roman"/>
        </w:rPr>
      </w:pPr>
      <w:r>
        <w:rPr>
          <w:rFonts w:eastAsia="Times New Roman"/>
        </w:rPr>
        <w:pict>
          <v:rect id="_x0000_i1081"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360" w:beforeAutospacing="0" w:after="0" w:afterAutospacing="0"/>
        <w:ind w:left="238"/>
        <w:jc w:val="both"/>
        <w:rPr>
          <w:b/>
          <w:bCs/>
          <w:i/>
          <w:iCs/>
          <w:color w:val="000000"/>
          <w:sz w:val="20"/>
          <w:szCs w:val="20"/>
        </w:rPr>
      </w:pPr>
      <w:bookmarkStart w:id="79" w:name="_AEIOULastRenderedPageBreakAEIOU56"/>
      <w:bookmarkEnd w:id="79"/>
      <w:r>
        <w:rPr>
          <w:b/>
          <w:bCs/>
          <w:i/>
          <w:iCs/>
          <w:color w:val="000000"/>
          <w:sz w:val="20"/>
          <w:szCs w:val="20"/>
        </w:rPr>
        <w:t>If we fail to maintain an effective system of internal control over financ</w:t>
      </w:r>
      <w:r>
        <w:rPr>
          <w:b/>
          <w:bCs/>
          <w:i/>
          <w:iCs/>
          <w:color w:val="000000"/>
          <w:sz w:val="20"/>
          <w:szCs w:val="20"/>
        </w:rPr>
        <w:t>ial reporting in the future, we may not be able to accurately report our financial condition, results of operations or cash flows, which may adversely affect investor confidence in us and, as a result, the value of our common stock.</w:t>
      </w:r>
    </w:p>
    <w:p w:rsidR="00000000" w:rsidRDefault="00D33C21">
      <w:pPr>
        <w:pStyle w:val="a3"/>
        <w:spacing w:before="120" w:beforeAutospacing="0" w:after="0" w:afterAutospacing="0"/>
        <w:ind w:firstLine="556"/>
        <w:jc w:val="both"/>
        <w:rPr>
          <w:color w:val="000000"/>
          <w:sz w:val="20"/>
          <w:szCs w:val="20"/>
        </w:rPr>
      </w:pPr>
      <w:r>
        <w:rPr>
          <w:color w:val="000000"/>
          <w:sz w:val="20"/>
          <w:szCs w:val="20"/>
        </w:rPr>
        <w:t xml:space="preserve">The Sarbanes-Oxley Act </w:t>
      </w:r>
      <w:r>
        <w:rPr>
          <w:color w:val="000000"/>
          <w:sz w:val="20"/>
          <w:szCs w:val="20"/>
        </w:rPr>
        <w:t>requires, among other things, that we maintain effective internal controls for financial reporting and disclosure controls and procedures. We are required, under Section 404, to furnish a report by management on, among other things, the effectiveness of ou</w:t>
      </w:r>
      <w:r>
        <w:rPr>
          <w:color w:val="000000"/>
          <w:sz w:val="20"/>
          <w:szCs w:val="20"/>
        </w:rPr>
        <w:t>r internal control over financial reporting. This assessment will need to include disclosure of any material weaknesses identified by our management in our internal control over financial reporting. A material weakness is a deficiency, or combination of de</w:t>
      </w:r>
      <w:r>
        <w:rPr>
          <w:color w:val="000000"/>
          <w:sz w:val="20"/>
          <w:szCs w:val="20"/>
        </w:rPr>
        <w:t>ficiencies, in internal control over financial reporting that results in more than a reasonable possibility that a material misstatement of annual or interim financial statements will not be prevented or detected on a timely basis. Section 404 also general</w:t>
      </w:r>
      <w:r>
        <w:rPr>
          <w:color w:val="000000"/>
          <w:sz w:val="20"/>
          <w:szCs w:val="20"/>
        </w:rPr>
        <w:t>ly requires an attestation from our independent registered public accounting firm on the effectiveness of our internal control over financial reporting. However, for as long as we remain an emerging growth company as defined in the JOBS Act, we intend to t</w:t>
      </w:r>
      <w:r>
        <w:rPr>
          <w:color w:val="000000"/>
          <w:sz w:val="20"/>
          <w:szCs w:val="20"/>
        </w:rPr>
        <w:t>ake advantage of the exemption permitting us not to comply with the independent registered public accounting firm attestation requirement.</w:t>
      </w:r>
    </w:p>
    <w:p w:rsidR="00000000" w:rsidRDefault="00D33C21">
      <w:pPr>
        <w:pStyle w:val="a3"/>
        <w:spacing w:before="240" w:beforeAutospacing="0" w:after="0" w:afterAutospacing="0"/>
        <w:ind w:firstLine="556"/>
        <w:jc w:val="both"/>
        <w:rPr>
          <w:color w:val="000000"/>
          <w:sz w:val="20"/>
          <w:szCs w:val="20"/>
        </w:rPr>
      </w:pPr>
      <w:r>
        <w:rPr>
          <w:color w:val="000000"/>
          <w:sz w:val="20"/>
          <w:szCs w:val="20"/>
        </w:rPr>
        <w:t>Our compliance with Section 404 will require that we incur substantial expense and expend significant management effo</w:t>
      </w:r>
      <w:r>
        <w:rPr>
          <w:color w:val="000000"/>
          <w:sz w:val="20"/>
          <w:szCs w:val="20"/>
        </w:rPr>
        <w:t>rts. We currently do not have an internal audit group, and we will need to hire additional accounting and financial staff with appropriate public company experience and technical accounting knowledge and compile the system and process documentation necessa</w:t>
      </w:r>
      <w:r>
        <w:rPr>
          <w:color w:val="000000"/>
          <w:sz w:val="20"/>
          <w:szCs w:val="20"/>
        </w:rPr>
        <w:t>ry to perform the evaluation needed to comply with Section 404. We may not be able to complete our evaluation, testing and any required remediation in a timely fashion. During the evaluation and testing process, if we identify one or more material weakness</w:t>
      </w:r>
      <w:r>
        <w:rPr>
          <w:color w:val="000000"/>
          <w:sz w:val="20"/>
          <w:szCs w:val="20"/>
        </w:rPr>
        <w:t>es in our internal control over financial reporting, we will be unable to assert that our internal control over financial reporting is effective. We cannot assure you that there will not be material weaknesses or significant deficiencies in our internal co</w:t>
      </w:r>
      <w:r>
        <w:rPr>
          <w:color w:val="000000"/>
          <w:sz w:val="20"/>
          <w:szCs w:val="20"/>
        </w:rPr>
        <w:t>ntrol over financial reporting in the future. Any failure to maintain internal control over financial reporting could severely inhibit our ability to accurately report our financial condition, results of operations or cash flows. If we are unable to conclu</w:t>
      </w:r>
      <w:r>
        <w:rPr>
          <w:color w:val="000000"/>
          <w:sz w:val="20"/>
          <w:szCs w:val="20"/>
        </w:rPr>
        <w:t>de that our internal control over financial reporting is effective, or if our independent registered public accounting firm determines we have a material weakness or significant deficiency in our internal control over financial reporting once that firm beg</w:t>
      </w:r>
      <w:r>
        <w:rPr>
          <w:color w:val="000000"/>
          <w:sz w:val="20"/>
          <w:szCs w:val="20"/>
        </w:rPr>
        <w:t xml:space="preserve">ins its Section 404 reviews, we could lose investor confidence in the accuracy and completeness of our financial reports, the market price of our common stock could decline, and we could be subject to sanctions or investigations by The Nasdaq Stock Market </w:t>
      </w:r>
      <w:r>
        <w:rPr>
          <w:color w:val="000000"/>
          <w:sz w:val="20"/>
          <w:szCs w:val="20"/>
        </w:rPr>
        <w:t>LLC, the SEC or other regulatory authorities. Failure to remedy any material weakness in our internal control over financial reporting, or to implement or maintain other effective control systems required of public companies, could also restrict our future</w:t>
      </w:r>
      <w:r>
        <w:rPr>
          <w:color w:val="000000"/>
          <w:sz w:val="20"/>
          <w:szCs w:val="20"/>
        </w:rPr>
        <w:t xml:space="preserve"> access to the capital markets.</w:t>
      </w:r>
    </w:p>
    <w:p w:rsidR="00000000" w:rsidRDefault="00D33C21">
      <w:pPr>
        <w:pStyle w:val="a3"/>
        <w:spacing w:before="360" w:beforeAutospacing="0" w:after="0" w:afterAutospacing="0"/>
        <w:ind w:left="238"/>
        <w:jc w:val="both"/>
        <w:rPr>
          <w:b/>
          <w:bCs/>
          <w:i/>
          <w:iCs/>
          <w:color w:val="000000"/>
          <w:sz w:val="20"/>
          <w:szCs w:val="20"/>
        </w:rPr>
      </w:pPr>
      <w:r>
        <w:rPr>
          <w:b/>
          <w:bCs/>
          <w:i/>
          <w:iCs/>
          <w:color w:val="000000"/>
          <w:sz w:val="20"/>
          <w:szCs w:val="20"/>
        </w:rPr>
        <w:t>Some provisions of our charter documents and Delaware law may have anti-takeover effects that could discourage an acquisition of us by others, even if an acquisition would benefit our stockholders and may prevent attempts by</w:t>
      </w:r>
      <w:r>
        <w:rPr>
          <w:b/>
          <w:bCs/>
          <w:i/>
          <w:iCs/>
          <w:color w:val="000000"/>
          <w:sz w:val="20"/>
          <w:szCs w:val="20"/>
        </w:rPr>
        <w:t xml:space="preserve"> our stockholders to replace or remove our current management.</w:t>
      </w:r>
    </w:p>
    <w:p w:rsidR="00000000" w:rsidRDefault="00D33C21">
      <w:pPr>
        <w:pStyle w:val="a3"/>
        <w:spacing w:before="120" w:beforeAutospacing="0" w:after="0" w:afterAutospacing="0"/>
        <w:ind w:firstLine="556"/>
        <w:jc w:val="both"/>
        <w:rPr>
          <w:color w:val="000000"/>
          <w:sz w:val="20"/>
          <w:szCs w:val="20"/>
        </w:rPr>
      </w:pPr>
      <w:r>
        <w:rPr>
          <w:color w:val="000000"/>
          <w:sz w:val="20"/>
          <w:szCs w:val="20"/>
        </w:rPr>
        <w:t>Provisions in our amended and restated certificate of incorporation and amended and restated bylaws, as well as provisions of Delaware law, could make it more difficult for a third party to acq</w:t>
      </w:r>
      <w:r>
        <w:rPr>
          <w:color w:val="000000"/>
          <w:sz w:val="20"/>
          <w:szCs w:val="20"/>
        </w:rPr>
        <w:t>uire us or increase the cost of acquiring us, even if doing so would benefit our stockholders, or remove our current management. These provisions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authorizing the issuance of “blank check” preferred stock, the terms of which we may establish an</w:t>
            </w:r>
            <w:r>
              <w:rPr>
                <w:sz w:val="20"/>
                <w:szCs w:val="20"/>
              </w:rPr>
              <w:t>d shares of which we may issue without stockholder approval;</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prohibiting cumulative voting in the election of directors, which would otherwise allow for less than a majority of stockholders to elect director candidates;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prohibiting stockholder action by written consent, thereby requiring all stockholder action</w:t>
            </w:r>
            <w:r>
              <w:rPr>
                <w:sz w:val="20"/>
                <w:szCs w:val="20"/>
              </w:rPr>
              <w:t>s to be taken at a meeting of our stockholders;</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eliminating the ability of stockholders to call a special meeting of stockholders; and</w:t>
            </w:r>
          </w:p>
        </w:tc>
      </w:tr>
    </w:tbl>
    <w:p w:rsidR="00000000" w:rsidRDefault="00D33C2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D33C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33C21">
            <w:pPr>
              <w:pStyle w:val="a3"/>
              <w:spacing w:before="120" w:beforeAutospacing="0" w:after="0" w:afterAutospacing="0"/>
              <w:jc w:val="both"/>
              <w:rPr>
                <w:sz w:val="20"/>
                <w:szCs w:val="20"/>
              </w:rPr>
            </w:pPr>
            <w:r>
              <w:rPr>
                <w:sz w:val="20"/>
                <w:szCs w:val="20"/>
              </w:rPr>
              <w:t>•</w:t>
            </w:r>
          </w:p>
        </w:tc>
        <w:tc>
          <w:tcPr>
            <w:tcW w:w="0" w:type="auto"/>
            <w:hideMark/>
          </w:tcPr>
          <w:p w:rsidR="00000000" w:rsidRDefault="00D33C21">
            <w:pPr>
              <w:pStyle w:val="a3"/>
              <w:spacing w:before="120" w:beforeAutospacing="0" w:after="0" w:afterAutospacing="0"/>
              <w:jc w:val="both"/>
              <w:rPr>
                <w:sz w:val="20"/>
                <w:szCs w:val="20"/>
              </w:rPr>
            </w:pPr>
            <w:r>
              <w:rPr>
                <w:sz w:val="20"/>
                <w:szCs w:val="20"/>
              </w:rPr>
              <w:t>establishing advance notice requirements for nominations for election to the board of directors or for propos</w:t>
            </w:r>
            <w:r>
              <w:rPr>
                <w:sz w:val="20"/>
                <w:szCs w:val="20"/>
              </w:rPr>
              <w:t>ing matters that can be acted upon at stockholder meetings.</w:t>
            </w:r>
          </w:p>
        </w:tc>
      </w:tr>
    </w:tbl>
    <w:p w:rsidR="00000000" w:rsidRDefault="00D33C21">
      <w:pPr>
        <w:pStyle w:val="a3"/>
        <w:spacing w:before="240" w:beforeAutospacing="0" w:after="0" w:afterAutospacing="0"/>
        <w:ind w:firstLine="556"/>
        <w:jc w:val="both"/>
        <w:rPr>
          <w:color w:val="000000"/>
          <w:sz w:val="20"/>
          <w:szCs w:val="20"/>
        </w:rPr>
      </w:pPr>
      <w:bookmarkStart w:id="80" w:name="_AEIOULastRenderedPageBreakAEIOU57"/>
      <w:bookmarkEnd w:id="80"/>
      <w:r>
        <w:rPr>
          <w:color w:val="000000"/>
          <w:sz w:val="20"/>
          <w:szCs w:val="20"/>
        </w:rPr>
        <w:t>These provisions may frustrate or prevent any attempts by our stockholders to replace or remove our current management by making it more difficult for stockholders to replace members of our board</w:t>
      </w:r>
      <w:r>
        <w:rPr>
          <w:color w:val="000000"/>
          <w:sz w:val="20"/>
          <w:szCs w:val="20"/>
        </w:rPr>
        <w:t xml:space="preserve"> of directors, who are responsible for appointing the members of our management. Because we are incorporated in Delaware, we are governed by the provisions of Section 203 of the Delaware General Corporation Law (the “DGCL”), which may discourage, delay or </w:t>
      </w:r>
      <w:r>
        <w:rPr>
          <w:color w:val="000000"/>
          <w:sz w:val="20"/>
          <w:szCs w:val="20"/>
        </w:rPr>
        <w:t xml:space="preserve">prevent someone from acquiring us or merging with us whether or not it is desired by or beneficial to our stockholders. Under the DGCL, a corporation may not, in general, engage in a business combination with any holder of 15% or more of its capital stock </w:t>
      </w:r>
      <w:r>
        <w:rPr>
          <w:color w:val="000000"/>
          <w:sz w:val="20"/>
          <w:szCs w:val="20"/>
        </w:rPr>
        <w:t>unless the holder has held the stock for three years or, among other things, the board of directors has approved the transaction. Any provision of our amended and restated certificate of incorporation or amended and restated bylaws or Delaware law that has</w:t>
      </w:r>
      <w:r>
        <w:rPr>
          <w:color w:val="000000"/>
          <w:sz w:val="20"/>
          <w:szCs w:val="20"/>
        </w:rPr>
        <w:t xml:space="preserve"> the effect of delaying or deterring a change of control could </w:t>
      </w:r>
    </w:p>
    <w:p w:rsidR="00000000" w:rsidRDefault="00D33C21">
      <w:pPr>
        <w:pStyle w:val="a3"/>
        <w:spacing w:before="240" w:beforeAutospacing="0" w:after="0" w:afterAutospacing="0"/>
        <w:jc w:val="center"/>
        <w:rPr>
          <w:sz w:val="20"/>
          <w:szCs w:val="20"/>
        </w:rPr>
      </w:pPr>
      <w:r>
        <w:rPr>
          <w:sz w:val="20"/>
          <w:szCs w:val="20"/>
        </w:rPr>
        <w:t>57</w:t>
      </w:r>
    </w:p>
    <w:p w:rsidR="00000000" w:rsidRDefault="00D33C21">
      <w:pPr>
        <w:rPr>
          <w:rFonts w:eastAsia="Times New Roman"/>
        </w:rPr>
      </w:pPr>
      <w:r>
        <w:rPr>
          <w:rFonts w:eastAsia="Times New Roman"/>
        </w:rPr>
        <w:pict>
          <v:rect id="_x0000_i1082"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240" w:beforeAutospacing="0" w:after="0" w:afterAutospacing="0"/>
        <w:jc w:val="both"/>
        <w:rPr>
          <w:color w:val="000000"/>
          <w:sz w:val="20"/>
          <w:szCs w:val="20"/>
        </w:rPr>
      </w:pPr>
      <w:r>
        <w:rPr>
          <w:color w:val="000000"/>
          <w:sz w:val="20"/>
          <w:szCs w:val="20"/>
        </w:rPr>
        <w:t>limit the opportunity for our stockholders to receive a premium for their shares of our common stock and could also affect the price that some investors are willing to pay for our common stock.</w:t>
      </w:r>
    </w:p>
    <w:p w:rsidR="00000000" w:rsidRDefault="00D33C21">
      <w:pPr>
        <w:pStyle w:val="a3"/>
        <w:spacing w:before="360" w:beforeAutospacing="0" w:after="0" w:afterAutospacing="0"/>
        <w:jc w:val="both"/>
        <w:rPr>
          <w:b/>
          <w:bCs/>
          <w:sz w:val="20"/>
          <w:szCs w:val="20"/>
        </w:rPr>
      </w:pPr>
      <w:bookmarkStart w:id="81" w:name="ITEM_2_UNREGISTERED_SALES_EQUITY_SECURIT"/>
      <w:bookmarkEnd w:id="81"/>
      <w:r>
        <w:rPr>
          <w:b/>
          <w:bCs/>
          <w:sz w:val="20"/>
          <w:szCs w:val="20"/>
        </w:rPr>
        <w:t>Item 2. Unregistered Sales of Equity Securities and Use of Pro</w:t>
      </w:r>
      <w:r>
        <w:rPr>
          <w:b/>
          <w:bCs/>
          <w:sz w:val="20"/>
          <w:szCs w:val="20"/>
        </w:rPr>
        <w:t>ceeds.</w:t>
      </w:r>
    </w:p>
    <w:p w:rsidR="00000000" w:rsidRDefault="00D33C21">
      <w:pPr>
        <w:pStyle w:val="a3"/>
        <w:shd w:val="clear" w:color="auto" w:fill="FFFFFF"/>
        <w:spacing w:before="120" w:beforeAutospacing="0" w:after="0" w:afterAutospacing="0"/>
        <w:jc w:val="both"/>
        <w:rPr>
          <w:b/>
          <w:bCs/>
          <w:i/>
          <w:iCs/>
          <w:color w:val="000000"/>
          <w:sz w:val="20"/>
          <w:szCs w:val="20"/>
        </w:rPr>
      </w:pPr>
      <w:r>
        <w:rPr>
          <w:b/>
          <w:bCs/>
          <w:i/>
          <w:iCs/>
          <w:color w:val="000000"/>
          <w:sz w:val="20"/>
          <w:szCs w:val="20"/>
        </w:rPr>
        <w:t>Recent Sales of Unregistered Equity Securities</w:t>
      </w:r>
    </w:p>
    <w:p w:rsidR="00000000" w:rsidRDefault="00D33C21">
      <w:pPr>
        <w:pStyle w:val="a3"/>
        <w:shd w:val="clear" w:color="auto" w:fill="FFFFFF"/>
        <w:spacing w:before="120" w:beforeAutospacing="0" w:after="0" w:afterAutospacing="0"/>
        <w:ind w:firstLine="556"/>
        <w:jc w:val="both"/>
        <w:rPr>
          <w:color w:val="000000"/>
          <w:sz w:val="20"/>
          <w:szCs w:val="20"/>
        </w:rPr>
      </w:pPr>
      <w:r>
        <w:rPr>
          <w:color w:val="000000"/>
          <w:sz w:val="20"/>
          <w:szCs w:val="20"/>
        </w:rPr>
        <w:t>None.</w:t>
      </w:r>
    </w:p>
    <w:p w:rsidR="00000000" w:rsidRDefault="00D33C21">
      <w:pPr>
        <w:pStyle w:val="a3"/>
        <w:shd w:val="clear" w:color="auto" w:fill="FFFFFF"/>
        <w:spacing w:before="360" w:beforeAutospacing="0" w:after="0" w:afterAutospacing="0"/>
        <w:jc w:val="both"/>
        <w:rPr>
          <w:b/>
          <w:bCs/>
          <w:i/>
          <w:iCs/>
          <w:color w:val="000000"/>
          <w:sz w:val="20"/>
          <w:szCs w:val="20"/>
        </w:rPr>
      </w:pPr>
      <w:r>
        <w:rPr>
          <w:b/>
          <w:bCs/>
          <w:i/>
          <w:iCs/>
          <w:color w:val="000000"/>
          <w:sz w:val="20"/>
          <w:szCs w:val="20"/>
        </w:rPr>
        <w:t>Use of Proceeds</w:t>
      </w:r>
    </w:p>
    <w:p w:rsidR="00000000" w:rsidRDefault="00D33C21">
      <w:pPr>
        <w:pStyle w:val="a3"/>
        <w:shd w:val="clear" w:color="auto" w:fill="FFFFFF"/>
        <w:spacing w:before="120" w:beforeAutospacing="0" w:after="0" w:afterAutospacing="0"/>
        <w:ind w:firstLine="556"/>
        <w:jc w:val="both"/>
        <w:rPr>
          <w:color w:val="000000"/>
          <w:sz w:val="20"/>
          <w:szCs w:val="20"/>
        </w:rPr>
      </w:pPr>
      <w:r>
        <w:rPr>
          <w:color w:val="000000"/>
          <w:sz w:val="20"/>
          <w:szCs w:val="20"/>
        </w:rPr>
        <w:t>Not applicable.</w:t>
      </w:r>
    </w:p>
    <w:p w:rsidR="00000000" w:rsidRDefault="00D33C21">
      <w:pPr>
        <w:pStyle w:val="a3"/>
        <w:shd w:val="clear" w:color="auto" w:fill="FFFFFF"/>
        <w:spacing w:before="240" w:beforeAutospacing="0" w:after="0" w:afterAutospacing="0"/>
        <w:jc w:val="both"/>
        <w:rPr>
          <w:b/>
          <w:bCs/>
          <w:i/>
          <w:iCs/>
          <w:color w:val="000000"/>
          <w:sz w:val="20"/>
          <w:szCs w:val="20"/>
        </w:rPr>
      </w:pPr>
      <w:r>
        <w:rPr>
          <w:b/>
          <w:bCs/>
          <w:i/>
          <w:iCs/>
          <w:color w:val="000000"/>
          <w:sz w:val="20"/>
          <w:szCs w:val="20"/>
        </w:rPr>
        <w:t>Purchases of Equity Securities by the Issuer and Affiliated Purchasers</w:t>
      </w:r>
    </w:p>
    <w:p w:rsidR="00000000" w:rsidRDefault="00D33C21">
      <w:pPr>
        <w:pStyle w:val="a3"/>
        <w:shd w:val="clear" w:color="auto" w:fill="FFFFFF"/>
        <w:spacing w:before="120" w:beforeAutospacing="0" w:after="0" w:afterAutospacing="0"/>
        <w:ind w:firstLine="556"/>
        <w:jc w:val="both"/>
        <w:rPr>
          <w:color w:val="000000"/>
          <w:sz w:val="20"/>
          <w:szCs w:val="20"/>
        </w:rPr>
      </w:pPr>
      <w:r>
        <w:rPr>
          <w:color w:val="000000"/>
          <w:sz w:val="20"/>
          <w:szCs w:val="20"/>
        </w:rPr>
        <w:t>None.</w:t>
      </w:r>
    </w:p>
    <w:p w:rsidR="00000000" w:rsidRDefault="00D33C21">
      <w:pPr>
        <w:pStyle w:val="a3"/>
        <w:spacing w:before="240" w:beforeAutospacing="0" w:after="0" w:afterAutospacing="0"/>
        <w:jc w:val="center"/>
        <w:rPr>
          <w:sz w:val="20"/>
          <w:szCs w:val="20"/>
        </w:rPr>
      </w:pPr>
      <w:r>
        <w:rPr>
          <w:sz w:val="20"/>
          <w:szCs w:val="20"/>
        </w:rPr>
        <w:t>58</w:t>
      </w:r>
    </w:p>
    <w:p w:rsidR="00000000" w:rsidRDefault="00D33C21">
      <w:pPr>
        <w:rPr>
          <w:rFonts w:eastAsia="Times New Roman"/>
        </w:rPr>
      </w:pPr>
      <w:r>
        <w:rPr>
          <w:rFonts w:eastAsia="Times New Roman"/>
        </w:rPr>
        <w:pict>
          <v:rect id="_x0000_i1083"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jc w:val="both"/>
        <w:rPr>
          <w:b/>
          <w:bCs/>
          <w:sz w:val="20"/>
          <w:szCs w:val="20"/>
        </w:rPr>
      </w:pPr>
      <w:bookmarkStart w:id="82" w:name="_AEIOULastRenderedPageBreakAEIOU58"/>
      <w:bookmarkStart w:id="83" w:name="ITEM_6_EXHIBITS"/>
      <w:bookmarkEnd w:id="82"/>
      <w:bookmarkEnd w:id="83"/>
      <w:r>
        <w:rPr>
          <w:b/>
          <w:bCs/>
          <w:sz w:val="20"/>
          <w:szCs w:val="20"/>
        </w:rPr>
        <w:t>Item 6. Exhibits.</w:t>
      </w:r>
    </w:p>
    <w:p w:rsidR="00000000" w:rsidRDefault="00D33C21">
      <w:pPr>
        <w:pStyle w:val="a3"/>
        <w:spacing w:before="0" w:beforeAutospacing="0" w:after="0" w:afterAutospacing="0"/>
        <w:rPr>
          <w:sz w:val="20"/>
          <w:szCs w:val="20"/>
        </w:rPr>
      </w:pPr>
      <w:r>
        <w:rPr>
          <w:sz w:val="20"/>
          <w:szCs w:val="20"/>
        </w:rPr>
        <w:t> </w:t>
      </w:r>
    </w:p>
    <w:tbl>
      <w:tblPr>
        <w:tblW w:w="4996" w:type="pct"/>
        <w:jc w:val="center"/>
        <w:tblCellMar>
          <w:left w:w="0" w:type="dxa"/>
          <w:right w:w="0" w:type="dxa"/>
        </w:tblCellMar>
        <w:tblLook w:val="04A0" w:firstRow="1" w:lastRow="0" w:firstColumn="1" w:lastColumn="0" w:noHBand="0" w:noVBand="1"/>
      </w:tblPr>
      <w:tblGrid>
        <w:gridCol w:w="765"/>
        <w:gridCol w:w="65"/>
        <w:gridCol w:w="7469"/>
      </w:tblGrid>
      <w:tr w:rsidR="00000000">
        <w:trPr>
          <w:divId w:val="853375252"/>
          <w:jc w:val="center"/>
        </w:trPr>
        <w:tc>
          <w:tcPr>
            <w:tcW w:w="400" w:type="pct"/>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Exhibit</w:t>
            </w:r>
          </w:p>
          <w:p w:rsidR="00000000" w:rsidRDefault="00D33C21">
            <w:pPr>
              <w:pStyle w:val="a3"/>
              <w:spacing w:before="0" w:beforeAutospacing="0" w:after="0" w:afterAutospacing="0"/>
              <w:jc w:val="center"/>
              <w:rPr>
                <w:b/>
                <w:bCs/>
                <w:color w:val="000000"/>
                <w:sz w:val="16"/>
                <w:szCs w:val="16"/>
              </w:rPr>
            </w:pPr>
            <w:r>
              <w:rPr>
                <w:b/>
                <w:bCs/>
                <w:color w:val="000000"/>
                <w:sz w:val="16"/>
                <w:szCs w:val="16"/>
              </w:rPr>
              <w:t>Number</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16"/>
                <w:szCs w:val="16"/>
              </w:rPr>
            </w:pPr>
            <w:r>
              <w:rPr>
                <w:color w:val="000000"/>
                <w:sz w:val="16"/>
                <w:szCs w:val="16"/>
              </w:rPr>
              <w:t> </w:t>
            </w:r>
          </w:p>
        </w:tc>
        <w:tc>
          <w:tcPr>
            <w:tcW w:w="4550" w:type="pct"/>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center"/>
              <w:rPr>
                <w:b/>
                <w:bCs/>
                <w:color w:val="000000"/>
                <w:sz w:val="16"/>
                <w:szCs w:val="16"/>
              </w:rPr>
            </w:pPr>
            <w:r>
              <w:rPr>
                <w:b/>
                <w:bCs/>
                <w:color w:val="000000"/>
                <w:sz w:val="16"/>
                <w:szCs w:val="16"/>
              </w:rPr>
              <w:t>Description</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color w:val="000000"/>
                <w:sz w:val="20"/>
                <w:szCs w:val="20"/>
              </w:rPr>
            </w:pPr>
            <w:r>
              <w:rPr>
                <w:color w:val="000000"/>
                <w:sz w:val="20"/>
                <w:szCs w:val="20"/>
                <w:shd w:val="clear" w:color="auto" w:fill="FFFFFF"/>
              </w:rPr>
              <w:t>3.1</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hyperlink r:id="rId4" w:history="1">
              <w:r>
                <w:rPr>
                  <w:rStyle w:val="a4"/>
                  <w:sz w:val="20"/>
                  <w:szCs w:val="20"/>
                  <w:shd w:val="clear" w:color="auto" w:fill="FFFFFF"/>
                </w:rPr>
                <w:t>Amended and Restated Certificate of Incorporation (incorporated herein by reference to Exhibit 3.1 to the Company’s Current Report on Form 8-K (File No. 001-</w:t>
              </w:r>
              <w:r>
                <w:rPr>
                  <w:rStyle w:val="a4"/>
                  <w:sz w:val="20"/>
                  <w:szCs w:val="20"/>
                  <w:shd w:val="clear" w:color="auto" w:fill="FFFFFF"/>
                </w:rPr>
                <w:t>38085), filed with the Commission on May 10, 2017).</w:t>
              </w:r>
            </w:hyperlink>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color w:val="000000"/>
                <w:sz w:val="20"/>
                <w:szCs w:val="20"/>
              </w:rPr>
            </w:pPr>
            <w:r>
              <w:rPr>
                <w:color w:val="000000"/>
                <w:sz w:val="20"/>
                <w:szCs w:val="20"/>
                <w:shd w:val="clear" w:color="auto" w:fill="FFFFFF"/>
              </w:rPr>
              <w:t>3.2</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hyperlink r:id="rId5" w:history="1">
              <w:r>
                <w:rPr>
                  <w:rStyle w:val="a4"/>
                  <w:sz w:val="20"/>
                  <w:szCs w:val="20"/>
                </w:rPr>
                <w:t>Certificate of Designation of Series A Convertible Preferred Stock (incorporated herein by reference to Exhibit 3.1 to the Company’s Current Report on Form 8-K (File No. 001-38085), filed with the Commission on February 21, 2019).</w:t>
              </w:r>
            </w:hyperlink>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color w:val="000000"/>
                <w:sz w:val="20"/>
                <w:szCs w:val="20"/>
              </w:rPr>
            </w:pPr>
            <w:r>
              <w:rPr>
                <w:color w:val="000000"/>
                <w:sz w:val="20"/>
                <w:szCs w:val="20"/>
                <w:shd w:val="clear" w:color="auto" w:fill="FFFFFF"/>
              </w:rPr>
              <w:t>3.3</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hyperlink r:id="rId6" w:history="1">
              <w:r>
                <w:rPr>
                  <w:rStyle w:val="a4"/>
                  <w:sz w:val="20"/>
                  <w:szCs w:val="20"/>
                  <w:shd w:val="clear" w:color="auto" w:fill="FFFFFF"/>
                </w:rPr>
                <w:t>Amended and Restated Bylaws (incorporated herein by reference to Exhibit 3.2 to the Company’s Current Report on Form 8-K (File No. 001-38085), filed with the Commission</w:t>
              </w:r>
              <w:r>
                <w:rPr>
                  <w:rStyle w:val="a4"/>
                  <w:sz w:val="20"/>
                  <w:szCs w:val="20"/>
                  <w:shd w:val="clear" w:color="auto" w:fill="FFFFFF"/>
                </w:rPr>
                <w:t xml:space="preserve"> on May 10, 2017).</w:t>
              </w:r>
            </w:hyperlink>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color w:val="000000"/>
                <w:sz w:val="20"/>
                <w:szCs w:val="20"/>
              </w:rPr>
            </w:pPr>
            <w:r>
              <w:rPr>
                <w:color w:val="000000"/>
                <w:sz w:val="20"/>
                <w:szCs w:val="20"/>
                <w:shd w:val="clear" w:color="auto" w:fill="FFFFFF"/>
              </w:rPr>
              <w:t>4.1</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hyperlink r:id="rId7" w:history="1">
              <w:r>
                <w:rPr>
                  <w:rStyle w:val="a4"/>
                  <w:sz w:val="20"/>
                  <w:szCs w:val="20"/>
                </w:rPr>
                <w:t>Form of Common Stock Certificate of the Company (incorporated herein by reference to Exhibit 4.1 to the Company’s Registrati</w:t>
              </w:r>
              <w:r>
                <w:rPr>
                  <w:rStyle w:val="a4"/>
                  <w:sz w:val="20"/>
                  <w:szCs w:val="20"/>
                </w:rPr>
                <w:t>on Statement on Form S-1/A (File No. 333-217245), filed with the Commission on April 25, 2017).</w:t>
              </w:r>
            </w:hyperlink>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color w:val="000000"/>
                <w:sz w:val="20"/>
                <w:szCs w:val="20"/>
              </w:rPr>
            </w:pPr>
            <w:r>
              <w:rPr>
                <w:color w:val="000000"/>
                <w:sz w:val="20"/>
                <w:szCs w:val="20"/>
                <w:shd w:val="clear" w:color="auto" w:fill="FFFFFF"/>
              </w:rPr>
              <w:t>4.2</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hyperlink r:id="rId8" w:history="1">
              <w:r>
                <w:rPr>
                  <w:rStyle w:val="a4"/>
                  <w:sz w:val="20"/>
                  <w:szCs w:val="20"/>
                </w:rPr>
                <w:t>Form of Series A Preferred Stock Certificate (incorporated herein by reference to Exhibit 4.1 to the Company’s Current Report on Form 8-K (File No. 001-38085</w:t>
              </w:r>
              <w:r>
                <w:rPr>
                  <w:rStyle w:val="a4"/>
                  <w:sz w:val="20"/>
                  <w:szCs w:val="20"/>
                </w:rPr>
                <w:t>), filed with the Commission on February 21, 2019).</w:t>
              </w:r>
            </w:hyperlink>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trHeight w:val="45"/>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color w:val="000000"/>
                <w:sz w:val="20"/>
                <w:szCs w:val="20"/>
              </w:rPr>
            </w:pPr>
            <w:r>
              <w:rPr>
                <w:color w:val="000000"/>
                <w:sz w:val="20"/>
                <w:szCs w:val="20"/>
                <w:shd w:val="clear" w:color="auto" w:fill="FFFFFF"/>
              </w:rPr>
              <w:t>4.3</w:t>
            </w:r>
          </w:p>
        </w:tc>
        <w:tc>
          <w:tcPr>
            <w:tcW w:w="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hyperlink r:id="rId9" w:history="1">
              <w:r>
                <w:rPr>
                  <w:rStyle w:val="a4"/>
                  <w:sz w:val="20"/>
                  <w:szCs w:val="20"/>
                  <w:shd w:val="clear" w:color="auto" w:fill="FFFFFF"/>
                </w:rPr>
                <w:t>Second Amended and Restated Investors’ Rights Agreement, by and among the Company and certa</w:t>
              </w:r>
              <w:r>
                <w:rPr>
                  <w:rStyle w:val="a4"/>
                  <w:sz w:val="20"/>
                  <w:szCs w:val="20"/>
                  <w:shd w:val="clear" w:color="auto" w:fill="FFFFFF"/>
                </w:rPr>
                <w:t>in of its stockholders, dated January 6, 2017 (incorporated herein by reference to Exhibit 4.2 to the Company’s Registration Statement on Form S-1 (File No. 333-217245), filed with the Commission on April 10, 2017).</w:t>
              </w:r>
            </w:hyperlink>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color w:val="000000"/>
                <w:sz w:val="20"/>
                <w:szCs w:val="20"/>
              </w:rPr>
            </w:pPr>
            <w:r>
              <w:rPr>
                <w:color w:val="000000"/>
                <w:sz w:val="20"/>
                <w:szCs w:val="20"/>
                <w:shd w:val="clear" w:color="auto" w:fill="FFFFFF"/>
              </w:rPr>
              <w:t>10.1</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20"/>
                <w:szCs w:val="20"/>
              </w:rPr>
            </w:pPr>
            <w:hyperlink r:id="rId10" w:history="1">
              <w:r>
                <w:rPr>
                  <w:rStyle w:val="a4"/>
                  <w:sz w:val="20"/>
                  <w:szCs w:val="20"/>
                </w:rPr>
                <w:t>First Amendment to License Agreement by and between H. Lundbeck A/S and the Company, dated May 10, 2019 (as incorporated herein by reference to Exhibit 11 of the Company’s Current Re</w:t>
              </w:r>
              <w:r>
                <w:rPr>
                  <w:rStyle w:val="a4"/>
                  <w:sz w:val="20"/>
                  <w:szCs w:val="20"/>
                </w:rPr>
                <w:t>port on Form 8-K/A (File No. 001-38085), filed with the Commission on June 17, 2019).</w:t>
              </w:r>
            </w:hyperlink>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color w:val="000000"/>
                <w:sz w:val="20"/>
                <w:szCs w:val="20"/>
              </w:rPr>
            </w:pPr>
            <w:r>
              <w:rPr>
                <w:color w:val="000000"/>
                <w:sz w:val="20"/>
                <w:szCs w:val="20"/>
                <w:shd w:val="clear" w:color="auto" w:fill="FFFFFF"/>
              </w:rPr>
              <w:t>31.1</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20"/>
                <w:szCs w:val="20"/>
              </w:rPr>
            </w:pPr>
            <w:hyperlink r:id="rId11" w:history="1">
              <w:r>
                <w:rPr>
                  <w:rStyle w:val="a4"/>
                  <w:sz w:val="20"/>
                  <w:szCs w:val="20"/>
                </w:rPr>
                <w:t>Certification of Principal Executive Officer Pursuant to Rules 13a-14(a) and 15d-14(a) under the Securities Exchange Act of 1934, as Adopted Pursuant to Section 302 of the Sarbanes-Oxley Act of 2002.</w:t>
              </w:r>
            </w:hyperlink>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color w:val="000000"/>
                <w:sz w:val="20"/>
                <w:szCs w:val="20"/>
              </w:rPr>
            </w:pPr>
            <w:r>
              <w:rPr>
                <w:color w:val="000000"/>
                <w:sz w:val="20"/>
                <w:szCs w:val="20"/>
                <w:shd w:val="clear" w:color="auto" w:fill="FFFFFF"/>
              </w:rPr>
              <w:t>31.2</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20"/>
                <w:szCs w:val="20"/>
              </w:rPr>
            </w:pPr>
            <w:hyperlink r:id="rId12" w:history="1">
              <w:r>
                <w:rPr>
                  <w:rStyle w:val="a4"/>
                  <w:sz w:val="20"/>
                  <w:szCs w:val="20"/>
                </w:rPr>
                <w:t>Certific</w:t>
              </w:r>
              <w:r>
                <w:rPr>
                  <w:rStyle w:val="a4"/>
                  <w:sz w:val="20"/>
                  <w:szCs w:val="20"/>
                </w:rPr>
                <w:t>ation of Principal Financial Officer Pursuant to Rules 13a-14(a) and 15d-14(a) under the Securities Exchange Act of 1934, as Adopted Pursuant to Section 302 of the Sarbanes-Oxley Act of 2002.</w:t>
              </w:r>
            </w:hyperlink>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jc w:val="center"/>
              <w:rPr>
                <w:color w:val="000000"/>
                <w:sz w:val="20"/>
                <w:szCs w:val="20"/>
              </w:rPr>
            </w:pPr>
            <w:r>
              <w:rPr>
                <w:color w:val="000000"/>
                <w:sz w:val="20"/>
                <w:szCs w:val="20"/>
                <w:shd w:val="clear" w:color="auto" w:fill="FFFFFF"/>
              </w:rPr>
              <w:t>32.1*</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20"/>
                <w:szCs w:val="20"/>
              </w:rPr>
            </w:pPr>
            <w:hyperlink r:id="rId13" w:history="1">
              <w:r>
                <w:rPr>
                  <w:rStyle w:val="a4"/>
                  <w:sz w:val="20"/>
                  <w:szCs w:val="20"/>
                </w:rPr>
                <w:t>Certification o</w:t>
              </w:r>
              <w:r>
                <w:rPr>
                  <w:rStyle w:val="a4"/>
                  <w:sz w:val="20"/>
                  <w:szCs w:val="20"/>
                </w:rPr>
                <w:t>f Principal Executive Officer and Principal Financial Officer Pursuant to 18 U.S.C. Section 1350, as Adopted Pursuant to Section 906 of the Sarbanes-Oxley Act of 2002.</w:t>
              </w:r>
            </w:hyperlink>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shd w:val="clear" w:color="auto" w:fill="FFFFFF"/>
              </w:rPr>
              <w:t>101.INS</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XBRL Instance Document</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shd w:val="clear" w:color="auto" w:fill="FFFFFF"/>
              </w:rPr>
              <w:t>101.SCH</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XBRL Taxonomy Extension Schema Document</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shd w:val="clear" w:color="auto" w:fill="FFFFFF"/>
              </w:rPr>
              <w:t>101.CAL</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XBRL Taxonomy Extension Calculation Linkbase Document</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shd w:val="clear" w:color="auto" w:fill="FFFFFF"/>
              </w:rPr>
              <w:t>101.DEF</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XBRL Taxonomy Extension Definition Linkbase Document</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shd w:val="clear" w:color="auto" w:fill="FFFFFF"/>
              </w:rPr>
              <w:t>101.LAB</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XBRL Taxonomy Extension Label Linkbase Document</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12"/>
                <w:szCs w:val="12"/>
              </w:rPr>
            </w:pPr>
            <w:r>
              <w:rPr>
                <w:sz w:val="12"/>
                <w:szCs w:val="12"/>
              </w:rPr>
              <w:t> </w:t>
            </w:r>
          </w:p>
        </w:tc>
      </w:tr>
      <w:tr w:rsidR="00000000">
        <w:trPr>
          <w:divId w:val="853375252"/>
          <w:jc w:val="center"/>
        </w:trPr>
        <w:tc>
          <w:tcPr>
            <w:tcW w:w="4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shd w:val="clear" w:color="auto" w:fill="FFFFFF"/>
              </w:rPr>
              <w:t>101.PRE</w:t>
            </w:r>
          </w:p>
        </w:tc>
        <w:tc>
          <w:tcPr>
            <w:tcW w:w="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XBRL Taxonomy Extension Presentation Linkbase Document</w:t>
            </w:r>
          </w:p>
        </w:tc>
      </w:tr>
    </w:tbl>
    <w:p w:rsidR="00000000" w:rsidRDefault="00D33C21">
      <w:pPr>
        <w:pStyle w:val="a3"/>
        <w:pBdr>
          <w:bottom w:val="single" w:sz="6" w:space="1" w:color="auto"/>
        </w:pBdr>
        <w:spacing w:before="0" w:beforeAutospacing="0" w:after="0" w:afterAutospacing="0"/>
        <w:ind w:right="1023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D33C21">
            <w:pPr>
              <w:pStyle w:val="a3"/>
              <w:spacing w:before="40" w:beforeAutospacing="0" w:after="0" w:afterAutospacing="0"/>
              <w:jc w:val="both"/>
              <w:rPr>
                <w:sz w:val="20"/>
                <w:szCs w:val="20"/>
              </w:rPr>
            </w:pPr>
            <w:r>
              <w:rPr>
                <w:sz w:val="20"/>
                <w:szCs w:val="20"/>
              </w:rPr>
              <w:t>*</w:t>
            </w:r>
          </w:p>
        </w:tc>
        <w:tc>
          <w:tcPr>
            <w:tcW w:w="0" w:type="auto"/>
            <w:hideMark/>
          </w:tcPr>
          <w:p w:rsidR="00000000" w:rsidRDefault="00D33C21">
            <w:pPr>
              <w:pStyle w:val="a3"/>
              <w:spacing w:before="40" w:beforeAutospacing="0" w:after="0" w:afterAutospacing="0"/>
              <w:jc w:val="both"/>
              <w:rPr>
                <w:sz w:val="20"/>
                <w:szCs w:val="20"/>
              </w:rPr>
            </w:pPr>
            <w:r>
              <w:rPr>
                <w:color w:val="000000"/>
                <w:sz w:val="20"/>
                <w:szCs w:val="20"/>
                <w:shd w:val="clear" w:color="auto" w:fill="FFFFFF"/>
              </w:rPr>
              <w:t>Furnished herewith and not deemed to be “filed” for purposes of Section </w:t>
            </w:r>
            <w:r>
              <w:rPr>
                <w:color w:val="000000"/>
                <w:sz w:val="20"/>
                <w:szCs w:val="20"/>
                <w:shd w:val="clear" w:color="auto" w:fill="FFFFFF"/>
              </w:rPr>
              <w:t xml:space="preserve">18 of the Securities Exchange Act of 1934, as amended (the “Exchange Act”), and shall not be deemed to be incorporated by reference into any filing under the Securities Act of 1933, as amended, or the Exchange Act (whether made before or after the date of </w:t>
            </w:r>
            <w:r>
              <w:rPr>
                <w:color w:val="000000"/>
                <w:sz w:val="20"/>
                <w:szCs w:val="20"/>
                <w:shd w:val="clear" w:color="auto" w:fill="FFFFFF"/>
              </w:rPr>
              <w:t>the Form 10-Q), irrespective of any general incorporation language contained in such filing.</w:t>
            </w:r>
          </w:p>
        </w:tc>
      </w:tr>
    </w:tbl>
    <w:p w:rsidR="00000000" w:rsidRDefault="00D33C21">
      <w:pPr>
        <w:pStyle w:val="a3"/>
        <w:spacing w:before="240" w:beforeAutospacing="0" w:after="0" w:afterAutospacing="0"/>
        <w:jc w:val="center"/>
        <w:rPr>
          <w:sz w:val="20"/>
          <w:szCs w:val="20"/>
        </w:rPr>
      </w:pPr>
      <w:r>
        <w:rPr>
          <w:sz w:val="20"/>
          <w:szCs w:val="20"/>
        </w:rPr>
        <w:t>59</w:t>
      </w:r>
    </w:p>
    <w:p w:rsidR="00000000" w:rsidRDefault="00D33C21">
      <w:pPr>
        <w:rPr>
          <w:rFonts w:eastAsia="Times New Roman"/>
        </w:rPr>
      </w:pPr>
      <w:r>
        <w:rPr>
          <w:rFonts w:eastAsia="Times New Roman"/>
        </w:rPr>
        <w:pict>
          <v:rect id="_x0000_i1084" style="width:415.3pt;height:1.5pt" o:hralign="center" o:hrstd="t" o:hr="t" fillcolor="#a0a0a0" stroked="f"/>
        </w:pict>
      </w:r>
    </w:p>
    <w:p w:rsidR="00000000" w:rsidRDefault="00D33C21">
      <w:pPr>
        <w:pStyle w:val="a3"/>
        <w:spacing w:before="0" w:beforeAutospacing="0" w:after="0" w:afterAutospacing="0"/>
        <w:rPr>
          <w:sz w:val="20"/>
          <w:szCs w:val="20"/>
        </w:rPr>
      </w:pPr>
      <w:r>
        <w:rPr>
          <w:sz w:val="20"/>
          <w:szCs w:val="20"/>
        </w:rPr>
        <w:t> </w:t>
      </w:r>
    </w:p>
    <w:p w:rsidR="00000000" w:rsidRDefault="00D33C21">
      <w:pPr>
        <w:pStyle w:val="a3"/>
        <w:spacing w:before="0" w:beforeAutospacing="0" w:after="0" w:afterAutospacing="0"/>
        <w:jc w:val="center"/>
        <w:rPr>
          <w:b/>
          <w:bCs/>
          <w:sz w:val="20"/>
          <w:szCs w:val="20"/>
        </w:rPr>
      </w:pPr>
      <w:bookmarkStart w:id="84" w:name="_AEIOULastRenderedPageBreakAEIOU59"/>
      <w:bookmarkStart w:id="85" w:name="SIGNATURES"/>
      <w:bookmarkEnd w:id="84"/>
      <w:bookmarkEnd w:id="85"/>
      <w:r>
        <w:rPr>
          <w:b/>
          <w:bCs/>
          <w:sz w:val="20"/>
          <w:szCs w:val="20"/>
        </w:rPr>
        <w:t>SIGNATURES</w:t>
      </w:r>
    </w:p>
    <w:p w:rsidR="00000000" w:rsidRDefault="00D33C21">
      <w:pPr>
        <w:pStyle w:val="a3"/>
        <w:spacing w:before="240" w:beforeAutospacing="0" w:after="0" w:afterAutospacing="0"/>
        <w:ind w:firstLine="556"/>
        <w:jc w:val="both"/>
        <w:rPr>
          <w:sz w:val="20"/>
          <w:szCs w:val="20"/>
        </w:rPr>
      </w:pPr>
      <w:r>
        <w:rPr>
          <w:sz w:val="20"/>
          <w:szCs w:val="20"/>
        </w:rPr>
        <w:t>Pursuant to the requirements of the Securities Exchange Act of 1934, the registrant has duly caused this report to be signed on its beh</w:t>
      </w:r>
      <w:r>
        <w:rPr>
          <w:sz w:val="20"/>
          <w:szCs w:val="20"/>
        </w:rPr>
        <w:t>alf by the undersigned thereunto duly authorized.</w:t>
      </w:r>
    </w:p>
    <w:p w:rsidR="00000000" w:rsidRDefault="00D33C2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54"/>
        <w:gridCol w:w="91"/>
        <w:gridCol w:w="332"/>
        <w:gridCol w:w="83"/>
        <w:gridCol w:w="3646"/>
      </w:tblGrid>
      <w:tr w:rsidR="00000000">
        <w:trPr>
          <w:divId w:val="1224365714"/>
          <w:jc w:val="center"/>
        </w:trPr>
        <w:tc>
          <w:tcPr>
            <w:tcW w:w="25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2200" w:type="pct"/>
            <w:gridSpan w:val="3"/>
            <w:shd w:val="clear" w:color="auto" w:fill="FFFFFF"/>
            <w:hideMark/>
          </w:tcPr>
          <w:p w:rsidR="00000000" w:rsidRDefault="00D33C21">
            <w:pPr>
              <w:pStyle w:val="a3"/>
              <w:spacing w:before="0" w:beforeAutospacing="0" w:after="0" w:afterAutospacing="0"/>
              <w:rPr>
                <w:b/>
                <w:bCs/>
                <w:color w:val="000000"/>
                <w:sz w:val="20"/>
                <w:szCs w:val="20"/>
              </w:rPr>
            </w:pPr>
            <w:r>
              <w:rPr>
                <w:b/>
                <w:bCs/>
                <w:color w:val="000000"/>
                <w:sz w:val="20"/>
                <w:szCs w:val="20"/>
              </w:rPr>
              <w:t>OVID THERAPEUTICS INC.</w:t>
            </w:r>
          </w:p>
        </w:tc>
      </w:tr>
      <w:tr w:rsidR="00000000">
        <w:trPr>
          <w:divId w:val="1224365714"/>
          <w:jc w:val="center"/>
        </w:trPr>
        <w:tc>
          <w:tcPr>
            <w:tcW w:w="25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hideMark/>
          </w:tcPr>
          <w:p w:rsidR="00000000" w:rsidRDefault="00D33C21">
            <w:pPr>
              <w:pStyle w:val="a3"/>
              <w:spacing w:before="0" w:beforeAutospacing="0" w:after="0" w:afterAutospacing="0"/>
              <w:rPr>
                <w:sz w:val="20"/>
                <w:szCs w:val="20"/>
              </w:rPr>
            </w:pPr>
            <w:r>
              <w:rPr>
                <w:sz w:val="20"/>
                <w:szCs w:val="20"/>
              </w:rPr>
              <w:t> </w:t>
            </w:r>
          </w:p>
        </w:tc>
        <w:tc>
          <w:tcPr>
            <w:tcW w:w="50"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sz w:val="20"/>
                <w:szCs w:val="20"/>
              </w:rPr>
            </w:pPr>
            <w:r>
              <w:rPr>
                <w:sz w:val="20"/>
                <w:szCs w:val="20"/>
              </w:rPr>
              <w:t> </w:t>
            </w:r>
          </w:p>
        </w:tc>
      </w:tr>
      <w:tr w:rsidR="00000000">
        <w:trPr>
          <w:divId w:val="1224365714"/>
          <w:jc w:val="center"/>
        </w:trPr>
        <w:tc>
          <w:tcPr>
            <w:tcW w:w="25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Date: August 7, 2019</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By:</w:t>
            </w:r>
          </w:p>
        </w:tc>
        <w:tc>
          <w:tcPr>
            <w:tcW w:w="50"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2200" w:type="pct"/>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/s/ Jeremy M. Levin</w:t>
            </w:r>
          </w:p>
        </w:tc>
      </w:tr>
      <w:tr w:rsidR="00000000">
        <w:trPr>
          <w:divId w:val="1224365714"/>
          <w:jc w:val="center"/>
        </w:trPr>
        <w:tc>
          <w:tcPr>
            <w:tcW w:w="25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2200"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Jeremy M. Levin</w:t>
            </w:r>
          </w:p>
        </w:tc>
      </w:tr>
      <w:tr w:rsidR="00000000">
        <w:trPr>
          <w:divId w:val="1224365714"/>
          <w:jc w:val="center"/>
        </w:trPr>
        <w:tc>
          <w:tcPr>
            <w:tcW w:w="25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Chief Executive Officer</w:t>
            </w:r>
          </w:p>
          <w:p w:rsidR="00000000" w:rsidRDefault="00D33C21">
            <w:pPr>
              <w:pStyle w:val="a3"/>
              <w:spacing w:before="0" w:beforeAutospacing="0" w:after="0" w:afterAutospacing="0"/>
              <w:rPr>
                <w:color w:val="000000"/>
                <w:sz w:val="20"/>
                <w:szCs w:val="20"/>
              </w:rPr>
            </w:pPr>
            <w:r>
              <w:rPr>
                <w:color w:val="000000"/>
                <w:sz w:val="20"/>
                <w:szCs w:val="20"/>
              </w:rPr>
              <w:t>(Principal Executive Officer)</w:t>
            </w:r>
          </w:p>
        </w:tc>
      </w:tr>
      <w:tr w:rsidR="00000000">
        <w:trPr>
          <w:divId w:val="1224365714"/>
          <w:jc w:val="center"/>
        </w:trPr>
        <w:tc>
          <w:tcPr>
            <w:tcW w:w="2500" w:type="pct"/>
            <w:shd w:val="clear" w:color="auto" w:fill="FFFFFF"/>
            <w:tcMar>
              <w:top w:w="15" w:type="dxa"/>
              <w:left w:w="0" w:type="dxa"/>
              <w:bottom w:w="0" w:type="dxa"/>
              <w:right w:w="15" w:type="dxa"/>
            </w:tcMar>
            <w:vAlign w:val="center"/>
            <w:hideMark/>
          </w:tcPr>
          <w:p w:rsidR="00000000" w:rsidRDefault="00D33C21">
            <w:pPr>
              <w:pStyle w:val="a3"/>
              <w:spacing w:before="0" w:beforeAutospacing="0" w:after="0" w:afterAutospacing="0"/>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r>
      <w:tr w:rsidR="00000000">
        <w:trPr>
          <w:divId w:val="1224365714"/>
          <w:trHeight w:val="273"/>
          <w:jc w:val="center"/>
        </w:trPr>
        <w:tc>
          <w:tcPr>
            <w:tcW w:w="25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Date: August 7, 2019</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jc w:val="right"/>
              <w:rPr>
                <w:color w:val="000000"/>
                <w:sz w:val="20"/>
                <w:szCs w:val="20"/>
              </w:rPr>
            </w:pPr>
            <w:r>
              <w:rPr>
                <w:color w:val="000000"/>
                <w:sz w:val="20"/>
                <w:szCs w:val="20"/>
              </w:rPr>
              <w:t>By:</w:t>
            </w:r>
          </w:p>
        </w:tc>
        <w:tc>
          <w:tcPr>
            <w:tcW w:w="50"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2200" w:type="pct"/>
            <w:tcBorders>
              <w:bottom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/s/ Timothy Daly</w:t>
            </w:r>
          </w:p>
        </w:tc>
      </w:tr>
      <w:tr w:rsidR="00000000">
        <w:trPr>
          <w:divId w:val="1224365714"/>
          <w:jc w:val="center"/>
        </w:trPr>
        <w:tc>
          <w:tcPr>
            <w:tcW w:w="25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2200" w:type="pct"/>
            <w:tcBorders>
              <w:top w:val="single" w:sz="6" w:space="0" w:color="000000"/>
            </w:tcBorders>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Timothy Daly</w:t>
            </w:r>
          </w:p>
        </w:tc>
      </w:tr>
      <w:tr w:rsidR="00000000">
        <w:trPr>
          <w:divId w:val="1224365714"/>
          <w:jc w:val="center"/>
        </w:trPr>
        <w:tc>
          <w:tcPr>
            <w:tcW w:w="25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hideMark/>
          </w:tcPr>
          <w:p w:rsidR="00000000" w:rsidRDefault="00D33C21">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D33C21">
            <w:pPr>
              <w:pStyle w:val="a3"/>
              <w:spacing w:before="0" w:beforeAutospacing="0" w:after="0" w:afterAutospacing="0"/>
              <w:rPr>
                <w:color w:val="000000"/>
                <w:sz w:val="20"/>
                <w:szCs w:val="20"/>
              </w:rPr>
            </w:pPr>
            <w:r>
              <w:rPr>
                <w:color w:val="000000"/>
                <w:sz w:val="20"/>
                <w:szCs w:val="20"/>
                <w:shd w:val="clear" w:color="auto" w:fill="FFFFFF"/>
              </w:rPr>
              <w:t>Senior Vice President, Finance and Corporate Controller</w:t>
            </w:r>
          </w:p>
          <w:p w:rsidR="00000000" w:rsidRDefault="00D33C21">
            <w:pPr>
              <w:pStyle w:val="a3"/>
              <w:spacing w:before="0" w:beforeAutospacing="0" w:after="0" w:afterAutospacing="0"/>
              <w:rPr>
                <w:color w:val="000000"/>
                <w:sz w:val="20"/>
                <w:szCs w:val="20"/>
              </w:rPr>
            </w:pPr>
            <w:r>
              <w:rPr>
                <w:color w:val="000000"/>
                <w:sz w:val="20"/>
                <w:szCs w:val="20"/>
              </w:rPr>
              <w:t>(Principal Financial and Accounting Officer)</w:t>
            </w:r>
          </w:p>
        </w:tc>
      </w:tr>
    </w:tbl>
    <w:p w:rsidR="00000000" w:rsidRDefault="00D33C21">
      <w:pPr>
        <w:pStyle w:val="a3"/>
        <w:spacing w:before="0" w:beforeAutospacing="0" w:after="0" w:afterAutospacing="0"/>
        <w:rPr>
          <w:sz w:val="20"/>
          <w:szCs w:val="20"/>
        </w:rPr>
      </w:pPr>
      <w:r>
        <w:rPr>
          <w:sz w:val="20"/>
          <w:szCs w:val="20"/>
        </w:rPr>
        <w:t> </w:t>
      </w:r>
    </w:p>
    <w:p w:rsidR="00D33C21" w:rsidRDefault="00D33C21">
      <w:pPr>
        <w:pStyle w:val="a3"/>
        <w:spacing w:before="240" w:beforeAutospacing="0" w:after="0" w:afterAutospacing="0"/>
        <w:jc w:val="center"/>
        <w:rPr>
          <w:sz w:val="20"/>
          <w:szCs w:val="20"/>
        </w:rPr>
      </w:pPr>
      <w:r>
        <w:rPr>
          <w:sz w:val="20"/>
          <w:szCs w:val="20"/>
        </w:rPr>
        <w:t>60</w:t>
      </w:r>
    </w:p>
    <w:sectPr w:rsidR="00D33C2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33C21"/>
    <w:rsid w:val="00D3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5892">
      <w:marLeft w:val="0"/>
      <w:marRight w:val="0"/>
      <w:marTop w:val="0"/>
      <w:marBottom w:val="0"/>
      <w:divBdr>
        <w:top w:val="none" w:sz="0" w:space="0" w:color="auto"/>
        <w:left w:val="none" w:sz="0" w:space="0" w:color="auto"/>
        <w:bottom w:val="none" w:sz="0" w:space="0" w:color="auto"/>
        <w:right w:val="none" w:sz="0" w:space="0" w:color="auto"/>
      </w:divBdr>
    </w:div>
    <w:div w:id="229124087">
      <w:marLeft w:val="0"/>
      <w:marRight w:val="0"/>
      <w:marTop w:val="0"/>
      <w:marBottom w:val="0"/>
      <w:divBdr>
        <w:top w:val="none" w:sz="0" w:space="0" w:color="auto"/>
        <w:left w:val="none" w:sz="0" w:space="0" w:color="auto"/>
        <w:bottom w:val="none" w:sz="0" w:space="0" w:color="auto"/>
        <w:right w:val="none" w:sz="0" w:space="0" w:color="auto"/>
      </w:divBdr>
    </w:div>
    <w:div w:id="301733570">
      <w:marLeft w:val="0"/>
      <w:marRight w:val="0"/>
      <w:marTop w:val="0"/>
      <w:marBottom w:val="0"/>
      <w:divBdr>
        <w:top w:val="none" w:sz="0" w:space="0" w:color="auto"/>
        <w:left w:val="none" w:sz="0" w:space="0" w:color="auto"/>
        <w:bottom w:val="none" w:sz="0" w:space="0" w:color="auto"/>
        <w:right w:val="none" w:sz="0" w:space="0" w:color="auto"/>
      </w:divBdr>
    </w:div>
    <w:div w:id="344092198">
      <w:marLeft w:val="0"/>
      <w:marRight w:val="0"/>
      <w:marTop w:val="0"/>
      <w:marBottom w:val="0"/>
      <w:divBdr>
        <w:top w:val="none" w:sz="0" w:space="0" w:color="auto"/>
        <w:left w:val="none" w:sz="0" w:space="0" w:color="auto"/>
        <w:bottom w:val="none" w:sz="0" w:space="0" w:color="auto"/>
        <w:right w:val="none" w:sz="0" w:space="0" w:color="auto"/>
      </w:divBdr>
    </w:div>
    <w:div w:id="536042983">
      <w:marLeft w:val="0"/>
      <w:marRight w:val="0"/>
      <w:marTop w:val="0"/>
      <w:marBottom w:val="0"/>
      <w:divBdr>
        <w:top w:val="none" w:sz="0" w:space="0" w:color="auto"/>
        <w:left w:val="none" w:sz="0" w:space="0" w:color="auto"/>
        <w:bottom w:val="none" w:sz="0" w:space="0" w:color="auto"/>
        <w:right w:val="none" w:sz="0" w:space="0" w:color="auto"/>
      </w:divBdr>
    </w:div>
    <w:div w:id="632715943">
      <w:marLeft w:val="0"/>
      <w:marRight w:val="0"/>
      <w:marTop w:val="0"/>
      <w:marBottom w:val="0"/>
      <w:divBdr>
        <w:top w:val="none" w:sz="0" w:space="0" w:color="auto"/>
        <w:left w:val="none" w:sz="0" w:space="0" w:color="auto"/>
        <w:bottom w:val="none" w:sz="0" w:space="0" w:color="auto"/>
        <w:right w:val="none" w:sz="0" w:space="0" w:color="auto"/>
      </w:divBdr>
    </w:div>
    <w:div w:id="639575100">
      <w:marLeft w:val="0"/>
      <w:marRight w:val="0"/>
      <w:marTop w:val="0"/>
      <w:marBottom w:val="0"/>
      <w:divBdr>
        <w:top w:val="none" w:sz="0" w:space="0" w:color="auto"/>
        <w:left w:val="none" w:sz="0" w:space="0" w:color="auto"/>
        <w:bottom w:val="none" w:sz="0" w:space="0" w:color="auto"/>
        <w:right w:val="none" w:sz="0" w:space="0" w:color="auto"/>
      </w:divBdr>
    </w:div>
    <w:div w:id="853375252">
      <w:marLeft w:val="0"/>
      <w:marRight w:val="0"/>
      <w:marTop w:val="0"/>
      <w:marBottom w:val="0"/>
      <w:divBdr>
        <w:top w:val="none" w:sz="0" w:space="0" w:color="auto"/>
        <w:left w:val="none" w:sz="0" w:space="0" w:color="auto"/>
        <w:bottom w:val="none" w:sz="0" w:space="0" w:color="auto"/>
        <w:right w:val="none" w:sz="0" w:space="0" w:color="auto"/>
      </w:divBdr>
    </w:div>
    <w:div w:id="911895560">
      <w:marLeft w:val="0"/>
      <w:marRight w:val="0"/>
      <w:marTop w:val="0"/>
      <w:marBottom w:val="0"/>
      <w:divBdr>
        <w:top w:val="none" w:sz="0" w:space="0" w:color="auto"/>
        <w:left w:val="none" w:sz="0" w:space="0" w:color="auto"/>
        <w:bottom w:val="none" w:sz="0" w:space="0" w:color="auto"/>
        <w:right w:val="none" w:sz="0" w:space="0" w:color="auto"/>
      </w:divBdr>
    </w:div>
    <w:div w:id="964506191">
      <w:marLeft w:val="0"/>
      <w:marRight w:val="0"/>
      <w:marTop w:val="0"/>
      <w:marBottom w:val="0"/>
      <w:divBdr>
        <w:top w:val="none" w:sz="0" w:space="0" w:color="auto"/>
        <w:left w:val="none" w:sz="0" w:space="0" w:color="auto"/>
        <w:bottom w:val="none" w:sz="0" w:space="0" w:color="auto"/>
        <w:right w:val="none" w:sz="0" w:space="0" w:color="auto"/>
      </w:divBdr>
    </w:div>
    <w:div w:id="1061321199">
      <w:marLeft w:val="0"/>
      <w:marRight w:val="0"/>
      <w:marTop w:val="0"/>
      <w:marBottom w:val="0"/>
      <w:divBdr>
        <w:top w:val="none" w:sz="0" w:space="0" w:color="auto"/>
        <w:left w:val="none" w:sz="0" w:space="0" w:color="auto"/>
        <w:bottom w:val="none" w:sz="0" w:space="0" w:color="auto"/>
        <w:right w:val="none" w:sz="0" w:space="0" w:color="auto"/>
      </w:divBdr>
    </w:div>
    <w:div w:id="1185636108">
      <w:marLeft w:val="0"/>
      <w:marRight w:val="0"/>
      <w:marTop w:val="0"/>
      <w:marBottom w:val="0"/>
      <w:divBdr>
        <w:top w:val="none" w:sz="0" w:space="0" w:color="auto"/>
        <w:left w:val="none" w:sz="0" w:space="0" w:color="auto"/>
        <w:bottom w:val="none" w:sz="0" w:space="0" w:color="auto"/>
        <w:right w:val="none" w:sz="0" w:space="0" w:color="auto"/>
      </w:divBdr>
    </w:div>
    <w:div w:id="1224365714">
      <w:marLeft w:val="0"/>
      <w:marRight w:val="0"/>
      <w:marTop w:val="0"/>
      <w:marBottom w:val="0"/>
      <w:divBdr>
        <w:top w:val="none" w:sz="0" w:space="0" w:color="auto"/>
        <w:left w:val="none" w:sz="0" w:space="0" w:color="auto"/>
        <w:bottom w:val="none" w:sz="0" w:space="0" w:color="auto"/>
        <w:right w:val="none" w:sz="0" w:space="0" w:color="auto"/>
      </w:divBdr>
    </w:div>
    <w:div w:id="1231308862">
      <w:marLeft w:val="0"/>
      <w:marRight w:val="0"/>
      <w:marTop w:val="0"/>
      <w:marBottom w:val="0"/>
      <w:divBdr>
        <w:top w:val="none" w:sz="0" w:space="0" w:color="auto"/>
        <w:left w:val="none" w:sz="0" w:space="0" w:color="auto"/>
        <w:bottom w:val="none" w:sz="0" w:space="0" w:color="auto"/>
        <w:right w:val="none" w:sz="0" w:space="0" w:color="auto"/>
      </w:divBdr>
    </w:div>
    <w:div w:id="1267541268">
      <w:marLeft w:val="0"/>
      <w:marRight w:val="0"/>
      <w:marTop w:val="0"/>
      <w:marBottom w:val="0"/>
      <w:divBdr>
        <w:top w:val="none" w:sz="0" w:space="0" w:color="auto"/>
        <w:left w:val="none" w:sz="0" w:space="0" w:color="auto"/>
        <w:bottom w:val="none" w:sz="0" w:space="0" w:color="auto"/>
        <w:right w:val="none" w:sz="0" w:space="0" w:color="auto"/>
      </w:divBdr>
    </w:div>
    <w:div w:id="1380058609">
      <w:marLeft w:val="0"/>
      <w:marRight w:val="0"/>
      <w:marTop w:val="0"/>
      <w:marBottom w:val="0"/>
      <w:divBdr>
        <w:top w:val="none" w:sz="0" w:space="0" w:color="auto"/>
        <w:left w:val="none" w:sz="0" w:space="0" w:color="auto"/>
        <w:bottom w:val="none" w:sz="0" w:space="0" w:color="auto"/>
        <w:right w:val="none" w:sz="0" w:space="0" w:color="auto"/>
      </w:divBdr>
    </w:div>
    <w:div w:id="1432895245">
      <w:marLeft w:val="0"/>
      <w:marRight w:val="0"/>
      <w:marTop w:val="0"/>
      <w:marBottom w:val="0"/>
      <w:divBdr>
        <w:top w:val="none" w:sz="0" w:space="0" w:color="auto"/>
        <w:left w:val="none" w:sz="0" w:space="0" w:color="auto"/>
        <w:bottom w:val="none" w:sz="0" w:space="0" w:color="auto"/>
        <w:right w:val="none" w:sz="0" w:space="0" w:color="auto"/>
      </w:divBdr>
    </w:div>
    <w:div w:id="1488519339">
      <w:marLeft w:val="0"/>
      <w:marRight w:val="0"/>
      <w:marTop w:val="0"/>
      <w:marBottom w:val="0"/>
      <w:divBdr>
        <w:top w:val="none" w:sz="0" w:space="0" w:color="auto"/>
        <w:left w:val="none" w:sz="0" w:space="0" w:color="auto"/>
        <w:bottom w:val="none" w:sz="0" w:space="0" w:color="auto"/>
        <w:right w:val="none" w:sz="0" w:space="0" w:color="auto"/>
      </w:divBdr>
    </w:div>
    <w:div w:id="1574659361">
      <w:marLeft w:val="0"/>
      <w:marRight w:val="0"/>
      <w:marTop w:val="0"/>
      <w:marBottom w:val="0"/>
      <w:divBdr>
        <w:top w:val="none" w:sz="0" w:space="0" w:color="auto"/>
        <w:left w:val="none" w:sz="0" w:space="0" w:color="auto"/>
        <w:bottom w:val="none" w:sz="0" w:space="0" w:color="auto"/>
        <w:right w:val="none" w:sz="0" w:space="0" w:color="auto"/>
      </w:divBdr>
    </w:div>
    <w:div w:id="1613318780">
      <w:marLeft w:val="0"/>
      <w:marRight w:val="0"/>
      <w:marTop w:val="0"/>
      <w:marBottom w:val="0"/>
      <w:divBdr>
        <w:top w:val="none" w:sz="0" w:space="0" w:color="auto"/>
        <w:left w:val="none" w:sz="0" w:space="0" w:color="auto"/>
        <w:bottom w:val="none" w:sz="0" w:space="0" w:color="auto"/>
        <w:right w:val="none" w:sz="0" w:space="0" w:color="auto"/>
      </w:divBdr>
    </w:div>
    <w:div w:id="1633634368">
      <w:marLeft w:val="0"/>
      <w:marRight w:val="0"/>
      <w:marTop w:val="0"/>
      <w:marBottom w:val="0"/>
      <w:divBdr>
        <w:top w:val="none" w:sz="0" w:space="0" w:color="auto"/>
        <w:left w:val="none" w:sz="0" w:space="0" w:color="auto"/>
        <w:bottom w:val="none" w:sz="0" w:space="0" w:color="auto"/>
        <w:right w:val="none" w:sz="0" w:space="0" w:color="auto"/>
      </w:divBdr>
    </w:div>
    <w:div w:id="1677730864">
      <w:marLeft w:val="0"/>
      <w:marRight w:val="0"/>
      <w:marTop w:val="0"/>
      <w:marBottom w:val="0"/>
      <w:divBdr>
        <w:top w:val="none" w:sz="0" w:space="0" w:color="auto"/>
        <w:left w:val="none" w:sz="0" w:space="0" w:color="auto"/>
        <w:bottom w:val="none" w:sz="0" w:space="0" w:color="auto"/>
        <w:right w:val="none" w:sz="0" w:space="0" w:color="auto"/>
      </w:divBdr>
    </w:div>
    <w:div w:id="1826163781">
      <w:marLeft w:val="0"/>
      <w:marRight w:val="0"/>
      <w:marTop w:val="0"/>
      <w:marBottom w:val="0"/>
      <w:divBdr>
        <w:top w:val="none" w:sz="0" w:space="0" w:color="auto"/>
        <w:left w:val="none" w:sz="0" w:space="0" w:color="auto"/>
        <w:bottom w:val="none" w:sz="0" w:space="0" w:color="auto"/>
        <w:right w:val="none" w:sz="0" w:space="0" w:color="auto"/>
      </w:divBdr>
    </w:div>
    <w:div w:id="1919173148">
      <w:marLeft w:val="0"/>
      <w:marRight w:val="0"/>
      <w:marTop w:val="0"/>
      <w:marBottom w:val="0"/>
      <w:divBdr>
        <w:top w:val="none" w:sz="0" w:space="0" w:color="auto"/>
        <w:left w:val="none" w:sz="0" w:space="0" w:color="auto"/>
        <w:bottom w:val="none" w:sz="0" w:space="0" w:color="auto"/>
        <w:right w:val="none" w:sz="0" w:space="0" w:color="auto"/>
      </w:divBdr>
    </w:div>
    <w:div w:id="1926109528">
      <w:marLeft w:val="0"/>
      <w:marRight w:val="0"/>
      <w:marTop w:val="0"/>
      <w:marBottom w:val="0"/>
      <w:divBdr>
        <w:top w:val="none" w:sz="0" w:space="0" w:color="auto"/>
        <w:left w:val="none" w:sz="0" w:space="0" w:color="auto"/>
        <w:bottom w:val="none" w:sz="0" w:space="0" w:color="auto"/>
        <w:right w:val="none" w:sz="0" w:space="0" w:color="auto"/>
      </w:divBdr>
    </w:div>
    <w:div w:id="1944874669">
      <w:marLeft w:val="0"/>
      <w:marRight w:val="0"/>
      <w:marTop w:val="0"/>
      <w:marBottom w:val="0"/>
      <w:divBdr>
        <w:top w:val="none" w:sz="0" w:space="0" w:color="auto"/>
        <w:left w:val="none" w:sz="0" w:space="0" w:color="auto"/>
        <w:bottom w:val="none" w:sz="0" w:space="0" w:color="auto"/>
        <w:right w:val="none" w:sz="0" w:space="0" w:color="auto"/>
      </w:divBdr>
    </w:div>
    <w:div w:id="211459190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636651/000119312519047109/d714860dex41.htm" TargetMode="External"/><Relationship Id="rId13" Type="http://schemas.openxmlformats.org/officeDocument/2006/relationships/hyperlink" Target="ovid-ex321_8.htm" TargetMode="External"/><Relationship Id="rId3" Type="http://schemas.openxmlformats.org/officeDocument/2006/relationships/webSettings" Target="webSettings.xml"/><Relationship Id="rId7" Type="http://schemas.openxmlformats.org/officeDocument/2006/relationships/hyperlink" Target="http://www.sec.gov/Archives/edgar/data/1636651/000119312517135563/d286200dex41.htm" TargetMode="External"/><Relationship Id="rId12" Type="http://schemas.openxmlformats.org/officeDocument/2006/relationships/hyperlink" Target="ovid-ex312_6.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636651/000119312517166080/d382437dex32.htm" TargetMode="External"/><Relationship Id="rId11" Type="http://schemas.openxmlformats.org/officeDocument/2006/relationships/hyperlink" Target="ovid-ex311_9.htm" TargetMode="External"/><Relationship Id="rId5" Type="http://schemas.openxmlformats.org/officeDocument/2006/relationships/hyperlink" Target="http://www.sec.gov/Archives/edgar/data/1636651/000119312519047109/d714860dex31.htm" TargetMode="External"/><Relationship Id="rId15" Type="http://schemas.openxmlformats.org/officeDocument/2006/relationships/theme" Target="theme/theme1.xml"/><Relationship Id="rId10" Type="http://schemas.openxmlformats.org/officeDocument/2006/relationships/hyperlink" Target="http://www.sec.gov/Archives/edgar/data/1636651/000156459019019477/ovid-ex991_6.htm" TargetMode="External"/><Relationship Id="rId4" Type="http://schemas.openxmlformats.org/officeDocument/2006/relationships/hyperlink" Target="http://www.sec.gov/Archives/edgar/data/1636651/000119312517166080/d382437dex31.htm" TargetMode="External"/><Relationship Id="rId9" Type="http://schemas.openxmlformats.org/officeDocument/2006/relationships/hyperlink" Target="http://www.sec.gov/Archives/edgar/data/1636651/000119312517118846/d286200dex42.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41158</Words>
  <Characters>234607</Characters>
  <Application>Microsoft Office Word</Application>
  <DocSecurity>0</DocSecurity>
  <Lines>1955</Lines>
  <Paragraphs>550</Paragraphs>
  <ScaleCrop>false</ScaleCrop>
  <Company/>
  <LinksUpToDate>false</LinksUpToDate>
  <CharactersWithSpaces>275215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ovid-10q_20190630.htm </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