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83A7A">
      <w:pPr>
        <w:divId w:val="1789616150"/>
        <w:rPr>
          <w:rFonts w:eastAsia="Times New Roman"/>
          <w:vanish/>
        </w:rPr>
      </w:pPr>
      <w:r>
        <w:rPr>
          <w:rFonts w:eastAsia="Times New Roman"/>
          <w:vanish/>
        </w:rPr>
        <w:t>FY--12-3100016366512016-12false0001636651ovid:TwoThousandFourteenEquityIncentivePlanMember2021-01-012021-12-310001636651us-gaap:PreferredStockMemberus-gaap:ConvertiblePreferredStockMember2020-12-310001636651</w:t>
      </w:r>
      <w:r>
        <w:rPr>
          <w:rFonts w:eastAsia="Times New Roman"/>
          <w:vanish/>
        </w:rPr>
        <w:t>us-gaap:CommonStockMember2020-12-310001636651us-gaap:SeriesAPreferredStockMember2020-12-310001636651us-gaap:RetainedEarningsMember2019-12-310001636651us-gaap:FairValueInputsLevel3Member2021-12-310001636651ovid:RelatedPartyMember2020-01-012020-12-3100016366</w:t>
      </w:r>
      <w:r>
        <w:rPr>
          <w:rFonts w:eastAsia="Times New Roman"/>
          <w:vanish/>
        </w:rPr>
        <w:t>512019-12-310001636651us-gaap:RetainedEarningsMember2020-12-310001636651us-gaap:MoneyMarketFundsMember2021-12-310001636651ovid:AugustTwoThousandTwentyOfferingMember2020-01-012020-12-310001636651us-gaap:FairValueInputsLevel2Member2021-12-310001636651us-gaap</w:t>
      </w:r>
      <w:r>
        <w:rPr>
          <w:rFonts w:eastAsia="Times New Roman"/>
          <w:vanish/>
        </w:rPr>
        <w:t>:SellingGeneralAndAdministrativeExpensesMember2021-01-012021-12-310001636651us-gaap:CommonStockMemberovid:AugustTwoThousandTwentyOfferingMember2020-01-012020-12-310001636651us-gaap:CommonStockMember2021-01-012021-12-310001636651us-gaap:LetterOfCreditMember</w:t>
      </w:r>
      <w:r>
        <w:rPr>
          <w:rFonts w:eastAsia="Times New Roman"/>
          <w:vanish/>
        </w:rPr>
        <w:t>2021-12-3100016366512020-01-012020-12-310001636651ovid:MoneyMarketFundsAndShortTermInvestmentsMemberus-gaap:FairValueInputsLevel1Member2021-12-310001636651ovid:ScenarioTwoMember2021-01-012021-12-310001636651srt:MinimumMember2021-01-012021-12-310001636651us</w:t>
      </w:r>
      <w:r>
        <w:rPr>
          <w:rFonts w:eastAsia="Times New Roman"/>
          <w:vanish/>
        </w:rPr>
        <w:t>-gaap:SeriesAPreferredStockMember2021-01-012021-12-310001636651ovid:SeriesAConvertiblePreferredStockMember2020-01-012020-12-310001636651srt:MaximumMemberovid:CowenAndCompanyLLCMemberovid:ATMAgreementMember2020-11-300001636651ovid:NonemployeePerformanceBase</w:t>
      </w:r>
      <w:r>
        <w:rPr>
          <w:rFonts w:eastAsia="Times New Roman"/>
          <w:vanish/>
        </w:rPr>
        <w:t>dOptionAwardsMember2021-01-012021-12-310001636651us-gaap:AdditionalPaidInCapitalMember2020-01-012020-12-310001636651us-gaap:PreferredStockMemberus-gaap:ConvertiblePreferredStockMember2021-12-310001636651ovid:LicenseAndCollaborationAgreementMember2021-01-01</w:t>
      </w:r>
      <w:r>
        <w:rPr>
          <w:rFonts w:eastAsia="Times New Roman"/>
          <w:vanish/>
        </w:rPr>
        <w:t>2021-12-310001636651us-gaap:NewYorkStateDivisionOfTaxationAndFinanceMember2021-12-3100016366512021-12-310001636651us-gaap:AccumulatedOtherComprehensiveIncomeMember2020-01-012020-12-310001636651us-gaap:SeriesAPreferredStockMember2021-12-310001636651ovid:Sce</w:t>
      </w:r>
      <w:r>
        <w:rPr>
          <w:rFonts w:eastAsia="Times New Roman"/>
          <w:vanish/>
        </w:rPr>
        <w:t>narioTwoMembersrt:MinimumMember2021-01-012021-12-310001636651us-gaap:AdditionalPaidInCapitalMember2021-01-012021-12-310001636651us-gaap:CollaborativeArrangementMemberovid:TakedaPharmaceuticalCompanyLimitedMember2020-12-3100016366512019-01-012019-12-3100016</w:t>
      </w:r>
      <w:r>
        <w:rPr>
          <w:rFonts w:eastAsia="Times New Roman"/>
          <w:vanish/>
        </w:rPr>
        <w:t>36651ovid:TwoThousandSeventeenEquityIncentivePlanMember2021-12-310001636651us-gaap:SellingGeneralAndAdministrativeExpensesMember2020-01-012020-12-310001636651us-gaap:CollaborativeArrangementMemberovid:TakedaPharmaceuticalCompanyLimitedMember2021-01-012021-</w:t>
      </w:r>
      <w:r>
        <w:rPr>
          <w:rFonts w:eastAsia="Times New Roman"/>
          <w:vanish/>
        </w:rPr>
        <w:t>12-310001636651us-gaap:FairValueInputsLevel3Member2020-12-310001636651us-gaap:CashMember2021-12-3100016366512021-06-3000016366512022-03-100001636651us-gaap:EmployeeStockOptionMember2021-12-310001636651us-gaap:SubsequentEventMember2022-01-012022-01-01000163</w:t>
      </w:r>
      <w:r>
        <w:rPr>
          <w:rFonts w:eastAsia="Times New Roman"/>
          <w:vanish/>
        </w:rPr>
        <w:t>6651srt:AffiliatedEntityMember2020-08-310001636651us-gaap:AccumulatedOtherComprehensiveIncomeMember2019-12-310001636651ovid:SeriesAConvertiblePreferredStockMemberus-gaap:ConvertiblePreferredStockMember2021-01-012021-12-310001636651ovid:MoneyMarketFundsAndS</w:t>
      </w:r>
      <w:r>
        <w:rPr>
          <w:rFonts w:eastAsia="Times New Roman"/>
          <w:vanish/>
        </w:rPr>
        <w:t>hortTermInvestmentsMemberus-gaap:FairValueInputsLevel1Member2020-12-310001636651us-gaap:EmployeeStockOptionMember2021-01-012021-12-310001636651us-gaap:AdditionalPaidInCapitalMember2020-12-310001636651us-gaap:PerformanceSharesMember2021-12-310001636651us-ga</w:t>
      </w:r>
      <w:r>
        <w:rPr>
          <w:rFonts w:eastAsia="Times New Roman"/>
          <w:vanish/>
        </w:rPr>
        <w:t>ap:AdditionalPaidInCapitalMemberovid:AugustTwoThousandTwentyOfferingMember2020-01-012020-12-310001636651srt:AffiliatedEntityMemberus-gaap:CommonStockMember2020-01-012020-12-310001636651ovid:StockOptionsMember2020-01-012020-12-310001636651srt:AffiliatedEnti</w:t>
      </w:r>
      <w:r>
        <w:rPr>
          <w:rFonts w:eastAsia="Times New Roman"/>
          <w:vanish/>
        </w:rPr>
        <w:t>tyMemberus-gaap:ConvertiblePreferredStockMember2020-01-012020-12-310001636651us-gaap:MoneyMarketFundsMember2020-12-310001636651us-gaap:RetainedEarningsMember2021-12-310001636651us-gaap:AdditionalPaidInCapitalMember2019-12-310001636651srt:MaximumMember2021-</w:t>
      </w:r>
      <w:r>
        <w:rPr>
          <w:rFonts w:eastAsia="Times New Roman"/>
          <w:vanish/>
        </w:rPr>
        <w:t>12-310001636651ovid:EmployeePerformanceBasedOptionAwardsMember2020-01-012020-12-310001636651ovid:AstrazenecaMember2021-12-300001636651ovid:NorthwesternUniversityMemberovid:LicenseAgreementMember2016-12-310001636651us-gaap:SubsequentEventMember2022-03-15000</w:t>
      </w:r>
      <w:r>
        <w:rPr>
          <w:rFonts w:eastAsia="Times New Roman"/>
          <w:vanish/>
        </w:rPr>
        <w:t>1636651ovid:NonemployeePerformanceBasedOptionAwardsMember2020-01-012020-12-310001636651us-gaap:EmployeeStockOptionMember2020-12-310001636651us-gaap:CollaborativeArrangementMembersrt:MaximumMemberovid:TakedaPharmaceuticalCompanyLimitedMember2021-03-292021-0</w:t>
      </w:r>
      <w:r>
        <w:rPr>
          <w:rFonts w:eastAsia="Times New Roman"/>
          <w:vanish/>
        </w:rPr>
        <w:t>3-290001636651us-gaap:SeriesAPreferredStockMember2020-12-312020-12-310001636651ovid:NorthwesternUniversityMemberovid:LicenseAgreementMember2020-01-012020-12-310001636651ovid:SeriesAConvertiblePreferredStockMemberus-gaap:ConvertiblePreferredStockMember2020-</w:t>
      </w:r>
      <w:r>
        <w:rPr>
          <w:rFonts w:eastAsia="Times New Roman"/>
          <w:vanish/>
        </w:rPr>
        <w:t>01-012020-12-310001636651us-gaap:CollaborativeArrangementMemberovid:TakedaPharmaceuticalCompanyLimitedMember2021-12-310001636651ovid:AngeliniLicenseAgreementMemberovid:LicenseAgreementMember2020-07-092020-07-090001636651us-gaap:FairValueInputsLevel2Member2</w:t>
      </w:r>
      <w:r>
        <w:rPr>
          <w:rFonts w:eastAsia="Times New Roman"/>
          <w:vanish/>
        </w:rPr>
        <w:t>020-12-310001636651ovid:RelatedPartyMember2021-01-012021-12-3100016366512020-12-310001636651us-gaap:CommonStockMember2020-08-3100016366512015-08-092015-08-100001636651srt:MaximumMemberovid:ScenarioTwoMember2021-01-012021-12-310001636651ovid:TwoThousandSeve</w:t>
      </w:r>
      <w:r>
        <w:rPr>
          <w:rFonts w:eastAsia="Times New Roman"/>
          <w:vanish/>
        </w:rPr>
        <w:t>nteenEmployeeStockPurchasePlanMember2020-01-012020-12-310001636651us-gaap:SubsequentEventMemberovid:MarinusLicenseAgreementMember2022-03-012022-03-010001636651us-gaap:CollaborativeArrangementMemberovid:TakedaPharmaceuticalCompanyLimitedMember2020-01-012020</w:t>
      </w:r>
      <w:r>
        <w:rPr>
          <w:rFonts w:eastAsia="Times New Roman"/>
          <w:vanish/>
        </w:rPr>
        <w:t>-12-3100016366512014-07-012021-12-310001636651ovid:TwoThousandSeventeenEmployeeStockPurchasePlanMember2021-01-012021-12-310001636651srt:AffiliatedEntityMemberus-gaap:SeriesAPreferredStockMember2020-05-012020-05-310001636651us-gaap:FurnitureAndFixturesMembe</w:t>
      </w:r>
      <w:r>
        <w:rPr>
          <w:rFonts w:eastAsia="Times New Roman"/>
          <w:vanish/>
        </w:rPr>
        <w:t>r2020-12-310001636651ovid:EmployeePerformanceBasedOptionAwardsMember2021-01-012021-12-310001636651us-gaap:CollaborativeArrangementMemberovid:TakedaPharmaceuticalCompanyLimitedMember2021-03-290001636651ovid:TwoThousandSeventeenEmployeeStockPurchasePlanMembe</w:t>
      </w:r>
      <w:r>
        <w:rPr>
          <w:rFonts w:eastAsia="Times New Roman"/>
          <w:vanish/>
        </w:rPr>
        <w:t>r2021-01-012021-01-010001636651ovid:TwoThousandSeventeenEquityIncentivePlanMember2021-01-012021-01-010001636651ovid:AngeliniLicenseAgreementMemberovid:LicenseAgreementMember2021-01-012021-12-310001636651us-gaap:ResearchAndDevelopmentExpenseMember2020-01-01</w:t>
      </w:r>
      <w:r>
        <w:rPr>
          <w:rFonts w:eastAsia="Times New Roman"/>
          <w:vanish/>
        </w:rPr>
        <w:t>2020-12-310001636651ovid:TwoThousandSeventeenEmployeeStockPurchasePlanMember2021-12-310001636651srt:AffiliatedEntityMemberus-gaap:CommonStockMember2020-12-312020-12-310001636651ovid:NonEmployeeStockOptionsMember2020-12-310001636651ovid:AngeliniLicenseAgree</w:t>
      </w:r>
      <w:r>
        <w:rPr>
          <w:rFonts w:eastAsia="Times New Roman"/>
          <w:vanish/>
        </w:rPr>
        <w:t>mentMember2021-01-012021-12-310001636651ovid:NonEmployeeStockOptionsMember2021-12-310001636651ovid:TwoThousandSeventeenEquityIncentivePlanMember2021-01-012021-12-3100016366512021-12-300001636651us-gaap:CommonStockMember2020-08-012020-08-310001636651us-gaap</w:t>
      </w:r>
      <w:r>
        <w:rPr>
          <w:rFonts w:eastAsia="Times New Roman"/>
          <w:vanish/>
        </w:rPr>
        <w:t>:EmployeeStockOptionMember2021-01-012021-12-310001636651ovid:RoyaltyAndTerminationAgreementMember2021-01-012021-12-310001636651ovid:NonEmployeeStockOptionsMember2021-01-012021-12-3100016366512019-02-212019-02-220001636651ovid:AngeliniLicenseAgreementMember</w:t>
      </w:r>
      <w:r>
        <w:rPr>
          <w:rFonts w:eastAsia="Times New Roman"/>
          <w:vanish/>
        </w:rPr>
        <w:t>2020-01-012020-12-310001636651ovid:NonEmployeeStockOptionsMember2020-01-012020-12-310001636651us-gaap:StateAndLocalJurisdictionMember2021-01-012021-12-310001636651us-gaap:CashMember2020-12-310001636651us-gaap:CommonStockMember2020-01-012020-12-310001636651</w:t>
      </w:r>
      <w:r>
        <w:rPr>
          <w:rFonts w:eastAsia="Times New Roman"/>
          <w:vanish/>
        </w:rPr>
        <w:t>us-gaap:CommonStockMember2021-12-310001636651us-gaap:PreferredStockMemberus-gaap:ConvertiblePreferredStockMember2019-12-310001636651us-gaap:FurnitureAndFixturesMember2021-12-310001636651us-gaap:CommonStockMember2019-12-310001636651us-gaap:StateAndLocalJuri</w:t>
      </w:r>
      <w:r>
        <w:rPr>
          <w:rFonts w:eastAsia="Times New Roman"/>
          <w:vanish/>
        </w:rPr>
        <w:t>sdictionMember2021-12-310001636651us-gaap:ResearchAndDevelopmentExpenseMember2021-01-012021-12-310001636651us-gaap:SubsequentEventMemberovid:MarinusLicenseAgreementMember2022-03-010001636651us-gaap:EmployeeStockOptionMember2020-01-012020-12-310001636651ovi</w:t>
      </w:r>
      <w:r>
        <w:rPr>
          <w:rFonts w:eastAsia="Times New Roman"/>
          <w:vanish/>
        </w:rPr>
        <w:t>d:HLundbeckASMembersrt:MaximumMemberovid:LicenseAgreementMember2015-03-260001636651ovid:EmployeeStockPurchasePlanMember2020-01-012020-12-310001636651ovid:EmployeeStockPurchasePlanMember2021-01-012021-12-310001636651us-gaap:LicenseMember2020-01-012020-12-31</w:t>
      </w:r>
      <w:r>
        <w:rPr>
          <w:rFonts w:eastAsia="Times New Roman"/>
          <w:vanish/>
        </w:rPr>
        <w:t>0001636651ovid:AstrazenecaMember2021-01-012021-12-310001636651ovid:StockOptionsMember2021-01-012021-12-310001636651ovid:SeriesAConvertiblePreferredStockMember2021-01-012021-12-310001636651ovid:AstrazenecaMember2021-12-302021-12-300001636651us-gaap:LicenseM</w:t>
      </w:r>
      <w:r>
        <w:rPr>
          <w:rFonts w:eastAsia="Times New Roman"/>
          <w:vanish/>
        </w:rPr>
        <w:t>ember2021-01-012021-12-310001636651us-gaap:AdditionalPaidInCapitalMember2021-12-310001636651srt:AffiliatedEntityMemberus-gaap:CommonStockMember2020-05-012020-05-310001636651ovid:AngeliniLicenseAgreementMemberovid:LicenseAgreementMember2021-12-310001636651u</w:t>
      </w:r>
      <w:r>
        <w:rPr>
          <w:rFonts w:eastAsia="Times New Roman"/>
          <w:vanish/>
        </w:rPr>
        <w:t>s-gaap:CommonStockMember2021-01-012021-03-310001636651ovid:HLundbeckASMemberovid:LicenseAgreementMember2015-03-262015-03-260001636651ovid:ScenarioOneMember2021-01-012021-12-310001636651ovid:NorthwesternUniversityMembersrt:MaximumMemberovid:LicenseAgreement</w:t>
      </w:r>
      <w:r>
        <w:rPr>
          <w:rFonts w:eastAsia="Times New Roman"/>
          <w:vanish/>
        </w:rPr>
        <w:t>Member2016-12-310001636651us-gaap:DomesticCountryMember2021-01-012021-12-310001636651ovid:HLundbeckASMember2021-12-302021-12-300001636651srt:AffiliatedEntityMember2020-08-012020-08-3100016366512021-01-012021-12-310001636651ovid:NorthwesternUniversityMember</w:t>
      </w:r>
      <w:r>
        <w:rPr>
          <w:rFonts w:eastAsia="Times New Roman"/>
          <w:vanish/>
        </w:rPr>
        <w:t>ovid:LicenseAgreementMember2016-12-012016-12-310001636651us-gaap:RetainedEarningsMember2020-01-012020-12-310001636651us-gaap:SeriesAPreferredStockMember2021-01-012021-03-310001636651us-gaap:EmployeeStockOptionMember2020-01-012020-12-310001636651us-gaap:Dom</w:t>
      </w:r>
      <w:r>
        <w:rPr>
          <w:rFonts w:eastAsia="Times New Roman"/>
          <w:vanish/>
        </w:rPr>
        <w:t>esticCountryMember2021-12-310001636651us-gaap:RetainedEarningsMember2021-01-012021-12-31ovid:Investmentxbrli:pureiso4217:USDxbrli:sharesxbrli:sharesovid:Trialovid:Productiso4217:USD</w: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pBdr>
          <w:bottom w:val="double" w:sz="6" w:space="1" w:color="auto"/>
        </w:pBdr>
        <w:spacing w:before="0" w:beforeAutospacing="0" w:after="0" w:afterAutospacing="0"/>
        <w:rPr>
          <w:sz w:val="20"/>
          <w:szCs w:val="20"/>
        </w:rPr>
      </w:pPr>
      <w:r>
        <w:rPr>
          <w:sz w:val="2"/>
          <w:szCs w:val="2"/>
        </w:rPr>
        <w:t> </w:t>
      </w:r>
    </w:p>
    <w:p w:rsidR="00000000" w:rsidRDefault="00F83A7A">
      <w:pPr>
        <w:pStyle w:val="a3"/>
        <w:spacing w:before="60" w:beforeAutospacing="0" w:after="0" w:afterAutospacing="0"/>
        <w:jc w:val="center"/>
        <w:rPr>
          <w:sz w:val="20"/>
          <w:szCs w:val="20"/>
        </w:rPr>
      </w:pPr>
      <w:r>
        <w:rPr>
          <w:b/>
          <w:bCs/>
          <w:sz w:val="34"/>
          <w:szCs w:val="34"/>
        </w:rPr>
        <w:t>UNITED STATE</w:t>
      </w:r>
      <w:r>
        <w:rPr>
          <w:b/>
          <w:bCs/>
          <w:sz w:val="34"/>
          <w:szCs w:val="34"/>
        </w:rPr>
        <w:t>S</w:t>
      </w:r>
    </w:p>
    <w:p w:rsidR="00000000" w:rsidRDefault="00F83A7A">
      <w:pPr>
        <w:pStyle w:val="a3"/>
        <w:spacing w:before="0" w:beforeAutospacing="0" w:after="0" w:afterAutospacing="0"/>
        <w:jc w:val="center"/>
        <w:rPr>
          <w:sz w:val="20"/>
          <w:szCs w:val="20"/>
        </w:rPr>
      </w:pPr>
      <w:r>
        <w:rPr>
          <w:b/>
          <w:bCs/>
          <w:sz w:val="34"/>
          <w:szCs w:val="34"/>
        </w:rPr>
        <w:t>SECURITIES AND EXCHANGE COMMISSIO</w:t>
      </w:r>
      <w:r>
        <w:rPr>
          <w:b/>
          <w:bCs/>
          <w:sz w:val="34"/>
          <w:szCs w:val="34"/>
        </w:rPr>
        <w:t>N</w:t>
      </w:r>
    </w:p>
    <w:p w:rsidR="00000000" w:rsidRDefault="00F83A7A">
      <w:pPr>
        <w:pStyle w:val="a3"/>
        <w:spacing w:before="0" w:beforeAutospacing="0" w:after="0" w:afterAutospacing="0"/>
        <w:jc w:val="center"/>
        <w:rPr>
          <w:sz w:val="20"/>
          <w:szCs w:val="20"/>
        </w:rPr>
      </w:pPr>
      <w:r>
        <w:rPr>
          <w:b/>
          <w:bCs/>
          <w:sz w:val="20"/>
          <w:szCs w:val="20"/>
        </w:rPr>
        <w:t>Washington, D.C. 2054</w:t>
      </w:r>
      <w:r>
        <w:rPr>
          <w:b/>
          <w:bCs/>
          <w:sz w:val="20"/>
          <w:szCs w:val="20"/>
        </w:rPr>
        <w:t>9</w:t>
      </w:r>
    </w:p>
    <w:p w:rsidR="00000000" w:rsidRDefault="00F83A7A">
      <w:pPr>
        <w:pStyle w:val="a3"/>
        <w:spacing w:before="0" w:beforeAutospacing="0" w:after="0" w:afterAutospacing="0"/>
        <w:ind w:left="5000" w:right="5000"/>
        <w:jc w:val="center"/>
        <w:rPr>
          <w:sz w:val="20"/>
          <w:szCs w:val="20"/>
        </w:rPr>
      </w:pPr>
      <w:r>
        <w:rPr>
          <w:sz w:val="20"/>
          <w:szCs w:val="20"/>
        </w:rPr>
        <w:t> </w:t>
      </w:r>
    </w:p>
    <w:p w:rsidR="00000000" w:rsidRDefault="00F83A7A">
      <w:pPr>
        <w:pStyle w:val="a3"/>
        <w:spacing w:before="120" w:beforeAutospacing="0" w:after="0" w:afterAutospacing="0"/>
        <w:jc w:val="center"/>
        <w:rPr>
          <w:sz w:val="20"/>
          <w:szCs w:val="20"/>
        </w:rPr>
      </w:pPr>
      <w:r>
        <w:rPr>
          <w:b/>
          <w:bCs/>
          <w:sz w:val="34"/>
          <w:szCs w:val="34"/>
        </w:rPr>
        <w:t>FORM</w:t>
      </w:r>
      <w:r>
        <w:rPr>
          <w:b/>
          <w:bCs/>
          <w:sz w:val="34"/>
          <w:szCs w:val="34"/>
        </w:rPr>
        <w:t xml:space="preserve"> </w:t>
      </w:r>
      <w:r>
        <w:rPr>
          <w:b/>
          <w:bCs/>
          <w:sz w:val="34"/>
          <w:szCs w:val="34"/>
        </w:rPr>
        <w:t>10-</w:t>
      </w:r>
      <w:r>
        <w:rPr>
          <w:b/>
          <w:bCs/>
          <w:sz w:val="34"/>
          <w:szCs w:val="34"/>
        </w:rPr>
        <w:t>K</w:t>
      </w:r>
    </w:p>
    <w:p w:rsidR="00000000" w:rsidRDefault="00F83A7A">
      <w:pPr>
        <w:pStyle w:val="a3"/>
        <w:spacing w:before="0" w:beforeAutospacing="0" w:after="0" w:afterAutospacing="0"/>
        <w:ind w:left="5000" w:right="5000"/>
        <w:jc w:val="center"/>
        <w:rPr>
          <w:sz w:val="20"/>
          <w:szCs w:val="20"/>
        </w:rPr>
      </w:pPr>
      <w:r>
        <w:rPr>
          <w:sz w:val="20"/>
          <w:szCs w:val="20"/>
        </w:rPr>
        <w:t> </w:t>
      </w:r>
    </w:p>
    <w:p w:rsidR="00000000" w:rsidRDefault="00F83A7A">
      <w:pPr>
        <w:pStyle w:val="a3"/>
        <w:spacing w:before="60" w:beforeAutospacing="0" w:after="0" w:afterAutospacing="0"/>
        <w:rPr>
          <w:sz w:val="20"/>
          <w:szCs w:val="20"/>
        </w:rPr>
      </w:pPr>
      <w:r>
        <w:rPr>
          <w:b/>
          <w:bCs/>
          <w:sz w:val="18"/>
          <w:szCs w:val="18"/>
        </w:rPr>
        <w:t>(Mark One</w:t>
      </w:r>
      <w:r>
        <w:rPr>
          <w:b/>
          <w:bCs/>
          <w:sz w:val="18"/>
          <w:szCs w:val="18"/>
        </w:rPr>
        <w:t>)</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0" w:afterAutospacing="0"/>
        <w:rPr>
          <w:sz w:val="20"/>
          <w:szCs w:val="20"/>
        </w:rPr>
      </w:pPr>
      <w:r>
        <w:rPr>
          <w:rFonts w:ascii="Segoe UI Symbol" w:hAnsi="Segoe UI Symbol" w:cs="Segoe UI Symbol"/>
          <w:sz w:val="20"/>
          <w:szCs w:val="20"/>
        </w:rPr>
        <w:t>☒</w:t>
      </w:r>
      <w:r>
        <w:rPr>
          <w:sz w:val="20"/>
          <w:szCs w:val="20"/>
        </w:rPr>
        <w:t xml:space="preserve"> </w:t>
      </w:r>
      <w:r>
        <w:rPr>
          <w:b/>
          <w:bCs/>
          <w:sz w:val="20"/>
          <w:szCs w:val="20"/>
        </w:rPr>
        <w:t>ANNUAL REPORT PURSUANT TO SECTION 13 OR 15(d) OF THE SECURITIES EXCHANGE ACT OF 193</w:t>
      </w:r>
      <w:r>
        <w:rPr>
          <w:b/>
          <w:bCs/>
          <w:sz w:val="20"/>
          <w:szCs w:val="20"/>
        </w:rPr>
        <w:t>4</w:t>
      </w:r>
    </w:p>
    <w:p w:rsidR="00000000" w:rsidRDefault="00F83A7A">
      <w:pPr>
        <w:pStyle w:val="a3"/>
        <w:spacing w:before="120" w:beforeAutospacing="0" w:after="0" w:afterAutospacing="0"/>
        <w:jc w:val="center"/>
        <w:rPr>
          <w:sz w:val="20"/>
          <w:szCs w:val="20"/>
        </w:rPr>
      </w:pPr>
      <w:r>
        <w:rPr>
          <w:b/>
          <w:bCs/>
          <w:sz w:val="18"/>
          <w:szCs w:val="18"/>
        </w:rPr>
        <w:t>For the Fiscal Year Ended</w:t>
      </w:r>
      <w:r>
        <w:rPr>
          <w:b/>
          <w:bCs/>
          <w:sz w:val="18"/>
          <w:szCs w:val="18"/>
        </w:rPr>
        <w:t xml:space="preserve"> </w:t>
      </w:r>
      <w:r>
        <w:rPr>
          <w:b/>
          <w:bCs/>
          <w:sz w:val="18"/>
          <w:szCs w:val="18"/>
        </w:rPr>
        <w:t>December 31,</w:t>
      </w:r>
      <w:r>
        <w:rPr>
          <w:b/>
          <w:bCs/>
          <w:sz w:val="18"/>
          <w:szCs w:val="18"/>
        </w:rPr>
        <w:t xml:space="preserve"> </w:t>
      </w:r>
      <w:r>
        <w:rPr>
          <w:b/>
          <w:bCs/>
          <w:sz w:val="18"/>
          <w:szCs w:val="18"/>
        </w:rPr>
        <w:t>202</w:t>
      </w:r>
      <w:r>
        <w:rPr>
          <w:b/>
          <w:bCs/>
          <w:sz w:val="18"/>
          <w:szCs w:val="18"/>
        </w:rPr>
        <w:t>1</w:t>
      </w:r>
    </w:p>
    <w:p w:rsidR="00000000" w:rsidRDefault="00F83A7A">
      <w:pPr>
        <w:pStyle w:val="a3"/>
        <w:spacing w:before="120" w:beforeAutospacing="0" w:after="0" w:afterAutospacing="0"/>
        <w:jc w:val="center"/>
        <w:rPr>
          <w:sz w:val="20"/>
          <w:szCs w:val="20"/>
        </w:rPr>
      </w:pPr>
      <w:r>
        <w:rPr>
          <w:b/>
          <w:bCs/>
          <w:sz w:val="18"/>
          <w:szCs w:val="18"/>
        </w:rPr>
        <w:t>O</w:t>
      </w:r>
      <w:r>
        <w:rPr>
          <w:b/>
          <w:bCs/>
          <w:sz w:val="18"/>
          <w:szCs w:val="18"/>
        </w:rPr>
        <w:t>R</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0" w:afterAutospacing="0"/>
        <w:rPr>
          <w:sz w:val="20"/>
          <w:szCs w:val="20"/>
        </w:rPr>
      </w:pPr>
      <w:r>
        <w:rPr>
          <w:rFonts w:ascii="Segoe UI Symbol" w:hAnsi="Segoe UI Symbol" w:cs="Segoe UI Symbol"/>
          <w:sz w:val="20"/>
          <w:szCs w:val="20"/>
        </w:rPr>
        <w:t>☐</w:t>
      </w:r>
      <w:r>
        <w:rPr>
          <w:sz w:val="20"/>
          <w:szCs w:val="20"/>
        </w:rPr>
        <w:t xml:space="preserve"> </w:t>
      </w:r>
      <w:r>
        <w:rPr>
          <w:b/>
          <w:bCs/>
          <w:sz w:val="20"/>
          <w:szCs w:val="20"/>
        </w:rPr>
        <w:t>TRANSITION REPORT PURSUANT TO SECTION 13 OR 15(d) OF THE SECURITIES EXCHANGE ACT OF 193</w:t>
      </w:r>
      <w:r>
        <w:rPr>
          <w:b/>
          <w:bCs/>
          <w:sz w:val="20"/>
          <w:szCs w:val="20"/>
        </w:rPr>
        <w:t>4</w:t>
      </w:r>
    </w:p>
    <w:p w:rsidR="00000000" w:rsidRDefault="00F83A7A">
      <w:pPr>
        <w:pStyle w:val="a3"/>
        <w:spacing w:before="60" w:beforeAutospacing="0" w:after="0" w:afterAutospacing="0"/>
        <w:jc w:val="center"/>
        <w:rPr>
          <w:sz w:val="20"/>
          <w:szCs w:val="20"/>
        </w:rPr>
      </w:pPr>
      <w:r>
        <w:rPr>
          <w:b/>
          <w:bCs/>
          <w:sz w:val="18"/>
          <w:szCs w:val="18"/>
        </w:rPr>
        <w:t>For the Transition Period from t</w:t>
      </w:r>
      <w:r>
        <w:rPr>
          <w:b/>
          <w:bCs/>
          <w:sz w:val="18"/>
          <w:szCs w:val="18"/>
        </w:rPr>
        <w:t>o</w:t>
      </w:r>
      <w:r>
        <w:rPr>
          <w:b/>
          <w:bCs/>
          <w:sz w:val="18"/>
          <w:szCs w:val="18"/>
        </w:rPr>
        <w:t xml:space="preserve"> </w:t>
      </w:r>
    </w:p>
    <w:p w:rsidR="00000000" w:rsidRDefault="00F83A7A">
      <w:pPr>
        <w:pStyle w:val="a3"/>
        <w:spacing w:before="60" w:beforeAutospacing="0" w:after="0" w:afterAutospacing="0"/>
        <w:jc w:val="center"/>
        <w:rPr>
          <w:sz w:val="20"/>
          <w:szCs w:val="20"/>
        </w:rPr>
      </w:pPr>
      <w:r>
        <w:rPr>
          <w:b/>
          <w:bCs/>
          <w:sz w:val="18"/>
          <w:szCs w:val="18"/>
        </w:rPr>
        <w:t>Commission File Number:</w:t>
      </w:r>
      <w:r>
        <w:rPr>
          <w:b/>
          <w:bCs/>
          <w:sz w:val="18"/>
          <w:szCs w:val="18"/>
        </w:rPr>
        <w:t xml:space="preserve"> </w:t>
      </w:r>
      <w:r>
        <w:rPr>
          <w:b/>
          <w:bCs/>
          <w:sz w:val="18"/>
          <w:szCs w:val="18"/>
        </w:rPr>
        <w:t>001-3808</w:t>
      </w:r>
      <w:r>
        <w:rPr>
          <w:b/>
          <w:bCs/>
          <w:sz w:val="18"/>
          <w:szCs w:val="18"/>
        </w:rPr>
        <w:t>5</w:t>
      </w:r>
    </w:p>
    <w:p w:rsidR="00000000" w:rsidRDefault="00F83A7A">
      <w:pPr>
        <w:pStyle w:val="a3"/>
        <w:spacing w:before="0" w:beforeAutospacing="0" w:after="0" w:afterAutospacing="0"/>
        <w:ind w:left="5000" w:right="5000"/>
        <w:jc w:val="center"/>
        <w:rPr>
          <w:sz w:val="20"/>
          <w:szCs w:val="20"/>
        </w:rPr>
      </w:pPr>
      <w:r>
        <w:rPr>
          <w:sz w:val="20"/>
          <w:szCs w:val="20"/>
        </w:rPr>
        <w:t> </w:t>
      </w:r>
    </w:p>
    <w:p w:rsidR="00000000" w:rsidRDefault="00F83A7A">
      <w:pPr>
        <w:pStyle w:val="a3"/>
        <w:spacing w:before="60" w:beforeAutospacing="0" w:after="0" w:afterAutospacing="0"/>
        <w:jc w:val="center"/>
        <w:rPr>
          <w:sz w:val="20"/>
          <w:szCs w:val="20"/>
        </w:rPr>
      </w:pPr>
      <w:r>
        <w:rPr>
          <w:b/>
          <w:bCs/>
          <w:sz w:val="44"/>
          <w:szCs w:val="44"/>
        </w:rPr>
        <w:t>Ovid Therapeutics Inc</w:t>
      </w:r>
      <w:r>
        <w:rPr>
          <w:b/>
          <w:bCs/>
          <w:sz w:val="44"/>
          <w:szCs w:val="44"/>
        </w:rPr>
        <w:t>.</w:t>
      </w:r>
    </w:p>
    <w:p w:rsidR="00000000" w:rsidRDefault="00F83A7A">
      <w:pPr>
        <w:pStyle w:val="a3"/>
        <w:spacing w:before="0" w:beforeAutospacing="0" w:after="0" w:afterAutospacing="0"/>
        <w:jc w:val="center"/>
        <w:rPr>
          <w:sz w:val="20"/>
          <w:szCs w:val="20"/>
        </w:rPr>
      </w:pPr>
      <w:r>
        <w:rPr>
          <w:b/>
          <w:bCs/>
          <w:sz w:val="18"/>
          <w:szCs w:val="18"/>
        </w:rPr>
        <w:t>(Exact name of Registrant as specified in its charter</w:t>
      </w:r>
      <w:r>
        <w:rPr>
          <w:b/>
          <w:bCs/>
          <w:sz w:val="18"/>
          <w:szCs w:val="18"/>
        </w:rPr>
        <w:t>)</w:t>
      </w:r>
    </w:p>
    <w:p w:rsidR="00000000" w:rsidRDefault="00F83A7A">
      <w:pPr>
        <w:pStyle w:val="a3"/>
        <w:spacing w:before="0" w:beforeAutospacing="0" w:after="0" w:afterAutospacing="0"/>
        <w:ind w:left="5000" w:right="5000"/>
        <w:jc w:val="center"/>
        <w:rPr>
          <w:sz w:val="20"/>
          <w:szCs w:val="20"/>
        </w:rPr>
      </w:pPr>
      <w:r>
        <w:rPr>
          <w:sz w:val="20"/>
          <w:szCs w:val="20"/>
        </w:rPr>
        <w:t> </w:t>
      </w:r>
    </w:p>
    <w:p w:rsidR="00000000" w:rsidRDefault="00F83A7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39"/>
        <w:gridCol w:w="120"/>
        <w:gridCol w:w="2706"/>
        <w:gridCol w:w="120"/>
        <w:gridCol w:w="2721"/>
      </w:tblGrid>
      <w:tr w:rsidR="00000000">
        <w:trPr>
          <w:tblCellSpacing w:w="15" w:type="dxa"/>
        </w:trPr>
        <w:tc>
          <w:tcPr>
            <w:tcW w:w="1600" w:type="pct"/>
            <w:vAlign w:val="center"/>
            <w:hideMark/>
          </w:tcPr>
          <w:p w:rsidR="00000000" w:rsidRDefault="00F83A7A">
            <w:pPr>
              <w:rPr>
                <w:sz w:val="20"/>
                <w:szCs w:val="20"/>
              </w:rPr>
            </w:pPr>
          </w:p>
        </w:tc>
        <w:tc>
          <w:tcPr>
            <w:tcW w:w="50" w:type="pct"/>
            <w:vAlign w:val="center"/>
            <w:hideMark/>
          </w:tcPr>
          <w:p w:rsidR="00000000" w:rsidRDefault="00F83A7A">
            <w:pPr>
              <w:rPr>
                <w:rFonts w:eastAsia="Times New Roman"/>
                <w:sz w:val="20"/>
                <w:szCs w:val="20"/>
              </w:rPr>
            </w:pPr>
          </w:p>
        </w:tc>
        <w:tc>
          <w:tcPr>
            <w:tcW w:w="1650" w:type="pct"/>
            <w:vAlign w:val="center"/>
            <w:hideMark/>
          </w:tcPr>
          <w:p w:rsidR="00000000" w:rsidRDefault="00F83A7A">
            <w:pPr>
              <w:rPr>
                <w:rFonts w:eastAsia="Times New Roman"/>
                <w:sz w:val="20"/>
                <w:szCs w:val="20"/>
              </w:rPr>
            </w:pPr>
          </w:p>
        </w:tc>
        <w:tc>
          <w:tcPr>
            <w:tcW w:w="50" w:type="pct"/>
            <w:vAlign w:val="center"/>
            <w:hideMark/>
          </w:tcPr>
          <w:p w:rsidR="00000000" w:rsidRDefault="00F83A7A">
            <w:pPr>
              <w:rPr>
                <w:rFonts w:eastAsia="Times New Roman"/>
                <w:sz w:val="20"/>
                <w:szCs w:val="20"/>
              </w:rPr>
            </w:pPr>
          </w:p>
        </w:tc>
        <w:tc>
          <w:tcPr>
            <w:tcW w:w="1650" w:type="pct"/>
            <w:vAlign w:val="center"/>
            <w:hideMark/>
          </w:tcPr>
          <w:p w:rsidR="00000000" w:rsidRDefault="00F83A7A">
            <w:pPr>
              <w:rPr>
                <w:rFonts w:eastAsia="Times New Roman"/>
                <w:sz w:val="20"/>
                <w:szCs w:val="20"/>
              </w:rPr>
            </w:pPr>
          </w:p>
        </w:tc>
      </w:tr>
      <w:tr w:rsidR="00000000">
        <w:trPr>
          <w:tblCellSpacing w:w="15" w:type="dxa"/>
        </w:trPr>
        <w:tc>
          <w:tcPr>
            <w:tcW w:w="0" w:type="auto"/>
            <w:vAlign w:val="center"/>
            <w:hideMark/>
          </w:tcPr>
          <w:p w:rsidR="00000000" w:rsidRDefault="00F83A7A">
            <w:pPr>
              <w:pStyle w:val="a3"/>
              <w:spacing w:before="0" w:beforeAutospacing="0" w:after="0" w:afterAutospacing="0" w:line="0" w:lineRule="auto"/>
            </w:pPr>
            <w:r>
              <w:t> </w:t>
            </w:r>
          </w:p>
        </w:tc>
        <w:tc>
          <w:tcPr>
            <w:tcW w:w="0" w:type="auto"/>
            <w:vAlign w:val="bottom"/>
            <w:hideMark/>
          </w:tcPr>
          <w:p w:rsidR="00000000" w:rsidRDefault="00F83A7A">
            <w:pPr>
              <w:pStyle w:val="a3"/>
              <w:spacing w:before="0" w:beforeAutospacing="0" w:after="0" w:afterAutospacing="0" w:line="0" w:lineRule="auto"/>
            </w:pPr>
            <w:r>
              <w:t> </w:t>
            </w:r>
          </w:p>
        </w:tc>
        <w:tc>
          <w:tcPr>
            <w:tcW w:w="0" w:type="auto"/>
            <w:vAlign w:val="center"/>
            <w:hideMark/>
          </w:tcPr>
          <w:p w:rsidR="00000000" w:rsidRDefault="00F83A7A">
            <w:pPr>
              <w:pStyle w:val="a3"/>
              <w:spacing w:before="0" w:beforeAutospacing="0" w:after="0" w:afterAutospacing="0" w:line="0" w:lineRule="auto"/>
            </w:pPr>
            <w:r>
              <w:t> </w:t>
            </w:r>
          </w:p>
        </w:tc>
        <w:tc>
          <w:tcPr>
            <w:tcW w:w="0" w:type="auto"/>
            <w:vAlign w:val="bottom"/>
            <w:hideMark/>
          </w:tcPr>
          <w:p w:rsidR="00000000" w:rsidRDefault="00F83A7A">
            <w:pPr>
              <w:pStyle w:val="a3"/>
              <w:spacing w:before="0" w:beforeAutospacing="0" w:after="0" w:afterAutospacing="0" w:line="0" w:lineRule="auto"/>
            </w:pPr>
            <w:r>
              <w:t> </w:t>
            </w:r>
          </w:p>
        </w:tc>
        <w:tc>
          <w:tcPr>
            <w:tcW w:w="0" w:type="auto"/>
            <w:vAlign w:val="center"/>
            <w:hideMark/>
          </w:tcPr>
          <w:p w:rsidR="00000000" w:rsidRDefault="00F83A7A">
            <w:pPr>
              <w:pStyle w:val="a3"/>
              <w:spacing w:before="0" w:beforeAutospacing="0" w:after="0" w:afterAutospacing="0" w:line="0" w:lineRule="auto"/>
            </w:pPr>
            <w:r>
              <w:t> </w:t>
            </w:r>
          </w:p>
        </w:tc>
      </w:tr>
      <w:tr w:rsidR="00000000">
        <w:trPr>
          <w:trHeight w:val="180"/>
          <w:tblCellSpacing w:w="15" w:type="dxa"/>
        </w:trPr>
        <w:tc>
          <w:tcPr>
            <w:tcW w:w="0" w:type="auto"/>
            <w:hideMark/>
          </w:tcPr>
          <w:p w:rsidR="00000000" w:rsidRDefault="00F83A7A">
            <w:pPr>
              <w:pStyle w:val="a3"/>
              <w:spacing w:before="0" w:beforeAutospacing="0" w:after="0" w:afterAutospacing="0" w:line="0" w:lineRule="auto"/>
              <w:ind w:right="13"/>
              <w:jc w:val="center"/>
              <w:rPr>
                <w:sz w:val="20"/>
                <w:szCs w:val="20"/>
              </w:rPr>
            </w:pPr>
            <w:r>
              <w:rPr>
                <w:b/>
                <w:bCs/>
                <w:sz w:val="18"/>
                <w:szCs w:val="18"/>
              </w:rPr>
              <w:t>Delawar</w:t>
            </w:r>
            <w:r>
              <w:rPr>
                <w:b/>
                <w:bCs/>
                <w:sz w:val="18"/>
                <w:szCs w:val="18"/>
              </w:rPr>
              <w:t>e</w:t>
            </w:r>
          </w:p>
        </w:tc>
        <w:tc>
          <w:tcPr>
            <w:tcW w:w="0" w:type="auto"/>
            <w:vAlign w:val="bottom"/>
            <w:hideMark/>
          </w:tcPr>
          <w:p w:rsidR="00000000" w:rsidRDefault="00F83A7A">
            <w:pPr>
              <w:pStyle w:val="a3"/>
              <w:spacing w:before="0" w:beforeAutospacing="0" w:after="0" w:afterAutospacing="0" w:line="0" w:lineRule="auto"/>
              <w:ind w:right="9"/>
              <w:rPr>
                <w:sz w:val="18"/>
                <w:szCs w:val="18"/>
              </w:rPr>
            </w:pPr>
            <w:r>
              <w:rPr>
                <w:sz w:val="18"/>
                <w:szCs w:val="18"/>
              </w:rPr>
              <w:t> </w:t>
            </w:r>
          </w:p>
        </w:tc>
        <w:tc>
          <w:tcPr>
            <w:tcW w:w="0" w:type="auto"/>
            <w:hideMark/>
          </w:tcPr>
          <w:p w:rsidR="00000000" w:rsidRDefault="00F83A7A">
            <w:pPr>
              <w:pStyle w:val="a3"/>
              <w:spacing w:before="0" w:beforeAutospacing="0" w:after="0" w:afterAutospacing="0" w:line="0" w:lineRule="auto"/>
              <w:ind w:right="9"/>
              <w:jc w:val="center"/>
              <w:rPr>
                <w:sz w:val="18"/>
                <w:szCs w:val="18"/>
              </w:rPr>
            </w:pPr>
            <w:r>
              <w:rPr>
                <w:b/>
                <w:bCs/>
                <w:sz w:val="18"/>
                <w:szCs w:val="18"/>
              </w:rPr>
              <w:t>283</w:t>
            </w:r>
            <w:r>
              <w:rPr>
                <w:b/>
                <w:bCs/>
                <w:sz w:val="18"/>
                <w:szCs w:val="18"/>
              </w:rPr>
              <w:t>4</w:t>
            </w:r>
          </w:p>
        </w:tc>
        <w:tc>
          <w:tcPr>
            <w:tcW w:w="0" w:type="auto"/>
            <w:vAlign w:val="bottom"/>
            <w:hideMark/>
          </w:tcPr>
          <w:p w:rsidR="00000000" w:rsidRDefault="00F83A7A">
            <w:pPr>
              <w:pStyle w:val="a3"/>
              <w:spacing w:before="0" w:beforeAutospacing="0" w:after="0" w:afterAutospacing="0" w:line="0" w:lineRule="auto"/>
              <w:ind w:right="9"/>
              <w:rPr>
                <w:sz w:val="18"/>
                <w:szCs w:val="18"/>
              </w:rPr>
            </w:pPr>
            <w:r>
              <w:rPr>
                <w:sz w:val="18"/>
                <w:szCs w:val="18"/>
              </w:rPr>
              <w:t> </w:t>
            </w:r>
          </w:p>
        </w:tc>
        <w:tc>
          <w:tcPr>
            <w:tcW w:w="0" w:type="auto"/>
            <w:hideMark/>
          </w:tcPr>
          <w:p w:rsidR="00000000" w:rsidRDefault="00F83A7A">
            <w:pPr>
              <w:pStyle w:val="a3"/>
              <w:spacing w:before="0" w:beforeAutospacing="0" w:after="0" w:afterAutospacing="0" w:line="0" w:lineRule="auto"/>
              <w:ind w:right="9"/>
              <w:jc w:val="center"/>
              <w:rPr>
                <w:sz w:val="20"/>
                <w:szCs w:val="20"/>
              </w:rPr>
            </w:pPr>
            <w:r>
              <w:rPr>
                <w:b/>
                <w:bCs/>
                <w:sz w:val="18"/>
                <w:szCs w:val="18"/>
              </w:rPr>
              <w:t>46-527089</w:t>
            </w:r>
            <w:r>
              <w:rPr>
                <w:b/>
                <w:bCs/>
                <w:sz w:val="18"/>
                <w:szCs w:val="18"/>
              </w:rPr>
              <w:t>5</w:t>
            </w:r>
          </w:p>
        </w:tc>
      </w:tr>
      <w:tr w:rsidR="00000000">
        <w:trPr>
          <w:trHeight w:val="160"/>
          <w:tblCellSpacing w:w="15" w:type="dxa"/>
        </w:trPr>
        <w:tc>
          <w:tcPr>
            <w:tcW w:w="0" w:type="auto"/>
            <w:hideMark/>
          </w:tcPr>
          <w:p w:rsidR="00000000" w:rsidRDefault="00F83A7A">
            <w:pPr>
              <w:pStyle w:val="a3"/>
              <w:spacing w:before="0" w:beforeAutospacing="0" w:after="0" w:afterAutospacing="0" w:line="0" w:lineRule="auto"/>
              <w:ind w:right="9"/>
              <w:jc w:val="center"/>
              <w:rPr>
                <w:sz w:val="16"/>
                <w:szCs w:val="16"/>
              </w:rPr>
            </w:pPr>
            <w:r>
              <w:rPr>
                <w:b/>
                <w:bCs/>
                <w:sz w:val="16"/>
                <w:szCs w:val="16"/>
              </w:rPr>
              <w:t>(State or Other Jurisdiction o</w:t>
            </w:r>
            <w:r>
              <w:rPr>
                <w:b/>
                <w:bCs/>
                <w:sz w:val="16"/>
                <w:szCs w:val="16"/>
              </w:rPr>
              <w:t>f</w:t>
            </w:r>
          </w:p>
          <w:p w:rsidR="00000000" w:rsidRDefault="00F83A7A">
            <w:pPr>
              <w:pStyle w:val="a3"/>
              <w:spacing w:before="0" w:beforeAutospacing="0" w:after="0" w:afterAutospacing="0" w:line="0" w:lineRule="auto"/>
              <w:ind w:right="9"/>
              <w:jc w:val="center"/>
              <w:rPr>
                <w:sz w:val="16"/>
                <w:szCs w:val="16"/>
              </w:rPr>
            </w:pPr>
            <w:r>
              <w:rPr>
                <w:b/>
                <w:bCs/>
                <w:sz w:val="16"/>
                <w:szCs w:val="16"/>
              </w:rPr>
              <w:t>Incorporation or Organization</w:t>
            </w:r>
            <w:r>
              <w:rPr>
                <w:b/>
                <w:bCs/>
                <w:sz w:val="16"/>
                <w:szCs w:val="16"/>
              </w:rPr>
              <w:t>)</w:t>
            </w:r>
          </w:p>
        </w:tc>
        <w:tc>
          <w:tcPr>
            <w:tcW w:w="0" w:type="auto"/>
            <w:vAlign w:val="bottom"/>
            <w:hideMark/>
          </w:tcPr>
          <w:p w:rsidR="00000000" w:rsidRDefault="00F83A7A">
            <w:pPr>
              <w:pStyle w:val="a3"/>
              <w:spacing w:before="0" w:beforeAutospacing="0" w:after="0" w:afterAutospacing="0" w:line="0" w:lineRule="auto"/>
              <w:ind w:right="9"/>
              <w:rPr>
                <w:sz w:val="16"/>
                <w:szCs w:val="16"/>
              </w:rPr>
            </w:pPr>
            <w:r>
              <w:rPr>
                <w:sz w:val="16"/>
                <w:szCs w:val="16"/>
              </w:rPr>
              <w:t> </w:t>
            </w:r>
          </w:p>
        </w:tc>
        <w:tc>
          <w:tcPr>
            <w:tcW w:w="0" w:type="auto"/>
            <w:hideMark/>
          </w:tcPr>
          <w:p w:rsidR="00000000" w:rsidRDefault="00F83A7A">
            <w:pPr>
              <w:pStyle w:val="a3"/>
              <w:spacing w:before="0" w:beforeAutospacing="0" w:after="0" w:afterAutospacing="0" w:line="0" w:lineRule="auto"/>
              <w:ind w:right="9"/>
              <w:jc w:val="center"/>
              <w:rPr>
                <w:sz w:val="16"/>
                <w:szCs w:val="16"/>
              </w:rPr>
            </w:pPr>
            <w:r>
              <w:rPr>
                <w:b/>
                <w:bCs/>
                <w:sz w:val="16"/>
                <w:szCs w:val="16"/>
              </w:rPr>
              <w:t>(Primary Standard Industria</w:t>
            </w:r>
            <w:r>
              <w:rPr>
                <w:b/>
                <w:bCs/>
                <w:sz w:val="16"/>
                <w:szCs w:val="16"/>
              </w:rPr>
              <w:t>l</w:t>
            </w:r>
          </w:p>
          <w:p w:rsidR="00000000" w:rsidRDefault="00F83A7A">
            <w:pPr>
              <w:pStyle w:val="a3"/>
              <w:spacing w:before="0" w:beforeAutospacing="0" w:after="0" w:afterAutospacing="0" w:line="0" w:lineRule="auto"/>
              <w:ind w:right="9"/>
              <w:jc w:val="center"/>
              <w:rPr>
                <w:sz w:val="16"/>
                <w:szCs w:val="16"/>
              </w:rPr>
            </w:pPr>
            <w:r>
              <w:rPr>
                <w:b/>
                <w:bCs/>
                <w:sz w:val="16"/>
                <w:szCs w:val="16"/>
              </w:rPr>
              <w:t>Classification Code Number</w:t>
            </w:r>
            <w:r>
              <w:rPr>
                <w:b/>
                <w:bCs/>
                <w:sz w:val="16"/>
                <w:szCs w:val="16"/>
              </w:rPr>
              <w:t>)</w:t>
            </w:r>
          </w:p>
        </w:tc>
        <w:tc>
          <w:tcPr>
            <w:tcW w:w="0" w:type="auto"/>
            <w:vAlign w:val="bottom"/>
            <w:hideMark/>
          </w:tcPr>
          <w:p w:rsidR="00000000" w:rsidRDefault="00F83A7A">
            <w:pPr>
              <w:pStyle w:val="a3"/>
              <w:spacing w:before="0" w:beforeAutospacing="0" w:after="0" w:afterAutospacing="0" w:line="0" w:lineRule="auto"/>
              <w:ind w:right="9"/>
              <w:rPr>
                <w:sz w:val="16"/>
                <w:szCs w:val="16"/>
              </w:rPr>
            </w:pPr>
            <w:r>
              <w:rPr>
                <w:sz w:val="16"/>
                <w:szCs w:val="16"/>
              </w:rPr>
              <w:t> </w:t>
            </w:r>
          </w:p>
        </w:tc>
        <w:tc>
          <w:tcPr>
            <w:tcW w:w="0" w:type="auto"/>
            <w:hideMark/>
          </w:tcPr>
          <w:p w:rsidR="00000000" w:rsidRDefault="00F83A7A">
            <w:pPr>
              <w:pStyle w:val="a3"/>
              <w:spacing w:before="0" w:beforeAutospacing="0" w:after="0" w:afterAutospacing="0" w:line="0" w:lineRule="auto"/>
              <w:ind w:right="9"/>
              <w:jc w:val="center"/>
              <w:rPr>
                <w:sz w:val="16"/>
                <w:szCs w:val="16"/>
              </w:rPr>
            </w:pPr>
            <w:r>
              <w:rPr>
                <w:b/>
                <w:bCs/>
                <w:sz w:val="16"/>
                <w:szCs w:val="16"/>
              </w:rPr>
              <w:t>(I.R.S. Employe</w:t>
            </w:r>
            <w:r>
              <w:rPr>
                <w:b/>
                <w:bCs/>
                <w:sz w:val="16"/>
                <w:szCs w:val="16"/>
              </w:rPr>
              <w:t>r</w:t>
            </w:r>
          </w:p>
          <w:p w:rsidR="00000000" w:rsidRDefault="00F83A7A">
            <w:pPr>
              <w:pStyle w:val="a3"/>
              <w:spacing w:before="0" w:beforeAutospacing="0" w:after="0" w:afterAutospacing="0" w:line="0" w:lineRule="auto"/>
              <w:ind w:right="9"/>
              <w:jc w:val="center"/>
              <w:rPr>
                <w:sz w:val="16"/>
                <w:szCs w:val="16"/>
              </w:rPr>
            </w:pPr>
            <w:r>
              <w:rPr>
                <w:b/>
                <w:bCs/>
                <w:sz w:val="16"/>
                <w:szCs w:val="16"/>
              </w:rPr>
              <w:t>Identification Number</w:t>
            </w:r>
            <w:r>
              <w:rPr>
                <w:b/>
                <w:bCs/>
                <w:sz w:val="16"/>
                <w:szCs w:val="16"/>
              </w:rPr>
              <w:t>)</w:t>
            </w:r>
          </w:p>
        </w:tc>
      </w:tr>
    </w:tbl>
    <w:p w:rsidR="00000000" w:rsidRDefault="00F83A7A">
      <w:pPr>
        <w:pStyle w:val="a3"/>
        <w:spacing w:before="0" w:beforeAutospacing="0" w:after="0" w:afterAutospacing="0"/>
        <w:jc w:val="center"/>
        <w:rPr>
          <w:sz w:val="20"/>
          <w:szCs w:val="20"/>
        </w:rPr>
      </w:pPr>
      <w:r>
        <w:rPr>
          <w:sz w:val="6"/>
          <w:szCs w:val="6"/>
        </w:rPr>
        <w:t> </w:t>
      </w:r>
    </w:p>
    <w:p w:rsidR="00000000" w:rsidRDefault="00F83A7A">
      <w:pPr>
        <w:pStyle w:val="a3"/>
        <w:spacing w:before="0" w:beforeAutospacing="0" w:after="0" w:afterAutospacing="0"/>
        <w:jc w:val="center"/>
        <w:rPr>
          <w:sz w:val="20"/>
          <w:szCs w:val="20"/>
        </w:rPr>
      </w:pPr>
      <w:r>
        <w:rPr>
          <w:b/>
          <w:bCs/>
          <w:sz w:val="18"/>
          <w:szCs w:val="18"/>
        </w:rPr>
        <w:t>1460 Broadwa</w:t>
      </w:r>
      <w:r>
        <w:rPr>
          <w:b/>
          <w:bCs/>
          <w:sz w:val="18"/>
          <w:szCs w:val="18"/>
        </w:rPr>
        <w:t>y</w:t>
      </w:r>
      <w:r>
        <w:rPr>
          <w:b/>
          <w:bCs/>
          <w:sz w:val="18"/>
          <w:szCs w:val="18"/>
        </w:rPr>
        <w:t>,</w:t>
      </w:r>
      <w:r>
        <w:rPr>
          <w:b/>
          <w:bCs/>
          <w:sz w:val="18"/>
          <w:szCs w:val="18"/>
        </w:rPr>
        <w:t xml:space="preserve"> </w:t>
      </w:r>
      <w:r>
        <w:rPr>
          <w:b/>
          <w:bCs/>
          <w:sz w:val="18"/>
          <w:szCs w:val="18"/>
        </w:rPr>
        <w:t>Suite 1502</w:t>
      </w:r>
      <w:r>
        <w:rPr>
          <w:b/>
          <w:bCs/>
          <w:sz w:val="18"/>
          <w:szCs w:val="18"/>
        </w:rPr>
        <w:t>1</w:t>
      </w:r>
    </w:p>
    <w:p w:rsidR="00000000" w:rsidRDefault="00F83A7A">
      <w:pPr>
        <w:pStyle w:val="a3"/>
        <w:spacing w:before="0" w:beforeAutospacing="0" w:after="0" w:afterAutospacing="0"/>
        <w:jc w:val="center"/>
        <w:rPr>
          <w:sz w:val="20"/>
          <w:szCs w:val="20"/>
        </w:rPr>
      </w:pPr>
      <w:r>
        <w:rPr>
          <w:b/>
          <w:bCs/>
          <w:sz w:val="18"/>
          <w:szCs w:val="18"/>
        </w:rPr>
        <w:t>New Yor</w:t>
      </w:r>
      <w:r>
        <w:rPr>
          <w:b/>
          <w:bCs/>
          <w:sz w:val="18"/>
          <w:szCs w:val="18"/>
        </w:rPr>
        <w:t>k</w:t>
      </w:r>
      <w:r>
        <w:rPr>
          <w:b/>
          <w:bCs/>
          <w:sz w:val="18"/>
          <w:szCs w:val="18"/>
        </w:rPr>
        <w:t>,</w:t>
      </w:r>
      <w:r>
        <w:rPr>
          <w:b/>
          <w:bCs/>
          <w:sz w:val="18"/>
          <w:szCs w:val="18"/>
        </w:rPr>
        <w:t xml:space="preserve"> </w:t>
      </w:r>
      <w:r>
        <w:rPr>
          <w:b/>
          <w:bCs/>
          <w:sz w:val="18"/>
          <w:szCs w:val="18"/>
        </w:rPr>
        <w:t>New Yor</w:t>
      </w:r>
      <w:r>
        <w:rPr>
          <w:b/>
          <w:bCs/>
          <w:sz w:val="18"/>
          <w:szCs w:val="18"/>
        </w:rPr>
        <w:t>k</w:t>
      </w:r>
      <w:r>
        <w:rPr>
          <w:b/>
          <w:bCs/>
          <w:sz w:val="18"/>
          <w:szCs w:val="18"/>
        </w:rPr>
        <w:t xml:space="preserve"> </w:t>
      </w:r>
      <w:r>
        <w:rPr>
          <w:b/>
          <w:bCs/>
          <w:sz w:val="18"/>
          <w:szCs w:val="18"/>
        </w:rPr>
        <w:t>1003</w:t>
      </w:r>
      <w:r>
        <w:rPr>
          <w:b/>
          <w:bCs/>
          <w:sz w:val="18"/>
          <w:szCs w:val="18"/>
        </w:rPr>
        <w:t>6</w:t>
      </w:r>
    </w:p>
    <w:p w:rsidR="00000000" w:rsidRDefault="00F83A7A">
      <w:pPr>
        <w:pStyle w:val="a3"/>
        <w:spacing w:before="0" w:beforeAutospacing="0" w:after="0" w:afterAutospacing="0"/>
        <w:jc w:val="center"/>
        <w:rPr>
          <w:sz w:val="20"/>
          <w:szCs w:val="20"/>
        </w:rPr>
      </w:pPr>
      <w:r>
        <w:rPr>
          <w:b/>
          <w:bCs/>
          <w:sz w:val="18"/>
          <w:szCs w:val="18"/>
        </w:rPr>
        <w:t>(</w:t>
      </w:r>
      <w:r>
        <w:rPr>
          <w:b/>
          <w:bCs/>
          <w:sz w:val="18"/>
          <w:szCs w:val="18"/>
        </w:rPr>
        <w:t>64</w:t>
      </w:r>
      <w:r>
        <w:rPr>
          <w:b/>
          <w:bCs/>
          <w:sz w:val="18"/>
          <w:szCs w:val="18"/>
        </w:rPr>
        <w:t>6</w:t>
      </w:r>
      <w:r>
        <w:rPr>
          <w:b/>
          <w:bCs/>
          <w:sz w:val="18"/>
          <w:szCs w:val="18"/>
        </w:rPr>
        <w:t>)</w:t>
      </w:r>
      <w:r>
        <w:rPr>
          <w:b/>
          <w:bCs/>
          <w:sz w:val="18"/>
          <w:szCs w:val="18"/>
        </w:rPr>
        <w:t xml:space="preserve"> </w:t>
      </w:r>
      <w:r>
        <w:rPr>
          <w:b/>
          <w:bCs/>
          <w:sz w:val="18"/>
          <w:szCs w:val="18"/>
        </w:rPr>
        <w:t>661-766</w:t>
      </w:r>
      <w:r>
        <w:rPr>
          <w:b/>
          <w:bCs/>
          <w:sz w:val="18"/>
          <w:szCs w:val="18"/>
        </w:rPr>
        <w:t>1</w:t>
      </w:r>
    </w:p>
    <w:p w:rsidR="00000000" w:rsidRDefault="00F83A7A">
      <w:pPr>
        <w:pStyle w:val="a3"/>
        <w:spacing w:before="0" w:beforeAutospacing="0" w:after="0" w:afterAutospacing="0"/>
        <w:jc w:val="center"/>
        <w:rPr>
          <w:sz w:val="20"/>
          <w:szCs w:val="20"/>
        </w:rPr>
      </w:pPr>
      <w:r>
        <w:rPr>
          <w:b/>
          <w:bCs/>
          <w:sz w:val="16"/>
          <w:szCs w:val="16"/>
        </w:rPr>
        <w:t>(Address, Including Zip Code, and Telephone Number, Including Area Code, of Registrant’s Principal Executive Offices</w:t>
      </w:r>
      <w:r>
        <w:rPr>
          <w:b/>
          <w:bCs/>
          <w:sz w:val="16"/>
          <w:szCs w:val="16"/>
        </w:rPr>
        <w:t>)</w:t>
      </w:r>
    </w:p>
    <w:p w:rsidR="00000000" w:rsidRDefault="00F83A7A">
      <w:pPr>
        <w:pStyle w:val="a3"/>
        <w:spacing w:before="60" w:beforeAutospacing="0" w:after="0" w:afterAutospacing="0"/>
        <w:jc w:val="center"/>
        <w:rPr>
          <w:sz w:val="20"/>
          <w:szCs w:val="20"/>
        </w:rPr>
      </w:pPr>
      <w:r>
        <w:rPr>
          <w:b/>
          <w:bCs/>
          <w:sz w:val="18"/>
          <w:szCs w:val="18"/>
        </w:rPr>
        <w:t>Securities registered pursuant to Section 12(b) of the Act</w:t>
      </w:r>
      <w:r>
        <w:rPr>
          <w:b/>
          <w:bCs/>
          <w:sz w:val="18"/>
          <w:szCs w:val="18"/>
        </w:rPr>
        <w:t>:</w:t>
      </w:r>
    </w:p>
    <w:p w:rsidR="00000000" w:rsidRDefault="00F83A7A">
      <w:pPr>
        <w:pStyle w:val="a3"/>
        <w:spacing w:before="60" w:beforeAutospacing="0" w:after="0" w:afterAutospacing="0"/>
        <w:jc w:val="center"/>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3"/>
        <w:gridCol w:w="111"/>
        <w:gridCol w:w="1249"/>
        <w:gridCol w:w="111"/>
        <w:gridCol w:w="3702"/>
      </w:tblGrid>
      <w:tr w:rsidR="00000000">
        <w:trPr>
          <w:tblCellSpacing w:w="15" w:type="dxa"/>
        </w:trPr>
        <w:tc>
          <w:tcPr>
            <w:tcW w:w="1900" w:type="pct"/>
            <w:vAlign w:val="center"/>
            <w:hideMark/>
          </w:tcPr>
          <w:p w:rsidR="00000000" w:rsidRDefault="00F83A7A">
            <w:pPr>
              <w:rPr>
                <w:sz w:val="20"/>
                <w:szCs w:val="20"/>
              </w:rPr>
            </w:pPr>
          </w:p>
        </w:tc>
        <w:tc>
          <w:tcPr>
            <w:tcW w:w="50" w:type="pct"/>
            <w:vAlign w:val="center"/>
            <w:hideMark/>
          </w:tcPr>
          <w:p w:rsidR="00000000" w:rsidRDefault="00F83A7A">
            <w:pPr>
              <w:rPr>
                <w:rFonts w:eastAsia="Times New Roman"/>
                <w:sz w:val="20"/>
                <w:szCs w:val="20"/>
              </w:rPr>
            </w:pPr>
          </w:p>
        </w:tc>
        <w:tc>
          <w:tcPr>
            <w:tcW w:w="750" w:type="pct"/>
            <w:vAlign w:val="center"/>
            <w:hideMark/>
          </w:tcPr>
          <w:p w:rsidR="00000000" w:rsidRDefault="00F83A7A">
            <w:pPr>
              <w:rPr>
                <w:rFonts w:eastAsia="Times New Roman"/>
                <w:sz w:val="20"/>
                <w:szCs w:val="20"/>
              </w:rPr>
            </w:pPr>
          </w:p>
        </w:tc>
        <w:tc>
          <w:tcPr>
            <w:tcW w:w="50" w:type="pct"/>
            <w:vAlign w:val="center"/>
            <w:hideMark/>
          </w:tcPr>
          <w:p w:rsidR="00000000" w:rsidRDefault="00F83A7A">
            <w:pPr>
              <w:rPr>
                <w:rFonts w:eastAsia="Times New Roman"/>
                <w:sz w:val="20"/>
                <w:szCs w:val="20"/>
              </w:rPr>
            </w:pPr>
          </w:p>
        </w:tc>
        <w:tc>
          <w:tcPr>
            <w:tcW w:w="2250" w:type="pct"/>
            <w:vAlign w:val="center"/>
            <w:hideMark/>
          </w:tcPr>
          <w:p w:rsidR="00000000" w:rsidRDefault="00F83A7A">
            <w:pPr>
              <w:rPr>
                <w:rFonts w:eastAsia="Times New Roman"/>
                <w:sz w:val="20"/>
                <w:szCs w:val="20"/>
              </w:rPr>
            </w:pPr>
          </w:p>
        </w:tc>
      </w:tr>
      <w:tr w:rsidR="00000000">
        <w:trPr>
          <w:trHeight w:val="160"/>
          <w:tblCellSpacing w:w="15" w:type="dxa"/>
        </w:trPr>
        <w:tc>
          <w:tcPr>
            <w:tcW w:w="0" w:type="auto"/>
            <w:tcBorders>
              <w:bottom w:val="single" w:sz="4" w:space="0" w:color="auto"/>
            </w:tcBorders>
            <w:vAlign w:val="bottom"/>
            <w:hideMark/>
          </w:tcPr>
          <w:p w:rsidR="00000000" w:rsidRDefault="00F83A7A">
            <w:pPr>
              <w:pStyle w:val="a3"/>
              <w:spacing w:before="0" w:beforeAutospacing="0" w:after="0" w:afterAutospacing="0" w:line="0" w:lineRule="auto"/>
              <w:jc w:val="center"/>
              <w:rPr>
                <w:sz w:val="16"/>
                <w:szCs w:val="16"/>
              </w:rPr>
            </w:pPr>
            <w:r>
              <w:rPr>
                <w:b/>
                <w:bCs/>
                <w:sz w:val="16"/>
                <w:szCs w:val="16"/>
              </w:rPr>
              <w:t>Title of each clas</w:t>
            </w:r>
            <w:r>
              <w:rPr>
                <w:b/>
                <w:bCs/>
                <w:sz w:val="16"/>
                <w:szCs w:val="16"/>
              </w:rPr>
              <w:t>s</w:t>
            </w:r>
          </w:p>
        </w:tc>
        <w:tc>
          <w:tcPr>
            <w:tcW w:w="0" w:type="auto"/>
            <w:vAlign w:val="bottom"/>
            <w:hideMark/>
          </w:tcPr>
          <w:p w:rsidR="00000000" w:rsidRDefault="00F83A7A">
            <w:pPr>
              <w:pStyle w:val="a3"/>
              <w:spacing w:before="0" w:beforeAutospacing="0" w:after="0" w:afterAutospacing="0" w:line="0" w:lineRule="auto"/>
              <w:jc w:val="center"/>
              <w:rPr>
                <w:sz w:val="16"/>
                <w:szCs w:val="16"/>
              </w:rPr>
            </w:pPr>
            <w:r>
              <w:rPr>
                <w:sz w:val="16"/>
                <w:szCs w:val="16"/>
              </w:rPr>
              <w:t> </w:t>
            </w:r>
          </w:p>
        </w:tc>
        <w:tc>
          <w:tcPr>
            <w:tcW w:w="0" w:type="auto"/>
            <w:tcBorders>
              <w:bottom w:val="single" w:sz="4" w:space="0" w:color="auto"/>
            </w:tcBorders>
            <w:vAlign w:val="bottom"/>
            <w:hideMark/>
          </w:tcPr>
          <w:p w:rsidR="00000000" w:rsidRDefault="00F83A7A">
            <w:pPr>
              <w:pStyle w:val="a3"/>
              <w:spacing w:before="0" w:beforeAutospacing="0" w:after="0" w:afterAutospacing="0" w:line="0" w:lineRule="auto"/>
              <w:jc w:val="center"/>
              <w:rPr>
                <w:sz w:val="16"/>
                <w:szCs w:val="16"/>
              </w:rPr>
            </w:pPr>
            <w:r>
              <w:rPr>
                <w:b/>
                <w:bCs/>
                <w:sz w:val="16"/>
                <w:szCs w:val="16"/>
              </w:rPr>
              <w:t>Tradin</w:t>
            </w:r>
            <w:r>
              <w:rPr>
                <w:b/>
                <w:bCs/>
                <w:sz w:val="16"/>
                <w:szCs w:val="16"/>
              </w:rPr>
              <w:t>g</w:t>
            </w:r>
          </w:p>
          <w:p w:rsidR="00000000" w:rsidRDefault="00F83A7A">
            <w:pPr>
              <w:pStyle w:val="a3"/>
              <w:spacing w:before="0" w:beforeAutospacing="0" w:after="0" w:afterAutospacing="0" w:line="0" w:lineRule="auto"/>
              <w:jc w:val="center"/>
              <w:rPr>
                <w:sz w:val="16"/>
                <w:szCs w:val="16"/>
              </w:rPr>
            </w:pPr>
            <w:r>
              <w:rPr>
                <w:b/>
                <w:bCs/>
                <w:sz w:val="16"/>
                <w:szCs w:val="16"/>
              </w:rPr>
              <w:t>Symbol(s</w:t>
            </w:r>
            <w:r>
              <w:rPr>
                <w:b/>
                <w:bCs/>
                <w:sz w:val="16"/>
                <w:szCs w:val="16"/>
              </w:rPr>
              <w:t>)</w:t>
            </w:r>
          </w:p>
        </w:tc>
        <w:tc>
          <w:tcPr>
            <w:tcW w:w="0" w:type="auto"/>
            <w:vAlign w:val="bottom"/>
            <w:hideMark/>
          </w:tcPr>
          <w:p w:rsidR="00000000" w:rsidRDefault="00F83A7A">
            <w:pPr>
              <w:pStyle w:val="a3"/>
              <w:spacing w:before="0" w:beforeAutospacing="0" w:after="0" w:afterAutospacing="0" w:line="0" w:lineRule="auto"/>
              <w:jc w:val="center"/>
              <w:rPr>
                <w:sz w:val="16"/>
                <w:szCs w:val="16"/>
              </w:rPr>
            </w:pPr>
            <w:r>
              <w:rPr>
                <w:sz w:val="16"/>
                <w:szCs w:val="16"/>
              </w:rPr>
              <w:t> </w:t>
            </w:r>
          </w:p>
        </w:tc>
        <w:tc>
          <w:tcPr>
            <w:tcW w:w="0" w:type="auto"/>
            <w:tcBorders>
              <w:bottom w:val="single" w:sz="4" w:space="0" w:color="auto"/>
            </w:tcBorders>
            <w:vAlign w:val="bottom"/>
            <w:hideMark/>
          </w:tcPr>
          <w:p w:rsidR="00000000" w:rsidRDefault="00F83A7A">
            <w:pPr>
              <w:pStyle w:val="a3"/>
              <w:spacing w:before="0" w:beforeAutospacing="0" w:after="0" w:afterAutospacing="0" w:line="0" w:lineRule="auto"/>
              <w:jc w:val="center"/>
              <w:rPr>
                <w:sz w:val="16"/>
                <w:szCs w:val="16"/>
              </w:rPr>
            </w:pPr>
            <w:r>
              <w:rPr>
                <w:b/>
                <w:bCs/>
                <w:sz w:val="16"/>
                <w:szCs w:val="16"/>
              </w:rPr>
              <w:t>Name of each exchange on which registere</w:t>
            </w:r>
            <w:r>
              <w:rPr>
                <w:b/>
                <w:bCs/>
                <w:sz w:val="16"/>
                <w:szCs w:val="16"/>
              </w:rPr>
              <w:t>d</w:t>
            </w:r>
          </w:p>
        </w:tc>
      </w:tr>
      <w:tr w:rsidR="00000000">
        <w:trPr>
          <w:trHeight w:val="180"/>
          <w:tblCellSpacing w:w="15" w:type="dxa"/>
        </w:trPr>
        <w:tc>
          <w:tcPr>
            <w:tcW w:w="0" w:type="auto"/>
            <w:hideMark/>
          </w:tcPr>
          <w:p w:rsidR="00000000" w:rsidRDefault="00F83A7A">
            <w:pPr>
              <w:pStyle w:val="a3"/>
              <w:spacing w:before="0" w:beforeAutospacing="0" w:after="0" w:afterAutospacing="0" w:line="0" w:lineRule="auto"/>
              <w:jc w:val="center"/>
              <w:rPr>
                <w:sz w:val="20"/>
                <w:szCs w:val="20"/>
              </w:rPr>
            </w:pPr>
            <w:r>
              <w:rPr>
                <w:sz w:val="18"/>
                <w:szCs w:val="18"/>
              </w:rPr>
              <w:t>Common Stock, par value $0.001 per shar</w:t>
            </w:r>
            <w:r>
              <w:rPr>
                <w:sz w:val="18"/>
                <w:szCs w:val="18"/>
              </w:rPr>
              <w:t>e</w:t>
            </w:r>
          </w:p>
        </w:tc>
        <w:tc>
          <w:tcPr>
            <w:tcW w:w="0" w:type="auto"/>
            <w:vAlign w:val="bottom"/>
            <w:hideMark/>
          </w:tcPr>
          <w:p w:rsidR="00000000" w:rsidRDefault="00F83A7A">
            <w:pPr>
              <w:pStyle w:val="a3"/>
              <w:spacing w:before="0" w:beforeAutospacing="0" w:after="0" w:afterAutospacing="0" w:line="0" w:lineRule="auto"/>
              <w:jc w:val="center"/>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line="0" w:lineRule="auto"/>
              <w:jc w:val="center"/>
              <w:rPr>
                <w:sz w:val="20"/>
                <w:szCs w:val="20"/>
              </w:rPr>
            </w:pPr>
            <w:r>
              <w:rPr>
                <w:sz w:val="18"/>
                <w:szCs w:val="18"/>
              </w:rPr>
              <w:t>OVI</w:t>
            </w:r>
            <w:r>
              <w:rPr>
                <w:sz w:val="18"/>
                <w:szCs w:val="18"/>
              </w:rPr>
              <w:t>D</w:t>
            </w:r>
          </w:p>
        </w:tc>
        <w:tc>
          <w:tcPr>
            <w:tcW w:w="0" w:type="auto"/>
            <w:vAlign w:val="bottom"/>
            <w:hideMark/>
          </w:tcPr>
          <w:p w:rsidR="00000000" w:rsidRDefault="00F83A7A">
            <w:pPr>
              <w:pStyle w:val="a3"/>
              <w:spacing w:before="0" w:beforeAutospacing="0" w:after="0" w:afterAutospacing="0" w:line="0" w:lineRule="auto"/>
              <w:jc w:val="center"/>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line="0" w:lineRule="auto"/>
              <w:jc w:val="center"/>
              <w:rPr>
                <w:sz w:val="20"/>
                <w:szCs w:val="20"/>
              </w:rPr>
            </w:pPr>
            <w:r>
              <w:rPr>
                <w:sz w:val="18"/>
                <w:szCs w:val="18"/>
              </w:rPr>
              <w:t>The Nasdaq Stock Market LL</w:t>
            </w:r>
            <w:r>
              <w:rPr>
                <w:sz w:val="18"/>
                <w:szCs w:val="18"/>
              </w:rPr>
              <w:t>C</w:t>
            </w:r>
          </w:p>
        </w:tc>
      </w:tr>
    </w:tbl>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60" w:beforeAutospacing="0" w:after="0" w:afterAutospacing="0"/>
        <w:jc w:val="center"/>
        <w:rPr>
          <w:sz w:val="20"/>
          <w:szCs w:val="20"/>
        </w:rPr>
      </w:pPr>
      <w:r>
        <w:rPr>
          <w:b/>
          <w:bCs/>
          <w:sz w:val="18"/>
          <w:szCs w:val="18"/>
        </w:rPr>
        <w:t>Securities registered pursuant to Section 12(g) of the Act: Non</w:t>
      </w:r>
      <w:r>
        <w:rPr>
          <w:b/>
          <w:bCs/>
          <w:sz w:val="18"/>
          <w:szCs w:val="18"/>
        </w:rPr>
        <w:t>e</w:t>
      </w:r>
    </w:p>
    <w:p w:rsidR="00000000" w:rsidRDefault="00F83A7A">
      <w:pPr>
        <w:pStyle w:val="a3"/>
        <w:spacing w:before="0" w:beforeAutospacing="0" w:after="0" w:afterAutospacing="0"/>
        <w:ind w:left="5000" w:right="5000"/>
        <w:jc w:val="center"/>
        <w:rPr>
          <w:sz w:val="20"/>
          <w:szCs w:val="20"/>
        </w:rPr>
      </w:pPr>
      <w:r>
        <w:rPr>
          <w:sz w:val="20"/>
          <w:szCs w:val="20"/>
        </w:rPr>
        <w:t> </w:t>
      </w:r>
    </w:p>
    <w:p w:rsidR="00000000" w:rsidRDefault="00F83A7A">
      <w:pPr>
        <w:pStyle w:val="a3"/>
        <w:spacing w:before="60" w:beforeAutospacing="0" w:after="0" w:afterAutospacing="0"/>
        <w:ind w:firstLine="555"/>
        <w:rPr>
          <w:sz w:val="20"/>
          <w:szCs w:val="20"/>
        </w:rPr>
      </w:pPr>
      <w:r>
        <w:rPr>
          <w:sz w:val="17"/>
          <w:szCs w:val="17"/>
        </w:rPr>
        <w:t>Indicate by check mark if the registrant is a well-known seasoned</w:t>
      </w:r>
      <w:r>
        <w:rPr>
          <w:sz w:val="17"/>
          <w:szCs w:val="17"/>
        </w:rPr>
        <w:t xml:space="preserve"> issuer, as defined in Rule 405 of the Securities Act. Yes </w:t>
      </w:r>
      <w:r>
        <w:rPr>
          <w:rFonts w:ascii="Segoe UI Symbol" w:hAnsi="Segoe UI Symbol" w:cs="Segoe UI Symbol"/>
          <w:sz w:val="17"/>
          <w:szCs w:val="17"/>
        </w:rPr>
        <w:t>☐</w:t>
      </w:r>
      <w:r>
        <w:rPr>
          <w:sz w:val="17"/>
          <w:szCs w:val="17"/>
        </w:rPr>
        <w:t xml:space="preserve"> </w:t>
      </w:r>
      <w:r>
        <w:rPr>
          <w:sz w:val="17"/>
          <w:szCs w:val="17"/>
        </w:rPr>
        <w:t>N</w:t>
      </w:r>
      <w:r>
        <w:rPr>
          <w:sz w:val="17"/>
          <w:szCs w:val="17"/>
        </w:rPr>
        <w:t>o</w:t>
      </w:r>
      <w:r>
        <w:rPr>
          <w:sz w:val="17"/>
          <w:szCs w:val="17"/>
        </w:rPr>
        <w:t xml:space="preserve"> </w:t>
      </w:r>
      <w:r>
        <w:rPr>
          <w:rFonts w:ascii="Segoe UI Symbol" w:hAnsi="Segoe UI Symbol" w:cs="Segoe UI Symbol"/>
          <w:sz w:val="17"/>
          <w:szCs w:val="17"/>
        </w:rPr>
        <w:t>☒</w:t>
      </w:r>
    </w:p>
    <w:p w:rsidR="00000000" w:rsidRDefault="00F83A7A">
      <w:pPr>
        <w:pStyle w:val="a3"/>
        <w:spacing w:before="60" w:beforeAutospacing="0" w:after="0" w:afterAutospacing="0"/>
        <w:ind w:firstLine="555"/>
        <w:rPr>
          <w:sz w:val="20"/>
          <w:szCs w:val="20"/>
        </w:rPr>
      </w:pPr>
      <w:r>
        <w:rPr>
          <w:sz w:val="17"/>
          <w:szCs w:val="17"/>
        </w:rPr>
        <w:t xml:space="preserve">Indicate by check mark if the registrant is not required to file reports pursuant to Section 13 or 15(d) of the Securities Act. Yes </w:t>
      </w:r>
      <w:r>
        <w:rPr>
          <w:rFonts w:ascii="Segoe UI Symbol" w:hAnsi="Segoe UI Symbol" w:cs="Segoe UI Symbol"/>
          <w:sz w:val="17"/>
          <w:szCs w:val="17"/>
        </w:rPr>
        <w:t>☐</w:t>
      </w:r>
      <w:r>
        <w:rPr>
          <w:sz w:val="17"/>
          <w:szCs w:val="17"/>
        </w:rPr>
        <w:t xml:space="preserve"> </w:t>
      </w:r>
      <w:r>
        <w:rPr>
          <w:sz w:val="17"/>
          <w:szCs w:val="17"/>
        </w:rPr>
        <w:t>N</w:t>
      </w:r>
      <w:r>
        <w:rPr>
          <w:sz w:val="17"/>
          <w:szCs w:val="17"/>
        </w:rPr>
        <w:t>o</w:t>
      </w:r>
      <w:r>
        <w:rPr>
          <w:sz w:val="17"/>
          <w:szCs w:val="17"/>
        </w:rPr>
        <w:t xml:space="preserve"> </w:t>
      </w:r>
      <w:r>
        <w:rPr>
          <w:rFonts w:ascii="Segoe UI Symbol" w:hAnsi="Segoe UI Symbol" w:cs="Segoe UI Symbol"/>
          <w:sz w:val="17"/>
          <w:szCs w:val="17"/>
        </w:rPr>
        <w:t>☒</w:t>
      </w:r>
    </w:p>
    <w:p w:rsidR="00000000" w:rsidRDefault="00F83A7A">
      <w:pPr>
        <w:pStyle w:val="a3"/>
        <w:spacing w:before="60" w:beforeAutospacing="0" w:after="0" w:afterAutospacing="0"/>
        <w:ind w:firstLine="555"/>
        <w:rPr>
          <w:sz w:val="20"/>
          <w:szCs w:val="20"/>
        </w:rPr>
      </w:pPr>
      <w:r>
        <w:rPr>
          <w:sz w:val="17"/>
          <w:szCs w:val="17"/>
        </w:rPr>
        <w:t>Indicate by check mark whether the registrant (1) h</w:t>
      </w:r>
      <w:r>
        <w:rPr>
          <w:sz w:val="17"/>
          <w:szCs w:val="17"/>
        </w:rPr>
        <w:t>as filed all reports required to be filed by Section 13 or 15(d) of the Securities Exchange Act of 1934 during the preceding 12 months (or for such shorter period that the registrant was required to file such reports), and (2) has been subject to the filin</w:t>
      </w:r>
      <w:r>
        <w:rPr>
          <w:sz w:val="17"/>
          <w:szCs w:val="17"/>
        </w:rPr>
        <w:t>g requirements for the past 90 days.</w:t>
      </w:r>
      <w:r>
        <w:rPr>
          <w:sz w:val="17"/>
          <w:szCs w:val="17"/>
        </w:rPr>
        <w:t xml:space="preserve"> </w:t>
      </w:r>
      <w:r>
        <w:rPr>
          <w:sz w:val="17"/>
          <w:szCs w:val="17"/>
        </w:rPr>
        <w:t>Ye</w:t>
      </w:r>
      <w:r>
        <w:rPr>
          <w:sz w:val="17"/>
          <w:szCs w:val="17"/>
        </w:rPr>
        <w:t>s</w:t>
      </w:r>
      <w:r>
        <w:rPr>
          <w:sz w:val="17"/>
          <w:szCs w:val="17"/>
        </w:rPr>
        <w:t xml:space="preserve"> </w:t>
      </w:r>
      <w:r>
        <w:rPr>
          <w:rFonts w:ascii="Segoe UI Symbol" w:hAnsi="Segoe UI Symbol" w:cs="Segoe UI Symbol"/>
          <w:sz w:val="17"/>
          <w:szCs w:val="17"/>
        </w:rPr>
        <w:t>☒</w:t>
      </w:r>
      <w:r>
        <w:rPr>
          <w:sz w:val="17"/>
          <w:szCs w:val="17"/>
        </w:rPr>
        <w:t xml:space="preserve"> No </w:t>
      </w:r>
      <w:r>
        <w:rPr>
          <w:rFonts w:ascii="Segoe UI Symbol" w:hAnsi="Segoe UI Symbol" w:cs="Segoe UI Symbol"/>
          <w:sz w:val="17"/>
          <w:szCs w:val="17"/>
        </w:rPr>
        <w:t>☐</w:t>
      </w:r>
    </w:p>
    <w:p w:rsidR="00000000" w:rsidRDefault="00F83A7A">
      <w:pPr>
        <w:pStyle w:val="a3"/>
        <w:spacing w:before="60" w:beforeAutospacing="0" w:after="0" w:afterAutospacing="0"/>
        <w:ind w:firstLine="555"/>
        <w:rPr>
          <w:sz w:val="20"/>
          <w:szCs w:val="20"/>
        </w:rPr>
      </w:pPr>
      <w:r>
        <w:rPr>
          <w:sz w:val="17"/>
          <w:szCs w:val="17"/>
        </w:rPr>
        <w:t>Indicate by check mark whether the registrant has submitted electronically every Interactive Data File required to be submitted pursuant to Rule 405 of Regulation S-T (§ 232.405 of this chapter) during the pr</w:t>
      </w:r>
      <w:r>
        <w:rPr>
          <w:sz w:val="17"/>
          <w:szCs w:val="17"/>
        </w:rPr>
        <w:t>eceding 12 months (or for such shorter period that the registrant was required to submit such files).</w:t>
      </w:r>
      <w:r>
        <w:rPr>
          <w:sz w:val="17"/>
          <w:szCs w:val="17"/>
        </w:rPr>
        <w:t xml:space="preserve"> </w:t>
      </w:r>
      <w:r>
        <w:rPr>
          <w:sz w:val="17"/>
          <w:szCs w:val="17"/>
        </w:rPr>
        <w:t>Ye</w:t>
      </w:r>
      <w:r>
        <w:rPr>
          <w:sz w:val="17"/>
          <w:szCs w:val="17"/>
        </w:rPr>
        <w:t>s</w:t>
      </w:r>
      <w:r>
        <w:rPr>
          <w:sz w:val="17"/>
          <w:szCs w:val="17"/>
        </w:rPr>
        <w:t xml:space="preserve"> </w:t>
      </w:r>
      <w:r>
        <w:rPr>
          <w:rFonts w:ascii="Segoe UI Symbol" w:hAnsi="Segoe UI Symbol" w:cs="Segoe UI Symbol"/>
          <w:sz w:val="17"/>
          <w:szCs w:val="17"/>
        </w:rPr>
        <w:t>☒</w:t>
      </w:r>
      <w:r>
        <w:rPr>
          <w:sz w:val="17"/>
          <w:szCs w:val="17"/>
        </w:rPr>
        <w:t xml:space="preserve"> No </w:t>
      </w:r>
      <w:r>
        <w:rPr>
          <w:rFonts w:ascii="Segoe UI Symbol" w:hAnsi="Segoe UI Symbol" w:cs="Segoe UI Symbol"/>
          <w:sz w:val="17"/>
          <w:szCs w:val="17"/>
        </w:rPr>
        <w:t>☐</w:t>
      </w:r>
    </w:p>
    <w:p w:rsidR="00000000" w:rsidRDefault="00F83A7A">
      <w:pPr>
        <w:pStyle w:val="a3"/>
        <w:spacing w:before="60" w:beforeAutospacing="0" w:after="0" w:afterAutospacing="0"/>
        <w:ind w:firstLine="555"/>
        <w:rPr>
          <w:sz w:val="20"/>
          <w:szCs w:val="20"/>
        </w:rPr>
      </w:pPr>
      <w:r>
        <w:rPr>
          <w:sz w:val="17"/>
          <w:szCs w:val="17"/>
        </w:rPr>
        <w:t>Indicate by check mark whether the registrant is a large accelerated filer, an accelerated filer, a non-accelerated filer, smaller reporting co</w:t>
      </w:r>
      <w:r>
        <w:rPr>
          <w:sz w:val="17"/>
          <w:szCs w:val="17"/>
        </w:rPr>
        <w:t>mpany or an emerging growth company. See the definitions of “large accelerated filer,” “accelerated filer,” “smaller reporting company,” and “emerging growth company” in Rule 12b-2 of the Exchange Act.</w:t>
      </w:r>
      <w:r>
        <w:rPr>
          <w:sz w:val="17"/>
          <w:szCs w:val="17"/>
        </w:rPr>
        <w:t>:</w:t>
      </w:r>
    </w:p>
    <w:p w:rsidR="00000000" w:rsidRDefault="00F83A7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54"/>
        <w:gridCol w:w="115"/>
        <w:gridCol w:w="4281"/>
        <w:gridCol w:w="115"/>
        <w:gridCol w:w="1795"/>
        <w:gridCol w:w="115"/>
        <w:gridCol w:w="231"/>
      </w:tblGrid>
      <w:tr w:rsidR="00000000">
        <w:trPr>
          <w:tblCellSpacing w:w="15" w:type="dxa"/>
        </w:trPr>
        <w:tc>
          <w:tcPr>
            <w:tcW w:w="1001" w:type="pct"/>
            <w:vAlign w:val="center"/>
            <w:hideMark/>
          </w:tcPr>
          <w:p w:rsidR="00000000" w:rsidRDefault="00F83A7A">
            <w:pPr>
              <w:rPr>
                <w:sz w:val="20"/>
                <w:szCs w:val="20"/>
              </w:rPr>
            </w:pPr>
          </w:p>
        </w:tc>
        <w:tc>
          <w:tcPr>
            <w:tcW w:w="56" w:type="pct"/>
            <w:vAlign w:val="center"/>
            <w:hideMark/>
          </w:tcPr>
          <w:p w:rsidR="00000000" w:rsidRDefault="00F83A7A">
            <w:pPr>
              <w:rPr>
                <w:rFonts w:eastAsia="Times New Roman"/>
                <w:sz w:val="20"/>
                <w:szCs w:val="20"/>
              </w:rPr>
            </w:pPr>
          </w:p>
        </w:tc>
        <w:tc>
          <w:tcPr>
            <w:tcW w:w="2637" w:type="pct"/>
            <w:vAlign w:val="center"/>
            <w:hideMark/>
          </w:tcPr>
          <w:p w:rsidR="00000000" w:rsidRDefault="00F83A7A">
            <w:pPr>
              <w:rPr>
                <w:rFonts w:eastAsia="Times New Roman"/>
                <w:sz w:val="20"/>
                <w:szCs w:val="20"/>
              </w:rPr>
            </w:pPr>
          </w:p>
        </w:tc>
        <w:tc>
          <w:tcPr>
            <w:tcW w:w="56" w:type="pct"/>
            <w:vAlign w:val="center"/>
            <w:hideMark/>
          </w:tcPr>
          <w:p w:rsidR="00000000" w:rsidRDefault="00F83A7A">
            <w:pPr>
              <w:rPr>
                <w:rFonts w:eastAsia="Times New Roman"/>
                <w:sz w:val="20"/>
                <w:szCs w:val="20"/>
              </w:rPr>
            </w:pPr>
          </w:p>
        </w:tc>
        <w:tc>
          <w:tcPr>
            <w:tcW w:w="1097" w:type="pct"/>
            <w:vAlign w:val="center"/>
            <w:hideMark/>
          </w:tcPr>
          <w:p w:rsidR="00000000" w:rsidRDefault="00F83A7A">
            <w:pPr>
              <w:rPr>
                <w:rFonts w:eastAsia="Times New Roman"/>
                <w:sz w:val="20"/>
                <w:szCs w:val="20"/>
              </w:rPr>
            </w:pPr>
          </w:p>
        </w:tc>
        <w:tc>
          <w:tcPr>
            <w:tcW w:w="56" w:type="pct"/>
            <w:vAlign w:val="center"/>
            <w:hideMark/>
          </w:tcPr>
          <w:p w:rsidR="00000000" w:rsidRDefault="00F83A7A">
            <w:pPr>
              <w:rPr>
                <w:rFonts w:eastAsia="Times New Roman"/>
                <w:sz w:val="20"/>
                <w:szCs w:val="20"/>
              </w:rPr>
            </w:pPr>
          </w:p>
        </w:tc>
        <w:tc>
          <w:tcPr>
            <w:tcW w:w="95" w:type="pct"/>
            <w:vAlign w:val="center"/>
            <w:hideMark/>
          </w:tcPr>
          <w:p w:rsidR="00000000" w:rsidRDefault="00F83A7A">
            <w:pPr>
              <w:rPr>
                <w:rFonts w:eastAsia="Times New Roman"/>
                <w:sz w:val="20"/>
                <w:szCs w:val="20"/>
              </w:rPr>
            </w:pPr>
          </w:p>
        </w:tc>
      </w:tr>
      <w:tr w:rsidR="00000000">
        <w:trPr>
          <w:trHeight w:val="14"/>
          <w:tblCellSpacing w:w="15" w:type="dxa"/>
        </w:trPr>
        <w:tc>
          <w:tcPr>
            <w:tcW w:w="0" w:type="auto"/>
            <w:vAlign w:val="bottom"/>
            <w:hideMark/>
          </w:tcPr>
          <w:p w:rsidR="00000000" w:rsidRDefault="00F83A7A">
            <w:pPr>
              <w:pStyle w:val="a3"/>
              <w:spacing w:before="0" w:beforeAutospacing="0" w:after="0" w:afterAutospacing="0" w:line="0" w:lineRule="auto"/>
              <w:ind w:right="9"/>
              <w:rPr>
                <w:sz w:val="17"/>
                <w:szCs w:val="17"/>
              </w:rPr>
            </w:pPr>
            <w:r>
              <w:rPr>
                <w:sz w:val="17"/>
                <w:szCs w:val="17"/>
              </w:rPr>
              <w:t>Large Accelerated File</w:t>
            </w:r>
            <w:r>
              <w:rPr>
                <w:sz w:val="17"/>
                <w:szCs w:val="17"/>
              </w:rPr>
              <w:t>r</w:t>
            </w:r>
          </w:p>
        </w:tc>
        <w:tc>
          <w:tcPr>
            <w:tcW w:w="0" w:type="auto"/>
            <w:vAlign w:val="bottom"/>
            <w:hideMark/>
          </w:tcPr>
          <w:p w:rsidR="00000000" w:rsidRDefault="00F83A7A">
            <w:pPr>
              <w:pStyle w:val="a3"/>
              <w:spacing w:before="0" w:beforeAutospacing="0" w:after="0" w:afterAutospacing="0" w:line="0" w:lineRule="auto"/>
              <w:ind w:right="9"/>
              <w:rPr>
                <w:sz w:val="17"/>
                <w:szCs w:val="17"/>
              </w:rPr>
            </w:pPr>
            <w:r>
              <w:rPr>
                <w:sz w:val="17"/>
                <w:szCs w:val="17"/>
              </w:rPr>
              <w:t> </w:t>
            </w:r>
          </w:p>
        </w:tc>
        <w:tc>
          <w:tcPr>
            <w:tcW w:w="0" w:type="auto"/>
            <w:vAlign w:val="bottom"/>
            <w:hideMark/>
          </w:tcPr>
          <w:p w:rsidR="00000000" w:rsidRDefault="00F83A7A">
            <w:pPr>
              <w:pStyle w:val="a3"/>
              <w:spacing w:before="0" w:beforeAutospacing="0" w:after="0" w:afterAutospacing="0" w:line="0" w:lineRule="auto"/>
              <w:ind w:right="9"/>
              <w:rPr>
                <w:sz w:val="17"/>
                <w:szCs w:val="17"/>
              </w:rPr>
            </w:pPr>
            <w:r>
              <w:rPr>
                <w:rFonts w:ascii="Segoe UI Symbol" w:hAnsi="Segoe UI Symbol" w:cs="Segoe UI Symbol"/>
                <w:sz w:val="17"/>
                <w:szCs w:val="17"/>
              </w:rPr>
              <w:t>☐</w:t>
            </w:r>
          </w:p>
        </w:tc>
        <w:tc>
          <w:tcPr>
            <w:tcW w:w="0" w:type="auto"/>
            <w:vAlign w:val="bottom"/>
            <w:hideMark/>
          </w:tcPr>
          <w:p w:rsidR="00000000" w:rsidRDefault="00F83A7A">
            <w:pPr>
              <w:pStyle w:val="a3"/>
              <w:spacing w:before="0" w:beforeAutospacing="0" w:after="0" w:afterAutospacing="0" w:line="0" w:lineRule="auto"/>
              <w:ind w:right="9"/>
              <w:rPr>
                <w:sz w:val="17"/>
                <w:szCs w:val="17"/>
              </w:rPr>
            </w:pPr>
            <w:r>
              <w:rPr>
                <w:sz w:val="17"/>
                <w:szCs w:val="17"/>
              </w:rPr>
              <w:t> </w:t>
            </w:r>
          </w:p>
        </w:tc>
        <w:tc>
          <w:tcPr>
            <w:tcW w:w="0" w:type="auto"/>
            <w:vAlign w:val="bottom"/>
            <w:hideMark/>
          </w:tcPr>
          <w:p w:rsidR="00000000" w:rsidRDefault="00F83A7A">
            <w:pPr>
              <w:pStyle w:val="a3"/>
              <w:spacing w:before="0" w:beforeAutospacing="0" w:after="0" w:afterAutospacing="0" w:line="0" w:lineRule="auto"/>
              <w:ind w:right="9"/>
              <w:rPr>
                <w:sz w:val="17"/>
                <w:szCs w:val="17"/>
              </w:rPr>
            </w:pPr>
            <w:r>
              <w:rPr>
                <w:sz w:val="17"/>
                <w:szCs w:val="17"/>
              </w:rPr>
              <w:t>Accelerated File</w:t>
            </w:r>
            <w:r>
              <w:rPr>
                <w:sz w:val="17"/>
                <w:szCs w:val="17"/>
              </w:rPr>
              <w:t>r</w:t>
            </w:r>
          </w:p>
        </w:tc>
        <w:tc>
          <w:tcPr>
            <w:tcW w:w="0" w:type="auto"/>
            <w:vAlign w:val="bottom"/>
            <w:hideMark/>
          </w:tcPr>
          <w:p w:rsidR="00000000" w:rsidRDefault="00F83A7A">
            <w:pPr>
              <w:pStyle w:val="a3"/>
              <w:spacing w:before="0" w:beforeAutospacing="0" w:after="0" w:afterAutospacing="0" w:line="0" w:lineRule="auto"/>
              <w:ind w:right="9"/>
              <w:rPr>
                <w:sz w:val="17"/>
                <w:szCs w:val="17"/>
              </w:rPr>
            </w:pPr>
            <w:r>
              <w:rPr>
                <w:sz w:val="17"/>
                <w:szCs w:val="17"/>
              </w:rPr>
              <w:t> </w:t>
            </w:r>
          </w:p>
        </w:tc>
        <w:tc>
          <w:tcPr>
            <w:tcW w:w="0" w:type="auto"/>
            <w:vAlign w:val="bottom"/>
            <w:hideMark/>
          </w:tcPr>
          <w:p w:rsidR="00000000" w:rsidRDefault="00F83A7A">
            <w:pPr>
              <w:pStyle w:val="a3"/>
              <w:spacing w:before="0" w:beforeAutospacing="0" w:after="0" w:afterAutospacing="0" w:line="0" w:lineRule="auto"/>
              <w:ind w:right="9"/>
              <w:rPr>
                <w:sz w:val="17"/>
                <w:szCs w:val="17"/>
              </w:rPr>
            </w:pPr>
            <w:r>
              <w:rPr>
                <w:rFonts w:ascii="Segoe UI Symbol" w:hAnsi="Segoe UI Symbol" w:cs="Segoe UI Symbol"/>
                <w:sz w:val="17"/>
                <w:szCs w:val="17"/>
              </w:rPr>
              <w:t>☒</w:t>
            </w:r>
          </w:p>
        </w:tc>
      </w:tr>
      <w:tr w:rsidR="00000000">
        <w:trPr>
          <w:trHeight w:val="14"/>
          <w:tblCellSpacing w:w="15" w:type="dxa"/>
        </w:trPr>
        <w:tc>
          <w:tcPr>
            <w:tcW w:w="0" w:type="auto"/>
            <w:vAlign w:val="bottom"/>
            <w:hideMark/>
          </w:tcPr>
          <w:p w:rsidR="00000000" w:rsidRDefault="00F83A7A">
            <w:pPr>
              <w:pStyle w:val="a3"/>
              <w:spacing w:before="0" w:beforeAutospacing="0" w:after="0" w:afterAutospacing="0" w:line="0" w:lineRule="auto"/>
              <w:ind w:right="9"/>
              <w:rPr>
                <w:sz w:val="20"/>
                <w:szCs w:val="20"/>
              </w:rPr>
            </w:pPr>
            <w:r>
              <w:rPr>
                <w:sz w:val="17"/>
                <w:szCs w:val="17"/>
              </w:rPr>
              <w:t>Non-accelerated File</w:t>
            </w:r>
            <w:r>
              <w:rPr>
                <w:sz w:val="17"/>
                <w:szCs w:val="17"/>
              </w:rPr>
              <w:t>r</w:t>
            </w:r>
          </w:p>
        </w:tc>
        <w:tc>
          <w:tcPr>
            <w:tcW w:w="0" w:type="auto"/>
            <w:vAlign w:val="bottom"/>
            <w:hideMark/>
          </w:tcPr>
          <w:p w:rsidR="00000000" w:rsidRDefault="00F83A7A">
            <w:pPr>
              <w:pStyle w:val="a3"/>
              <w:spacing w:before="0" w:beforeAutospacing="0" w:after="0" w:afterAutospacing="0" w:line="0" w:lineRule="auto"/>
              <w:ind w:right="9"/>
              <w:rPr>
                <w:sz w:val="17"/>
                <w:szCs w:val="17"/>
              </w:rPr>
            </w:pPr>
            <w:r>
              <w:rPr>
                <w:sz w:val="17"/>
                <w:szCs w:val="17"/>
              </w:rPr>
              <w:t> </w:t>
            </w:r>
          </w:p>
        </w:tc>
        <w:tc>
          <w:tcPr>
            <w:tcW w:w="0" w:type="auto"/>
            <w:vAlign w:val="bottom"/>
            <w:hideMark/>
          </w:tcPr>
          <w:p w:rsidR="00000000" w:rsidRDefault="00F83A7A">
            <w:pPr>
              <w:pStyle w:val="a3"/>
              <w:spacing w:before="0" w:beforeAutospacing="0" w:after="0" w:afterAutospacing="0" w:line="0" w:lineRule="auto"/>
              <w:ind w:right="9"/>
              <w:rPr>
                <w:sz w:val="17"/>
                <w:szCs w:val="17"/>
              </w:rPr>
            </w:pPr>
            <w:r>
              <w:rPr>
                <w:rFonts w:ascii="Segoe UI Symbol" w:hAnsi="Segoe UI Symbol" w:cs="Segoe UI Symbol"/>
                <w:sz w:val="17"/>
                <w:szCs w:val="17"/>
              </w:rPr>
              <w:t>☐</w:t>
            </w:r>
          </w:p>
        </w:tc>
        <w:tc>
          <w:tcPr>
            <w:tcW w:w="0" w:type="auto"/>
            <w:vAlign w:val="bottom"/>
            <w:hideMark/>
          </w:tcPr>
          <w:p w:rsidR="00000000" w:rsidRDefault="00F83A7A">
            <w:pPr>
              <w:pStyle w:val="a3"/>
              <w:spacing w:before="0" w:beforeAutospacing="0" w:after="0" w:afterAutospacing="0" w:line="0" w:lineRule="auto"/>
              <w:ind w:right="9"/>
              <w:rPr>
                <w:sz w:val="17"/>
                <w:szCs w:val="17"/>
              </w:rPr>
            </w:pPr>
            <w:r>
              <w:rPr>
                <w:sz w:val="17"/>
                <w:szCs w:val="17"/>
              </w:rPr>
              <w:t> </w:t>
            </w:r>
          </w:p>
        </w:tc>
        <w:tc>
          <w:tcPr>
            <w:tcW w:w="0" w:type="auto"/>
            <w:vAlign w:val="bottom"/>
            <w:hideMark/>
          </w:tcPr>
          <w:p w:rsidR="00000000" w:rsidRDefault="00F83A7A">
            <w:pPr>
              <w:pStyle w:val="a3"/>
              <w:spacing w:before="0" w:beforeAutospacing="0" w:after="0" w:afterAutospacing="0" w:line="0" w:lineRule="auto"/>
              <w:ind w:right="9"/>
              <w:rPr>
                <w:sz w:val="17"/>
                <w:szCs w:val="17"/>
              </w:rPr>
            </w:pPr>
            <w:r>
              <w:rPr>
                <w:sz w:val="17"/>
                <w:szCs w:val="17"/>
              </w:rPr>
              <w:t>Smaller Reporting Compan</w:t>
            </w:r>
            <w:r>
              <w:rPr>
                <w:sz w:val="17"/>
                <w:szCs w:val="17"/>
              </w:rPr>
              <w:t>y</w:t>
            </w:r>
          </w:p>
        </w:tc>
        <w:tc>
          <w:tcPr>
            <w:tcW w:w="0" w:type="auto"/>
            <w:vAlign w:val="bottom"/>
            <w:hideMark/>
          </w:tcPr>
          <w:p w:rsidR="00000000" w:rsidRDefault="00F83A7A">
            <w:pPr>
              <w:pStyle w:val="a3"/>
              <w:spacing w:before="0" w:beforeAutospacing="0" w:after="0" w:afterAutospacing="0" w:line="0" w:lineRule="auto"/>
              <w:ind w:right="9"/>
              <w:rPr>
                <w:sz w:val="17"/>
                <w:szCs w:val="17"/>
              </w:rPr>
            </w:pPr>
            <w:r>
              <w:rPr>
                <w:sz w:val="17"/>
                <w:szCs w:val="17"/>
              </w:rPr>
              <w:t> </w:t>
            </w:r>
          </w:p>
        </w:tc>
        <w:tc>
          <w:tcPr>
            <w:tcW w:w="0" w:type="auto"/>
            <w:vAlign w:val="bottom"/>
            <w:hideMark/>
          </w:tcPr>
          <w:p w:rsidR="00000000" w:rsidRDefault="00F83A7A">
            <w:pPr>
              <w:pStyle w:val="a3"/>
              <w:spacing w:before="0" w:beforeAutospacing="0" w:after="0" w:afterAutospacing="0" w:line="0" w:lineRule="auto"/>
              <w:ind w:right="9"/>
              <w:rPr>
                <w:sz w:val="20"/>
                <w:szCs w:val="20"/>
              </w:rPr>
            </w:pPr>
            <w:r>
              <w:rPr>
                <w:rFonts w:ascii="Segoe UI Symbol" w:hAnsi="Segoe UI Symbol" w:cs="Segoe UI Symbol"/>
                <w:sz w:val="17"/>
                <w:szCs w:val="17"/>
              </w:rPr>
              <w:t>☒</w:t>
            </w:r>
          </w:p>
        </w:tc>
      </w:tr>
      <w:tr w:rsidR="00000000">
        <w:trPr>
          <w:trHeight w:val="14"/>
          <w:tblCellSpacing w:w="15" w:type="dxa"/>
        </w:trPr>
        <w:tc>
          <w:tcPr>
            <w:tcW w:w="0" w:type="auto"/>
            <w:vAlign w:val="bottom"/>
            <w:hideMark/>
          </w:tcPr>
          <w:p w:rsidR="00000000" w:rsidRDefault="00F83A7A">
            <w:pPr>
              <w:pStyle w:val="a3"/>
              <w:spacing w:before="0" w:beforeAutospacing="0" w:after="0" w:afterAutospacing="0" w:line="0" w:lineRule="auto"/>
              <w:ind w:right="9"/>
              <w:rPr>
                <w:sz w:val="17"/>
                <w:szCs w:val="17"/>
              </w:rPr>
            </w:pPr>
            <w:r>
              <w:rPr>
                <w:sz w:val="17"/>
                <w:szCs w:val="17"/>
              </w:rPr>
              <w:t>Emerging growth compan</w:t>
            </w:r>
            <w:r>
              <w:rPr>
                <w:sz w:val="17"/>
                <w:szCs w:val="17"/>
              </w:rPr>
              <w:t>y</w:t>
            </w:r>
          </w:p>
        </w:tc>
        <w:tc>
          <w:tcPr>
            <w:tcW w:w="0" w:type="auto"/>
            <w:vAlign w:val="bottom"/>
            <w:hideMark/>
          </w:tcPr>
          <w:p w:rsidR="00000000" w:rsidRDefault="00F83A7A">
            <w:pPr>
              <w:pStyle w:val="a3"/>
              <w:spacing w:before="0" w:beforeAutospacing="0" w:after="0" w:afterAutospacing="0" w:line="0" w:lineRule="auto"/>
              <w:ind w:right="9"/>
              <w:rPr>
                <w:sz w:val="17"/>
                <w:szCs w:val="17"/>
              </w:rPr>
            </w:pPr>
            <w:r>
              <w:rPr>
                <w:sz w:val="17"/>
                <w:szCs w:val="17"/>
              </w:rPr>
              <w:t> </w:t>
            </w:r>
          </w:p>
        </w:tc>
        <w:tc>
          <w:tcPr>
            <w:tcW w:w="0" w:type="auto"/>
            <w:vAlign w:val="bottom"/>
            <w:hideMark/>
          </w:tcPr>
          <w:p w:rsidR="00000000" w:rsidRDefault="00F83A7A">
            <w:pPr>
              <w:pStyle w:val="a3"/>
              <w:spacing w:before="0" w:beforeAutospacing="0" w:after="0" w:afterAutospacing="0" w:line="0" w:lineRule="auto"/>
              <w:ind w:right="9"/>
              <w:rPr>
                <w:sz w:val="20"/>
                <w:szCs w:val="20"/>
              </w:rPr>
            </w:pPr>
            <w:r>
              <w:rPr>
                <w:rFonts w:ascii="Segoe UI Symbol" w:hAnsi="Segoe UI Symbol" w:cs="Segoe UI Symbol"/>
                <w:sz w:val="17"/>
                <w:szCs w:val="17"/>
              </w:rPr>
              <w:t>☒</w:t>
            </w:r>
          </w:p>
        </w:tc>
        <w:tc>
          <w:tcPr>
            <w:tcW w:w="0" w:type="auto"/>
            <w:vAlign w:val="bottom"/>
            <w:hideMark/>
          </w:tcPr>
          <w:p w:rsidR="00000000" w:rsidRDefault="00F83A7A">
            <w:pPr>
              <w:pStyle w:val="a3"/>
              <w:spacing w:before="0" w:beforeAutospacing="0" w:after="0" w:afterAutospacing="0" w:line="0" w:lineRule="auto"/>
              <w:ind w:right="9"/>
              <w:rPr>
                <w:sz w:val="17"/>
                <w:szCs w:val="17"/>
              </w:rPr>
            </w:pPr>
            <w:r>
              <w:rPr>
                <w:sz w:val="17"/>
                <w:szCs w:val="17"/>
              </w:rPr>
              <w:t> </w:t>
            </w:r>
          </w:p>
        </w:tc>
        <w:tc>
          <w:tcPr>
            <w:tcW w:w="0" w:type="auto"/>
            <w:vAlign w:val="bottom"/>
            <w:hideMark/>
          </w:tcPr>
          <w:p w:rsidR="00000000" w:rsidRDefault="00F83A7A">
            <w:pPr>
              <w:pStyle w:val="a3"/>
              <w:spacing w:before="0" w:beforeAutospacing="0" w:after="0" w:afterAutospacing="0" w:line="0" w:lineRule="auto"/>
              <w:ind w:right="9"/>
              <w:rPr>
                <w:sz w:val="17"/>
                <w:szCs w:val="17"/>
              </w:rPr>
            </w:pPr>
            <w:r>
              <w:rPr>
                <w:sz w:val="17"/>
                <w:szCs w:val="17"/>
              </w:rPr>
              <w:t> </w:t>
            </w:r>
          </w:p>
        </w:tc>
        <w:tc>
          <w:tcPr>
            <w:tcW w:w="0" w:type="auto"/>
            <w:vAlign w:val="bottom"/>
            <w:hideMark/>
          </w:tcPr>
          <w:p w:rsidR="00000000" w:rsidRDefault="00F83A7A">
            <w:pPr>
              <w:pStyle w:val="a3"/>
              <w:spacing w:before="0" w:beforeAutospacing="0" w:after="0" w:afterAutospacing="0" w:line="0" w:lineRule="auto"/>
              <w:ind w:right="9"/>
              <w:rPr>
                <w:sz w:val="17"/>
                <w:szCs w:val="17"/>
              </w:rPr>
            </w:pPr>
            <w:r>
              <w:rPr>
                <w:sz w:val="17"/>
                <w:szCs w:val="17"/>
              </w:rPr>
              <w:t> </w:t>
            </w:r>
          </w:p>
        </w:tc>
        <w:tc>
          <w:tcPr>
            <w:tcW w:w="0" w:type="auto"/>
            <w:vAlign w:val="bottom"/>
            <w:hideMark/>
          </w:tcPr>
          <w:p w:rsidR="00000000" w:rsidRDefault="00F83A7A">
            <w:pPr>
              <w:pStyle w:val="a3"/>
              <w:spacing w:before="0" w:beforeAutospacing="0" w:after="0" w:afterAutospacing="0" w:line="0" w:lineRule="auto"/>
              <w:ind w:right="9"/>
              <w:rPr>
                <w:sz w:val="17"/>
                <w:szCs w:val="17"/>
              </w:rPr>
            </w:pPr>
            <w:r>
              <w:rPr>
                <w:sz w:val="17"/>
                <w:szCs w:val="17"/>
              </w:rPr>
              <w:t> </w:t>
            </w:r>
          </w:p>
        </w:tc>
      </w:tr>
    </w:tbl>
    <w:p w:rsidR="00000000" w:rsidRDefault="00F83A7A">
      <w:pPr>
        <w:pStyle w:val="a3"/>
        <w:spacing w:before="0" w:beforeAutospacing="0" w:after="0" w:afterAutospacing="0"/>
        <w:rPr>
          <w:sz w:val="20"/>
          <w:szCs w:val="20"/>
        </w:rPr>
      </w:pPr>
      <w:r>
        <w:rPr>
          <w:sz w:val="6"/>
          <w:szCs w:val="6"/>
        </w:rPr>
        <w:t> </w:t>
      </w:r>
    </w:p>
    <w:p w:rsidR="00000000" w:rsidRDefault="00F83A7A">
      <w:pPr>
        <w:pStyle w:val="a3"/>
        <w:spacing w:before="60" w:beforeAutospacing="0" w:after="0" w:afterAutospacing="0"/>
        <w:ind w:firstLine="555"/>
        <w:rPr>
          <w:sz w:val="20"/>
          <w:szCs w:val="20"/>
        </w:rPr>
      </w:pPr>
      <w:r>
        <w:rPr>
          <w:sz w:val="17"/>
          <w:szCs w:val="17"/>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sz w:val="17"/>
          <w:szCs w:val="17"/>
        </w:rPr>
        <w:t xml:space="preserve"> </w:t>
      </w:r>
      <w:r>
        <w:rPr>
          <w:rFonts w:ascii="Segoe UI Symbol" w:hAnsi="Segoe UI Symbol" w:cs="Segoe UI Symbol"/>
          <w:sz w:val="17"/>
          <w:szCs w:val="17"/>
        </w:rPr>
        <w:t>☒</w:t>
      </w:r>
    </w:p>
    <w:p w:rsidR="00000000" w:rsidRDefault="00F83A7A">
      <w:pPr>
        <w:pStyle w:val="a3"/>
        <w:spacing w:before="60" w:beforeAutospacing="0" w:after="0" w:afterAutospacing="0"/>
        <w:ind w:firstLine="555"/>
        <w:rPr>
          <w:sz w:val="20"/>
          <w:szCs w:val="20"/>
        </w:rPr>
      </w:pPr>
      <w:r>
        <w:rPr>
          <w:sz w:val="17"/>
          <w:szCs w:val="17"/>
        </w:rPr>
        <w:t>Indi</w:t>
      </w:r>
      <w:r>
        <w:rPr>
          <w:sz w:val="17"/>
          <w:szCs w:val="17"/>
        </w:rPr>
        <w:t>cate by check mark whether the registrant has filed a report on and attestation to its management’s assessment of the effectiveness of its internal control over financial reporting under Section 404(b) of the Sarbanes-Oxley Act (15 U.S.C. 7262(b)) by the r</w:t>
      </w:r>
      <w:r>
        <w:rPr>
          <w:sz w:val="17"/>
          <w:szCs w:val="17"/>
        </w:rPr>
        <w:t xml:space="preserve">egistered public accounting firm that prepared or issued its audit report. Yes </w:t>
      </w:r>
      <w:r>
        <w:rPr>
          <w:rFonts w:ascii="Segoe UI Symbol" w:hAnsi="Segoe UI Symbol" w:cs="Segoe UI Symbol"/>
          <w:sz w:val="17"/>
          <w:szCs w:val="17"/>
        </w:rPr>
        <w:t>☐</w:t>
      </w:r>
      <w:r>
        <w:rPr>
          <w:sz w:val="17"/>
          <w:szCs w:val="17"/>
        </w:rPr>
        <w:t xml:space="preserve"> No</w:t>
      </w:r>
      <w:r>
        <w:rPr>
          <w:sz w:val="17"/>
          <w:szCs w:val="17"/>
        </w:rPr>
        <w:t xml:space="preserve"> </w:t>
      </w:r>
      <w:r>
        <w:rPr>
          <w:rFonts w:ascii="Segoe UI Symbol" w:hAnsi="Segoe UI Symbol" w:cs="Segoe UI Symbol"/>
          <w:sz w:val="17"/>
          <w:szCs w:val="17"/>
        </w:rPr>
        <w:t>☒</w:t>
      </w:r>
    </w:p>
    <w:p w:rsidR="00000000" w:rsidRDefault="00F83A7A">
      <w:pPr>
        <w:pStyle w:val="a3"/>
        <w:spacing w:before="60" w:beforeAutospacing="0" w:after="0" w:afterAutospacing="0"/>
        <w:ind w:firstLine="555"/>
        <w:rPr>
          <w:sz w:val="20"/>
          <w:szCs w:val="20"/>
        </w:rPr>
      </w:pPr>
      <w:r>
        <w:rPr>
          <w:sz w:val="17"/>
          <w:szCs w:val="17"/>
        </w:rPr>
        <w:t xml:space="preserve">Indicate by check mark whether the registrant is a shell company (as defined in Rule 12b-2 of the Exchange Act.) Yes </w:t>
      </w:r>
      <w:r>
        <w:rPr>
          <w:rFonts w:ascii="Segoe UI Symbol" w:hAnsi="Segoe UI Symbol" w:cs="Segoe UI Symbol"/>
          <w:sz w:val="17"/>
          <w:szCs w:val="17"/>
        </w:rPr>
        <w:t>☐</w:t>
      </w:r>
      <w:r>
        <w:rPr>
          <w:sz w:val="17"/>
          <w:szCs w:val="17"/>
        </w:rPr>
        <w:t xml:space="preserve"> No</w:t>
      </w:r>
      <w:r>
        <w:rPr>
          <w:sz w:val="17"/>
          <w:szCs w:val="17"/>
        </w:rPr>
        <w:t xml:space="preserve"> </w:t>
      </w:r>
      <w:r>
        <w:rPr>
          <w:rFonts w:ascii="Segoe UI Symbol" w:hAnsi="Segoe UI Symbol" w:cs="Segoe UI Symbol"/>
          <w:sz w:val="17"/>
          <w:szCs w:val="17"/>
        </w:rPr>
        <w:t>☒</w:t>
      </w:r>
    </w:p>
    <w:p w:rsidR="00000000" w:rsidRDefault="00F83A7A">
      <w:pPr>
        <w:pStyle w:val="a3"/>
        <w:spacing w:before="60" w:beforeAutospacing="0" w:after="0" w:afterAutospacing="0"/>
        <w:ind w:firstLine="555"/>
        <w:rPr>
          <w:sz w:val="20"/>
          <w:szCs w:val="20"/>
        </w:rPr>
      </w:pPr>
      <w:r>
        <w:rPr>
          <w:sz w:val="17"/>
          <w:szCs w:val="17"/>
        </w:rPr>
        <w:t>As of June 30, 2021, the last day of the regis</w:t>
      </w:r>
      <w:r>
        <w:rPr>
          <w:sz w:val="17"/>
          <w:szCs w:val="17"/>
        </w:rPr>
        <w:t xml:space="preserve">trant’s most recently completed second fiscal quarter, the aggregate market value of the Common Stock held by non-affiliates of the registrant was approximately </w:t>
      </w:r>
      <w:r>
        <w:rPr>
          <w:sz w:val="17"/>
          <w:szCs w:val="17"/>
        </w:rPr>
        <w:t>$</w:t>
      </w:r>
      <w:r>
        <w:rPr>
          <w:sz w:val="17"/>
          <w:szCs w:val="17"/>
        </w:rPr>
        <w:t>217.</w:t>
      </w:r>
      <w:r>
        <w:rPr>
          <w:sz w:val="17"/>
          <w:szCs w:val="17"/>
        </w:rPr>
        <w:t>2</w:t>
      </w:r>
      <w:r>
        <w:rPr>
          <w:sz w:val="17"/>
          <w:szCs w:val="17"/>
        </w:rPr>
        <w:t xml:space="preserve"> million based on the closing price of the registrant’s common stock on June 30, 2021. Th</w:t>
      </w:r>
      <w:r>
        <w:rPr>
          <w:sz w:val="17"/>
          <w:szCs w:val="17"/>
        </w:rPr>
        <w:t xml:space="preserve">e calculation excludes shares of the registrant’s common stock held by current executive officers, directors and stockholders that the registrant has concluded are affiliates of the registrant. This determination of affiliate status is not a determination </w:t>
      </w:r>
      <w:r>
        <w:rPr>
          <w:sz w:val="17"/>
          <w:szCs w:val="17"/>
        </w:rPr>
        <w:t>for other purposes</w:t>
      </w:r>
      <w:r>
        <w:rPr>
          <w:sz w:val="17"/>
          <w:szCs w:val="17"/>
        </w:rPr>
        <w:t>.</w:t>
      </w:r>
    </w:p>
    <w:p w:rsidR="00000000" w:rsidRDefault="00F83A7A">
      <w:pPr>
        <w:pStyle w:val="a3"/>
        <w:spacing w:before="60" w:beforeAutospacing="0" w:after="0" w:afterAutospacing="0"/>
        <w:ind w:firstLine="555"/>
        <w:rPr>
          <w:sz w:val="20"/>
          <w:szCs w:val="20"/>
        </w:rPr>
      </w:pPr>
      <w:r>
        <w:rPr>
          <w:sz w:val="17"/>
          <w:szCs w:val="17"/>
        </w:rPr>
        <w:t>As of March 1</w:t>
      </w:r>
      <w:r>
        <w:rPr>
          <w:sz w:val="17"/>
          <w:szCs w:val="17"/>
        </w:rPr>
        <w:t>0</w:t>
      </w:r>
      <w:r>
        <w:rPr>
          <w:sz w:val="17"/>
          <w:szCs w:val="17"/>
        </w:rPr>
        <w:t>, 2022, there were</w:t>
      </w:r>
      <w:r>
        <w:rPr>
          <w:sz w:val="17"/>
          <w:szCs w:val="17"/>
        </w:rPr>
        <w:t xml:space="preserve"> </w:t>
      </w:r>
      <w:r>
        <w:rPr>
          <w:sz w:val="17"/>
          <w:szCs w:val="17"/>
        </w:rPr>
        <w:t>70,373,16</w:t>
      </w:r>
      <w:r>
        <w:rPr>
          <w:sz w:val="17"/>
          <w:szCs w:val="17"/>
        </w:rPr>
        <w:t>2</w:t>
      </w:r>
      <w:r>
        <w:rPr>
          <w:sz w:val="17"/>
          <w:szCs w:val="17"/>
        </w:rPr>
        <w:t xml:space="preserve"> shares of common stock outstanding</w:t>
      </w:r>
      <w:r>
        <w:rPr>
          <w:sz w:val="17"/>
          <w:szCs w:val="17"/>
        </w:rPr>
        <w:t>.</w:t>
      </w:r>
    </w:p>
    <w:p w:rsidR="00000000" w:rsidRDefault="00F83A7A">
      <w:pPr>
        <w:pStyle w:val="a3"/>
        <w:spacing w:before="60" w:beforeAutospacing="0" w:after="0" w:afterAutospacing="0"/>
        <w:jc w:val="center"/>
        <w:rPr>
          <w:sz w:val="20"/>
          <w:szCs w:val="20"/>
        </w:rPr>
      </w:pPr>
      <w:r>
        <w:rPr>
          <w:b/>
          <w:bCs/>
          <w:sz w:val="17"/>
          <w:szCs w:val="17"/>
        </w:rPr>
        <w:t>DOCUMENTS INCORPORATED BY REFERENC</w:t>
      </w:r>
      <w:r>
        <w:rPr>
          <w:b/>
          <w:bCs/>
          <w:sz w:val="17"/>
          <w:szCs w:val="17"/>
        </w:rPr>
        <w:t>E</w:t>
      </w:r>
    </w:p>
    <w:p w:rsidR="00000000" w:rsidRDefault="00F83A7A">
      <w:pPr>
        <w:pStyle w:val="a3"/>
        <w:spacing w:before="60" w:beforeAutospacing="0" w:after="0" w:afterAutospacing="0"/>
        <w:ind w:firstLine="555"/>
        <w:divId w:val="401097116"/>
        <w:rPr>
          <w:sz w:val="20"/>
          <w:szCs w:val="20"/>
        </w:rPr>
      </w:pPr>
      <w:r>
        <w:rPr>
          <w:sz w:val="17"/>
          <w:szCs w:val="17"/>
        </w:rPr>
        <w:t>Portions of the registrant’</w:t>
      </w:r>
      <w:r>
        <w:rPr>
          <w:sz w:val="17"/>
          <w:szCs w:val="17"/>
        </w:rPr>
        <w:t>s definitive proxy statement for its 2022 Annual Meeting of Stockholders, which the registrant intends to file pursuant to Regulation 14A with the Securities and Exchange Commission not later than 120 days after the registrant’s fiscal year ended</w:t>
      </w:r>
      <w:r>
        <w:rPr>
          <w:sz w:val="17"/>
          <w:szCs w:val="17"/>
        </w:rPr>
        <w:t xml:space="preserve"> </w:t>
      </w:r>
      <w:r>
        <w:rPr>
          <w:sz w:val="17"/>
          <w:szCs w:val="17"/>
        </w:rPr>
        <w:t xml:space="preserve">December </w:t>
      </w:r>
      <w:r>
        <w:rPr>
          <w:sz w:val="17"/>
          <w:szCs w:val="17"/>
        </w:rPr>
        <w:t>31, 202</w:t>
      </w:r>
      <w:r>
        <w:rPr>
          <w:sz w:val="17"/>
          <w:szCs w:val="17"/>
        </w:rPr>
        <w:t>1</w:t>
      </w:r>
      <w:r>
        <w:rPr>
          <w:sz w:val="17"/>
          <w:szCs w:val="17"/>
        </w:rPr>
        <w:t>, are incorporated by reference into Part III of this Annual Report on Form 10-K</w:t>
      </w:r>
      <w:r>
        <w:rPr>
          <w:sz w:val="17"/>
          <w:szCs w:val="17"/>
        </w:rPr>
        <w:t>.</w:t>
      </w:r>
    </w:p>
    <w:p w:rsidR="00000000" w:rsidRDefault="00F83A7A">
      <w:pPr>
        <w:pStyle w:val="a3"/>
        <w:pBdr>
          <w:bottom w:val="double" w:sz="6" w:space="1" w:color="auto"/>
        </w:pBdr>
        <w:spacing w:before="0" w:beforeAutospacing="0" w:after="0" w:afterAutospacing="0"/>
        <w:rPr>
          <w:sz w:val="20"/>
          <w:szCs w:val="20"/>
        </w:rPr>
      </w:pPr>
      <w:r>
        <w:rPr>
          <w:sz w:val="20"/>
          <w:szCs w:val="20"/>
        </w:rPr>
        <w:t> </w:t>
      </w:r>
    </w:p>
    <w:p w:rsidR="00000000" w:rsidRDefault="00F83A7A">
      <w:pPr>
        <w:rPr>
          <w:rFonts w:eastAsia="Times New Roman"/>
        </w:rPr>
      </w:pPr>
      <w:r>
        <w:rPr>
          <w:rFonts w:eastAsia="Times New Roman"/>
        </w:rPr>
        <w:pict>
          <v:rect id="_x0000_i1025"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center"/>
        <w:rPr>
          <w:sz w:val="20"/>
          <w:szCs w:val="20"/>
        </w:rPr>
      </w:pPr>
      <w:r>
        <w:rPr>
          <w:b/>
          <w:bCs/>
          <w:sz w:val="20"/>
          <w:szCs w:val="20"/>
        </w:rPr>
        <w:t>TABLE OF CONTENT</w:t>
      </w:r>
      <w:r>
        <w:rPr>
          <w:b/>
          <w:bCs/>
          <w:sz w:val="20"/>
          <w:szCs w:val="20"/>
        </w:rPr>
        <w:t>S</w:t>
      </w:r>
    </w:p>
    <w:p w:rsidR="00000000" w:rsidRDefault="00F83A7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2"/>
        <w:gridCol w:w="119"/>
        <w:gridCol w:w="6770"/>
        <w:gridCol w:w="119"/>
        <w:gridCol w:w="446"/>
      </w:tblGrid>
      <w:tr w:rsidR="00000000">
        <w:trPr>
          <w:tblCellSpacing w:w="15" w:type="dxa"/>
        </w:trPr>
        <w:tc>
          <w:tcPr>
            <w:tcW w:w="500" w:type="pct"/>
            <w:vAlign w:val="center"/>
            <w:hideMark/>
          </w:tcPr>
          <w:p w:rsidR="00000000" w:rsidRDefault="00F83A7A">
            <w:pPr>
              <w:rPr>
                <w:sz w:val="20"/>
                <w:szCs w:val="20"/>
              </w:rPr>
            </w:pPr>
          </w:p>
        </w:tc>
        <w:tc>
          <w:tcPr>
            <w:tcW w:w="50" w:type="pct"/>
            <w:vAlign w:val="center"/>
            <w:hideMark/>
          </w:tcPr>
          <w:p w:rsidR="00000000" w:rsidRDefault="00F83A7A">
            <w:pPr>
              <w:rPr>
                <w:rFonts w:eastAsia="Times New Roman"/>
                <w:sz w:val="20"/>
                <w:szCs w:val="20"/>
              </w:rPr>
            </w:pPr>
          </w:p>
        </w:tc>
        <w:tc>
          <w:tcPr>
            <w:tcW w:w="4149" w:type="pct"/>
            <w:vAlign w:val="center"/>
            <w:hideMark/>
          </w:tcPr>
          <w:p w:rsidR="00000000" w:rsidRDefault="00F83A7A">
            <w:pPr>
              <w:rPr>
                <w:rFonts w:eastAsia="Times New Roman"/>
                <w:sz w:val="20"/>
                <w:szCs w:val="20"/>
              </w:rPr>
            </w:pPr>
          </w:p>
        </w:tc>
        <w:tc>
          <w:tcPr>
            <w:tcW w:w="50" w:type="pct"/>
            <w:vAlign w:val="center"/>
            <w:hideMark/>
          </w:tcPr>
          <w:p w:rsidR="00000000" w:rsidRDefault="00F83A7A">
            <w:pPr>
              <w:rPr>
                <w:rFonts w:eastAsia="Times New Roman"/>
                <w:sz w:val="20"/>
                <w:szCs w:val="20"/>
              </w:rPr>
            </w:pPr>
          </w:p>
        </w:tc>
        <w:tc>
          <w:tcPr>
            <w:tcW w:w="250" w:type="pct"/>
            <w:vAlign w:val="center"/>
            <w:hideMark/>
          </w:tcPr>
          <w:p w:rsidR="00000000" w:rsidRDefault="00F83A7A">
            <w:pPr>
              <w:rPr>
                <w:rFonts w:eastAsia="Times New Roman"/>
                <w:sz w:val="20"/>
                <w:szCs w:val="20"/>
              </w:rPr>
            </w:pPr>
          </w:p>
        </w:tc>
      </w:tr>
      <w:tr w:rsidR="00000000">
        <w:trPr>
          <w:trHeight w:val="160"/>
          <w:tblCellSpacing w:w="15" w:type="dxa"/>
        </w:trPr>
        <w:tc>
          <w:tcPr>
            <w:tcW w:w="0" w:type="auto"/>
            <w:hideMark/>
          </w:tcPr>
          <w:p w:rsidR="00000000" w:rsidRDefault="00F83A7A">
            <w:pPr>
              <w:pStyle w:val="a3"/>
              <w:spacing w:before="0" w:beforeAutospacing="0" w:after="0" w:afterAutospacing="0"/>
              <w:ind w:right="9"/>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ind w:right="9"/>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ind w:right="9"/>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ind w:right="9"/>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b/>
                <w:bCs/>
                <w:sz w:val="16"/>
                <w:szCs w:val="16"/>
              </w:rPr>
              <w:t>Pag</w:t>
            </w:r>
            <w:r>
              <w:rPr>
                <w:b/>
                <w:bCs/>
                <w:sz w:val="16"/>
                <w:szCs w:val="16"/>
              </w:rPr>
              <w:t>e</w:t>
            </w:r>
          </w:p>
        </w:tc>
      </w:tr>
      <w:tr w:rsidR="00000000">
        <w:trPr>
          <w:trHeight w:val="200"/>
          <w:tblCellSpacing w:w="15" w:type="dxa"/>
        </w:trPr>
        <w:tc>
          <w:tcPr>
            <w:tcW w:w="0" w:type="auto"/>
            <w:gridSpan w:val="3"/>
            <w:hideMark/>
          </w:tcPr>
          <w:p w:rsidR="00000000" w:rsidRDefault="00F83A7A">
            <w:pPr>
              <w:pStyle w:val="a3"/>
              <w:spacing w:before="0" w:beforeAutospacing="0" w:after="0" w:afterAutospacing="0"/>
              <w:ind w:right="9"/>
              <w:rPr>
                <w:sz w:val="20"/>
                <w:szCs w:val="20"/>
              </w:rPr>
            </w:pPr>
            <w:hyperlink w:anchor="special_note_regarding_forwardlooking_s" w:history="1">
              <w:r>
                <w:rPr>
                  <w:rStyle w:val="a4"/>
                  <w:b/>
                  <w:bCs/>
                  <w:sz w:val="20"/>
                  <w:szCs w:val="20"/>
                </w:rPr>
                <w:t>SPECIAL NOTE REGARDING FORWARD-LOOKING STATEMENT</w:t>
              </w:r>
              <w:r>
                <w:rPr>
                  <w:rStyle w:val="a4"/>
                  <w:b/>
                  <w:bCs/>
                  <w:sz w:val="20"/>
                  <w:szCs w:val="20"/>
                </w:rPr>
                <w:t>S</w:t>
              </w:r>
            </w:hyperlink>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1</w:t>
            </w:r>
          </w:p>
        </w:tc>
      </w:tr>
      <w:tr w:rsidR="00000000">
        <w:trPr>
          <w:tblCellSpacing w:w="15" w:type="dxa"/>
        </w:trPr>
        <w:tc>
          <w:tcPr>
            <w:tcW w:w="0" w:type="auto"/>
            <w:hideMark/>
          </w:tcPr>
          <w:p w:rsidR="00000000" w:rsidRDefault="00F83A7A">
            <w:pPr>
              <w:pStyle w:val="a3"/>
              <w:spacing w:before="0" w:beforeAutospacing="0" w:after="0" w:afterAutospacing="0"/>
              <w:ind w:right="9"/>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ind w:right="9"/>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ind w:right="9"/>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ind w:right="9"/>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ind w:right="9"/>
              <w:jc w:val="right"/>
              <w:rPr>
                <w:sz w:val="12"/>
                <w:szCs w:val="12"/>
              </w:rPr>
            </w:pPr>
            <w:r>
              <w:rPr>
                <w:sz w:val="12"/>
                <w:szCs w:val="12"/>
              </w:rPr>
              <w:t> </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center"/>
              <w:rPr>
                <w:sz w:val="20"/>
                <w:szCs w:val="20"/>
              </w:rPr>
            </w:pPr>
            <w:hyperlink w:anchor="part_i" w:history="1">
              <w:r>
                <w:rPr>
                  <w:rStyle w:val="a4"/>
                  <w:b/>
                  <w:bCs/>
                  <w:sz w:val="20"/>
                  <w:szCs w:val="20"/>
                </w:rPr>
                <w:t xml:space="preserve">PART </w:t>
              </w:r>
              <w:r>
                <w:rPr>
                  <w:rStyle w:val="a4"/>
                  <w:b/>
                  <w:bCs/>
                  <w:sz w:val="20"/>
                  <w:szCs w:val="20"/>
                </w:rPr>
                <w:t>I</w:t>
              </w:r>
            </w:hyperlink>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 </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1</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1_business" w:history="1">
              <w:r>
                <w:rPr>
                  <w:rStyle w:val="a4"/>
                  <w:sz w:val="20"/>
                  <w:szCs w:val="20"/>
                </w:rPr>
                <w:t>Busines</w:t>
              </w:r>
              <w:r>
                <w:rPr>
                  <w:rStyle w:val="a4"/>
                  <w:sz w:val="20"/>
                  <w:szCs w:val="20"/>
                </w:rPr>
                <w:t>s</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3</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1A</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1a_risk_factors" w:history="1">
              <w:r>
                <w:rPr>
                  <w:rStyle w:val="a4"/>
                  <w:sz w:val="20"/>
                  <w:szCs w:val="20"/>
                </w:rPr>
                <w:t>Risk Factor</w:t>
              </w:r>
              <w:r>
                <w:rPr>
                  <w:rStyle w:val="a4"/>
                  <w:sz w:val="20"/>
                  <w:szCs w:val="20"/>
                </w:rPr>
                <w:t>s</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1</w:t>
            </w:r>
            <w:r>
              <w:rPr>
                <w:sz w:val="20"/>
                <w:szCs w:val="20"/>
              </w:rPr>
              <w:t>8</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1B</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1b_unresolved_staff_comments" w:history="1">
              <w:r>
                <w:rPr>
                  <w:rStyle w:val="a4"/>
                  <w:sz w:val="20"/>
                  <w:szCs w:val="20"/>
                </w:rPr>
                <w:t>Unresolved Staff Comment</w:t>
              </w:r>
              <w:r>
                <w:rPr>
                  <w:rStyle w:val="a4"/>
                  <w:sz w:val="20"/>
                  <w:szCs w:val="20"/>
                </w:rPr>
                <w:t>s</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5</w:t>
            </w:r>
            <w:r>
              <w:rPr>
                <w:sz w:val="20"/>
                <w:szCs w:val="20"/>
              </w:rPr>
              <w:t>1</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2</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2_properties" w:history="1">
              <w:r>
                <w:rPr>
                  <w:rStyle w:val="a4"/>
                  <w:sz w:val="20"/>
                  <w:szCs w:val="20"/>
                </w:rPr>
                <w:t>Propertie</w:t>
              </w:r>
              <w:r>
                <w:rPr>
                  <w:rStyle w:val="a4"/>
                  <w:sz w:val="20"/>
                  <w:szCs w:val="20"/>
                </w:rPr>
                <w:t>s</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5</w:t>
            </w:r>
            <w:r>
              <w:rPr>
                <w:sz w:val="20"/>
                <w:szCs w:val="20"/>
              </w:rPr>
              <w:t>1</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3</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3_legal_proceedings" w:history="1">
              <w:r>
                <w:rPr>
                  <w:rStyle w:val="a4"/>
                  <w:sz w:val="20"/>
                  <w:szCs w:val="20"/>
                </w:rPr>
                <w:t>Legal Proceeding</w:t>
              </w:r>
              <w:r>
                <w:rPr>
                  <w:rStyle w:val="a4"/>
                  <w:sz w:val="20"/>
                  <w:szCs w:val="20"/>
                </w:rPr>
                <w:t>s</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5</w:t>
            </w:r>
            <w:r>
              <w:rPr>
                <w:sz w:val="20"/>
                <w:szCs w:val="20"/>
              </w:rPr>
              <w:t>2</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4</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4_mine_safety_disclosures" w:history="1">
              <w:r>
                <w:rPr>
                  <w:rStyle w:val="a4"/>
                  <w:sz w:val="20"/>
                  <w:szCs w:val="20"/>
                </w:rPr>
                <w:t>Mine Safety Disclosure</w:t>
              </w:r>
              <w:r>
                <w:rPr>
                  <w:rStyle w:val="a4"/>
                  <w:sz w:val="20"/>
                  <w:szCs w:val="20"/>
                </w:rPr>
                <w:t>s</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5</w:t>
            </w:r>
            <w:r>
              <w:rPr>
                <w:sz w:val="20"/>
                <w:szCs w:val="20"/>
              </w:rPr>
              <w:t>2</w:t>
            </w:r>
          </w:p>
        </w:tc>
      </w:tr>
      <w:tr w:rsidR="00000000">
        <w:trPr>
          <w:tblCellSpacing w:w="15" w:type="dxa"/>
        </w:trPr>
        <w:tc>
          <w:tcPr>
            <w:tcW w:w="0" w:type="auto"/>
            <w:hideMark/>
          </w:tcPr>
          <w:p w:rsidR="00000000" w:rsidRDefault="00F83A7A">
            <w:pPr>
              <w:pStyle w:val="a3"/>
              <w:spacing w:before="0" w:beforeAutospacing="0" w:after="0" w:afterAutospacing="0"/>
              <w:ind w:right="9"/>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ind w:right="9"/>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ind w:right="9"/>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ind w:right="9"/>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ind w:right="9"/>
              <w:jc w:val="right"/>
              <w:rPr>
                <w:sz w:val="12"/>
                <w:szCs w:val="12"/>
              </w:rPr>
            </w:pPr>
            <w:r>
              <w:rPr>
                <w:sz w:val="12"/>
                <w:szCs w:val="12"/>
              </w:rPr>
              <w:t> </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center"/>
              <w:rPr>
                <w:sz w:val="20"/>
                <w:szCs w:val="20"/>
              </w:rPr>
            </w:pPr>
            <w:hyperlink w:anchor="part_ii" w:history="1">
              <w:r>
                <w:rPr>
                  <w:rStyle w:val="a4"/>
                  <w:b/>
                  <w:bCs/>
                  <w:sz w:val="20"/>
                  <w:szCs w:val="20"/>
                </w:rPr>
                <w:t>PART I</w:t>
              </w:r>
              <w:r>
                <w:rPr>
                  <w:rStyle w:val="a4"/>
                  <w:b/>
                  <w:bCs/>
                  <w:sz w:val="20"/>
                  <w:szCs w:val="20"/>
                </w:rPr>
                <w:t>I</w:t>
              </w:r>
            </w:hyperlink>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 </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5</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5_market_for_registrants_common_eq" w:history="1">
              <w:r>
                <w:rPr>
                  <w:rStyle w:val="a4"/>
                  <w:sz w:val="20"/>
                  <w:szCs w:val="20"/>
                </w:rPr>
                <w:t>Market for Registrant’s Common Equity, Related Stockholder Matters and Issuer Purchases of Equity Securitie</w:t>
              </w:r>
              <w:r>
                <w:rPr>
                  <w:rStyle w:val="a4"/>
                  <w:sz w:val="20"/>
                  <w:szCs w:val="20"/>
                </w:rPr>
                <w:t>s</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5</w:t>
            </w:r>
            <w:r>
              <w:rPr>
                <w:sz w:val="20"/>
                <w:szCs w:val="20"/>
              </w:rPr>
              <w:t>3</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6</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6_reserved" w:history="1">
              <w:r>
                <w:rPr>
                  <w:rStyle w:val="a4"/>
                  <w:sz w:val="20"/>
                  <w:szCs w:val="20"/>
                </w:rPr>
                <w:t>[Reserved</w:t>
              </w:r>
              <w:r>
                <w:rPr>
                  <w:rStyle w:val="a4"/>
                  <w:sz w:val="20"/>
                  <w:szCs w:val="20"/>
                </w:rPr>
                <w:t>]</w:t>
              </w:r>
              <w:r>
                <w:rPr>
                  <w:rStyle w:val="a4"/>
                  <w:sz w:val="20"/>
                  <w:szCs w:val="20"/>
                </w:rPr>
                <w:t xml:space="preserve"> </w:t>
              </w:r>
            </w:hyperlink>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5</w:t>
            </w:r>
            <w:r>
              <w:rPr>
                <w:sz w:val="20"/>
                <w:szCs w:val="20"/>
              </w:rPr>
              <w:t>4</w:t>
            </w:r>
          </w:p>
        </w:tc>
      </w:tr>
      <w:tr w:rsidR="00000000">
        <w:trPr>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7</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7_managements_discussion_analysis_" w:history="1">
              <w:r>
                <w:rPr>
                  <w:rStyle w:val="a4"/>
                  <w:sz w:val="20"/>
                  <w:szCs w:val="20"/>
                </w:rPr>
                <w:t>Management’s Discussion and Analysis of Financial Condition and Results of Operation</w:t>
              </w:r>
              <w:r>
                <w:rPr>
                  <w:rStyle w:val="a4"/>
                  <w:sz w:val="20"/>
                  <w:szCs w:val="20"/>
                </w:rPr>
                <w:t>s</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5</w:t>
            </w:r>
            <w:r>
              <w:rPr>
                <w:sz w:val="20"/>
                <w:szCs w:val="20"/>
              </w:rPr>
              <w:t>5</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7A</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7a_quantitative_qualitative_disclo" w:history="1">
              <w:r>
                <w:rPr>
                  <w:rStyle w:val="a4"/>
                  <w:sz w:val="20"/>
                  <w:szCs w:val="20"/>
                </w:rPr>
                <w:t>Quantitative and Qualitative Disclosures About Market Ris</w:t>
              </w:r>
              <w:r>
                <w:rPr>
                  <w:rStyle w:val="a4"/>
                  <w:sz w:val="20"/>
                  <w:szCs w:val="20"/>
                </w:rPr>
                <w:t>k</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6</w:t>
            </w:r>
            <w:r>
              <w:rPr>
                <w:sz w:val="20"/>
                <w:szCs w:val="20"/>
              </w:rPr>
              <w:t>3</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8</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8_financial_statements_supplementa" w:history="1">
              <w:r>
                <w:rPr>
                  <w:rStyle w:val="a4"/>
                  <w:sz w:val="20"/>
                  <w:szCs w:val="20"/>
                </w:rPr>
                <w:t>Financial Statements and Supplementary Dat</w:t>
              </w:r>
              <w:r>
                <w:rPr>
                  <w:rStyle w:val="a4"/>
                  <w:sz w:val="20"/>
                  <w:szCs w:val="20"/>
                </w:rPr>
                <w:t>a</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6</w:t>
            </w:r>
            <w:r>
              <w:rPr>
                <w:sz w:val="20"/>
                <w:szCs w:val="20"/>
              </w:rPr>
              <w:t>3</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9</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9_changes_in_disagreements_with_ac" w:history="1">
              <w:r>
                <w:rPr>
                  <w:rStyle w:val="a4"/>
                  <w:sz w:val="20"/>
                  <w:szCs w:val="20"/>
                </w:rPr>
                <w:t>Changes in and Disagreements with Accountants on Accounting and Financial Disclosur</w:t>
              </w:r>
              <w:r>
                <w:rPr>
                  <w:rStyle w:val="a4"/>
                  <w:sz w:val="20"/>
                  <w:szCs w:val="20"/>
                </w:rPr>
                <w:t>e</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6</w:t>
            </w:r>
            <w:r>
              <w:rPr>
                <w:sz w:val="20"/>
                <w:szCs w:val="20"/>
              </w:rPr>
              <w:t>3</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9A</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9a_controls_procedures" w:history="1">
              <w:r>
                <w:rPr>
                  <w:rStyle w:val="a4"/>
                  <w:sz w:val="20"/>
                  <w:szCs w:val="20"/>
                </w:rPr>
                <w:t>Controls and Procedure</w:t>
              </w:r>
              <w:r>
                <w:rPr>
                  <w:rStyle w:val="a4"/>
                  <w:sz w:val="20"/>
                  <w:szCs w:val="20"/>
                </w:rPr>
                <w:t>s</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6</w:t>
            </w:r>
            <w:r>
              <w:rPr>
                <w:sz w:val="20"/>
                <w:szCs w:val="20"/>
              </w:rPr>
              <w:t>3</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9B</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9b_or_information" w:history="1">
              <w:r>
                <w:rPr>
                  <w:rStyle w:val="a4"/>
                  <w:sz w:val="20"/>
                  <w:szCs w:val="20"/>
                </w:rPr>
                <w:t>Other Informatio</w:t>
              </w:r>
              <w:r>
                <w:rPr>
                  <w:rStyle w:val="a4"/>
                  <w:sz w:val="20"/>
                  <w:szCs w:val="20"/>
                </w:rPr>
                <w:t>n</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6</w:t>
            </w:r>
            <w:r>
              <w:rPr>
                <w:sz w:val="20"/>
                <w:szCs w:val="20"/>
              </w:rPr>
              <w:t>3</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19"/>
                <w:szCs w:val="19"/>
              </w:rPr>
            </w:pPr>
            <w:r>
              <w:rPr>
                <w:sz w:val="19"/>
                <w:szCs w:val="19"/>
              </w:rPr>
              <w:t>Item 9C</w:t>
            </w:r>
            <w:r>
              <w:rPr>
                <w:sz w:val="19"/>
                <w:szCs w:val="19"/>
              </w:rPr>
              <w:t>.</w:t>
            </w:r>
          </w:p>
        </w:tc>
        <w:tc>
          <w:tcPr>
            <w:tcW w:w="0" w:type="auto"/>
            <w:vAlign w:val="bottom"/>
            <w:hideMark/>
          </w:tcPr>
          <w:p w:rsidR="00000000" w:rsidRDefault="00F83A7A">
            <w:pPr>
              <w:pStyle w:val="a3"/>
              <w:spacing w:before="0" w:beforeAutospacing="0" w:after="0" w:afterAutospacing="0"/>
              <w:ind w:right="9"/>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9c_disclosure_regarding_foreign" w:history="1">
              <w:r>
                <w:rPr>
                  <w:rStyle w:val="a4"/>
                  <w:sz w:val="20"/>
                  <w:szCs w:val="20"/>
                </w:rPr>
                <w:t>Disclosure Regarding Foreign Jurisdictions that Prevent Inspection</w:t>
              </w:r>
              <w:r>
                <w:rPr>
                  <w:rStyle w:val="a4"/>
                  <w:sz w:val="20"/>
                  <w:szCs w:val="20"/>
                </w:rPr>
                <w:t>s</w:t>
              </w:r>
            </w:hyperlink>
          </w:p>
        </w:tc>
        <w:tc>
          <w:tcPr>
            <w:tcW w:w="0" w:type="auto"/>
            <w:vAlign w:val="bottom"/>
            <w:hideMark/>
          </w:tcPr>
          <w:p w:rsidR="00000000" w:rsidRDefault="00F83A7A">
            <w:pPr>
              <w:pStyle w:val="a3"/>
              <w:spacing w:before="0" w:beforeAutospacing="0" w:after="0" w:afterAutospacing="0"/>
              <w:ind w:right="9"/>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6</w:t>
            </w:r>
            <w:r>
              <w:rPr>
                <w:sz w:val="20"/>
                <w:szCs w:val="20"/>
              </w:rPr>
              <w:t>3</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center"/>
              <w:rPr>
                <w:sz w:val="20"/>
                <w:szCs w:val="20"/>
              </w:rPr>
            </w:pPr>
            <w:hyperlink w:anchor="part_iii" w:history="1">
              <w:r>
                <w:rPr>
                  <w:rStyle w:val="a4"/>
                  <w:b/>
                  <w:bCs/>
                  <w:sz w:val="20"/>
                  <w:szCs w:val="20"/>
                </w:rPr>
                <w:t>PART II</w:t>
              </w:r>
              <w:r>
                <w:rPr>
                  <w:rStyle w:val="a4"/>
                  <w:b/>
                  <w:bCs/>
                  <w:sz w:val="20"/>
                  <w:szCs w:val="20"/>
                </w:rPr>
                <w:t>I</w:t>
              </w:r>
            </w:hyperlink>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 </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10</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10_directors_executive_ficers_corp" w:history="1">
              <w:r>
                <w:rPr>
                  <w:rStyle w:val="a4"/>
                  <w:sz w:val="20"/>
                  <w:szCs w:val="20"/>
                </w:rPr>
                <w:t>Directors, Executive Officers and Corporate Governanc</w:t>
              </w:r>
              <w:r>
                <w:rPr>
                  <w:rStyle w:val="a4"/>
                  <w:sz w:val="20"/>
                  <w:szCs w:val="20"/>
                </w:rPr>
                <w:t>e</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6</w:t>
            </w:r>
            <w:r>
              <w:rPr>
                <w:sz w:val="20"/>
                <w:szCs w:val="20"/>
              </w:rPr>
              <w:t>4</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11</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11_executive_compensation" w:history="1">
              <w:r>
                <w:rPr>
                  <w:rStyle w:val="a4"/>
                  <w:sz w:val="20"/>
                  <w:szCs w:val="20"/>
                </w:rPr>
                <w:t>Executive Compensatio</w:t>
              </w:r>
              <w:r>
                <w:rPr>
                  <w:rStyle w:val="a4"/>
                  <w:sz w:val="20"/>
                  <w:szCs w:val="20"/>
                </w:rPr>
                <w:t>n</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6</w:t>
            </w:r>
            <w:r>
              <w:rPr>
                <w:sz w:val="20"/>
                <w:szCs w:val="20"/>
              </w:rPr>
              <w:t>4</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12</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12_security_ownership_certain_bene" w:history="1">
              <w:r>
                <w:rPr>
                  <w:rStyle w:val="a4"/>
                  <w:sz w:val="20"/>
                  <w:szCs w:val="20"/>
                </w:rPr>
                <w:t>Security Ownership of Certain Beneficial Owners and Management and Related Stockholder Matter</w:t>
              </w:r>
              <w:r>
                <w:rPr>
                  <w:rStyle w:val="a4"/>
                  <w:sz w:val="20"/>
                  <w:szCs w:val="20"/>
                </w:rPr>
                <w:t>s</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6</w:t>
            </w:r>
            <w:r>
              <w:rPr>
                <w:sz w:val="20"/>
                <w:szCs w:val="20"/>
              </w:rPr>
              <w:t>4</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lastRenderedPageBreak/>
              <w:t>Item 13</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13_certain_relationships_related_t" w:history="1">
              <w:r>
                <w:rPr>
                  <w:rStyle w:val="a4"/>
                  <w:sz w:val="20"/>
                  <w:szCs w:val="20"/>
                </w:rPr>
                <w:t>Certain Relationships and Related Transactions, and Director Independenc</w:t>
              </w:r>
              <w:r>
                <w:rPr>
                  <w:rStyle w:val="a4"/>
                  <w:sz w:val="20"/>
                  <w:szCs w:val="20"/>
                </w:rPr>
                <w:t>e</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6</w:t>
            </w:r>
            <w:r>
              <w:rPr>
                <w:sz w:val="20"/>
                <w:szCs w:val="20"/>
              </w:rPr>
              <w:t>4</w:t>
            </w:r>
          </w:p>
        </w:tc>
      </w:tr>
      <w:tr w:rsidR="00000000">
        <w:trPr>
          <w:trHeight w:val="200"/>
          <w:tblCellSpacing w:w="15" w:type="dxa"/>
        </w:trPr>
        <w:tc>
          <w:tcPr>
            <w:tcW w:w="0" w:type="auto"/>
            <w:hideMark/>
          </w:tcPr>
          <w:p w:rsidR="00000000" w:rsidRDefault="00F83A7A">
            <w:pPr>
              <w:pStyle w:val="a3"/>
              <w:spacing w:before="0" w:beforeAutospacing="0" w:after="0" w:afterAutospacing="0"/>
              <w:ind w:right="9"/>
              <w:rPr>
                <w:sz w:val="20"/>
                <w:szCs w:val="20"/>
              </w:rPr>
            </w:pPr>
            <w:r>
              <w:rPr>
                <w:sz w:val="20"/>
                <w:szCs w:val="20"/>
              </w:rPr>
              <w:t>Item 14</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14_principal_accountant_fees_servi" w:history="1">
              <w:r>
                <w:rPr>
                  <w:rStyle w:val="a4"/>
                  <w:sz w:val="20"/>
                  <w:szCs w:val="20"/>
                </w:rPr>
                <w:t>Principal Accountant Fees and Service</w:t>
              </w:r>
              <w:r>
                <w:rPr>
                  <w:rStyle w:val="a4"/>
                  <w:sz w:val="20"/>
                  <w:szCs w:val="20"/>
                </w:rPr>
                <w:t>s</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6</w:t>
            </w:r>
            <w:r>
              <w:rPr>
                <w:sz w:val="20"/>
                <w:szCs w:val="20"/>
              </w:rPr>
              <w:t>4</w:t>
            </w:r>
          </w:p>
        </w:tc>
      </w:tr>
      <w:tr w:rsidR="00000000">
        <w:trPr>
          <w:tblCellSpacing w:w="15" w:type="dxa"/>
        </w:trPr>
        <w:tc>
          <w:tcPr>
            <w:tcW w:w="0" w:type="auto"/>
            <w:vAlign w:val="bottom"/>
            <w:hideMark/>
          </w:tcPr>
          <w:p w:rsidR="00000000" w:rsidRDefault="00F83A7A">
            <w:pPr>
              <w:pStyle w:val="a3"/>
              <w:spacing w:before="0" w:beforeAutospacing="0" w:after="0" w:afterAutospacing="0"/>
              <w:ind w:right="9"/>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ind w:right="9"/>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ind w:right="9"/>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ind w:right="9"/>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ind w:right="9"/>
              <w:jc w:val="right"/>
              <w:rPr>
                <w:sz w:val="12"/>
                <w:szCs w:val="12"/>
              </w:rPr>
            </w:pPr>
            <w:r>
              <w:rPr>
                <w:sz w:val="12"/>
                <w:szCs w:val="12"/>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center"/>
              <w:rPr>
                <w:sz w:val="20"/>
                <w:szCs w:val="20"/>
              </w:rPr>
            </w:pPr>
            <w:hyperlink w:anchor="part_iv" w:history="1">
              <w:r>
                <w:rPr>
                  <w:rStyle w:val="a4"/>
                  <w:b/>
                  <w:bCs/>
                  <w:sz w:val="20"/>
                  <w:szCs w:val="20"/>
                </w:rPr>
                <w:t>PART I</w:t>
              </w:r>
              <w:r>
                <w:rPr>
                  <w:rStyle w:val="a4"/>
                  <w:b/>
                  <w:bCs/>
                  <w:sz w:val="20"/>
                  <w:szCs w:val="20"/>
                </w:rPr>
                <w:t>V</w:t>
              </w:r>
            </w:hyperlink>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Item 15</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15_exhibits_financial_statements_s" w:history="1">
              <w:r>
                <w:rPr>
                  <w:rStyle w:val="a4"/>
                  <w:sz w:val="20"/>
                  <w:szCs w:val="20"/>
                </w:rPr>
                <w:t>Exhibit and Financial Statement Schedule</w:t>
              </w:r>
              <w:r>
                <w:rPr>
                  <w:rStyle w:val="a4"/>
                  <w:sz w:val="20"/>
                  <w:szCs w:val="20"/>
                </w:rPr>
                <w:t>s</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6</w:t>
            </w:r>
            <w:r>
              <w:rPr>
                <w:sz w:val="20"/>
                <w:szCs w:val="20"/>
              </w:rPr>
              <w:t>5</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Item 16</w:t>
            </w:r>
            <w:r>
              <w:rPr>
                <w:sz w:val="20"/>
                <w:szCs w:val="20"/>
              </w:rPr>
              <w:t>.</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rPr>
                <w:sz w:val="20"/>
                <w:szCs w:val="20"/>
              </w:rPr>
            </w:pPr>
            <w:hyperlink w:anchor="item_16_form_10k_summary" w:history="1">
              <w:r>
                <w:rPr>
                  <w:rStyle w:val="a4"/>
                  <w:sz w:val="20"/>
                  <w:szCs w:val="20"/>
                </w:rPr>
                <w:t>Form 10-K Summar</w:t>
              </w:r>
              <w:r>
                <w:rPr>
                  <w:rStyle w:val="a4"/>
                  <w:sz w:val="20"/>
                  <w:szCs w:val="20"/>
                </w:rPr>
                <w:t>y</w:t>
              </w:r>
            </w:hyperlink>
            <w:r>
              <w:rPr>
                <w:sz w:val="20"/>
                <w:szCs w:val="20"/>
              </w:rPr>
              <w:t xml:space="preserve"> </w:t>
            </w:r>
          </w:p>
        </w:tc>
        <w:tc>
          <w:tcPr>
            <w:tcW w:w="0" w:type="auto"/>
            <w:vAlign w:val="bottom"/>
            <w:hideMark/>
          </w:tcPr>
          <w:p w:rsidR="00000000" w:rsidRDefault="00F83A7A">
            <w:pPr>
              <w:pStyle w:val="a3"/>
              <w:spacing w:before="0" w:beforeAutospacing="0" w:after="0" w:afterAutospacing="0"/>
              <w:ind w:right="9"/>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right="9"/>
              <w:jc w:val="right"/>
              <w:rPr>
                <w:sz w:val="20"/>
                <w:szCs w:val="20"/>
              </w:rPr>
            </w:pPr>
            <w:r>
              <w:rPr>
                <w:sz w:val="20"/>
                <w:szCs w:val="20"/>
              </w:rPr>
              <w:t>6</w:t>
            </w:r>
            <w:r>
              <w:rPr>
                <w:sz w:val="20"/>
                <w:szCs w:val="20"/>
              </w:rPr>
              <w:t>7</w:t>
            </w:r>
          </w:p>
        </w:tc>
      </w:tr>
    </w:tbl>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i</w:t>
      </w:r>
    </w:p>
    <w:p w:rsidR="00000000" w:rsidRDefault="00F83A7A">
      <w:pPr>
        <w:rPr>
          <w:rFonts w:eastAsia="Times New Roman"/>
        </w:rPr>
      </w:pPr>
      <w:r>
        <w:rPr>
          <w:rFonts w:eastAsia="Times New Roman"/>
        </w:rPr>
        <w:pict>
          <v:rect id="_x0000_i1026"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center"/>
        <w:rPr>
          <w:sz w:val="20"/>
          <w:szCs w:val="20"/>
        </w:rPr>
      </w:pPr>
      <w:r>
        <w:rPr>
          <w:b/>
          <w:bCs/>
          <w:sz w:val="20"/>
          <w:szCs w:val="20"/>
        </w:rPr>
        <w:t xml:space="preserve">SPECIAL NOTE REGARDING </w:t>
      </w:r>
      <w:r>
        <w:rPr>
          <w:b/>
          <w:bCs/>
          <w:sz w:val="20"/>
          <w:szCs w:val="20"/>
        </w:rPr>
        <w:t>F</w:t>
      </w:r>
      <w:r>
        <w:rPr>
          <w:b/>
          <w:bCs/>
          <w:sz w:val="20"/>
          <w:szCs w:val="20"/>
        </w:rPr>
        <w:t>ORWARD-LOOKING STATEMENT</w:t>
      </w:r>
      <w:r>
        <w:rPr>
          <w:b/>
          <w:b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 xml:space="preserve">This Annual Report on Form 10-K contains forward-looking statements within the meaning of Section 27A of the Securities Act of 1933, as amended, or the Securities Act, </w:t>
      </w:r>
      <w:r>
        <w:rPr>
          <w:sz w:val="20"/>
          <w:szCs w:val="20"/>
        </w:rPr>
        <w:t>and Section 21E of the Securities Exchange Act of 1934, as amended, or the Exchange Act. All statements other than statements of historical fact are “forward-looking statements” for purposes of this Annual Report on Form 10-K. In some cases, you can identi</w:t>
      </w:r>
      <w:r>
        <w:rPr>
          <w:sz w:val="20"/>
          <w:szCs w:val="20"/>
        </w:rPr>
        <w:t>fy forward-looking statements by terminology such as “aim,” “anticipate,” “assume,” “believe,” “contemplate,” continue,” “could,” “design,” “due,” “estimate,” “expect,” “goal,” “intend,” “may,” “objective,” “plan,” “positioned,” “potential,” “predict,” “pr</w:t>
      </w:r>
      <w:r>
        <w:rPr>
          <w:sz w:val="20"/>
          <w:szCs w:val="20"/>
        </w:rPr>
        <w:t>oject,” “should,” “target,” “will,” “would” or the negative or plural of those terms, and similar expressions</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Forward-looking statements include, but are not limited to, statements about</w:t>
      </w:r>
      <w:r>
        <w:rPr>
          <w:sz w:val="20"/>
          <w:szCs w:val="20"/>
        </w:rPr>
        <w:t>:</w:t>
      </w:r>
    </w:p>
    <w:p w:rsidR="00000000" w:rsidRDefault="00F83A7A">
      <w:pPr>
        <w:jc w:val="both"/>
        <w:divId w:val="622883884"/>
        <w:rPr>
          <w:rFonts w:eastAsia="Times New Roman"/>
        </w:rPr>
      </w:pPr>
      <w:r>
        <w:rPr>
          <w:rFonts w:eastAsia="Times New Roman"/>
          <w:sz w:val="20"/>
          <w:szCs w:val="20"/>
        </w:rPr>
        <w:t>•</w:t>
      </w:r>
    </w:p>
    <w:p w:rsidR="00000000" w:rsidRDefault="00F83A7A">
      <w:pPr>
        <w:jc w:val="both"/>
        <w:divId w:val="885607300"/>
        <w:rPr>
          <w:rFonts w:eastAsia="Times New Roman"/>
        </w:rPr>
      </w:pPr>
      <w:r>
        <w:rPr>
          <w:rFonts w:eastAsia="Times New Roman"/>
          <w:sz w:val="20"/>
          <w:szCs w:val="20"/>
        </w:rPr>
        <w:t>our ability to identify additional novel compounds with significant commercial potential to acquire or in-license;</w:t>
      </w:r>
      <w:r>
        <w:rPr>
          <w:rFonts w:eastAsia="Times New Roman"/>
          <w:sz w:val="20"/>
          <w:szCs w:val="20"/>
        </w:rPr>
        <w:t xml:space="preserve"> </w:t>
      </w:r>
    </w:p>
    <w:p w:rsidR="00000000" w:rsidRDefault="00F83A7A">
      <w:pPr>
        <w:jc w:val="both"/>
        <w:divId w:val="1568684939"/>
        <w:rPr>
          <w:rFonts w:eastAsia="Times New Roman"/>
        </w:rPr>
      </w:pPr>
      <w:r>
        <w:rPr>
          <w:rFonts w:eastAsia="Times New Roman"/>
          <w:sz w:val="20"/>
          <w:szCs w:val="20"/>
        </w:rPr>
        <w:t>•</w:t>
      </w:r>
    </w:p>
    <w:p w:rsidR="00000000" w:rsidRDefault="00F83A7A">
      <w:pPr>
        <w:jc w:val="both"/>
        <w:divId w:val="1708289297"/>
        <w:rPr>
          <w:rFonts w:eastAsia="Times New Roman"/>
        </w:rPr>
      </w:pPr>
      <w:r>
        <w:rPr>
          <w:rFonts w:eastAsia="Times New Roman"/>
          <w:sz w:val="20"/>
          <w:szCs w:val="20"/>
        </w:rPr>
        <w:t>our ability to successfully acquire or in-license addition</w:t>
      </w:r>
      <w:r>
        <w:rPr>
          <w:rFonts w:eastAsia="Times New Roman"/>
          <w:sz w:val="20"/>
          <w:szCs w:val="20"/>
        </w:rPr>
        <w:t>al drug candidates on reasonable terms;</w:t>
      </w:r>
      <w:r>
        <w:rPr>
          <w:rFonts w:eastAsia="Times New Roman"/>
          <w:sz w:val="20"/>
          <w:szCs w:val="20"/>
        </w:rPr>
        <w:t xml:space="preserve"> </w:t>
      </w:r>
    </w:p>
    <w:p w:rsidR="00000000" w:rsidRDefault="00F83A7A">
      <w:pPr>
        <w:jc w:val="both"/>
        <w:divId w:val="644050787"/>
        <w:rPr>
          <w:rFonts w:eastAsia="Times New Roman"/>
        </w:rPr>
      </w:pPr>
      <w:r>
        <w:rPr>
          <w:rFonts w:eastAsia="Times New Roman"/>
          <w:sz w:val="20"/>
          <w:szCs w:val="20"/>
        </w:rPr>
        <w:t>•</w:t>
      </w:r>
    </w:p>
    <w:p w:rsidR="00000000" w:rsidRDefault="00F83A7A">
      <w:pPr>
        <w:jc w:val="both"/>
        <w:divId w:val="1448038870"/>
        <w:rPr>
          <w:rFonts w:eastAsia="Times New Roman"/>
        </w:rPr>
      </w:pPr>
      <w:r>
        <w:rPr>
          <w:rFonts w:eastAsia="Times New Roman"/>
          <w:sz w:val="20"/>
          <w:szCs w:val="20"/>
        </w:rPr>
        <w:t>our estimates regarding expenses, future revenue, capital requirements and needs for additional financing;</w:t>
      </w:r>
      <w:r>
        <w:rPr>
          <w:rFonts w:eastAsia="Times New Roman"/>
          <w:sz w:val="20"/>
          <w:szCs w:val="20"/>
        </w:rPr>
        <w:t xml:space="preserve"> </w:t>
      </w:r>
    </w:p>
    <w:p w:rsidR="00000000" w:rsidRDefault="00F83A7A">
      <w:pPr>
        <w:jc w:val="both"/>
        <w:divId w:val="2081904727"/>
        <w:rPr>
          <w:rFonts w:eastAsia="Times New Roman"/>
        </w:rPr>
      </w:pPr>
      <w:r>
        <w:rPr>
          <w:rFonts w:eastAsia="Times New Roman"/>
          <w:sz w:val="20"/>
          <w:szCs w:val="20"/>
        </w:rPr>
        <w:t>•</w:t>
      </w:r>
    </w:p>
    <w:p w:rsidR="00000000" w:rsidRDefault="00F83A7A">
      <w:pPr>
        <w:jc w:val="both"/>
        <w:divId w:val="1593277055"/>
        <w:rPr>
          <w:rFonts w:eastAsia="Times New Roman"/>
        </w:rPr>
      </w:pPr>
      <w:r>
        <w:rPr>
          <w:rFonts w:eastAsia="Times New Roman"/>
          <w:sz w:val="20"/>
          <w:szCs w:val="20"/>
        </w:rPr>
        <w:t>our ability to obtain regulatory approval of our current and future drug candidates;</w:t>
      </w:r>
      <w:r>
        <w:rPr>
          <w:rFonts w:eastAsia="Times New Roman"/>
          <w:sz w:val="20"/>
          <w:szCs w:val="20"/>
        </w:rPr>
        <w:t xml:space="preserve"> </w:t>
      </w:r>
    </w:p>
    <w:p w:rsidR="00000000" w:rsidRDefault="00F83A7A">
      <w:pPr>
        <w:jc w:val="both"/>
        <w:divId w:val="57096235"/>
        <w:rPr>
          <w:rFonts w:eastAsia="Times New Roman"/>
        </w:rPr>
      </w:pPr>
      <w:r>
        <w:rPr>
          <w:rFonts w:eastAsia="Times New Roman"/>
          <w:sz w:val="20"/>
          <w:szCs w:val="20"/>
        </w:rPr>
        <w:t>•</w:t>
      </w:r>
    </w:p>
    <w:p w:rsidR="00000000" w:rsidRDefault="00F83A7A">
      <w:pPr>
        <w:jc w:val="both"/>
        <w:divId w:val="527915194"/>
        <w:rPr>
          <w:rFonts w:eastAsia="Times New Roman"/>
        </w:rPr>
      </w:pPr>
      <w:r>
        <w:rPr>
          <w:rFonts w:eastAsia="Times New Roman"/>
          <w:sz w:val="20"/>
          <w:szCs w:val="20"/>
        </w:rPr>
        <w:t>our expectation</w:t>
      </w:r>
      <w:r>
        <w:rPr>
          <w:rFonts w:eastAsia="Times New Roman"/>
          <w:sz w:val="20"/>
          <w:szCs w:val="20"/>
        </w:rPr>
        <w:t>s regarding the potential market size and the rate and degree of market acceptance of such drug candidates;</w:t>
      </w:r>
      <w:r>
        <w:rPr>
          <w:rFonts w:eastAsia="Times New Roman"/>
          <w:sz w:val="20"/>
          <w:szCs w:val="20"/>
        </w:rPr>
        <w:t xml:space="preserve"> </w:t>
      </w:r>
    </w:p>
    <w:p w:rsidR="00000000" w:rsidRDefault="00F83A7A">
      <w:pPr>
        <w:jc w:val="both"/>
        <w:divId w:val="352996678"/>
        <w:rPr>
          <w:rFonts w:eastAsia="Times New Roman"/>
        </w:rPr>
      </w:pPr>
      <w:r>
        <w:rPr>
          <w:rFonts w:eastAsia="Times New Roman"/>
          <w:sz w:val="20"/>
          <w:szCs w:val="20"/>
        </w:rPr>
        <w:t>•</w:t>
      </w:r>
    </w:p>
    <w:p w:rsidR="00000000" w:rsidRDefault="00F83A7A">
      <w:pPr>
        <w:jc w:val="both"/>
        <w:divId w:val="1666929497"/>
        <w:rPr>
          <w:rFonts w:eastAsia="Times New Roman"/>
        </w:rPr>
      </w:pPr>
      <w:r>
        <w:rPr>
          <w:rFonts w:eastAsia="Times New Roman"/>
          <w:sz w:val="20"/>
          <w:szCs w:val="20"/>
        </w:rPr>
        <w:t>our ability to fund our working capital requirements;</w:t>
      </w:r>
      <w:r>
        <w:rPr>
          <w:rFonts w:eastAsia="Times New Roman"/>
          <w:sz w:val="20"/>
          <w:szCs w:val="20"/>
        </w:rPr>
        <w:t xml:space="preserve"> </w:t>
      </w:r>
    </w:p>
    <w:p w:rsidR="00000000" w:rsidRDefault="00F83A7A">
      <w:pPr>
        <w:jc w:val="both"/>
        <w:divId w:val="893353028"/>
        <w:rPr>
          <w:rFonts w:eastAsia="Times New Roman"/>
        </w:rPr>
      </w:pPr>
      <w:r>
        <w:rPr>
          <w:rFonts w:eastAsia="Times New Roman"/>
          <w:sz w:val="20"/>
          <w:szCs w:val="20"/>
        </w:rPr>
        <w:t>•</w:t>
      </w:r>
    </w:p>
    <w:p w:rsidR="00000000" w:rsidRDefault="00F83A7A">
      <w:pPr>
        <w:jc w:val="both"/>
        <w:divId w:val="308366493"/>
        <w:rPr>
          <w:rFonts w:eastAsia="Times New Roman"/>
        </w:rPr>
      </w:pPr>
      <w:r>
        <w:rPr>
          <w:rFonts w:eastAsia="Times New Roman"/>
          <w:sz w:val="20"/>
          <w:szCs w:val="20"/>
        </w:rPr>
        <w:t>the implementation of our business model and strategic plans for our business and drug c</w:t>
      </w:r>
      <w:r>
        <w:rPr>
          <w:rFonts w:eastAsia="Times New Roman"/>
          <w:sz w:val="20"/>
          <w:szCs w:val="20"/>
        </w:rPr>
        <w:t>andidates;</w:t>
      </w:r>
      <w:r>
        <w:rPr>
          <w:rFonts w:eastAsia="Times New Roman"/>
          <w:sz w:val="20"/>
          <w:szCs w:val="20"/>
        </w:rPr>
        <w:t xml:space="preserve"> </w:t>
      </w:r>
    </w:p>
    <w:p w:rsidR="00000000" w:rsidRDefault="00F83A7A">
      <w:pPr>
        <w:jc w:val="both"/>
        <w:divId w:val="1389183248"/>
        <w:rPr>
          <w:rFonts w:eastAsia="Times New Roman"/>
        </w:rPr>
      </w:pPr>
      <w:r>
        <w:rPr>
          <w:rFonts w:eastAsia="Times New Roman"/>
          <w:sz w:val="20"/>
          <w:szCs w:val="20"/>
        </w:rPr>
        <w:t>•</w:t>
      </w:r>
    </w:p>
    <w:p w:rsidR="00000000" w:rsidRDefault="00F83A7A">
      <w:pPr>
        <w:jc w:val="both"/>
        <w:divId w:val="1897544467"/>
        <w:rPr>
          <w:rFonts w:eastAsia="Times New Roman"/>
        </w:rPr>
      </w:pPr>
      <w:r>
        <w:rPr>
          <w:rFonts w:eastAsia="Times New Roman"/>
          <w:sz w:val="20"/>
          <w:szCs w:val="20"/>
        </w:rPr>
        <w:t>developments or disputes concerning our intellectual property or other proprietary rights;</w:t>
      </w:r>
      <w:r>
        <w:rPr>
          <w:rFonts w:eastAsia="Times New Roman"/>
          <w:sz w:val="20"/>
          <w:szCs w:val="20"/>
        </w:rPr>
        <w:t xml:space="preserve"> </w:t>
      </w:r>
    </w:p>
    <w:p w:rsidR="00000000" w:rsidRDefault="00F83A7A">
      <w:pPr>
        <w:jc w:val="both"/>
        <w:divId w:val="759259751"/>
        <w:rPr>
          <w:rFonts w:eastAsia="Times New Roman"/>
        </w:rPr>
      </w:pPr>
      <w:r>
        <w:rPr>
          <w:rFonts w:eastAsia="Times New Roman"/>
          <w:sz w:val="20"/>
          <w:szCs w:val="20"/>
        </w:rPr>
        <w:t>•</w:t>
      </w:r>
    </w:p>
    <w:p w:rsidR="00000000" w:rsidRDefault="00F83A7A">
      <w:pPr>
        <w:jc w:val="both"/>
        <w:divId w:val="503907703"/>
        <w:rPr>
          <w:rFonts w:eastAsia="Times New Roman"/>
        </w:rPr>
      </w:pPr>
      <w:r>
        <w:rPr>
          <w:rFonts w:eastAsia="Times New Roman"/>
          <w:sz w:val="20"/>
          <w:szCs w:val="20"/>
        </w:rPr>
        <w:t>our ability to maintain and establish collaborations or obtain additional funding;</w:t>
      </w:r>
      <w:r>
        <w:rPr>
          <w:rFonts w:eastAsia="Times New Roman"/>
          <w:sz w:val="20"/>
          <w:szCs w:val="20"/>
        </w:rPr>
        <w:t xml:space="preserve"> </w:t>
      </w:r>
    </w:p>
    <w:p w:rsidR="00000000" w:rsidRDefault="00F83A7A">
      <w:pPr>
        <w:jc w:val="both"/>
        <w:divId w:val="1613122642"/>
        <w:rPr>
          <w:rFonts w:eastAsia="Times New Roman"/>
        </w:rPr>
      </w:pPr>
      <w:r>
        <w:rPr>
          <w:rFonts w:eastAsia="Times New Roman"/>
          <w:sz w:val="20"/>
          <w:szCs w:val="20"/>
        </w:rPr>
        <w:t>•</w:t>
      </w:r>
    </w:p>
    <w:p w:rsidR="00000000" w:rsidRDefault="00F83A7A">
      <w:pPr>
        <w:jc w:val="both"/>
        <w:divId w:val="674957045"/>
        <w:rPr>
          <w:rFonts w:eastAsia="Times New Roman"/>
        </w:rPr>
      </w:pPr>
      <w:r>
        <w:rPr>
          <w:rFonts w:eastAsia="Times New Roman"/>
          <w:sz w:val="20"/>
          <w:szCs w:val="20"/>
        </w:rPr>
        <w:t>statements regarding the impact of the COVID-19 pandemic and its effects on our operations, access to capital, research and development and clinical trials and potential disruption in the operations and business of third-party manufacturers, contract resea</w:t>
      </w:r>
      <w:r>
        <w:rPr>
          <w:rFonts w:eastAsia="Times New Roman"/>
          <w:sz w:val="20"/>
          <w:szCs w:val="20"/>
        </w:rPr>
        <w:t>rch organizations, or CROs, other service providers, and collaborators with whom we conduct business</w:t>
      </w:r>
      <w:r>
        <w:rPr>
          <w:rFonts w:eastAsia="Times New Roman"/>
          <w:sz w:val="20"/>
          <w:szCs w:val="20"/>
        </w:rPr>
        <w:t>;</w:t>
      </w:r>
    </w:p>
    <w:p w:rsidR="00000000" w:rsidRDefault="00F83A7A">
      <w:pPr>
        <w:jc w:val="both"/>
        <w:divId w:val="1330140544"/>
        <w:rPr>
          <w:rFonts w:eastAsia="Times New Roman"/>
        </w:rPr>
      </w:pPr>
      <w:r>
        <w:rPr>
          <w:rFonts w:eastAsia="Times New Roman"/>
          <w:sz w:val="20"/>
          <w:szCs w:val="20"/>
        </w:rPr>
        <w:t>•</w:t>
      </w:r>
    </w:p>
    <w:p w:rsidR="00000000" w:rsidRDefault="00F83A7A">
      <w:pPr>
        <w:jc w:val="both"/>
        <w:divId w:val="95827717"/>
        <w:rPr>
          <w:rFonts w:eastAsia="Times New Roman"/>
        </w:rPr>
      </w:pPr>
      <w:r>
        <w:rPr>
          <w:rFonts w:eastAsia="Times New Roman"/>
          <w:sz w:val="20"/>
          <w:szCs w:val="20"/>
        </w:rPr>
        <w:t>our expectations regarding government and third-party payor coverage and reimbursement;</w:t>
      </w:r>
      <w:r>
        <w:rPr>
          <w:rFonts w:eastAsia="Times New Roman"/>
          <w:sz w:val="20"/>
          <w:szCs w:val="20"/>
        </w:rPr>
        <w:t xml:space="preserve"> </w:t>
      </w:r>
    </w:p>
    <w:p w:rsidR="00000000" w:rsidRDefault="00F83A7A">
      <w:pPr>
        <w:jc w:val="both"/>
        <w:divId w:val="1415787362"/>
        <w:rPr>
          <w:rFonts w:eastAsia="Times New Roman"/>
        </w:rPr>
      </w:pPr>
      <w:r>
        <w:rPr>
          <w:rFonts w:eastAsia="Times New Roman"/>
          <w:sz w:val="20"/>
          <w:szCs w:val="20"/>
        </w:rPr>
        <w:t>•</w:t>
      </w:r>
    </w:p>
    <w:p w:rsidR="00000000" w:rsidRDefault="00F83A7A">
      <w:pPr>
        <w:jc w:val="both"/>
        <w:divId w:val="960569402"/>
        <w:rPr>
          <w:rFonts w:eastAsia="Times New Roman"/>
        </w:rPr>
      </w:pPr>
      <w:r>
        <w:rPr>
          <w:rFonts w:eastAsia="Times New Roman"/>
          <w:sz w:val="20"/>
          <w:szCs w:val="20"/>
        </w:rPr>
        <w:t>our ability to compete in the markets we serve;</w:t>
      </w:r>
      <w:r>
        <w:rPr>
          <w:rFonts w:eastAsia="Times New Roman"/>
          <w:sz w:val="20"/>
          <w:szCs w:val="20"/>
        </w:rPr>
        <w:t xml:space="preserve"> </w:t>
      </w:r>
    </w:p>
    <w:p w:rsidR="00000000" w:rsidRDefault="00F83A7A">
      <w:pPr>
        <w:jc w:val="both"/>
        <w:divId w:val="384453818"/>
        <w:rPr>
          <w:rFonts w:eastAsia="Times New Roman"/>
        </w:rPr>
      </w:pPr>
      <w:r>
        <w:rPr>
          <w:rFonts w:eastAsia="Times New Roman"/>
          <w:sz w:val="20"/>
          <w:szCs w:val="20"/>
        </w:rPr>
        <w:lastRenderedPageBreak/>
        <w:t>•</w:t>
      </w:r>
    </w:p>
    <w:p w:rsidR="00000000" w:rsidRDefault="00F83A7A">
      <w:pPr>
        <w:jc w:val="both"/>
        <w:divId w:val="1340544312"/>
        <w:rPr>
          <w:rFonts w:eastAsia="Times New Roman"/>
        </w:rPr>
      </w:pPr>
      <w:r>
        <w:rPr>
          <w:rFonts w:eastAsia="Times New Roman"/>
          <w:sz w:val="20"/>
          <w:szCs w:val="20"/>
        </w:rPr>
        <w:t>the impact</w:t>
      </w:r>
      <w:r>
        <w:rPr>
          <w:rFonts w:eastAsia="Times New Roman"/>
          <w:sz w:val="20"/>
          <w:szCs w:val="20"/>
        </w:rPr>
        <w:t xml:space="preserve"> of government laws and regulations;</w:t>
      </w:r>
      <w:r>
        <w:rPr>
          <w:rFonts w:eastAsia="Times New Roman"/>
          <w:sz w:val="20"/>
          <w:szCs w:val="20"/>
        </w:rPr>
        <w:t xml:space="preserve"> </w:t>
      </w:r>
    </w:p>
    <w:p w:rsidR="00000000" w:rsidRDefault="00F83A7A">
      <w:pPr>
        <w:jc w:val="both"/>
        <w:divId w:val="1928689148"/>
        <w:rPr>
          <w:rFonts w:eastAsia="Times New Roman"/>
        </w:rPr>
      </w:pPr>
      <w:r>
        <w:rPr>
          <w:rFonts w:eastAsia="Times New Roman"/>
          <w:sz w:val="20"/>
          <w:szCs w:val="20"/>
        </w:rPr>
        <w:t>•</w:t>
      </w:r>
    </w:p>
    <w:p w:rsidR="00000000" w:rsidRDefault="00F83A7A">
      <w:pPr>
        <w:jc w:val="both"/>
        <w:divId w:val="729422092"/>
        <w:rPr>
          <w:rFonts w:eastAsia="Times New Roman"/>
        </w:rPr>
      </w:pPr>
      <w:r>
        <w:rPr>
          <w:rFonts w:eastAsia="Times New Roman"/>
          <w:sz w:val="20"/>
          <w:szCs w:val="20"/>
        </w:rPr>
        <w:t>developments relating to our competitors and our industry; and</w:t>
      </w:r>
      <w:r>
        <w:rPr>
          <w:rFonts w:eastAsia="Times New Roman"/>
          <w:sz w:val="20"/>
          <w:szCs w:val="20"/>
        </w:rPr>
        <w:t xml:space="preserve"> </w:t>
      </w:r>
    </w:p>
    <w:p w:rsidR="00000000" w:rsidRDefault="00F83A7A">
      <w:pPr>
        <w:jc w:val="both"/>
        <w:divId w:val="1789933488"/>
        <w:rPr>
          <w:rFonts w:eastAsia="Times New Roman"/>
        </w:rPr>
      </w:pPr>
      <w:r>
        <w:rPr>
          <w:rFonts w:eastAsia="Times New Roman"/>
          <w:sz w:val="20"/>
          <w:szCs w:val="20"/>
        </w:rPr>
        <w:t>•</w:t>
      </w:r>
    </w:p>
    <w:p w:rsidR="00000000" w:rsidRDefault="00F83A7A">
      <w:pPr>
        <w:jc w:val="both"/>
        <w:divId w:val="45372451"/>
        <w:rPr>
          <w:rFonts w:eastAsia="Times New Roman"/>
        </w:rPr>
      </w:pPr>
      <w:r>
        <w:rPr>
          <w:rFonts w:eastAsia="Times New Roman"/>
          <w:sz w:val="20"/>
          <w:szCs w:val="20"/>
        </w:rPr>
        <w:t>the factors that may impact our financial results.</w:t>
      </w:r>
      <w:r>
        <w:rPr>
          <w:rFonts w:eastAsia="Times New Roman"/>
          <w:sz w:val="20"/>
          <w:szCs w:val="20"/>
        </w:rPr>
        <w:t xml:space="preserve"> </w:t>
      </w:r>
    </w:p>
    <w:p w:rsidR="00000000" w:rsidRDefault="00F83A7A">
      <w:pPr>
        <w:pStyle w:val="a3"/>
        <w:spacing w:before="200" w:beforeAutospacing="0" w:after="0" w:afterAutospacing="0"/>
        <w:ind w:firstLine="555"/>
        <w:jc w:val="both"/>
        <w:rPr>
          <w:sz w:val="20"/>
          <w:szCs w:val="20"/>
        </w:rPr>
      </w:pPr>
      <w:r>
        <w:rPr>
          <w:sz w:val="20"/>
          <w:szCs w:val="20"/>
        </w:rPr>
        <w:t>Factors that may cau</w:t>
      </w:r>
      <w:r>
        <w:rPr>
          <w:sz w:val="20"/>
          <w:szCs w:val="20"/>
        </w:rPr>
        <w:t>se actual results to differ materially from current expectations include, among other things, those set forth in Part I, Item 1A, “Risk Factors,” herein and for the reasons described elsewhere in this Annual Report on Form 10-K. Any forward-looking stateme</w:t>
      </w:r>
      <w:r>
        <w:rPr>
          <w:sz w:val="20"/>
          <w:szCs w:val="20"/>
        </w:rPr>
        <w:t xml:space="preserve">nt in this Annual Report on Form 10-K reflects our current view with respect to future events and is subject to these and other risks, uncertainties and assumptions relating to our operations, results of operations, industry and future growth. Given these </w:t>
      </w:r>
      <w:r>
        <w:rPr>
          <w:sz w:val="20"/>
          <w:szCs w:val="20"/>
        </w:rPr>
        <w:t>uncertainties, you should not rely on these forward-looking statements as predictions of future events. Although we believe that the expectations reflected in the forward-looking statements are reasonable, we cannot guarantee future results, levels of acti</w:t>
      </w:r>
      <w:r>
        <w:rPr>
          <w:sz w:val="20"/>
          <w:szCs w:val="20"/>
        </w:rPr>
        <w:t>vity, performance or achievements. Except as required by law, we assume no obligation to update or revise these forward-looking statements for any reason, even if new information becomes available in the future</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This Annual Report on Form 10-K also contain</w:t>
      </w:r>
      <w:r>
        <w:rPr>
          <w:sz w:val="20"/>
          <w:szCs w:val="20"/>
        </w:rPr>
        <w:t>s estimates, projections and other information concerning our industry, our business and the markets for certain drugs and consumer products, including data regarding the estimated size of those markets, their projected growth rates and the incidence of ce</w:t>
      </w:r>
      <w:r>
        <w:rPr>
          <w:sz w:val="20"/>
          <w:szCs w:val="20"/>
        </w:rPr>
        <w:t>rtain medical conditions. Information that is based on estimates, forecasts, projections or similar methodologies is inherently subject to uncertainties and actual events or circumstances may differ materially from events and circumstances reflected in thi</w:t>
      </w:r>
      <w:r>
        <w:rPr>
          <w:sz w:val="20"/>
          <w:szCs w:val="20"/>
        </w:rPr>
        <w:t>s information. Unless otherwise expressly stated, we obtained these industry, business, market and other data from reports, research surveys, studies and similar data prepared by third parties, industry, medical and general publications, government data an</w:t>
      </w:r>
      <w:r>
        <w:rPr>
          <w:sz w:val="20"/>
          <w:szCs w:val="20"/>
        </w:rPr>
        <w:t>d similar sources and we have not independently verified the data from third party sources. In some cases, we do not expressly refer to the sources from which these data are derived</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In this Annual Report on Form 10-K, unless otherwise stated or as the con</w:t>
      </w:r>
      <w:r>
        <w:rPr>
          <w:sz w:val="20"/>
          <w:szCs w:val="20"/>
        </w:rPr>
        <w:t>text otherwise requires, references to “Ovid,” “the Company,” “we,” “us,” “our” and similar references refer to Ovid Therapeutics Inc. and its wholly owned subsidiaries. This Annual Report on Form 10-K also contains references to our trademarks and to trad</w:t>
      </w:r>
      <w:r>
        <w:rPr>
          <w:sz w:val="20"/>
          <w:szCs w:val="20"/>
        </w:rPr>
        <w:t>emarks belonging to other entities. Solely for convenience</w:t>
      </w:r>
      <w:r>
        <w:rPr>
          <w:sz w:val="20"/>
          <w:szCs w:val="20"/>
        </w:rPr>
        <w:t>,</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1</w:t>
      </w:r>
    </w:p>
    <w:p w:rsidR="00000000" w:rsidRDefault="00F83A7A">
      <w:pPr>
        <w:rPr>
          <w:rFonts w:eastAsia="Times New Roman"/>
        </w:rPr>
      </w:pPr>
      <w:r>
        <w:rPr>
          <w:rFonts w:eastAsia="Times New Roman"/>
        </w:rPr>
        <w:pict>
          <v:rect id="_x0000_i1027"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rPr>
          <w:sz w:val="20"/>
          <w:szCs w:val="20"/>
        </w:rPr>
      </w:pPr>
      <w:r>
        <w:rPr>
          <w:sz w:val="20"/>
          <w:szCs w:val="20"/>
        </w:rPr>
        <w:t>trademarks and trade names referred to, including logos, artwork and other visual displays, may appear without the ® or TM symbols, but such references ar</w:t>
      </w:r>
      <w:r>
        <w:rPr>
          <w:sz w:val="20"/>
          <w:szCs w:val="20"/>
        </w:rPr>
        <w:t>e not intended to indicate, in any way, that their respective owners will not assert, to the fullest extent under applicable law, their rights thereto. We do not intend our use or display of other companies’ trade names or trademarks to imply a relationshi</w:t>
      </w:r>
      <w:r>
        <w:rPr>
          <w:sz w:val="20"/>
          <w:szCs w:val="20"/>
        </w:rPr>
        <w:t>p with, or endorsement or sponsorship of us by, any other companies</w:t>
      </w:r>
      <w:r>
        <w:rPr>
          <w:sz w:val="20"/>
          <w:szCs w:val="20"/>
        </w:rPr>
        <w:t>.</w:t>
      </w:r>
    </w:p>
    <w:p w:rsidR="00000000" w:rsidRDefault="00F83A7A">
      <w:pPr>
        <w:pStyle w:val="a3"/>
        <w:spacing w:before="240" w:beforeAutospacing="0" w:after="0" w:afterAutospacing="0"/>
        <w:jc w:val="center"/>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2</w:t>
      </w:r>
    </w:p>
    <w:p w:rsidR="00000000" w:rsidRDefault="00F83A7A">
      <w:pPr>
        <w:rPr>
          <w:rFonts w:eastAsia="Times New Roman"/>
        </w:rPr>
      </w:pPr>
      <w:r>
        <w:rPr>
          <w:rFonts w:eastAsia="Times New Roman"/>
        </w:rPr>
        <w:pict>
          <v:rect id="_x0000_i1028"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both"/>
        <w:rPr>
          <w:sz w:val="20"/>
          <w:szCs w:val="20"/>
        </w:rPr>
      </w:pPr>
      <w:r>
        <w:rPr>
          <w:b/>
          <w:bCs/>
          <w:sz w:val="20"/>
          <w:szCs w:val="20"/>
        </w:rPr>
        <w:t>PA</w:t>
      </w:r>
      <w:r>
        <w:rPr>
          <w:b/>
          <w:bCs/>
          <w:sz w:val="20"/>
          <w:szCs w:val="20"/>
        </w:rPr>
        <w:t>R</w:t>
      </w:r>
      <w:r>
        <w:rPr>
          <w:b/>
          <w:bCs/>
          <w:sz w:val="20"/>
          <w:szCs w:val="20"/>
        </w:rPr>
        <w:t xml:space="preserve">T </w:t>
      </w:r>
      <w:r>
        <w:rPr>
          <w:b/>
          <w:bCs/>
          <w:sz w:val="20"/>
          <w:szCs w:val="20"/>
        </w:rPr>
        <w:t>I</w:t>
      </w:r>
    </w:p>
    <w:p w:rsidR="00000000" w:rsidRDefault="00F83A7A">
      <w:pPr>
        <w:pStyle w:val="a3"/>
        <w:spacing w:before="200" w:beforeAutospacing="0" w:after="0" w:afterAutospacing="0"/>
        <w:jc w:val="both"/>
        <w:rPr>
          <w:sz w:val="20"/>
          <w:szCs w:val="20"/>
        </w:rPr>
      </w:pPr>
      <w:r>
        <w:rPr>
          <w:b/>
          <w:bCs/>
          <w:sz w:val="20"/>
          <w:szCs w:val="20"/>
        </w:rPr>
        <w:t>Item 1.</w:t>
      </w:r>
      <w:r>
        <w:rPr>
          <w:b/>
          <w:bCs/>
          <w:sz w:val="20"/>
          <w:szCs w:val="20"/>
        </w:rPr>
        <w:t xml:space="preserve"> </w:t>
      </w:r>
      <w:r>
        <w:rPr>
          <w:b/>
          <w:bCs/>
          <w:sz w:val="20"/>
          <w:szCs w:val="20"/>
        </w:rPr>
        <w:t>BUSINES</w:t>
      </w:r>
      <w:r>
        <w:rPr>
          <w:b/>
          <w:bCs/>
          <w:sz w:val="20"/>
          <w:szCs w:val="20"/>
        </w:rPr>
        <w:t>S</w:t>
      </w:r>
    </w:p>
    <w:p w:rsidR="00000000" w:rsidRDefault="00F83A7A">
      <w:pPr>
        <w:pStyle w:val="a3"/>
        <w:spacing w:before="0" w:beforeAutospacing="0" w:after="0" w:afterAutospacing="0"/>
        <w:jc w:val="both"/>
        <w:rPr>
          <w:sz w:val="20"/>
          <w:szCs w:val="20"/>
        </w:rPr>
      </w:pPr>
      <w:r>
        <w:rPr>
          <w:b/>
          <w:bCs/>
          <w:sz w:val="20"/>
          <w:szCs w:val="20"/>
        </w:rPr>
        <w:t>Overvie</w:t>
      </w:r>
      <w:r>
        <w:rPr>
          <w:b/>
          <w:bCs/>
          <w:sz w:val="20"/>
          <w:szCs w:val="20"/>
        </w:rPr>
        <w:t>w</w:t>
      </w:r>
    </w:p>
    <w:p w:rsidR="00000000" w:rsidRDefault="00F83A7A">
      <w:pPr>
        <w:pStyle w:val="a3"/>
        <w:spacing w:before="0" w:beforeAutospacing="0" w:after="0" w:afterAutospacing="0"/>
        <w:ind w:firstLine="816"/>
        <w:jc w:val="both"/>
        <w:rPr>
          <w:sz w:val="20"/>
          <w:szCs w:val="20"/>
        </w:rPr>
      </w:pPr>
      <w:r>
        <w:rPr>
          <w:sz w:val="20"/>
          <w:szCs w:val="20"/>
        </w:rPr>
        <w:t>Ovid is a biopharmaceutical company committed to developing medicines that transform the lives of people affect</w:t>
      </w:r>
      <w:r>
        <w:rPr>
          <w:sz w:val="20"/>
          <w:szCs w:val="20"/>
        </w:rPr>
        <w:t>ed by epilepsies and seizure-related disorders. We believe these epilepsies and seizure-related disorders represent an attractive area for drug development as the understanding of the underlying biology has grown meaningfully over the last few years and to</w:t>
      </w:r>
      <w:r>
        <w:rPr>
          <w:sz w:val="20"/>
          <w:szCs w:val="20"/>
        </w:rPr>
        <w:t xml:space="preserve">day represents a substantial medical need and commercial opportunity. We aim to identify, discover and develop novel therapeutics based on the rapid increase in scientific understanding of the role of genetics and key biological pathways </w:t>
      </w:r>
      <w:r>
        <w:rPr>
          <w:sz w:val="20"/>
          <w:szCs w:val="20"/>
        </w:rPr>
        <w:lastRenderedPageBreak/>
        <w:t>relevant to diseas</w:t>
      </w:r>
      <w:r>
        <w:rPr>
          <w:sz w:val="20"/>
          <w:szCs w:val="20"/>
        </w:rPr>
        <w:t>es of the brain. We have built a deep knowledge of rare neurological diseases, how to treat them and how to identify the clinically meaningful endpoints required for development of compounds in these conditions. As a result of this knowledge, we have devel</w:t>
      </w:r>
      <w:r>
        <w:rPr>
          <w:sz w:val="20"/>
          <w:szCs w:val="20"/>
        </w:rPr>
        <w:t>oped a pipeline of potential first-in-class or best-in-class compounds and programs and have demonstrated our model by progressing compounds through to late-stage development. Our strategy focuses initially on medicines for pathways and targets impacting r</w:t>
      </w:r>
      <w:r>
        <w:rPr>
          <w:sz w:val="20"/>
          <w:szCs w:val="20"/>
        </w:rPr>
        <w:t>are diseases, and that may also have therapeutic relevance for broader conditions of the brain. We are executing on our strategy to build this pipeline by discovering, in-licensing and collaborating with leading biopharmaceutical companies and academic ins</w:t>
      </w:r>
      <w:r>
        <w:rPr>
          <w:sz w:val="20"/>
          <w:szCs w:val="20"/>
        </w:rPr>
        <w:t>titutions</w:t>
      </w:r>
      <w:r>
        <w:rPr>
          <w:sz w:val="20"/>
          <w:szCs w:val="20"/>
        </w:rPr>
        <w:t>.</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0" w:afterAutospacing="0"/>
        <w:rPr>
          <w:sz w:val="20"/>
          <w:szCs w:val="20"/>
        </w:rPr>
      </w:pPr>
      <w:r>
        <w:rPr>
          <w:b/>
          <w:bCs/>
          <w:sz w:val="20"/>
          <w:szCs w:val="20"/>
        </w:rPr>
        <w:t>Our Focus: Epilepsies and Rare Neurological Disorder</w:t>
      </w:r>
      <w:r>
        <w:rPr>
          <w:b/>
          <w:bCs/>
          <w:sz w:val="20"/>
          <w:szCs w:val="20"/>
        </w:rPr>
        <w:t>s</w:t>
      </w:r>
    </w:p>
    <w:p w:rsidR="00000000" w:rsidRDefault="00F83A7A">
      <w:pPr>
        <w:pStyle w:val="a3"/>
        <w:spacing w:before="0" w:beforeAutospacing="0" w:after="0" w:afterAutospacing="0"/>
        <w:ind w:firstLine="816"/>
        <w:jc w:val="both"/>
        <w:rPr>
          <w:sz w:val="20"/>
          <w:szCs w:val="20"/>
        </w:rPr>
      </w:pPr>
      <w:r>
        <w:rPr>
          <w:sz w:val="20"/>
          <w:szCs w:val="20"/>
        </w:rPr>
        <w:t xml:space="preserve">Neurological disorders have a devastating impact on patients and their families. Patients suffering from rare disorders of the brain often require extensive care, and go largely underserved by impactful therapeutics. We believe that there are at least 100 </w:t>
      </w:r>
      <w:r>
        <w:rPr>
          <w:sz w:val="20"/>
          <w:szCs w:val="20"/>
        </w:rPr>
        <w:t>neurological disorders, epileptic encephalopathies and other related rare neurological disorders that we may be able to target. These disorders are characterized by seizures and degeneration in the development and functioning of the brain. Due to a histori</w:t>
      </w:r>
      <w:r>
        <w:rPr>
          <w:sz w:val="20"/>
          <w:szCs w:val="20"/>
        </w:rPr>
        <w:t>cal overwhelming preference in the drug industry to develop medicines for broader neurological indications, many of these disorders have no approved therapies. As a result, recent scientific advancements have been overlooked, which we believe presents us w</w:t>
      </w:r>
      <w:r>
        <w:rPr>
          <w:sz w:val="20"/>
          <w:szCs w:val="20"/>
        </w:rPr>
        <w:t>ith an opportunity to pursue these indications. These reasons include</w:t>
      </w:r>
      <w:r>
        <w:rPr>
          <w:sz w:val="20"/>
          <w:szCs w:val="20"/>
        </w:rPr>
        <w:t>:</w:t>
      </w:r>
    </w:p>
    <w:p w:rsidR="00000000" w:rsidRDefault="00F83A7A">
      <w:pPr>
        <w:jc w:val="both"/>
        <w:divId w:val="910772706"/>
        <w:rPr>
          <w:rFonts w:eastAsia="Times New Roman"/>
        </w:rPr>
      </w:pPr>
      <w:r>
        <w:rPr>
          <w:rFonts w:eastAsia="Times New Roman"/>
          <w:sz w:val="20"/>
          <w:szCs w:val="20"/>
        </w:rPr>
        <w:t>•</w:t>
      </w:r>
    </w:p>
    <w:p w:rsidR="00000000" w:rsidRDefault="00F83A7A">
      <w:pPr>
        <w:jc w:val="both"/>
        <w:divId w:val="2040157598"/>
        <w:rPr>
          <w:rFonts w:eastAsia="Times New Roman"/>
        </w:rPr>
      </w:pPr>
      <w:r>
        <w:rPr>
          <w:rFonts w:eastAsia="Times New Roman"/>
          <w:i/>
          <w:iCs/>
          <w:sz w:val="20"/>
          <w:szCs w:val="20"/>
        </w:rPr>
        <w:t>Potential to affect seizures and disease progression.</w:t>
      </w:r>
      <w:r>
        <w:rPr>
          <w:rFonts w:eastAsia="Times New Roman"/>
          <w:i/>
          <w:iCs/>
          <w:sz w:val="20"/>
          <w:szCs w:val="20"/>
        </w:rPr>
        <w:t xml:space="preserve"> </w:t>
      </w:r>
      <w:r>
        <w:rPr>
          <w:rFonts w:eastAsia="Times New Roman"/>
          <w:sz w:val="20"/>
          <w:szCs w:val="20"/>
        </w:rPr>
        <w:t>We are focusing primarily on pediatric disorders that are typically characterized by epilepsy-related symptoms and seizures. Toda</w:t>
      </w:r>
      <w:r>
        <w:rPr>
          <w:rFonts w:eastAsia="Times New Roman"/>
          <w:sz w:val="20"/>
          <w:szCs w:val="20"/>
        </w:rPr>
        <w:t>y, it is estimated that as many as 30-40% of patients treated for epilepsies continue to experience seizures; signifying that additional effective treatment options are needed. We believe that our therapeutic candidates may be able to meaningfully reduce h</w:t>
      </w:r>
      <w:r>
        <w:rPr>
          <w:rFonts w:eastAsia="Times New Roman"/>
          <w:sz w:val="20"/>
          <w:szCs w:val="20"/>
        </w:rPr>
        <w:t>armful seizures, address symptoms, and potentially alter the progression of disease, especially if they can be administered early in life</w:t>
      </w:r>
      <w:r>
        <w:rPr>
          <w:rFonts w:eastAsia="Times New Roman"/>
          <w:sz w:val="20"/>
          <w:szCs w:val="20"/>
        </w:rPr>
        <w:t>.</w:t>
      </w:r>
    </w:p>
    <w:p w:rsidR="00000000" w:rsidRDefault="00F83A7A">
      <w:pPr>
        <w:jc w:val="both"/>
        <w:divId w:val="1963417592"/>
        <w:rPr>
          <w:rFonts w:eastAsia="Times New Roman"/>
        </w:rPr>
      </w:pPr>
      <w:r>
        <w:rPr>
          <w:rFonts w:eastAsia="Times New Roman"/>
          <w:sz w:val="20"/>
          <w:szCs w:val="20"/>
        </w:rPr>
        <w:t>•</w:t>
      </w:r>
    </w:p>
    <w:p w:rsidR="00000000" w:rsidRDefault="00F83A7A">
      <w:pPr>
        <w:jc w:val="both"/>
        <w:divId w:val="315499896"/>
        <w:rPr>
          <w:rFonts w:eastAsia="Times New Roman"/>
        </w:rPr>
      </w:pPr>
      <w:r>
        <w:rPr>
          <w:rFonts w:eastAsia="Times New Roman"/>
          <w:i/>
          <w:iCs/>
          <w:sz w:val="20"/>
          <w:szCs w:val="20"/>
        </w:rPr>
        <w:t>High penetrance linking genetic defect to disorder pathology</w:t>
      </w:r>
      <w:r>
        <w:rPr>
          <w:rFonts w:eastAsia="Times New Roman"/>
          <w:i/>
          <w:iCs/>
          <w:sz w:val="20"/>
          <w:szCs w:val="20"/>
        </w:rPr>
        <w:t>.</w:t>
      </w:r>
      <w:r>
        <w:rPr>
          <w:rFonts w:eastAsia="Times New Roman"/>
          <w:sz w:val="20"/>
          <w:szCs w:val="20"/>
        </w:rPr>
        <w:t xml:space="preserve"> Some rare neurological disorders have a genetic origi</w:t>
      </w:r>
      <w:r>
        <w:rPr>
          <w:rFonts w:eastAsia="Times New Roman"/>
          <w:sz w:val="20"/>
          <w:szCs w:val="20"/>
        </w:rPr>
        <w:t>n and typically have a strong correlation, or penetrance, between the presence of a gene and the manifestation of the corresponding disease pathology. As a result, we believe in those cases we can develop drug candidates that will be efficacious in patient</w:t>
      </w:r>
      <w:r>
        <w:rPr>
          <w:rFonts w:eastAsia="Times New Roman"/>
          <w:sz w:val="20"/>
          <w:szCs w:val="20"/>
        </w:rPr>
        <w:t>s with a given genetic profile</w:t>
      </w:r>
      <w:r>
        <w:rPr>
          <w:rFonts w:eastAsia="Times New Roman"/>
          <w:sz w:val="20"/>
          <w:szCs w:val="20"/>
        </w:rPr>
        <w:t>.</w:t>
      </w:r>
    </w:p>
    <w:p w:rsidR="00000000" w:rsidRDefault="00F83A7A">
      <w:pPr>
        <w:jc w:val="both"/>
        <w:divId w:val="416563278"/>
        <w:rPr>
          <w:rFonts w:eastAsia="Times New Roman"/>
        </w:rPr>
      </w:pPr>
      <w:r>
        <w:rPr>
          <w:rFonts w:eastAsia="Times New Roman"/>
          <w:sz w:val="20"/>
          <w:szCs w:val="20"/>
        </w:rPr>
        <w:t>•</w:t>
      </w:r>
    </w:p>
    <w:p w:rsidR="00000000" w:rsidRDefault="00F83A7A">
      <w:pPr>
        <w:jc w:val="both"/>
        <w:divId w:val="1670592496"/>
        <w:rPr>
          <w:rFonts w:eastAsia="Times New Roman"/>
        </w:rPr>
      </w:pPr>
      <w:r>
        <w:rPr>
          <w:rFonts w:eastAsia="Times New Roman"/>
          <w:i/>
          <w:iCs/>
          <w:sz w:val="20"/>
          <w:szCs w:val="20"/>
        </w:rPr>
        <w:t>Predictive genetic and other models</w:t>
      </w:r>
      <w:r>
        <w:rPr>
          <w:rFonts w:eastAsia="Times New Roman"/>
          <w:i/>
          <w:iCs/>
          <w:sz w:val="20"/>
          <w:szCs w:val="20"/>
        </w:rPr>
        <w:t>.</w:t>
      </w:r>
      <w:r>
        <w:rPr>
          <w:rFonts w:eastAsia="Times New Roman"/>
          <w:sz w:val="20"/>
          <w:szCs w:val="20"/>
        </w:rPr>
        <w:t xml:space="preserve"> Recent advances in genetics enable us to employ predictive</w:t>
      </w:r>
      <w:r>
        <w:rPr>
          <w:rFonts w:eastAsia="Times New Roman"/>
          <w:sz w:val="20"/>
          <w:szCs w:val="20"/>
        </w:rPr>
        <w:t xml:space="preserve"> </w:t>
      </w:r>
      <w:r>
        <w:rPr>
          <w:rFonts w:eastAsia="Times New Roman"/>
          <w:i/>
          <w:iCs/>
          <w:sz w:val="20"/>
          <w:szCs w:val="20"/>
        </w:rPr>
        <w:t>in vitr</w:t>
      </w:r>
      <w:r>
        <w:rPr>
          <w:rFonts w:eastAsia="Times New Roman"/>
          <w:i/>
          <w:iCs/>
          <w:sz w:val="20"/>
          <w:szCs w:val="20"/>
        </w:rPr>
        <w:t>o</w:t>
      </w:r>
      <w:r>
        <w:rPr>
          <w:rFonts w:eastAsia="Times New Roman"/>
          <w:sz w:val="20"/>
          <w:szCs w:val="20"/>
        </w:rPr>
        <w:t xml:space="preserve"> an</w:t>
      </w:r>
      <w:r>
        <w:rPr>
          <w:rFonts w:eastAsia="Times New Roman"/>
          <w:sz w:val="20"/>
          <w:szCs w:val="20"/>
        </w:rPr>
        <w:t>d</w:t>
      </w:r>
      <w:r>
        <w:rPr>
          <w:rFonts w:eastAsia="Times New Roman"/>
          <w:i/>
          <w:iCs/>
          <w:sz w:val="20"/>
          <w:szCs w:val="20"/>
        </w:rPr>
        <w:t xml:space="preserve"> in viv</w:t>
      </w:r>
      <w:r>
        <w:rPr>
          <w:rFonts w:eastAsia="Times New Roman"/>
          <w:i/>
          <w:iCs/>
          <w:sz w:val="20"/>
          <w:szCs w:val="20"/>
        </w:rPr>
        <w:t>o</w:t>
      </w:r>
      <w:r>
        <w:rPr>
          <w:rFonts w:eastAsia="Times New Roman"/>
          <w:sz w:val="20"/>
          <w:szCs w:val="20"/>
        </w:rPr>
        <w:t xml:space="preserve"> genetic models of certain of these disorders. These models allow us to evaluate and observe a drug candid</w:t>
      </w:r>
      <w:r>
        <w:rPr>
          <w:rFonts w:eastAsia="Times New Roman"/>
          <w:sz w:val="20"/>
          <w:szCs w:val="20"/>
        </w:rPr>
        <w:t>ate’s potential activity prior to initiation of clinical trials. Through these models, we believe we will be able to select the most relevant clinical endpoints for our trials and increase the potential for clinical success</w:t>
      </w:r>
      <w:r>
        <w:rPr>
          <w:rFonts w:eastAsia="Times New Roman"/>
          <w:sz w:val="20"/>
          <w:szCs w:val="20"/>
        </w:rPr>
        <w:t>.</w:t>
      </w:r>
    </w:p>
    <w:p w:rsidR="00000000" w:rsidRDefault="00F83A7A">
      <w:pPr>
        <w:jc w:val="both"/>
        <w:divId w:val="735206373"/>
        <w:rPr>
          <w:rFonts w:eastAsia="Times New Roman"/>
        </w:rPr>
      </w:pPr>
      <w:r>
        <w:rPr>
          <w:rFonts w:eastAsia="Times New Roman"/>
          <w:sz w:val="20"/>
          <w:szCs w:val="20"/>
        </w:rPr>
        <w:t>•</w:t>
      </w:r>
    </w:p>
    <w:p w:rsidR="00000000" w:rsidRDefault="00F83A7A">
      <w:pPr>
        <w:jc w:val="both"/>
        <w:divId w:val="2032412719"/>
        <w:rPr>
          <w:rFonts w:eastAsia="Times New Roman"/>
        </w:rPr>
      </w:pPr>
      <w:r>
        <w:rPr>
          <w:rFonts w:eastAsia="Times New Roman"/>
          <w:i/>
          <w:iCs/>
          <w:sz w:val="20"/>
          <w:szCs w:val="20"/>
        </w:rPr>
        <w:t>Overlapping pathophysiology a</w:t>
      </w:r>
      <w:r>
        <w:rPr>
          <w:rFonts w:eastAsia="Times New Roman"/>
          <w:i/>
          <w:iCs/>
          <w:sz w:val="20"/>
          <w:szCs w:val="20"/>
        </w:rPr>
        <w:t>nd symptoms</w:t>
      </w:r>
      <w:r>
        <w:rPr>
          <w:rFonts w:eastAsia="Times New Roman"/>
          <w:i/>
          <w:iCs/>
          <w:sz w:val="20"/>
          <w:szCs w:val="20"/>
        </w:rPr>
        <w:t>.</w:t>
      </w:r>
      <w:r>
        <w:rPr>
          <w:rFonts w:eastAsia="Times New Roman"/>
          <w:sz w:val="20"/>
          <w:szCs w:val="20"/>
        </w:rPr>
        <w:t xml:space="preserve"> Neurological disorders are often characterized by a number of overlapping symptoms, such as seizures, sleep disturbances, movement deficiencies and behavioral manifestations. We believe these commonalities will enable us to employ clinical end</w:t>
      </w:r>
      <w:r>
        <w:rPr>
          <w:rFonts w:eastAsia="Times New Roman"/>
          <w:sz w:val="20"/>
          <w:szCs w:val="20"/>
        </w:rPr>
        <w:t>points that may be translatable from one disorder to another, and to develop drugs that may provide a clinical benefit across multiple indications</w:t>
      </w:r>
      <w:r>
        <w:rPr>
          <w:rFonts w:eastAsia="Times New Roman"/>
          <w:sz w:val="20"/>
          <w:szCs w:val="20"/>
        </w:rPr>
        <w:t>.</w:t>
      </w:r>
    </w:p>
    <w:p w:rsidR="00000000" w:rsidRDefault="00F83A7A">
      <w:pPr>
        <w:jc w:val="both"/>
        <w:divId w:val="2092778446"/>
        <w:rPr>
          <w:rFonts w:eastAsia="Times New Roman"/>
        </w:rPr>
      </w:pPr>
      <w:r>
        <w:rPr>
          <w:rFonts w:eastAsia="Times New Roman"/>
          <w:sz w:val="20"/>
          <w:szCs w:val="20"/>
        </w:rPr>
        <w:t>•</w:t>
      </w:r>
    </w:p>
    <w:p w:rsidR="00000000" w:rsidRDefault="00F83A7A">
      <w:pPr>
        <w:jc w:val="both"/>
        <w:divId w:val="2119375980"/>
        <w:rPr>
          <w:rFonts w:eastAsia="Times New Roman"/>
        </w:rPr>
      </w:pPr>
      <w:r>
        <w:rPr>
          <w:rFonts w:eastAsia="Times New Roman"/>
          <w:i/>
          <w:iCs/>
          <w:sz w:val="20"/>
          <w:szCs w:val="20"/>
        </w:rPr>
        <w:t>Early observation of proof-of-concept</w:t>
      </w:r>
      <w:r>
        <w:rPr>
          <w:rFonts w:eastAsia="Times New Roman"/>
          <w:i/>
          <w:iCs/>
          <w:sz w:val="20"/>
          <w:szCs w:val="20"/>
        </w:rPr>
        <w:t>.</w:t>
      </w:r>
      <w:r>
        <w:rPr>
          <w:rFonts w:eastAsia="Times New Roman"/>
          <w:sz w:val="20"/>
          <w:szCs w:val="20"/>
        </w:rPr>
        <w:t xml:space="preserve"> By employing clinical endpoints that are highly relevant and are de</w:t>
      </w:r>
      <w:r>
        <w:rPr>
          <w:rFonts w:eastAsia="Times New Roman"/>
          <w:sz w:val="20"/>
          <w:szCs w:val="20"/>
        </w:rPr>
        <w:t>signed to detect meaningful clinical benefits, we anticipate that many of our studies may provide early proof-of-concept in clinical development</w:t>
      </w:r>
      <w:r>
        <w:rPr>
          <w:rFonts w:eastAsia="Times New Roman"/>
          <w:sz w:val="20"/>
          <w:szCs w:val="20"/>
        </w:rPr>
        <w:t>.</w:t>
      </w:r>
    </w:p>
    <w:p w:rsidR="00000000" w:rsidRDefault="00F83A7A">
      <w:pPr>
        <w:jc w:val="both"/>
        <w:divId w:val="44985500"/>
        <w:rPr>
          <w:rFonts w:eastAsia="Times New Roman"/>
        </w:rPr>
      </w:pPr>
      <w:r>
        <w:rPr>
          <w:rFonts w:eastAsia="Times New Roman"/>
          <w:sz w:val="20"/>
          <w:szCs w:val="20"/>
        </w:rPr>
        <w:t>•</w:t>
      </w:r>
    </w:p>
    <w:p w:rsidR="00000000" w:rsidRDefault="00F83A7A">
      <w:pPr>
        <w:jc w:val="both"/>
        <w:divId w:val="1636985673"/>
        <w:rPr>
          <w:rFonts w:eastAsia="Times New Roman"/>
        </w:rPr>
      </w:pPr>
      <w:r>
        <w:rPr>
          <w:rFonts w:eastAsia="Times New Roman"/>
          <w:i/>
          <w:iCs/>
          <w:sz w:val="20"/>
          <w:szCs w:val="20"/>
        </w:rPr>
        <w:t>Motivated and accessible patient populations.</w:t>
      </w:r>
      <w:r>
        <w:rPr>
          <w:rFonts w:eastAsia="Times New Roman"/>
          <w:i/>
          <w:iCs/>
          <w:sz w:val="20"/>
          <w:szCs w:val="20"/>
        </w:rPr>
        <w:t xml:space="preserve"> </w:t>
      </w:r>
      <w:r>
        <w:rPr>
          <w:rFonts w:eastAsia="Times New Roman"/>
          <w:sz w:val="20"/>
          <w:szCs w:val="20"/>
        </w:rPr>
        <w:t>We are targeting our programs for disorders with motivated and</w:t>
      </w:r>
      <w:r>
        <w:rPr>
          <w:rFonts w:eastAsia="Times New Roman"/>
          <w:sz w:val="20"/>
          <w:szCs w:val="20"/>
        </w:rPr>
        <w:t xml:space="preserve"> accessible patient populations. We believe that the patients and caregivers affected by these disorders have increasing access to diagnostics and genetic testing. Additionally, many are avid users of social media, to learn new insights about the condition</w:t>
      </w:r>
      <w:r>
        <w:rPr>
          <w:rFonts w:eastAsia="Times New Roman"/>
          <w:sz w:val="20"/>
          <w:szCs w:val="20"/>
        </w:rPr>
        <w:t>s and share relevant information and experiences. We conduct disease community outreach and activities on digital platforms to efficiently identify new patients for our clinical trials, raise disease awareness and help connect with patients and caregivers.</w:t>
      </w:r>
      <w:r>
        <w:rPr>
          <w:rFonts w:eastAsia="Times New Roman"/>
          <w:sz w:val="20"/>
          <w:szCs w:val="20"/>
        </w:rPr>
        <w:t xml:space="preserve"> </w:t>
      </w:r>
    </w:p>
    <w:p w:rsidR="00000000" w:rsidRDefault="00F83A7A">
      <w:pPr>
        <w:pStyle w:val="a3"/>
        <w:spacing w:before="120" w:beforeAutospacing="0" w:after="0" w:afterAutospacing="0"/>
        <w:jc w:val="both"/>
        <w:rPr>
          <w:sz w:val="20"/>
          <w:szCs w:val="20"/>
        </w:rPr>
      </w:pPr>
      <w:r>
        <w:rPr>
          <w:sz w:val="20"/>
          <w:szCs w:val="20"/>
        </w:rPr>
        <w:t> </w:t>
      </w:r>
    </w:p>
    <w:p w:rsidR="00000000" w:rsidRDefault="00F83A7A">
      <w:pPr>
        <w:pStyle w:val="a3"/>
        <w:spacing w:before="0" w:beforeAutospacing="0" w:after="0" w:afterAutospacing="0"/>
        <w:jc w:val="both"/>
        <w:rPr>
          <w:sz w:val="20"/>
          <w:szCs w:val="20"/>
        </w:rPr>
      </w:pPr>
      <w:r>
        <w:rPr>
          <w:b/>
          <w:bCs/>
          <w:sz w:val="20"/>
          <w:szCs w:val="20"/>
        </w:rPr>
        <w:t>The Ovid Strateg</w:t>
      </w:r>
      <w:r>
        <w:rPr>
          <w:b/>
          <w:bCs/>
          <w:sz w:val="20"/>
          <w:szCs w:val="20"/>
        </w:rPr>
        <w:t>y</w:t>
      </w:r>
      <w:r>
        <w:rPr>
          <w:sz w:val="16"/>
          <w:szCs w:val="16"/>
        </w:rPr>
        <w:t xml:space="preserve"> </w:t>
      </w:r>
    </w:p>
    <w:p w:rsidR="00000000" w:rsidRDefault="00F83A7A">
      <w:pPr>
        <w:pStyle w:val="a3"/>
        <w:spacing w:before="0" w:beforeAutospacing="0" w:after="0" w:afterAutospacing="0"/>
        <w:jc w:val="both"/>
        <w:rPr>
          <w:sz w:val="20"/>
          <w:szCs w:val="20"/>
        </w:rPr>
      </w:pPr>
      <w:r>
        <w:rPr>
          <w:sz w:val="20"/>
          <w:szCs w:val="20"/>
        </w:rPr>
        <w:lastRenderedPageBreak/>
        <w:t> </w:t>
      </w:r>
    </w:p>
    <w:p w:rsidR="00000000" w:rsidRDefault="00F83A7A">
      <w:pPr>
        <w:pStyle w:val="a3"/>
        <w:spacing w:before="0" w:beforeAutospacing="0" w:after="0" w:afterAutospacing="0"/>
        <w:ind w:firstLine="816"/>
        <w:jc w:val="both"/>
        <w:rPr>
          <w:sz w:val="20"/>
          <w:szCs w:val="20"/>
        </w:rPr>
      </w:pPr>
      <w:r>
        <w:rPr>
          <w:sz w:val="20"/>
          <w:szCs w:val="20"/>
        </w:rPr>
        <w:t>We believe that the science and medicine underlying discovery and development of new drugs for the brain has changed fundamentally over the last decade. We believe that major developments in our understanding of the biology of thes</w:t>
      </w:r>
      <w:r>
        <w:rPr>
          <w:sz w:val="20"/>
          <w:szCs w:val="20"/>
        </w:rPr>
        <w:t>e diseases mean</w:t>
      </w:r>
      <w:r>
        <w:rPr>
          <w:sz w:val="20"/>
          <w:szCs w:val="20"/>
        </w:rPr>
        <w:t>s</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3</w:t>
      </w:r>
    </w:p>
    <w:p w:rsidR="00000000" w:rsidRDefault="00F83A7A">
      <w:pPr>
        <w:rPr>
          <w:rFonts w:eastAsia="Times New Roman"/>
        </w:rPr>
      </w:pPr>
      <w:r>
        <w:rPr>
          <w:rFonts w:eastAsia="Times New Roman"/>
        </w:rPr>
        <w:pict>
          <v:rect id="_x0000_i1029"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both"/>
        <w:rPr>
          <w:sz w:val="20"/>
          <w:szCs w:val="20"/>
        </w:rPr>
      </w:pPr>
      <w:r>
        <w:rPr>
          <w:sz w:val="20"/>
          <w:szCs w:val="20"/>
        </w:rPr>
        <w:t xml:space="preserve">that key areas of unmet need are now addressable and offer tremendous medical and economic opportunity. We believe that we now have a deep understanding of the mechanisms that underlie seizures and many brain disorders. This know-how offers an opportunity </w:t>
      </w:r>
      <w:r>
        <w:rPr>
          <w:sz w:val="20"/>
          <w:szCs w:val="20"/>
        </w:rPr>
        <w:t>to build our company in a manner deeply focused on delivering novel medicines to address these medically important needs. We plan to focus our efforts in the areas of rare epilepsies and then progressively, as science and medicine evolve, we expect to appl</w:t>
      </w:r>
      <w:r>
        <w:rPr>
          <w:sz w:val="20"/>
          <w:szCs w:val="20"/>
        </w:rPr>
        <w:t>y our knowledge to larger indications</w:t>
      </w:r>
      <w:r>
        <w:rPr>
          <w:sz w:val="20"/>
          <w:szCs w:val="20"/>
        </w:rPr>
        <w:t>.</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0" w:beforeAutospacing="0" w:after="0" w:afterAutospacing="0"/>
        <w:ind w:firstLine="816"/>
        <w:jc w:val="both"/>
        <w:rPr>
          <w:sz w:val="20"/>
          <w:szCs w:val="20"/>
        </w:rPr>
      </w:pPr>
      <w:r>
        <w:rPr>
          <w:sz w:val="20"/>
          <w:szCs w:val="20"/>
        </w:rPr>
        <w:t>Our strategy is to pursue drug discovery and development for epilepsies and rare central nervous system (CNS) disorders in a manner that is scientifically driven, patient focused and is coupled with an integrated an</w:t>
      </w:r>
      <w:r>
        <w:rPr>
          <w:sz w:val="20"/>
          <w:szCs w:val="20"/>
        </w:rPr>
        <w:t>d discipled approach to research, clinical development, and business development. Our team has significant experience and understanding of these epilepsies, seizure related disorders, and rare neurological conditions, and we continue build insight into the</w:t>
      </w:r>
      <w:r>
        <w:rPr>
          <w:sz w:val="20"/>
          <w:szCs w:val="20"/>
        </w:rPr>
        <w:t xml:space="preserve"> way the different molecular mechanisms and pathways underlying these disorders impact the symptoms patients suffer. We have set out to be a leader in the field, and have developed a differentiated pipeline containing three novel mechanisms of action to ta</w:t>
      </w:r>
      <w:r>
        <w:rPr>
          <w:sz w:val="20"/>
          <w:szCs w:val="20"/>
        </w:rPr>
        <w:t>rget different causes of epilepsies and seizures. Our team’s knowledge of epilepsy disease biology and pathology, now contributes to our pursuit of additional relevant genetic targets and molecular pathways that are the cause of seizures. We are pursuing t</w:t>
      </w:r>
      <w:r>
        <w:rPr>
          <w:sz w:val="20"/>
          <w:szCs w:val="20"/>
        </w:rPr>
        <w:t>herapeutic assets for epilepsies, seizure related disorders, and rare neurological disorders and seek to leverage those learnings in accelerated development programs. If successfully developed and marketed in rare conditions, we intend to explore our asset</w:t>
      </w:r>
      <w:r>
        <w:rPr>
          <w:sz w:val="20"/>
          <w:szCs w:val="20"/>
        </w:rPr>
        <w:t>s for broader neurologic indications. Our cohesive focus in epilepsies and seizures reinforces our belief that we have the potential to develop and produce multiple novel medicines, and thereby succeed in our mission</w:t>
      </w:r>
      <w:r>
        <w:rPr>
          <w:sz w:val="20"/>
          <w:szCs w:val="20"/>
        </w:rPr>
        <w:t>.</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0" w:beforeAutospacing="0" w:after="0" w:afterAutospacing="0"/>
        <w:jc w:val="both"/>
        <w:rPr>
          <w:sz w:val="20"/>
          <w:szCs w:val="20"/>
        </w:rPr>
      </w:pPr>
      <w:r>
        <w:rPr>
          <w:b/>
          <w:bCs/>
          <w:i/>
          <w:iCs/>
          <w:sz w:val="20"/>
          <w:szCs w:val="20"/>
        </w:rPr>
        <w:t>Scientifically Drive</w:t>
      </w:r>
      <w:r>
        <w:rPr>
          <w:b/>
          <w:bCs/>
          <w:i/>
          <w:iCs/>
          <w:sz w:val="20"/>
          <w:szCs w:val="20"/>
        </w:rPr>
        <w:t>n</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0" w:beforeAutospacing="0" w:after="0" w:afterAutospacing="0"/>
        <w:ind w:firstLine="816"/>
        <w:jc w:val="both"/>
        <w:rPr>
          <w:sz w:val="20"/>
          <w:szCs w:val="20"/>
        </w:rPr>
      </w:pPr>
      <w:r>
        <w:rPr>
          <w:sz w:val="20"/>
          <w:szCs w:val="20"/>
        </w:rPr>
        <w:t>We take a sc</w:t>
      </w:r>
      <w:r>
        <w:rPr>
          <w:sz w:val="20"/>
          <w:szCs w:val="20"/>
        </w:rPr>
        <w:t xml:space="preserve">ientifically driven approach to identify promising drug candidates for our pipeline. We are building our portfolio based on the existence of known biological rationales, including a focus on epilepsies, seizure-related disorders and neurological disorders </w:t>
      </w:r>
      <w:r>
        <w:rPr>
          <w:sz w:val="20"/>
          <w:szCs w:val="20"/>
        </w:rPr>
        <w:t>that are associated with validated targets, genetic linkages and clear endpoints, such as seizures, for study in clinical trials. We use our deep understanding of neurology and epilepsies to identify differentiated mechanisms of action for initial drug can</w:t>
      </w:r>
      <w:r>
        <w:rPr>
          <w:sz w:val="20"/>
          <w:szCs w:val="20"/>
        </w:rPr>
        <w:t xml:space="preserve">didates. As we advance our drug candidates into and through the clinical evaluation, we are building on the emerging body of scientific and clinical insights developed by us and others in the biopharmaceutical industry to target important disease pathways </w:t>
      </w:r>
      <w:r>
        <w:rPr>
          <w:sz w:val="20"/>
          <w:szCs w:val="20"/>
        </w:rPr>
        <w:t>of the brain. As we evaluate data from previous and ongoing preclinical studies and clinical trials, we intend to refine and improve our scientific approach and apply these insights to continue to build our current and prospective pipeline programs and cli</w:t>
      </w:r>
      <w:r>
        <w:rPr>
          <w:sz w:val="20"/>
          <w:szCs w:val="20"/>
        </w:rPr>
        <w:t>nical trials</w:t>
      </w:r>
      <w:r>
        <w:rPr>
          <w:sz w:val="20"/>
          <w:szCs w:val="20"/>
        </w:rPr>
        <w:t>.</w:t>
      </w:r>
    </w:p>
    <w:p w:rsidR="00000000" w:rsidRDefault="00F83A7A">
      <w:pPr>
        <w:pStyle w:val="a3"/>
        <w:spacing w:before="0" w:beforeAutospacing="0" w:after="0" w:afterAutospacing="0"/>
        <w:jc w:val="both"/>
        <w:rPr>
          <w:sz w:val="20"/>
          <w:szCs w:val="20"/>
        </w:rPr>
      </w:pPr>
      <w:r>
        <w:rPr>
          <w:sz w:val="20"/>
          <w:szCs w:val="20"/>
        </w:rPr>
        <w:t>In particular, our approach is driven by the following scientific principles</w:t>
      </w:r>
      <w:r>
        <w:rPr>
          <w:sz w:val="20"/>
          <w:szCs w:val="20"/>
        </w:rPr>
        <w:t>:</w:t>
      </w:r>
    </w:p>
    <w:p w:rsidR="00000000" w:rsidRDefault="00F83A7A">
      <w:pPr>
        <w:jc w:val="both"/>
        <w:divId w:val="919366997"/>
        <w:rPr>
          <w:rFonts w:eastAsia="Times New Roman"/>
        </w:rPr>
      </w:pPr>
      <w:r>
        <w:rPr>
          <w:rFonts w:eastAsia="Times New Roman"/>
          <w:sz w:val="20"/>
          <w:szCs w:val="20"/>
        </w:rPr>
        <w:t>•</w:t>
      </w:r>
    </w:p>
    <w:p w:rsidR="00000000" w:rsidRDefault="00F83A7A">
      <w:pPr>
        <w:jc w:val="both"/>
        <w:divId w:val="1143622409"/>
        <w:rPr>
          <w:rFonts w:eastAsia="Times New Roman"/>
        </w:rPr>
      </w:pPr>
      <w:r>
        <w:rPr>
          <w:rFonts w:eastAsia="Times New Roman"/>
          <w:sz w:val="20"/>
          <w:szCs w:val="20"/>
        </w:rPr>
        <w:t>pursue epilepsy-related disorders and rare neurological conditions for which significant therapeutic need persists</w:t>
      </w:r>
      <w:r>
        <w:rPr>
          <w:rFonts w:eastAsia="Times New Roman"/>
          <w:sz w:val="20"/>
          <w:szCs w:val="20"/>
        </w:rPr>
        <w:t xml:space="preserve"> </w:t>
      </w:r>
    </w:p>
    <w:p w:rsidR="00000000" w:rsidRDefault="00F83A7A">
      <w:pPr>
        <w:jc w:val="both"/>
        <w:divId w:val="839347528"/>
        <w:rPr>
          <w:rFonts w:eastAsia="Times New Roman"/>
        </w:rPr>
      </w:pPr>
      <w:r>
        <w:rPr>
          <w:rFonts w:eastAsia="Times New Roman"/>
          <w:sz w:val="20"/>
          <w:szCs w:val="20"/>
        </w:rPr>
        <w:t>•</w:t>
      </w:r>
    </w:p>
    <w:p w:rsidR="00000000" w:rsidRDefault="00F83A7A">
      <w:pPr>
        <w:jc w:val="both"/>
        <w:divId w:val="1936135267"/>
        <w:rPr>
          <w:rFonts w:eastAsia="Times New Roman"/>
        </w:rPr>
      </w:pPr>
      <w:r>
        <w:rPr>
          <w:rFonts w:eastAsia="Times New Roman"/>
          <w:sz w:val="20"/>
          <w:szCs w:val="20"/>
        </w:rPr>
        <w:t>identify the genetic origin of the disorder,</w:t>
      </w:r>
      <w:r>
        <w:rPr>
          <w:rFonts w:eastAsia="Times New Roman"/>
          <w:sz w:val="20"/>
          <w:szCs w:val="20"/>
        </w:rPr>
        <w:t xml:space="preserve"> when possible</w:t>
      </w:r>
      <w:r>
        <w:rPr>
          <w:rFonts w:eastAsia="Times New Roman"/>
          <w:sz w:val="20"/>
          <w:szCs w:val="20"/>
        </w:rPr>
        <w:t>;</w:t>
      </w:r>
    </w:p>
    <w:p w:rsidR="00000000" w:rsidRDefault="00F83A7A">
      <w:pPr>
        <w:jc w:val="both"/>
        <w:divId w:val="292978597"/>
        <w:rPr>
          <w:rFonts w:eastAsia="Times New Roman"/>
        </w:rPr>
      </w:pPr>
      <w:r>
        <w:rPr>
          <w:rFonts w:eastAsia="Times New Roman"/>
          <w:sz w:val="20"/>
          <w:szCs w:val="20"/>
        </w:rPr>
        <w:t>•</w:t>
      </w:r>
    </w:p>
    <w:p w:rsidR="00000000" w:rsidRDefault="00F83A7A">
      <w:pPr>
        <w:jc w:val="both"/>
        <w:divId w:val="133105655"/>
        <w:rPr>
          <w:rFonts w:eastAsia="Times New Roman"/>
        </w:rPr>
      </w:pPr>
      <w:r>
        <w:rPr>
          <w:rFonts w:eastAsia="Times New Roman"/>
          <w:sz w:val="20"/>
          <w:szCs w:val="20"/>
        </w:rPr>
        <w:t>target biological pathways or genes for which proof-of-concept has been established vi</w:t>
      </w:r>
      <w:r>
        <w:rPr>
          <w:rFonts w:eastAsia="Times New Roman"/>
          <w:sz w:val="20"/>
          <w:szCs w:val="20"/>
        </w:rPr>
        <w:t>a</w:t>
      </w:r>
      <w:r>
        <w:rPr>
          <w:rFonts w:eastAsia="Times New Roman"/>
          <w:i/>
          <w:iCs/>
          <w:sz w:val="20"/>
          <w:szCs w:val="20"/>
        </w:rPr>
        <w:t xml:space="preserve"> in vitr</w:t>
      </w:r>
      <w:r>
        <w:rPr>
          <w:rFonts w:eastAsia="Times New Roman"/>
          <w:i/>
          <w:iCs/>
          <w:sz w:val="20"/>
          <w:szCs w:val="20"/>
        </w:rPr>
        <w:t>o</w:t>
      </w:r>
      <w:r>
        <w:rPr>
          <w:rFonts w:eastAsia="Times New Roman"/>
          <w:sz w:val="20"/>
          <w:szCs w:val="20"/>
        </w:rPr>
        <w:t xml:space="preserve"> or animal models</w:t>
      </w:r>
      <w:r>
        <w:rPr>
          <w:rFonts w:eastAsia="Times New Roman"/>
          <w:sz w:val="20"/>
          <w:szCs w:val="20"/>
        </w:rPr>
        <w:t>;</w:t>
      </w:r>
    </w:p>
    <w:p w:rsidR="00000000" w:rsidRDefault="00F83A7A">
      <w:pPr>
        <w:jc w:val="both"/>
        <w:divId w:val="2066178069"/>
        <w:rPr>
          <w:rFonts w:eastAsia="Times New Roman"/>
        </w:rPr>
      </w:pPr>
      <w:r>
        <w:rPr>
          <w:rFonts w:eastAsia="Times New Roman"/>
          <w:sz w:val="20"/>
          <w:szCs w:val="20"/>
        </w:rPr>
        <w:t>•</w:t>
      </w:r>
    </w:p>
    <w:p w:rsidR="00000000" w:rsidRDefault="00F83A7A">
      <w:pPr>
        <w:jc w:val="both"/>
        <w:divId w:val="278873049"/>
        <w:rPr>
          <w:rFonts w:eastAsia="Times New Roman"/>
        </w:rPr>
      </w:pPr>
      <w:r>
        <w:rPr>
          <w:rFonts w:eastAsia="Times New Roman"/>
          <w:sz w:val="20"/>
          <w:szCs w:val="20"/>
        </w:rPr>
        <w:t>focus on the mechanisms that cause the pathology of the disorder that generate the symptoms that we can target; and which</w:t>
      </w:r>
      <w:r>
        <w:rPr>
          <w:rFonts w:eastAsia="Times New Roman"/>
          <w:sz w:val="20"/>
          <w:szCs w:val="20"/>
        </w:rPr>
        <w:t xml:space="preserve"> may hold relevance for development of therapeutics for broader neurologic conditions in the future;</w:t>
      </w:r>
      <w:r>
        <w:rPr>
          <w:rFonts w:eastAsia="Times New Roman"/>
          <w:sz w:val="20"/>
          <w:szCs w:val="20"/>
        </w:rPr>
        <w:t xml:space="preserve"> </w:t>
      </w:r>
    </w:p>
    <w:p w:rsidR="00000000" w:rsidRDefault="00F83A7A">
      <w:pPr>
        <w:jc w:val="both"/>
        <w:divId w:val="1320841809"/>
        <w:rPr>
          <w:rFonts w:eastAsia="Times New Roman"/>
        </w:rPr>
      </w:pPr>
      <w:r>
        <w:rPr>
          <w:rFonts w:eastAsia="Times New Roman"/>
          <w:sz w:val="20"/>
          <w:szCs w:val="20"/>
        </w:rPr>
        <w:t>•</w:t>
      </w:r>
    </w:p>
    <w:p w:rsidR="00000000" w:rsidRDefault="00F83A7A">
      <w:pPr>
        <w:jc w:val="both"/>
        <w:divId w:val="510726581"/>
        <w:rPr>
          <w:rFonts w:eastAsia="Times New Roman"/>
        </w:rPr>
      </w:pPr>
      <w:r>
        <w:rPr>
          <w:rFonts w:eastAsia="Times New Roman"/>
          <w:sz w:val="20"/>
          <w:szCs w:val="20"/>
        </w:rPr>
        <w:t>develop understanding of gene expression and link to pathophysiology</w:t>
      </w:r>
      <w:r>
        <w:rPr>
          <w:rFonts w:eastAsia="Times New Roman"/>
          <w:sz w:val="20"/>
          <w:szCs w:val="20"/>
        </w:rPr>
        <w:t>;</w:t>
      </w:r>
    </w:p>
    <w:p w:rsidR="00000000" w:rsidRDefault="00F83A7A">
      <w:pPr>
        <w:jc w:val="both"/>
        <w:divId w:val="100996182"/>
        <w:rPr>
          <w:rFonts w:eastAsia="Times New Roman"/>
        </w:rPr>
      </w:pPr>
      <w:r>
        <w:rPr>
          <w:rFonts w:eastAsia="Times New Roman"/>
          <w:sz w:val="20"/>
          <w:szCs w:val="20"/>
        </w:rPr>
        <w:t>•</w:t>
      </w:r>
    </w:p>
    <w:p w:rsidR="00000000" w:rsidRDefault="00F83A7A">
      <w:pPr>
        <w:jc w:val="both"/>
        <w:divId w:val="670568396"/>
        <w:rPr>
          <w:rFonts w:eastAsia="Times New Roman"/>
        </w:rPr>
      </w:pPr>
      <w:r>
        <w:rPr>
          <w:rFonts w:eastAsia="Times New Roman"/>
          <w:sz w:val="20"/>
          <w:szCs w:val="20"/>
        </w:rPr>
        <w:t>target optimal mechanism of action for drug candidates; an</w:t>
      </w:r>
      <w:r>
        <w:rPr>
          <w:rFonts w:eastAsia="Times New Roman"/>
          <w:sz w:val="20"/>
          <w:szCs w:val="20"/>
        </w:rPr>
        <w:t>d</w:t>
      </w:r>
    </w:p>
    <w:p w:rsidR="00000000" w:rsidRDefault="00F83A7A">
      <w:pPr>
        <w:jc w:val="both"/>
        <w:divId w:val="1265647791"/>
        <w:rPr>
          <w:rFonts w:eastAsia="Times New Roman"/>
        </w:rPr>
      </w:pPr>
      <w:r>
        <w:rPr>
          <w:rFonts w:eastAsia="Times New Roman"/>
          <w:sz w:val="20"/>
          <w:szCs w:val="20"/>
        </w:rPr>
        <w:t>•</w:t>
      </w:r>
    </w:p>
    <w:p w:rsidR="00000000" w:rsidRDefault="00F83A7A">
      <w:pPr>
        <w:jc w:val="both"/>
        <w:divId w:val="682635943"/>
        <w:rPr>
          <w:rFonts w:eastAsia="Times New Roman"/>
        </w:rPr>
      </w:pPr>
      <w:r>
        <w:rPr>
          <w:rFonts w:eastAsia="Times New Roman"/>
          <w:sz w:val="20"/>
          <w:szCs w:val="20"/>
        </w:rPr>
        <w:t>seek clear endpoin</w:t>
      </w:r>
      <w:r>
        <w:rPr>
          <w:rFonts w:eastAsia="Times New Roman"/>
          <w:sz w:val="20"/>
          <w:szCs w:val="20"/>
        </w:rPr>
        <w:t>ts and biomarkers, if possible, to help demonstrate evidence of the clinical impact of our drug candidates</w:t>
      </w:r>
      <w:r>
        <w:rPr>
          <w:rFonts w:eastAsia="Times New Roman"/>
          <w:sz w:val="20"/>
          <w:szCs w:val="20"/>
        </w:rPr>
        <w:t>.</w:t>
      </w:r>
    </w:p>
    <w:p w:rsidR="00000000" w:rsidRDefault="00F83A7A">
      <w:pPr>
        <w:pStyle w:val="a3"/>
        <w:spacing w:before="200" w:beforeAutospacing="0" w:after="0" w:afterAutospacing="0"/>
        <w:ind w:left="238"/>
        <w:jc w:val="both"/>
        <w:rPr>
          <w:sz w:val="20"/>
          <w:szCs w:val="20"/>
        </w:rPr>
      </w:pPr>
      <w:r>
        <w:rPr>
          <w:b/>
          <w:bCs/>
          <w:i/>
          <w:iCs/>
          <w:sz w:val="20"/>
          <w:szCs w:val="20"/>
        </w:rPr>
        <w:t>Patient Focuse</w:t>
      </w:r>
      <w:r>
        <w:rPr>
          <w:b/>
          <w:bCs/>
          <w:i/>
          <w:iCs/>
          <w:sz w:val="20"/>
          <w:szCs w:val="20"/>
        </w:rPr>
        <w:t>d</w:t>
      </w:r>
    </w:p>
    <w:p w:rsidR="00000000" w:rsidRDefault="00F83A7A">
      <w:pPr>
        <w:pStyle w:val="a3"/>
        <w:spacing w:before="200" w:beforeAutospacing="0" w:after="0" w:afterAutospacing="0"/>
        <w:ind w:firstLine="555"/>
        <w:jc w:val="both"/>
        <w:rPr>
          <w:sz w:val="20"/>
          <w:szCs w:val="20"/>
        </w:rPr>
      </w:pPr>
      <w:r>
        <w:rPr>
          <w:sz w:val="20"/>
          <w:szCs w:val="20"/>
        </w:rPr>
        <w:t>We are developing product candidates we believe have the potential to transform the lives of individuals affected by epilepsies and related neurological disorders. Patient communities are critical to informing every aspect of our approach. Each disorder fo</w:t>
      </w:r>
      <w:r>
        <w:rPr>
          <w:sz w:val="20"/>
          <w:szCs w:val="20"/>
        </w:rPr>
        <w:t>r which we are developing potential neurotherapeutics is a rare condition that carries serious morbidities and requires extensive and specialized involvement from the patients’ families, caregivers and physicians and from patient advocacy groups</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Our strat</w:t>
      </w:r>
      <w:r>
        <w:rPr>
          <w:sz w:val="20"/>
          <w:szCs w:val="20"/>
        </w:rPr>
        <w:t>egy is enhanced by the following patient-focused principles</w:t>
      </w:r>
      <w:r>
        <w:rPr>
          <w:sz w:val="20"/>
          <w:szCs w:val="20"/>
        </w:rPr>
        <w:t>:</w:t>
      </w:r>
    </w:p>
    <w:p w:rsidR="00000000" w:rsidRDefault="00F83A7A">
      <w:pPr>
        <w:jc w:val="both"/>
        <w:divId w:val="916088213"/>
        <w:rPr>
          <w:rFonts w:eastAsia="Times New Roman"/>
        </w:rPr>
      </w:pPr>
      <w:r>
        <w:rPr>
          <w:rFonts w:eastAsia="Times New Roman"/>
          <w:sz w:val="20"/>
          <w:szCs w:val="20"/>
        </w:rPr>
        <w:t>•</w:t>
      </w:r>
    </w:p>
    <w:p w:rsidR="00000000" w:rsidRDefault="00F83A7A">
      <w:pPr>
        <w:jc w:val="both"/>
        <w:divId w:val="289557020"/>
        <w:rPr>
          <w:rFonts w:eastAsia="Times New Roman"/>
        </w:rPr>
      </w:pPr>
      <w:r>
        <w:rPr>
          <w:rFonts w:eastAsia="Times New Roman"/>
          <w:sz w:val="20"/>
          <w:szCs w:val="20"/>
        </w:rPr>
        <w:t>pursue under-addressed rare conditions that can be evaluated via scaled, efficient clinical trial</w:t>
      </w:r>
      <w:r>
        <w:rPr>
          <w:rFonts w:eastAsia="Times New Roman"/>
          <w:sz w:val="20"/>
          <w:szCs w:val="20"/>
        </w:rPr>
        <w:t>s</w:t>
      </w:r>
    </w:p>
    <w:p w:rsidR="00000000" w:rsidRDefault="00F83A7A">
      <w:pPr>
        <w:jc w:val="both"/>
        <w:divId w:val="1991516684"/>
        <w:rPr>
          <w:rFonts w:eastAsia="Times New Roman"/>
        </w:rPr>
      </w:pPr>
      <w:r>
        <w:rPr>
          <w:rFonts w:eastAsia="Times New Roman"/>
          <w:sz w:val="20"/>
          <w:szCs w:val="20"/>
        </w:rPr>
        <w:t>•</w:t>
      </w:r>
    </w:p>
    <w:p w:rsidR="00000000" w:rsidRDefault="00F83A7A">
      <w:pPr>
        <w:jc w:val="both"/>
        <w:divId w:val="524759390"/>
        <w:rPr>
          <w:rFonts w:eastAsia="Times New Roman"/>
        </w:rPr>
      </w:pPr>
      <w:r>
        <w:rPr>
          <w:rFonts w:eastAsia="Times New Roman"/>
          <w:sz w:val="20"/>
          <w:szCs w:val="20"/>
        </w:rPr>
        <w:t>develop close relationships with patients, caregivers, families, disease foundations and key</w:t>
      </w:r>
      <w:r>
        <w:rPr>
          <w:rFonts w:eastAsia="Times New Roman"/>
          <w:sz w:val="20"/>
          <w:szCs w:val="20"/>
        </w:rPr>
        <w:t xml:space="preserve"> opinion leaders, to better understand the history of these disorders, raise awareness, identify patients and facilitate enrollment of clinical trials</w:t>
      </w:r>
      <w:r>
        <w:rPr>
          <w:rFonts w:eastAsia="Times New Roman"/>
          <w:sz w:val="20"/>
          <w:szCs w:val="20"/>
        </w:rPr>
        <w:t>;</w:t>
      </w:r>
    </w:p>
    <w:p w:rsidR="00000000" w:rsidRDefault="00F83A7A">
      <w:pPr>
        <w:jc w:val="both"/>
        <w:divId w:val="1016426079"/>
        <w:rPr>
          <w:rFonts w:eastAsia="Times New Roman"/>
        </w:rPr>
      </w:pPr>
      <w:r>
        <w:rPr>
          <w:rFonts w:eastAsia="Times New Roman"/>
          <w:sz w:val="20"/>
          <w:szCs w:val="20"/>
        </w:rPr>
        <w:t>•</w:t>
      </w:r>
    </w:p>
    <w:p w:rsidR="00000000" w:rsidRDefault="00F83A7A">
      <w:pPr>
        <w:jc w:val="both"/>
        <w:divId w:val="1117337242"/>
        <w:rPr>
          <w:rFonts w:eastAsia="Times New Roman"/>
        </w:rPr>
      </w:pPr>
      <w:r>
        <w:rPr>
          <w:rFonts w:eastAsia="Times New Roman"/>
          <w:sz w:val="20"/>
          <w:szCs w:val="20"/>
        </w:rPr>
        <w:t>identify clinically meaningful endpoints based on input from patients and their physicians and caregiv</w:t>
      </w:r>
      <w:r>
        <w:rPr>
          <w:rFonts w:eastAsia="Times New Roman"/>
          <w:sz w:val="20"/>
          <w:szCs w:val="20"/>
        </w:rPr>
        <w:t>ers; an</w:t>
      </w:r>
      <w:r>
        <w:rPr>
          <w:rFonts w:eastAsia="Times New Roman"/>
          <w:sz w:val="20"/>
          <w:szCs w:val="20"/>
        </w:rPr>
        <w:t>d</w:t>
      </w:r>
    </w:p>
    <w:p w:rsidR="00000000" w:rsidRDefault="00F83A7A">
      <w:pPr>
        <w:jc w:val="both"/>
        <w:divId w:val="1456413922"/>
        <w:rPr>
          <w:rFonts w:eastAsia="Times New Roman"/>
        </w:rPr>
      </w:pPr>
      <w:r>
        <w:rPr>
          <w:rFonts w:eastAsia="Times New Roman"/>
          <w:sz w:val="20"/>
          <w:szCs w:val="20"/>
        </w:rPr>
        <w:t>•</w:t>
      </w:r>
    </w:p>
    <w:p w:rsidR="00000000" w:rsidRDefault="00F83A7A">
      <w:pPr>
        <w:jc w:val="both"/>
        <w:divId w:val="1746536150"/>
        <w:rPr>
          <w:rFonts w:eastAsia="Times New Roman"/>
        </w:rPr>
      </w:pPr>
      <w:r>
        <w:rPr>
          <w:rFonts w:eastAsia="Times New Roman"/>
          <w:sz w:val="20"/>
          <w:szCs w:val="20"/>
        </w:rPr>
        <w:t>develop digital capabilities to be deeply informed and engaged with the patient communities we serve</w:t>
      </w:r>
      <w:r>
        <w:rPr>
          <w:rFonts w:eastAsia="Times New Roman"/>
          <w:sz w:val="20"/>
          <w:szCs w:val="20"/>
        </w:rPr>
        <w:t>.</w:t>
      </w:r>
    </w:p>
    <w:p w:rsidR="00000000" w:rsidRDefault="00F83A7A">
      <w:pPr>
        <w:pStyle w:val="a3"/>
        <w:spacing w:before="240" w:beforeAutospacing="0" w:after="0" w:afterAutospacing="0"/>
        <w:jc w:val="center"/>
        <w:rPr>
          <w:sz w:val="20"/>
          <w:szCs w:val="20"/>
        </w:rPr>
      </w:pPr>
      <w:r>
        <w:rPr>
          <w:sz w:val="20"/>
          <w:szCs w:val="20"/>
        </w:rPr>
        <w:t>4</w:t>
      </w:r>
    </w:p>
    <w:p w:rsidR="00000000" w:rsidRDefault="00F83A7A">
      <w:pPr>
        <w:rPr>
          <w:rFonts w:eastAsia="Times New Roman"/>
        </w:rPr>
      </w:pPr>
      <w:r>
        <w:rPr>
          <w:rFonts w:eastAsia="Times New Roman"/>
        </w:rPr>
        <w:pict>
          <v:rect id="_x0000_i1030"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rPr>
          <w:sz w:val="20"/>
          <w:szCs w:val="20"/>
        </w:rPr>
      </w:pPr>
      <w:r>
        <w:rPr>
          <w:b/>
          <w:bCs/>
          <w:i/>
          <w:iCs/>
          <w:sz w:val="20"/>
          <w:szCs w:val="20"/>
        </w:rPr>
        <w:t>Research and Development Coupled with Business Developmen</w:t>
      </w:r>
      <w:r>
        <w:rPr>
          <w:b/>
          <w:bCs/>
          <w:i/>
          <w:iCs/>
          <w:sz w:val="20"/>
          <w:szCs w:val="20"/>
        </w:rPr>
        <w:t>t</w:t>
      </w:r>
    </w:p>
    <w:p w:rsidR="00000000" w:rsidRDefault="00F83A7A">
      <w:pPr>
        <w:pStyle w:val="a3"/>
        <w:spacing w:before="200" w:beforeAutospacing="0" w:after="0" w:afterAutospacing="0"/>
        <w:ind w:firstLine="555"/>
        <w:jc w:val="both"/>
        <w:rPr>
          <w:sz w:val="20"/>
          <w:szCs w:val="20"/>
        </w:rPr>
      </w:pPr>
      <w:r>
        <w:rPr>
          <w:sz w:val="20"/>
          <w:szCs w:val="20"/>
        </w:rPr>
        <w:t>We have built a broad pipeline of potential</w:t>
      </w:r>
      <w:r>
        <w:rPr>
          <w:sz w:val="20"/>
          <w:szCs w:val="20"/>
        </w:rPr>
        <w:t xml:space="preserve"> drug candidates to treat epilepsies, seizure related disorders, and related neurological disorders. Our current pipeline is the result of two complementary efforts: 1) internal research and development efforts in collaboration with external leaders in the</w:t>
      </w:r>
      <w:r>
        <w:rPr>
          <w:sz w:val="20"/>
          <w:szCs w:val="20"/>
        </w:rPr>
        <w:t xml:space="preserve"> field and academic collaborators; and 2) focused business development to in-license or partner assets. Central to our internal process has been collaborations that we form with world-leading academic research centers such as Columbia University and the Un</w:t>
      </w:r>
      <w:r>
        <w:rPr>
          <w:sz w:val="20"/>
          <w:szCs w:val="20"/>
        </w:rPr>
        <w:t>iversity of Connecticut to augment target discovery and early biology. Overall, our goal is to develop a cohesive and diversified pipeline with multiple, novel mechanisms that leverage our strong capabilities in this area and provide a sustainable pipeline</w:t>
      </w:r>
      <w:r>
        <w:rPr>
          <w:sz w:val="20"/>
          <w:szCs w:val="20"/>
        </w:rPr>
        <w:t xml:space="preserve"> for years to come</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We are building a specialized, scalable and robust infrastructure that we believe will make us a leader in our chosen area and potentially a partner of choice for leading biopharmaceutical companies that wish to pursue valuable drug can</w:t>
      </w:r>
      <w:r>
        <w:rPr>
          <w:sz w:val="20"/>
          <w:szCs w:val="20"/>
        </w:rPr>
        <w:t xml:space="preserve">didates or research platforms in epilepsies and seizures. This infrastructure spans the critical domains of discovery, delivery and development. We believe that we are particularly well positioned to execute on our business development strategy because of </w:t>
      </w:r>
      <w:r>
        <w:rPr>
          <w:sz w:val="20"/>
          <w:szCs w:val="20"/>
        </w:rPr>
        <w:t>both the extensive network of our management team and experience delivering valued partnerships with companies including Takeda, Lundbeck and AstraZeneca</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Our Pipelin</w:t>
      </w:r>
      <w:r>
        <w:rPr>
          <w:b/>
          <w:bCs/>
          <w:sz w:val="20"/>
          <w:szCs w:val="20"/>
        </w:rPr>
        <w:t>e</w:t>
      </w:r>
    </w:p>
    <w:p w:rsidR="00000000" w:rsidRDefault="00F83A7A">
      <w:pPr>
        <w:pStyle w:val="a3"/>
        <w:spacing w:before="200" w:beforeAutospacing="0" w:after="0" w:afterAutospacing="0"/>
        <w:ind w:firstLine="555"/>
        <w:rPr>
          <w:sz w:val="20"/>
          <w:szCs w:val="20"/>
        </w:rPr>
      </w:pPr>
      <w:r>
        <w:rPr>
          <w:sz w:val="20"/>
          <w:szCs w:val="20"/>
        </w:rPr>
        <w:t>Our efforts have already brought two drug candidates (gaboxadol and soticlestat) from pr</w:t>
      </w:r>
      <w:r>
        <w:rPr>
          <w:sz w:val="20"/>
          <w:szCs w:val="20"/>
        </w:rPr>
        <w:t>e-clinical proof of concept and either through pivotal trials or to the initiation of pivotal trials, whether by us or our collaborators. Today, we are one of the few epilepsy-focused biopharma companies with three novel mechanisms of action for epilepsy w</w:t>
      </w:r>
      <w:r>
        <w:rPr>
          <w:sz w:val="20"/>
          <w:szCs w:val="20"/>
        </w:rPr>
        <w:t>ithin its pipeline. This is critical given that as many as 30 - 40 percent of patients treated for epilepsy continue to experience seizures</w:t>
      </w:r>
      <w:r>
        <w:rPr>
          <w:sz w:val="20"/>
          <w:szCs w:val="20"/>
        </w:rPr>
        <w:t>.</w:t>
      </w:r>
      <w:r>
        <w:rPr>
          <w:sz w:val="20"/>
          <w:szCs w:val="20"/>
        </w:rPr>
        <w:t xml:space="preserve"> </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0" w:afterAutospacing="0"/>
        <w:rPr>
          <w:sz w:val="20"/>
          <w:szCs w:val="20"/>
        </w:rPr>
      </w:pPr>
      <w:r>
        <w:rPr>
          <w:sz w:val="20"/>
          <w:szCs w:val="20"/>
        </w:rPr>
        <w:t>The following table sets forth the status and mechanism of action of our drug candidates</w:t>
      </w:r>
      <w:r>
        <w:rPr>
          <w:sz w:val="20"/>
          <w:szCs w:val="20"/>
        </w:rPr>
        <w:t>:</w:t>
      </w:r>
    </w:p>
    <w:p w:rsidR="00000000" w:rsidRDefault="00F83A7A">
      <w:pPr>
        <w:pStyle w:val="a3"/>
        <w:spacing w:before="0" w:beforeAutospacing="0" w:after="0" w:afterAutospacing="0"/>
        <w:rPr>
          <w:sz w:val="20"/>
          <w:szCs w:val="20"/>
        </w:rPr>
      </w:pPr>
      <w:r>
        <w:rPr>
          <w:noProof/>
          <w:sz w:val="20"/>
          <w:szCs w:val="20"/>
        </w:rPr>
        <w:drawing>
          <wp:inline distT="0" distB="0" distL="0" distR="0">
            <wp:extent cx="304800"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F83A7A">
      <w:pPr>
        <w:pStyle w:val="a3"/>
        <w:spacing w:before="200" w:beforeAutospacing="0" w:after="0" w:afterAutospacing="0"/>
        <w:jc w:val="both"/>
        <w:rPr>
          <w:sz w:val="20"/>
          <w:szCs w:val="20"/>
        </w:rPr>
      </w:pPr>
      <w:r>
        <w:rPr>
          <w:b/>
          <w:bCs/>
          <w:sz w:val="20"/>
          <w:szCs w:val="20"/>
        </w:rPr>
        <w:t>Internal Program</w:t>
      </w:r>
      <w:r>
        <w:rPr>
          <w:b/>
          <w:bCs/>
          <w:sz w:val="20"/>
          <w:szCs w:val="20"/>
        </w:rPr>
        <w:t>s</w:t>
      </w:r>
    </w:p>
    <w:p w:rsidR="00000000" w:rsidRDefault="00F83A7A">
      <w:pPr>
        <w:pStyle w:val="a3"/>
        <w:spacing w:before="200" w:beforeAutospacing="0" w:after="0" w:afterAutospacing="0"/>
        <w:jc w:val="both"/>
        <w:rPr>
          <w:sz w:val="20"/>
          <w:szCs w:val="20"/>
        </w:rPr>
      </w:pPr>
      <w:r>
        <w:rPr>
          <w:b/>
          <w:bCs/>
          <w:sz w:val="20"/>
          <w:szCs w:val="20"/>
        </w:rPr>
        <w:t>OV32</w:t>
      </w:r>
      <w:r>
        <w:rPr>
          <w:b/>
          <w:bCs/>
          <w:sz w:val="20"/>
          <w:szCs w:val="20"/>
        </w:rPr>
        <w:t>9</w:t>
      </w:r>
    </w:p>
    <w:p w:rsidR="00000000" w:rsidRDefault="00F83A7A">
      <w:pPr>
        <w:pStyle w:val="a3"/>
        <w:spacing w:before="0" w:beforeAutospacing="0" w:after="0" w:afterAutospacing="0"/>
        <w:ind w:firstLine="816"/>
        <w:jc w:val="both"/>
        <w:rPr>
          <w:sz w:val="20"/>
          <w:szCs w:val="20"/>
        </w:rPr>
      </w:pPr>
      <w:r>
        <w:rPr>
          <w:sz w:val="20"/>
          <w:szCs w:val="20"/>
        </w:rPr>
        <w:t>OV329 (GABA aminotransferase inhibitor) is a next-generation GABA amin</w:t>
      </w:r>
      <w:r>
        <w:rPr>
          <w:sz w:val="20"/>
          <w:szCs w:val="20"/>
        </w:rPr>
        <w:t>otransferase inhibitor being developed by us for the treatment of seizures associated with Tuberous Sclerosis Complex and Infantile Spasms. We expect to file an IND for OV329 in 2022. OV329 functions by substantially reducing the activity of GABA aminotran</w:t>
      </w:r>
      <w:r>
        <w:rPr>
          <w:sz w:val="20"/>
          <w:szCs w:val="20"/>
        </w:rPr>
        <w:t>sferase (GABA-AT), a key enzyme responsible for the degradation of the brain’s major inhibitory neurotransmitter, GABA. OV329 leads to increased concentrations of GABA by inhibiting its metabolism. Given that epilepsy is characterized by excessive neuronal</w:t>
      </w:r>
      <w:r>
        <w:rPr>
          <w:sz w:val="20"/>
          <w:szCs w:val="20"/>
        </w:rPr>
        <w:t xml:space="preserve"> excitation, the increased levels of GABA may suppress this excitatory signaling and may reduce seizures. If successful, we anticipate OV329 could be used to treat seizures associated with Tuberous Sclerosis Complex and Infantile Spasms and we are currentl</w:t>
      </w:r>
      <w:r>
        <w:rPr>
          <w:sz w:val="20"/>
          <w:szCs w:val="20"/>
        </w:rPr>
        <w:t>y assessing this approach in the pre-clinical setting. If th</w:t>
      </w:r>
      <w:r>
        <w:rPr>
          <w:sz w:val="20"/>
          <w:szCs w:val="20"/>
        </w:rPr>
        <w:t>e</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5</w:t>
      </w:r>
    </w:p>
    <w:p w:rsidR="00000000" w:rsidRDefault="00F83A7A">
      <w:pPr>
        <w:rPr>
          <w:rFonts w:eastAsia="Times New Roman"/>
        </w:rPr>
      </w:pPr>
      <w:r>
        <w:rPr>
          <w:rFonts w:eastAsia="Times New Roman"/>
        </w:rPr>
        <w:pict>
          <v:rect id="_x0000_i1032"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both"/>
        <w:rPr>
          <w:sz w:val="20"/>
          <w:szCs w:val="20"/>
        </w:rPr>
      </w:pPr>
      <w:r>
        <w:rPr>
          <w:sz w:val="20"/>
          <w:szCs w:val="20"/>
        </w:rPr>
        <w:t>safety and efficacy profile of the product is appropriate we will consider lifecycle management in epilepsy in other areas. In December 2016, we entered</w:t>
      </w:r>
      <w:r>
        <w:rPr>
          <w:sz w:val="20"/>
          <w:szCs w:val="20"/>
        </w:rPr>
        <w:t xml:space="preserve"> into a license agreement with Northwestern University, or Northwestern, pursuant to which Northwestern granted us an exclusive, worldwide license to patent rights in certain inventions, or the Northwestern Patent Rights, which relate to a specific compoun</w:t>
      </w:r>
      <w:r>
        <w:rPr>
          <w:sz w:val="20"/>
          <w:szCs w:val="20"/>
        </w:rPr>
        <w:t>d and related methods of use for such compound, along with certain Know-How related to the practice of the inventions claimed in the Northwestern Patents</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OV35</w:t>
      </w:r>
      <w:r>
        <w:rPr>
          <w:b/>
          <w:bCs/>
          <w:sz w:val="20"/>
          <w:szCs w:val="20"/>
        </w:rPr>
        <w:t>0</w:t>
      </w:r>
    </w:p>
    <w:p w:rsidR="00000000" w:rsidRDefault="00F83A7A">
      <w:pPr>
        <w:pStyle w:val="a3"/>
        <w:spacing w:before="0" w:beforeAutospacing="0" w:after="0" w:afterAutospacing="0"/>
        <w:ind w:firstLine="816"/>
        <w:jc w:val="both"/>
        <w:rPr>
          <w:sz w:val="20"/>
          <w:szCs w:val="20"/>
        </w:rPr>
      </w:pPr>
      <w:r>
        <w:rPr>
          <w:sz w:val="20"/>
          <w:szCs w:val="20"/>
        </w:rPr>
        <w:t>OV350 is a small molecule that directly activates the KCC2 transporter, which is an important c</w:t>
      </w:r>
      <w:r>
        <w:rPr>
          <w:sz w:val="20"/>
          <w:szCs w:val="20"/>
        </w:rPr>
        <w:t>hannel in seizure control. Ovid licensed OV350 and a library of associated compounds (previously AZ8333) from AstraZeneca in December 2021 to complement our growing pipeline of potential medicines with novel mechanisms of action for treating epilepsies. We</w:t>
      </w:r>
      <w:r>
        <w:rPr>
          <w:sz w:val="20"/>
          <w:szCs w:val="20"/>
        </w:rPr>
        <w:t xml:space="preserve"> believe it has the potential to be a first-in-class direct activator of the KCC2 channel. Extensive academic literature indicates that the KCC2 transporter is an essential channel to maintaining homeostasis within neurons, thereby contributing to seizure </w:t>
      </w:r>
      <w:r>
        <w:rPr>
          <w:sz w:val="20"/>
          <w:szCs w:val="20"/>
        </w:rPr>
        <w:t xml:space="preserve">control. In vivo studies illustrated that KCC2 activity leads to reduced seizure sensitivity and seizure-induced mortality. Pre-clinical mechanistic studies have also demonstrated that OV350 was well tolerated and did not induce sedation. We believe OV350 </w:t>
      </w:r>
      <w:r>
        <w:rPr>
          <w:sz w:val="20"/>
          <w:szCs w:val="20"/>
        </w:rPr>
        <w:t>has the potential to be developed for multiple epilepsies and other CNS indications. Our initial efforts are focused on optimizing multiple potential formulations for OV350 and conducting animal models to inform our development plans. While we plan to deve</w:t>
      </w:r>
      <w:r>
        <w:rPr>
          <w:sz w:val="20"/>
          <w:szCs w:val="20"/>
        </w:rPr>
        <w:t>lop the compound and seek initial approvals in rare epilepsies, if successful, and if the safety and efficacy profile of the product candidate is appropriate, we will consider lifecycle management in larger epilepsy indications</w:t>
      </w:r>
      <w:r>
        <w:rPr>
          <w:sz w:val="20"/>
          <w:szCs w:val="20"/>
        </w:rPr>
        <w:t>.</w:t>
      </w:r>
    </w:p>
    <w:p w:rsidR="00000000" w:rsidRDefault="00F83A7A">
      <w:pPr>
        <w:pStyle w:val="a3"/>
        <w:spacing w:before="0" w:beforeAutospacing="0" w:after="0" w:afterAutospacing="0"/>
        <w:rPr>
          <w:sz w:val="20"/>
          <w:szCs w:val="20"/>
        </w:rPr>
      </w:pPr>
      <w:r>
        <w:rPr>
          <w:sz w:val="20"/>
          <w:szCs w:val="20"/>
        </w:rPr>
        <w:br/>
      </w:r>
      <w:r>
        <w:rPr>
          <w:b/>
          <w:bCs/>
          <w:sz w:val="20"/>
          <w:szCs w:val="20"/>
        </w:rPr>
        <w:t>OV88</w:t>
      </w:r>
      <w:r>
        <w:rPr>
          <w:b/>
          <w:bCs/>
          <w:sz w:val="20"/>
          <w:szCs w:val="20"/>
        </w:rPr>
        <w:t>2</w:t>
      </w:r>
    </w:p>
    <w:p w:rsidR="00000000" w:rsidRDefault="00F83A7A">
      <w:pPr>
        <w:pStyle w:val="a3"/>
        <w:spacing w:before="0" w:beforeAutospacing="0" w:after="0" w:afterAutospacing="0"/>
        <w:ind w:firstLine="555"/>
        <w:jc w:val="both"/>
        <w:rPr>
          <w:sz w:val="20"/>
          <w:szCs w:val="20"/>
        </w:rPr>
      </w:pPr>
      <w:r>
        <w:rPr>
          <w:sz w:val="20"/>
          <w:szCs w:val="20"/>
        </w:rPr>
        <w:t>OV882 is a short hai</w:t>
      </w:r>
      <w:r>
        <w:rPr>
          <w:sz w:val="20"/>
          <w:szCs w:val="20"/>
        </w:rPr>
        <w:t>rpin RNA (shRNA-551) we are evaluating as a potential disease-modifying gene therapy for Angelman syndrome. The most common cause of Angelman syndrome is the loss of functional UBE3A protein due to a defect in the maternal copy of the UBE3A gene. Our aim i</w:t>
      </w:r>
      <w:r>
        <w:rPr>
          <w:sz w:val="20"/>
          <w:szCs w:val="20"/>
        </w:rPr>
        <w:t>s to develop a disease-modifying noncoding RNA vector that reduces expression of UBE3A-antisense and restores UBE3A expression via the paternal gene copy. We are in early stages of our research with OV882, but benefit from robust natural history and baseli</w:t>
      </w:r>
      <w:r>
        <w:rPr>
          <w:sz w:val="20"/>
          <w:szCs w:val="20"/>
        </w:rPr>
        <w:t>ne data for a prior clinical trial we conducted with gaboxadol in Angelman's syndrome. From these prior programs, Ovid has deep knowledge of the Angelman's condition and retains ownership of baseline data from clinical trials with approximately 100 Angelma</w:t>
      </w:r>
      <w:r>
        <w:rPr>
          <w:sz w:val="20"/>
          <w:szCs w:val="20"/>
        </w:rPr>
        <w:t>n's patients. These proprietary insights will aid our OV882 program, which is being conducted in collaboration with the University of Connecticut School of Medicine</w:t>
      </w:r>
      <w:r>
        <w:rPr>
          <w:sz w:val="20"/>
          <w:szCs w:val="20"/>
        </w:rPr>
        <w:t>.</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0" w:beforeAutospacing="0" w:after="0" w:afterAutospacing="0"/>
        <w:jc w:val="both"/>
        <w:rPr>
          <w:sz w:val="20"/>
          <w:szCs w:val="20"/>
        </w:rPr>
      </w:pPr>
      <w:r>
        <w:rPr>
          <w:b/>
          <w:bCs/>
          <w:sz w:val="20"/>
          <w:szCs w:val="20"/>
        </w:rPr>
        <w:t>OV815 and OV825 - Columbia University Progra</w:t>
      </w:r>
      <w:r>
        <w:rPr>
          <w:b/>
          <w:bCs/>
          <w:sz w:val="20"/>
          <w:szCs w:val="20"/>
        </w:rPr>
        <w:t>m</w:t>
      </w:r>
    </w:p>
    <w:p w:rsidR="00000000" w:rsidRDefault="00F83A7A">
      <w:pPr>
        <w:pStyle w:val="a3"/>
        <w:spacing w:before="0" w:beforeAutospacing="0" w:after="0" w:afterAutospacing="0"/>
        <w:ind w:firstLine="555"/>
        <w:jc w:val="both"/>
        <w:rPr>
          <w:sz w:val="20"/>
          <w:szCs w:val="20"/>
        </w:rPr>
      </w:pPr>
      <w:r>
        <w:rPr>
          <w:sz w:val="20"/>
          <w:szCs w:val="20"/>
        </w:rPr>
        <w:t>In June 2020, we began a strategic researc</w:t>
      </w:r>
      <w:r>
        <w:rPr>
          <w:sz w:val="20"/>
          <w:szCs w:val="20"/>
        </w:rPr>
        <w:t>h collaboration with Columbia University Irving Medical Center, or Columbia, to advance genetic based therapies for a range of rare neurological conditions, complementary of our pipeline. This collaboration provides us with the potential to expand our futu</w:t>
      </w:r>
      <w:r>
        <w:rPr>
          <w:sz w:val="20"/>
          <w:szCs w:val="20"/>
        </w:rPr>
        <w:t>re drug development portfolio and impact individuals living with rare genetic neurological conditions by working closely with the Precision Medicine Resource in the Irving Institute at Columbia. Our first research program with Columbia is OV815 and focuses</w:t>
      </w:r>
      <w:r>
        <w:rPr>
          <w:sz w:val="20"/>
          <w:szCs w:val="20"/>
        </w:rPr>
        <w:t xml:space="preserve"> on the kinesin-family of proteins and KIF1A-associated neurological disorder (KAND), under this research and translational development alliance, Columbia will align its expertise in rare disease genetics and deep clinical understanding of rare neurologica</w:t>
      </w:r>
      <w:r>
        <w:rPr>
          <w:sz w:val="20"/>
          <w:szCs w:val="20"/>
        </w:rPr>
        <w:t>l diseases with our discovery, translational, and clinical development expertise in neurodevelopmental disorders and rare epilepsies</w:t>
      </w:r>
      <w:r>
        <w:rPr>
          <w:sz w:val="20"/>
          <w:szCs w:val="20"/>
        </w:rPr>
        <w:t>.</w:t>
      </w:r>
    </w:p>
    <w:p w:rsidR="00000000" w:rsidRDefault="00F83A7A">
      <w:pPr>
        <w:pStyle w:val="a3"/>
        <w:spacing w:before="0" w:beforeAutospacing="0" w:after="0" w:afterAutospacing="0"/>
        <w:ind w:firstLine="555"/>
        <w:jc w:val="both"/>
        <w:rPr>
          <w:sz w:val="20"/>
          <w:szCs w:val="20"/>
        </w:rPr>
      </w:pPr>
      <w:r>
        <w:rPr>
          <w:sz w:val="20"/>
          <w:szCs w:val="20"/>
        </w:rPr>
        <w:t> </w:t>
      </w:r>
    </w:p>
    <w:p w:rsidR="00000000" w:rsidRDefault="00F83A7A">
      <w:pPr>
        <w:pStyle w:val="a3"/>
        <w:spacing w:before="0" w:beforeAutospacing="0" w:after="0" w:afterAutospacing="0"/>
        <w:jc w:val="both"/>
        <w:rPr>
          <w:sz w:val="20"/>
          <w:szCs w:val="20"/>
        </w:rPr>
      </w:pPr>
      <w:r>
        <w:rPr>
          <w:b/>
          <w:bCs/>
          <w:sz w:val="20"/>
          <w:szCs w:val="20"/>
        </w:rPr>
        <w:t>Soticlestat: Continued interest via Out-Licensing Agreement with Takeda Pharmaceutical</w:t>
      </w:r>
      <w:r>
        <w:rPr>
          <w:b/>
          <w:bCs/>
          <w:sz w:val="20"/>
          <w:szCs w:val="20"/>
        </w:rPr>
        <w:t>s</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0" w:beforeAutospacing="0" w:after="0" w:afterAutospacing="0"/>
        <w:jc w:val="both"/>
        <w:rPr>
          <w:sz w:val="20"/>
          <w:szCs w:val="20"/>
        </w:rPr>
      </w:pPr>
      <w:r>
        <w:rPr>
          <w:b/>
          <w:bCs/>
          <w:i/>
          <w:iCs/>
          <w:sz w:val="20"/>
          <w:szCs w:val="20"/>
        </w:rPr>
        <w:t>Backgroun</w:t>
      </w:r>
      <w:r>
        <w:rPr>
          <w:b/>
          <w:bCs/>
          <w:i/>
          <w:iCs/>
          <w:sz w:val="20"/>
          <w:szCs w:val="20"/>
        </w:rPr>
        <w:t>d</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0" w:beforeAutospacing="0" w:after="0" w:afterAutospacing="0"/>
        <w:ind w:firstLine="555"/>
        <w:jc w:val="both"/>
        <w:rPr>
          <w:sz w:val="20"/>
          <w:szCs w:val="20"/>
        </w:rPr>
      </w:pPr>
      <w:r>
        <w:rPr>
          <w:sz w:val="20"/>
          <w:szCs w:val="20"/>
        </w:rPr>
        <w:t>In January 2017, we entered into a license and collaboration agreement with Takeda, or the Takeda collaboration agreement, to develop and commercialize soticlestat, which culminated in a Phase 2 development program. On March 29, 2021, we entered into a roy</w:t>
      </w:r>
      <w:r>
        <w:rPr>
          <w:sz w:val="20"/>
          <w:szCs w:val="20"/>
        </w:rPr>
        <w:t xml:space="preserve">alty, license and termination agreement, or the Takeda License and Termination Agreement, with Takeda. Under the terms of the Takeda License and Termination Agreement, we terminated the Takeda collaboration agreement and Takeda subsequently secured rights </w:t>
      </w:r>
      <w:r>
        <w:rPr>
          <w:sz w:val="20"/>
          <w:szCs w:val="20"/>
        </w:rPr>
        <w:t>to our 50% global share in soticlestat. Takeda secured an exclusive license of soticlestat and our relevant intellectual property rights in exchange for an upfront payment, development and commercial milestone payments, and royalties. Takeda has since assu</w:t>
      </w:r>
      <w:r>
        <w:rPr>
          <w:sz w:val="20"/>
          <w:szCs w:val="20"/>
        </w:rPr>
        <w:t>med all responsibility for, and costs of, both development and commercialization of soticlestat</w:t>
      </w:r>
      <w:r>
        <w:rPr>
          <w:sz w:val="20"/>
          <w:szCs w:val="20"/>
        </w:rPr>
        <w:t>.</w:t>
      </w:r>
      <w:r>
        <w:rPr>
          <w:sz w:val="20"/>
          <w:szCs w:val="20"/>
        </w:rPr>
        <w:t xml:space="preserve"> </w:t>
      </w:r>
    </w:p>
    <w:p w:rsidR="00000000" w:rsidRDefault="00F83A7A">
      <w:pPr>
        <w:pStyle w:val="a3"/>
        <w:spacing w:before="0" w:beforeAutospacing="0" w:after="0" w:afterAutospacing="0"/>
        <w:ind w:firstLine="555"/>
        <w:jc w:val="both"/>
        <w:rPr>
          <w:sz w:val="20"/>
          <w:szCs w:val="20"/>
        </w:rPr>
      </w:pPr>
      <w:r>
        <w:rPr>
          <w:sz w:val="20"/>
          <w:szCs w:val="20"/>
        </w:rPr>
        <w:t> </w:t>
      </w:r>
    </w:p>
    <w:p w:rsidR="00000000" w:rsidRDefault="00F83A7A">
      <w:pPr>
        <w:pStyle w:val="a3"/>
        <w:spacing w:before="0" w:beforeAutospacing="0" w:after="0" w:afterAutospacing="0"/>
        <w:ind w:firstLine="555"/>
        <w:jc w:val="both"/>
        <w:rPr>
          <w:sz w:val="20"/>
          <w:szCs w:val="20"/>
        </w:rPr>
      </w:pPr>
      <w:r>
        <w:rPr>
          <w:sz w:val="20"/>
          <w:szCs w:val="20"/>
        </w:rPr>
        <w:t>In March 2021, we received an upfront payment of $196 million and are eligible to receive up to an additional $660 million in development, regulatory and sa</w:t>
      </w:r>
      <w:r>
        <w:rPr>
          <w:sz w:val="20"/>
          <w:szCs w:val="20"/>
        </w:rPr>
        <w:t>les milestones. In addition, if soticlestat achieves regulatory approval, we will receive tiered royalties on net sales of soticlestat at percentages ranging from the low double-digits up to 20%, subject to standard reductions in certain circumstances. Roy</w:t>
      </w:r>
      <w:r>
        <w:rPr>
          <w:sz w:val="20"/>
          <w:szCs w:val="20"/>
        </w:rPr>
        <w:t>alties are payable on a country-by-country and product-by-product basis during the period beginning on the date of the first commercial sale of such product in such country and ending on the later to occur of the expiration of patent rights covering the pr</w:t>
      </w:r>
      <w:r>
        <w:rPr>
          <w:sz w:val="20"/>
          <w:szCs w:val="20"/>
        </w:rPr>
        <w:t>oduct in such country and a specified anniversary of such first commercial sale. The Takeda collaboration agreement will remain in effect until Takeda’s cessation of commercialization of soticlestat</w:t>
      </w:r>
      <w:r>
        <w:rPr>
          <w:sz w:val="20"/>
          <w:szCs w:val="20"/>
        </w:rPr>
        <w:t>.</w:t>
      </w:r>
      <w:r>
        <w:rPr>
          <w:sz w:val="20"/>
          <w:szCs w:val="20"/>
        </w:rPr>
        <w:t xml:space="preserve"> </w:t>
      </w:r>
    </w:p>
    <w:p w:rsidR="00000000" w:rsidRDefault="00F83A7A">
      <w:pPr>
        <w:pStyle w:val="a3"/>
        <w:spacing w:before="0" w:beforeAutospacing="0" w:after="0" w:afterAutospacing="0"/>
        <w:ind w:firstLine="555"/>
        <w:jc w:val="both"/>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6</w:t>
      </w:r>
    </w:p>
    <w:p w:rsidR="00000000" w:rsidRDefault="00F83A7A">
      <w:pPr>
        <w:rPr>
          <w:rFonts w:eastAsia="Times New Roman"/>
        </w:rPr>
      </w:pPr>
      <w:r>
        <w:rPr>
          <w:rFonts w:eastAsia="Times New Roman"/>
        </w:rPr>
        <w:pict>
          <v:rect id="_x0000_i1033"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ind w:firstLine="555"/>
        <w:jc w:val="both"/>
        <w:rPr>
          <w:sz w:val="20"/>
          <w:szCs w:val="20"/>
        </w:rPr>
      </w:pPr>
      <w:r>
        <w:rPr>
          <w:sz w:val="20"/>
          <w:szCs w:val="20"/>
        </w:rPr>
        <w:t>Following th</w:t>
      </w:r>
      <w:r>
        <w:rPr>
          <w:sz w:val="20"/>
          <w:szCs w:val="20"/>
        </w:rPr>
        <w:t>e out-licensing of soticlestat to Takeda, Takeda initiated two pivotal, phase three programs for soticlestat, which are referred to as SKYWAY for LGS and SKYLINE for DS. SKYWAY applies the use of Major Motor Drop Seizures as an endpoint which it believes w</w:t>
      </w:r>
      <w:r>
        <w:rPr>
          <w:sz w:val="20"/>
          <w:szCs w:val="20"/>
        </w:rPr>
        <w:t>ill more accurately reflect soticlestat's effectiveness in reducing seizures in LGS. It is anticipated that Takeda will have data from these Phase 3 programs in the first half of 2023 and will seek regulatory decisions by March 2024. Takeda has reported it</w:t>
      </w:r>
      <w:r>
        <w:rPr>
          <w:sz w:val="20"/>
          <w:szCs w:val="20"/>
        </w:rPr>
        <w:t xml:space="preserve"> is preparing for a multi-regional launch of soticlestat. The United States Food and Drug Administration, or the FDA, has granted orphan drug designation for soticlestat and China has granted it Breakthrough Status for the treatment of DS and LGS</w:t>
      </w:r>
      <w:r>
        <w:rPr>
          <w:sz w:val="20"/>
          <w:szCs w:val="20"/>
        </w:rPr>
        <w:t>.</w:t>
      </w:r>
    </w:p>
    <w:p w:rsidR="00000000" w:rsidRDefault="00F83A7A">
      <w:pPr>
        <w:pStyle w:val="a3"/>
        <w:spacing w:before="0" w:beforeAutospacing="0" w:after="0" w:afterAutospacing="0"/>
        <w:ind w:firstLine="555"/>
        <w:jc w:val="both"/>
        <w:rPr>
          <w:sz w:val="20"/>
          <w:szCs w:val="20"/>
        </w:rPr>
      </w:pPr>
      <w:r>
        <w:rPr>
          <w:sz w:val="20"/>
          <w:szCs w:val="20"/>
        </w:rPr>
        <w:t> </w:t>
      </w:r>
    </w:p>
    <w:p w:rsidR="00000000" w:rsidRDefault="00F83A7A">
      <w:pPr>
        <w:pStyle w:val="a3"/>
        <w:spacing w:before="0" w:beforeAutospacing="0" w:after="0" w:afterAutospacing="0"/>
        <w:rPr>
          <w:sz w:val="20"/>
          <w:szCs w:val="20"/>
        </w:rPr>
      </w:pPr>
      <w:r>
        <w:rPr>
          <w:b/>
          <w:bCs/>
          <w:i/>
          <w:iCs/>
          <w:sz w:val="20"/>
          <w:szCs w:val="20"/>
        </w:rPr>
        <w:t>Soticl</w:t>
      </w:r>
      <w:r>
        <w:rPr>
          <w:b/>
          <w:bCs/>
          <w:i/>
          <w:iCs/>
          <w:sz w:val="20"/>
          <w:szCs w:val="20"/>
        </w:rPr>
        <w:t>estat - Mechanis</w:t>
      </w:r>
      <w:r>
        <w:rPr>
          <w:b/>
          <w:bCs/>
          <w:i/>
          <w:iCs/>
          <w:sz w:val="20"/>
          <w:szCs w:val="20"/>
        </w:rPr>
        <w:t>m</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0" w:afterAutospacing="0"/>
        <w:ind w:firstLine="555"/>
        <w:jc w:val="both"/>
        <w:rPr>
          <w:sz w:val="20"/>
          <w:szCs w:val="20"/>
        </w:rPr>
      </w:pPr>
      <w:r>
        <w:rPr>
          <w:sz w:val="20"/>
          <w:szCs w:val="20"/>
        </w:rPr>
        <w:t>Soticlestat is a potential first-in-class inhibitor of cholesterol 24 hydroxylase (CH24H), which may modulate the excitatory signals involved in epilepsy, and thereby suppress seizures. The investigational soticlestat program began as a</w:t>
      </w:r>
      <w:r>
        <w:rPr>
          <w:sz w:val="20"/>
          <w:szCs w:val="20"/>
        </w:rPr>
        <w:t xml:space="preserve"> joint development collaboration between Ovid and Takeda for rare epilepsies. Following a successful Phase 2 development program led by us, we entered into a royalty, license and termination agreement with Takeda, or the Takeda License and Termination Agre</w:t>
      </w:r>
      <w:r>
        <w:rPr>
          <w:sz w:val="20"/>
          <w:szCs w:val="20"/>
        </w:rPr>
        <w:t>ement, in March 2021 under which Takeda secured all of the global rights from Ovid to develop and commercialize soticlestat for the treatment of developmental and epileptic encephalopathies, including Dravet syndrome (DS) and Lennox Gastaux syndrome (LGS).</w:t>
      </w:r>
      <w:r>
        <w:rPr>
          <w:sz w:val="20"/>
          <w:szCs w:val="20"/>
        </w:rPr>
        <w:t xml:space="preserve"> We believe Takeda’s continued development of soticlestat has the potential to become a first-in-class and only-in-class compound targeting the metabolism of cholesterol in the brain, which we believe will reduce inflammation that plays an important role i</w:t>
      </w:r>
      <w:r>
        <w:rPr>
          <w:sz w:val="20"/>
          <w:szCs w:val="20"/>
        </w:rPr>
        <w:t>n seizures</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License and Collaboration Agreement</w:t>
      </w:r>
      <w:r>
        <w:rPr>
          <w:b/>
          <w:bCs/>
          <w:sz w:val="20"/>
          <w:szCs w:val="20"/>
        </w:rPr>
        <w:t>s</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0" w:beforeAutospacing="0" w:after="0" w:afterAutospacing="0"/>
        <w:jc w:val="both"/>
        <w:rPr>
          <w:sz w:val="20"/>
          <w:szCs w:val="20"/>
        </w:rPr>
      </w:pPr>
      <w:r>
        <w:rPr>
          <w:b/>
          <w:bCs/>
          <w:i/>
          <w:iCs/>
          <w:sz w:val="20"/>
          <w:szCs w:val="20"/>
        </w:rPr>
        <w:t>2022 Out-License Agreement with Marinus Pharmaceutical</w:t>
      </w:r>
      <w:r>
        <w:rPr>
          <w:b/>
          <w:bCs/>
          <w:i/>
          <w:iCs/>
          <w:sz w:val="20"/>
          <w:szCs w:val="20"/>
        </w:rPr>
        <w:t>s</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0" w:beforeAutospacing="0" w:after="0" w:afterAutospacing="0"/>
        <w:ind w:firstLine="816"/>
        <w:jc w:val="both"/>
        <w:rPr>
          <w:sz w:val="20"/>
          <w:szCs w:val="20"/>
        </w:rPr>
      </w:pPr>
      <w:r>
        <w:rPr>
          <w:sz w:val="20"/>
          <w:szCs w:val="20"/>
        </w:rPr>
        <w:t xml:space="preserve">On March 1, 2022, we entered into an exclusive patent license agreement with Marinus Pharmaceuticals, Inc. or the Marinus License Agreement. Under </w:t>
      </w:r>
      <w:r>
        <w:rPr>
          <w:sz w:val="20"/>
          <w:szCs w:val="20"/>
        </w:rPr>
        <w:t>the Marinus License Agreement, we granted Marinus an exclusive, non-transferable (except as expressly provided therein), royalty-bearing right and license under certain Ovid patents relating to ganaxolone to develop, make, have made, commercialize, promote</w:t>
      </w:r>
      <w:r>
        <w:rPr>
          <w:sz w:val="20"/>
          <w:szCs w:val="20"/>
        </w:rPr>
        <w:t>, distribute, sell, offer for sale and import licensed products in the territory (which consist of the United States, the European Economic Area, United Kingdom and Switzerland) for the treatment of CDKL5 deficiency disorders in humans. Following the poten</w:t>
      </w:r>
      <w:r>
        <w:rPr>
          <w:sz w:val="20"/>
          <w:szCs w:val="20"/>
        </w:rPr>
        <w:t>tial date of regulatory approval by the FDA of the first licensed product in the territory, Marinus will, at our option, (i) pay to us the sum of $1,500,000 in cash; or (ii) issue us 123,255 shares of Marinus common stock, par value $0.001 per share. The M</w:t>
      </w:r>
      <w:r>
        <w:rPr>
          <w:sz w:val="20"/>
          <w:szCs w:val="20"/>
        </w:rPr>
        <w:t>arinus License Agreement also provides for payment of royalties from Marinus to us in single digits on net sales of each such licensed product sold</w:t>
      </w:r>
      <w:r>
        <w:rPr>
          <w:sz w:val="20"/>
          <w:szCs w:val="20"/>
        </w:rPr>
        <w:t>.</w:t>
      </w:r>
      <w:r>
        <w:rPr>
          <w:sz w:val="20"/>
          <w:szCs w:val="20"/>
        </w:rPr>
        <w:t xml:space="preserve"> </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0" w:afterAutospacing="0"/>
        <w:jc w:val="both"/>
        <w:rPr>
          <w:sz w:val="20"/>
          <w:szCs w:val="20"/>
        </w:rPr>
      </w:pPr>
      <w:r>
        <w:rPr>
          <w:b/>
          <w:bCs/>
          <w:i/>
          <w:iCs/>
          <w:sz w:val="20"/>
          <w:szCs w:val="20"/>
        </w:rPr>
        <w:t>2022 License and Option Agreement with Heal</w:t>
      </w:r>
      <w:r>
        <w:rPr>
          <w:b/>
          <w:bCs/>
          <w:i/>
          <w:iCs/>
          <w:sz w:val="20"/>
          <w:szCs w:val="20"/>
        </w:rPr>
        <w:t>x</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0" w:beforeAutospacing="0" w:after="0" w:afterAutospacing="0"/>
        <w:ind w:firstLine="555"/>
        <w:jc w:val="both"/>
        <w:rPr>
          <w:sz w:val="20"/>
          <w:szCs w:val="20"/>
        </w:rPr>
      </w:pPr>
      <w:r>
        <w:rPr>
          <w:sz w:val="20"/>
          <w:szCs w:val="20"/>
        </w:rPr>
        <w:t>On February 1, 2022, we entered into an exclusive license option agreement, or the Healx License and Option Agreement, with Healx. Under the terms of the Healx License and Option Agreement, Healx has secured a one-year option to investigate gaboxadol (OV10</w:t>
      </w:r>
      <w:r>
        <w:rPr>
          <w:sz w:val="20"/>
          <w:szCs w:val="20"/>
        </w:rPr>
        <w:t>1) as part of a potential combination therapy for Fragile X syndrome in a Phase 2A clinical trial, as well as a treatment for other indications, for an upfront payment of $0.5 million, and fees to support prosecution and maintenance of our relevant intelle</w:t>
      </w:r>
      <w:r>
        <w:rPr>
          <w:sz w:val="20"/>
          <w:szCs w:val="20"/>
        </w:rPr>
        <w:t>ctual property rights. At the end of the one-year option period, Healx has the option to secure rights to an exclusive license under our relevant intellectual property rights, in exchange for an upfront payment, development and commercial milestone payment</w:t>
      </w:r>
      <w:r>
        <w:rPr>
          <w:sz w:val="20"/>
          <w:szCs w:val="20"/>
        </w:rPr>
        <w:t xml:space="preserve">s, and low to mid-tier double digit royalties. Royalties are payable on a country-by-country and product-by-product basis during the period beginning on the date of the first commercial sale of such product in such country and ending on the later to occur </w:t>
      </w:r>
      <w:r>
        <w:rPr>
          <w:sz w:val="20"/>
          <w:szCs w:val="20"/>
        </w:rPr>
        <w:t>of the expiration of patent rights covering the product in such country and a specified anniversary of such first commercial sale</w:t>
      </w:r>
      <w:r>
        <w:rPr>
          <w:sz w:val="20"/>
          <w:szCs w:val="20"/>
        </w:rPr>
        <w:t>.</w:t>
      </w:r>
      <w:r>
        <w:rPr>
          <w:sz w:val="20"/>
          <w:szCs w:val="20"/>
        </w:rPr>
        <w:t xml:space="preserve"> </w:t>
      </w:r>
    </w:p>
    <w:p w:rsidR="00000000" w:rsidRDefault="00F83A7A">
      <w:pPr>
        <w:pStyle w:val="a3"/>
        <w:spacing w:before="0" w:beforeAutospacing="0" w:after="0" w:afterAutospacing="0"/>
        <w:ind w:firstLine="555"/>
        <w:jc w:val="both"/>
        <w:rPr>
          <w:sz w:val="20"/>
          <w:szCs w:val="20"/>
        </w:rPr>
      </w:pPr>
      <w:r>
        <w:rPr>
          <w:sz w:val="20"/>
          <w:szCs w:val="20"/>
        </w:rPr>
        <w:t> </w:t>
      </w:r>
    </w:p>
    <w:p w:rsidR="00000000" w:rsidRDefault="00F83A7A">
      <w:pPr>
        <w:pStyle w:val="a3"/>
        <w:spacing w:before="0" w:beforeAutospacing="0" w:after="0" w:afterAutospacing="0"/>
        <w:ind w:firstLine="555"/>
        <w:jc w:val="both"/>
        <w:rPr>
          <w:sz w:val="20"/>
          <w:szCs w:val="20"/>
        </w:rPr>
      </w:pPr>
      <w:r>
        <w:rPr>
          <w:sz w:val="20"/>
          <w:szCs w:val="20"/>
        </w:rPr>
        <w:t xml:space="preserve">Healx will assume all responsibility for, and costs of, both development and commercialization of gaboxadol following the </w:t>
      </w:r>
      <w:r>
        <w:rPr>
          <w:sz w:val="20"/>
          <w:szCs w:val="20"/>
        </w:rPr>
        <w:t>exercise of the option. We will retain the option to co-develop and co-commercialize the program with Healx, or the Ovid Opt-In Right, at the end of a positive readout of clinical phase 2B and will share net profits and losses in lieu of the milestones and</w:t>
      </w:r>
      <w:r>
        <w:rPr>
          <w:sz w:val="20"/>
          <w:szCs w:val="20"/>
        </w:rPr>
        <w:t xml:space="preserve"> royalty payments. We do not plan to conduct further trials of gaboxadol. The term of the Healx License and Option Agreement will continue until the later of (a) the expiration of all relevant royalty terms, or in the event that Healx does not exercise its</w:t>
      </w:r>
      <w:r>
        <w:rPr>
          <w:sz w:val="20"/>
          <w:szCs w:val="20"/>
        </w:rPr>
        <w:t xml:space="preserve"> option during the option period defined in the Healx License and Option Agreement, or the Option Period, the expiration of such period, or in the event that Healx does exercise its option during the Option Period, and we do not exercise the Ovid Opt-In Ri</w:t>
      </w:r>
      <w:r>
        <w:rPr>
          <w:sz w:val="20"/>
          <w:szCs w:val="20"/>
        </w:rPr>
        <w:t>ght during the period of time we have to opt-in, or the Opt-In Period, or the opt-in terms are otherwise terminated, upon the expiration of all payment obligations, or (c) in the event that Healx does exercise the Option during the Option Period, and we do</w:t>
      </w:r>
      <w:r>
        <w:rPr>
          <w:sz w:val="20"/>
          <w:szCs w:val="20"/>
        </w:rPr>
        <w:t xml:space="preserve"> exercise the Ovid Opt-In Right during the Opt-In Period, such time as neither Healx nor Ovid is continuing to exploit the gaboxadol. As part of the revised contractual obligations with Lundbeck, Ovid will owe Lundbeck a share of all milestone and royalty </w:t>
      </w:r>
      <w:r>
        <w:rPr>
          <w:sz w:val="20"/>
          <w:szCs w:val="20"/>
        </w:rPr>
        <w:t>payments received from Healx, if we do not exercise the Ovid Opt-In Right. If we to exercise the Ovid Opt-In Right to co-develop and co-commercialize the program with Healx, we will owe a share of the net profit share to Lundbeck</w:t>
      </w:r>
      <w:r>
        <w:rPr>
          <w:sz w:val="20"/>
          <w:szCs w:val="20"/>
        </w:rPr>
        <w:t>.</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7</w:t>
      </w:r>
    </w:p>
    <w:p w:rsidR="00000000" w:rsidRDefault="00F83A7A">
      <w:pPr>
        <w:rPr>
          <w:rFonts w:eastAsia="Times New Roman"/>
        </w:rPr>
      </w:pPr>
      <w:r>
        <w:rPr>
          <w:rFonts w:eastAsia="Times New Roman"/>
        </w:rPr>
        <w:pict>
          <v:rect id="_x0000_i1034"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rPr>
          <w:sz w:val="20"/>
          <w:szCs w:val="20"/>
        </w:rPr>
      </w:pPr>
      <w:r>
        <w:rPr>
          <w:b/>
          <w:bCs/>
          <w:i/>
          <w:iCs/>
          <w:sz w:val="20"/>
          <w:szCs w:val="20"/>
        </w:rPr>
        <w:t>2021 Exclusive In-Licensing Agreement with AstraZenec</w:t>
      </w:r>
      <w:r>
        <w:rPr>
          <w:b/>
          <w:bCs/>
          <w:i/>
          <w:iCs/>
          <w:sz w:val="20"/>
          <w:szCs w:val="20"/>
        </w:rPr>
        <w:t>a</w:t>
      </w:r>
    </w:p>
    <w:p w:rsidR="00000000" w:rsidRDefault="00F83A7A">
      <w:pPr>
        <w:pStyle w:val="a3"/>
        <w:spacing w:before="200" w:beforeAutospacing="0" w:after="0" w:afterAutospacing="0"/>
        <w:ind w:firstLine="555"/>
        <w:jc w:val="both"/>
        <w:rPr>
          <w:sz w:val="20"/>
          <w:szCs w:val="20"/>
        </w:rPr>
      </w:pPr>
      <w:r>
        <w:rPr>
          <w:sz w:val="20"/>
          <w:szCs w:val="20"/>
        </w:rPr>
        <w:t>On December 30, 2021, we entered into an exclusive license agreement, or the AstraZeneca Exclusive License Agreement, with AstraZeneca. Under the terms of the AstraZeneca Exclusive Li</w:t>
      </w:r>
      <w:r>
        <w:rPr>
          <w:sz w:val="20"/>
          <w:szCs w:val="20"/>
        </w:rPr>
        <w:t>cense Agreement, we have obtained worldwide rights to a library of early-stage small molecules targeting the KCC2 transporter, including OV350. In exchange of an upfront payment of $5.0 million in cash and $7.3 million in shares of Ovid common stock to Ast</w:t>
      </w:r>
      <w:r>
        <w:rPr>
          <w:sz w:val="20"/>
          <w:szCs w:val="20"/>
        </w:rPr>
        <w:t xml:space="preserve">raZeneca, we are responsible for using commercially reasonable efforts to carry out all future development and commercialization of KCC2 transporter activators in epilepsies and potentially other neuropathic conditions. We are obligated to pay AstraZeneca </w:t>
      </w:r>
      <w:r>
        <w:rPr>
          <w:sz w:val="20"/>
          <w:szCs w:val="20"/>
        </w:rPr>
        <w:t>potential clinical development milestones of up to $8.0 million, regulatory milestones of up to $45.0 million and total commercial milestones of up to $150.0 million, as well as tiered royalty payments ranging from the single digits up to 10 percent on net</w:t>
      </w:r>
      <w:r>
        <w:rPr>
          <w:sz w:val="20"/>
          <w:szCs w:val="20"/>
        </w:rPr>
        <w:t xml:space="preserve"> sales. At the time of proof of clinical efficacy, AstraZeneca will have the right of first negotiation to opt in to co-develop and co-commercialize KCC2 transporter activators with Ovid. The license option will continue until the expiration of all relevan</w:t>
      </w:r>
      <w:r>
        <w:rPr>
          <w:sz w:val="20"/>
          <w:szCs w:val="20"/>
        </w:rPr>
        <w:t>t royalty terms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License Agreement with H. Lundbeck A/</w:t>
      </w:r>
      <w:r>
        <w:rPr>
          <w:b/>
          <w:bCs/>
          <w:i/>
          <w:iCs/>
          <w:sz w:val="20"/>
          <w:szCs w:val="20"/>
        </w:rPr>
        <w:t>S</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200" w:beforeAutospacing="0" w:after="0" w:afterAutospacing="0"/>
        <w:ind w:firstLine="555"/>
        <w:jc w:val="both"/>
        <w:rPr>
          <w:sz w:val="20"/>
          <w:szCs w:val="20"/>
        </w:rPr>
      </w:pPr>
      <w:r>
        <w:rPr>
          <w:sz w:val="20"/>
          <w:szCs w:val="20"/>
        </w:rPr>
        <w:t>In March 2015, we entered into a license agreement with Lundbeck, which we subsequently amended in May 2019, July 2020 and in February 2022. As part of the Lundbeck agreement, we obtained from Lundb</w:t>
      </w:r>
      <w:r>
        <w:rPr>
          <w:sz w:val="20"/>
          <w:szCs w:val="20"/>
        </w:rPr>
        <w:t>eck an exclusive (subject to certain reserved non-commercial rights), worldwide license to develop, manufacture, and commercialize OV101, also known as gaboxadol, for the treatment of human disease. Under the agreement, we were responsible for conducting c</w:t>
      </w:r>
      <w:r>
        <w:rPr>
          <w:sz w:val="20"/>
          <w:szCs w:val="20"/>
        </w:rPr>
        <w:t>ommercially reasonable efforts to carry out all future development and commercialization of OV101. We were also obligated to make certain manufacturing-related payments to Lundbeck, including for its preparation of a drug master file for OV101</w:t>
      </w:r>
      <w:r>
        <w:rPr>
          <w:sz w:val="20"/>
          <w:szCs w:val="20"/>
        </w:rPr>
        <w:t>.</w:t>
      </w:r>
      <w:r>
        <w:rPr>
          <w:sz w:val="20"/>
          <w:szCs w:val="20"/>
        </w:rPr>
        <w:t xml:space="preserve"> </w:t>
      </w:r>
    </w:p>
    <w:p w:rsidR="00000000" w:rsidRDefault="00F83A7A">
      <w:pPr>
        <w:pStyle w:val="a3"/>
        <w:spacing w:before="200" w:beforeAutospacing="0" w:after="0" w:afterAutospacing="0"/>
        <w:ind w:firstLine="555"/>
        <w:jc w:val="both"/>
        <w:rPr>
          <w:sz w:val="20"/>
          <w:szCs w:val="20"/>
        </w:rPr>
      </w:pPr>
      <w:r>
        <w:rPr>
          <w:sz w:val="20"/>
          <w:szCs w:val="20"/>
        </w:rPr>
        <w:t>In connect</w:t>
      </w:r>
      <w:r>
        <w:rPr>
          <w:sz w:val="20"/>
          <w:szCs w:val="20"/>
        </w:rPr>
        <w:t>ion with the Lundbeck agreement, we issued 489,756 shares of our common stock to Lundbeck. We also agreed to pay to Lundbeck milestone payments up to an aggregate of $189.0 million upon the achievement of certain global development, regulatory and sales mi</w:t>
      </w:r>
      <w:r>
        <w:rPr>
          <w:sz w:val="20"/>
          <w:szCs w:val="20"/>
        </w:rPr>
        <w:t xml:space="preserve">lestone events with gaboxadol. Pursuant to the Lundbeck agreement, the first milestone payment is $1.0 million, which is due upon the successful completion of the first Phase 3 trial for a product in which OV101 is an active ingredient. In addition, if we </w:t>
      </w:r>
      <w:r>
        <w:rPr>
          <w:sz w:val="20"/>
          <w:szCs w:val="20"/>
        </w:rPr>
        <w:t>successfully developed and commercialized OV101, we would be obligated to pay to Lundbeck tiered royalties based on single-digit and low-double digit percentage of net sales of OV101, subject to certain reductions for generic product sales and for royaltie</w:t>
      </w:r>
      <w:r>
        <w:rPr>
          <w:sz w:val="20"/>
          <w:szCs w:val="20"/>
        </w:rPr>
        <w:t>s paid for licenses to third party intellectual property. If Lundbeck manufactures OV101 compound for us after the expiration of the royalty term, we will pay to Lundbeck, in addition to the fully burdened cost of such manufacture, a low, single-digit manu</w:t>
      </w:r>
      <w:r>
        <w:rPr>
          <w:sz w:val="20"/>
          <w:szCs w:val="20"/>
        </w:rPr>
        <w:t>facturing royalty on the net sales of OV101 manufactured by Lundbeck</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We closed our OV101 (gaboxadol) program in Angelman syndrome in early 2021. On February 1, 2022, we entered into Amendment No. 3 to the Lundbeck agreement, or Amendment No. 3, to permit our performance under the Healx License and Option Agreement. Under th</w:t>
      </w:r>
      <w:r>
        <w:rPr>
          <w:sz w:val="20"/>
          <w:szCs w:val="20"/>
        </w:rPr>
        <w:t>e terms of Amendment No. 3, if Healx exercises its option, we will owe Lundbeck a share of all milestone and royalty payments received from Healx if we choose not to exercise the Ovid Opt-In Right. If we choose to exercise the Ovid Opt-In Right and to co-d</w:t>
      </w:r>
      <w:r>
        <w:rPr>
          <w:sz w:val="20"/>
          <w:szCs w:val="20"/>
        </w:rPr>
        <w:t>evelop and co-commercialize the program with Healx, we will owe a share of the net profit share to Lundbeck</w:t>
      </w:r>
      <w:r>
        <w:rPr>
          <w:sz w:val="20"/>
          <w:szCs w:val="20"/>
        </w:rPr>
        <w:t>.</w:t>
      </w:r>
      <w:r>
        <w:rPr>
          <w:sz w:val="20"/>
          <w:szCs w:val="20"/>
        </w:rPr>
        <w:t xml:space="preserve"> </w:t>
      </w:r>
    </w:p>
    <w:p w:rsidR="00000000" w:rsidRDefault="00F83A7A">
      <w:pPr>
        <w:pStyle w:val="a3"/>
        <w:spacing w:before="200" w:beforeAutospacing="0" w:after="0" w:afterAutospacing="0"/>
        <w:ind w:left="238"/>
        <w:jc w:val="both"/>
        <w:rPr>
          <w:sz w:val="20"/>
          <w:szCs w:val="20"/>
        </w:rPr>
      </w:pPr>
      <w:r>
        <w:rPr>
          <w:b/>
          <w:bCs/>
          <w:i/>
          <w:iCs/>
          <w:sz w:val="20"/>
          <w:szCs w:val="20"/>
        </w:rPr>
        <w:t>Northwestern Licens</w:t>
      </w:r>
      <w:r>
        <w:rPr>
          <w:b/>
          <w:bCs/>
          <w:i/>
          <w:iCs/>
          <w:sz w:val="20"/>
          <w:szCs w:val="20"/>
        </w:rPr>
        <w:t>e</w:t>
      </w:r>
      <w:r>
        <w:rPr>
          <w:b/>
          <w:bCs/>
          <w:i/>
          <w:iCs/>
          <w:sz w:val="20"/>
          <w:szCs w:val="20"/>
        </w:rPr>
        <w:t xml:space="preserve"> </w:t>
      </w:r>
    </w:p>
    <w:p w:rsidR="00000000" w:rsidRDefault="00F83A7A">
      <w:pPr>
        <w:pStyle w:val="a3"/>
        <w:spacing w:before="200" w:beforeAutospacing="0" w:after="0" w:afterAutospacing="0"/>
        <w:ind w:firstLine="555"/>
        <w:jc w:val="both"/>
        <w:rPr>
          <w:sz w:val="20"/>
          <w:szCs w:val="20"/>
        </w:rPr>
      </w:pPr>
      <w:r>
        <w:rPr>
          <w:sz w:val="20"/>
          <w:szCs w:val="20"/>
        </w:rPr>
        <w:t>In December 2016, we entered into a license agreement with Northwestern, pursuant to which Northwestern granted us an exclus</w:t>
      </w:r>
      <w:r>
        <w:rPr>
          <w:sz w:val="20"/>
          <w:szCs w:val="20"/>
        </w:rPr>
        <w:t>ive, worldwide license to patent rights in certain inventions, or the Northwestern Patent Rights, which relate to a specific compound and related methods of use for such compound, along with certain Know-How related to the practice of the inventions claime</w:t>
      </w:r>
      <w:r>
        <w:rPr>
          <w:sz w:val="20"/>
          <w:szCs w:val="20"/>
        </w:rPr>
        <w:t>d in the Northwestern Patents</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Under the Northwestern agreement, we were granted exclusive rights to research, develop, manufacture and commercialize products utilizing the Northwestern Patent Rights for all uses. We have agreed that we will not use the No</w:t>
      </w:r>
      <w:r>
        <w:rPr>
          <w:sz w:val="20"/>
          <w:szCs w:val="20"/>
        </w:rPr>
        <w:t xml:space="preserve">rthwestern Patent Rights to develop any products for the treatment of cancer, but Northwestern may not grant rights in the technology to others for use in cancer. We also have an option, exercisable during the term of the agreement to an exclusive license </w:t>
      </w:r>
      <w:r>
        <w:rPr>
          <w:sz w:val="20"/>
          <w:szCs w:val="20"/>
        </w:rPr>
        <w:t>under certain intellectual property rights covering novel compounds with the same or similar mechanism of action as the primary compound that is the subject of the license agreement. Northwestern has retained the right, on behalf of itself and other non-pr</w:t>
      </w:r>
      <w:r>
        <w:rPr>
          <w:sz w:val="20"/>
          <w:szCs w:val="20"/>
        </w:rPr>
        <w:t>ofit institutions, to use the Northwestern Patent Rights and practice the inventions claimed therein for educational and research purposes and to publish information about the inventions covered by the Northwestern Patent Rights</w:t>
      </w:r>
      <w:r>
        <w:rPr>
          <w:sz w:val="20"/>
          <w:szCs w:val="20"/>
        </w:rPr>
        <w:t>.</w:t>
      </w:r>
      <w:r>
        <w:rPr>
          <w:sz w:val="20"/>
          <w:szCs w:val="20"/>
        </w:rPr>
        <w:t xml:space="preserve"> </w:t>
      </w:r>
    </w:p>
    <w:p w:rsidR="00000000" w:rsidRDefault="00F83A7A">
      <w:pPr>
        <w:pStyle w:val="a3"/>
        <w:spacing w:before="200" w:beforeAutospacing="0" w:after="0" w:afterAutospacing="0"/>
        <w:ind w:firstLine="555"/>
        <w:jc w:val="both"/>
        <w:rPr>
          <w:sz w:val="20"/>
          <w:szCs w:val="20"/>
        </w:rPr>
      </w:pPr>
      <w:r>
        <w:rPr>
          <w:sz w:val="20"/>
          <w:szCs w:val="20"/>
        </w:rPr>
        <w:t>Upon entry into the North</w:t>
      </w:r>
      <w:r>
        <w:rPr>
          <w:sz w:val="20"/>
          <w:szCs w:val="20"/>
        </w:rPr>
        <w:t>western agreement, we paid an upfront non-creditable one-time license issuance fee of $75,000, and we are required to pay an annual license maintenance fee of $20,000, which will be creditable against any royalties payable to Northwestern following first c</w:t>
      </w:r>
      <w:r>
        <w:rPr>
          <w:sz w:val="20"/>
          <w:szCs w:val="20"/>
        </w:rPr>
        <w:t>ommercial sale of licensed products under the agreement. We are responsible for all ongoing costs of filing, prosecuting and maintaining the Northwestern Patents, but we also have the right to control such activities using our own patent counsel. In consid</w:t>
      </w:r>
      <w:r>
        <w:rPr>
          <w:sz w:val="20"/>
          <w:szCs w:val="20"/>
        </w:rPr>
        <w:t>eration for the rights granted to us under the Northwestern agreement, we are required to pay to Northwestern up to an aggregate of $5.3 million upon the achievement of certain development and regulatory milestones for the first product covered by the Nort</w:t>
      </w:r>
      <w:r>
        <w:rPr>
          <w:sz w:val="20"/>
          <w:szCs w:val="20"/>
        </w:rPr>
        <w:t>hwester</w:t>
      </w:r>
      <w:r>
        <w:rPr>
          <w:sz w:val="20"/>
          <w:szCs w:val="20"/>
        </w:rPr>
        <w:t>n</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8</w:t>
      </w:r>
    </w:p>
    <w:p w:rsidR="00000000" w:rsidRDefault="00F83A7A">
      <w:pPr>
        <w:rPr>
          <w:rFonts w:eastAsia="Times New Roman"/>
        </w:rPr>
      </w:pPr>
      <w:r>
        <w:rPr>
          <w:rFonts w:eastAsia="Times New Roman"/>
        </w:rPr>
        <w:pict>
          <v:rect id="_x0000_i1035"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rPr>
          <w:sz w:val="20"/>
          <w:szCs w:val="20"/>
        </w:rPr>
      </w:pPr>
      <w:r>
        <w:rPr>
          <w:sz w:val="20"/>
          <w:szCs w:val="20"/>
        </w:rPr>
        <w:t>Patents, and, upon commercialization of any such products, will be required to pay to Northwestern a tiered royalty on net sales of such products by the Company, its affiliates or sublicensees, at percentag</w:t>
      </w:r>
      <w:r>
        <w:rPr>
          <w:sz w:val="20"/>
          <w:szCs w:val="20"/>
        </w:rPr>
        <w:t>es in the low to mid-single-digits, subject to standard reductions and offsets. Our royalty obligations continue on a product-by-product and country-by-country basis until the later of the expiration of the last-to-expire valid claim in a licensed patent c</w:t>
      </w:r>
      <w:r>
        <w:rPr>
          <w:sz w:val="20"/>
          <w:szCs w:val="20"/>
        </w:rPr>
        <w:t>overing the applicable product in such country and 10 years following the first commercial sale of such product in such country. If Ovid sublicenses a Northwestern Patent Right, it will be obligated to pay to Northwestern a specified percentage of sublicen</w:t>
      </w:r>
      <w:r>
        <w:rPr>
          <w:sz w:val="20"/>
          <w:szCs w:val="20"/>
        </w:rPr>
        <w:t>se revenue received by us, ranging from the high single digits to the low-teens</w:t>
      </w:r>
      <w:r>
        <w:rPr>
          <w:sz w:val="20"/>
          <w:szCs w:val="20"/>
        </w:rPr>
        <w:t>.</w:t>
      </w:r>
      <w:r>
        <w:rPr>
          <w:sz w:val="20"/>
          <w:szCs w:val="20"/>
        </w:rPr>
        <w:t xml:space="preserve"> </w:t>
      </w:r>
    </w:p>
    <w:p w:rsidR="00000000" w:rsidRDefault="00F83A7A">
      <w:pPr>
        <w:pStyle w:val="a3"/>
        <w:spacing w:before="200" w:beforeAutospacing="0" w:after="0" w:afterAutospacing="0"/>
        <w:ind w:firstLine="555"/>
        <w:jc w:val="both"/>
        <w:rPr>
          <w:sz w:val="20"/>
          <w:szCs w:val="20"/>
        </w:rPr>
      </w:pPr>
      <w:r>
        <w:rPr>
          <w:sz w:val="20"/>
          <w:szCs w:val="20"/>
        </w:rPr>
        <w:t>The Northwestern agreement requires that we use commercially reasonable efforts to develop and commercialize at least one product that is covered by the Northwestern Patent R</w:t>
      </w:r>
      <w:r>
        <w:rPr>
          <w:sz w:val="20"/>
          <w:szCs w:val="20"/>
        </w:rPr>
        <w:t>ights</w:t>
      </w:r>
      <w:r>
        <w:rPr>
          <w:sz w:val="20"/>
          <w:szCs w:val="20"/>
        </w:rPr>
        <w:t>.</w:t>
      </w:r>
      <w:r>
        <w:rPr>
          <w:sz w:val="20"/>
          <w:szCs w:val="20"/>
        </w:rPr>
        <w:t xml:space="preserve"> </w:t>
      </w:r>
    </w:p>
    <w:p w:rsidR="00000000" w:rsidRDefault="00F83A7A">
      <w:pPr>
        <w:pStyle w:val="a3"/>
        <w:spacing w:before="200" w:beforeAutospacing="0" w:after="0" w:afterAutospacing="0"/>
        <w:ind w:firstLine="555"/>
        <w:jc w:val="both"/>
        <w:rPr>
          <w:sz w:val="20"/>
          <w:szCs w:val="20"/>
        </w:rPr>
      </w:pPr>
      <w:r>
        <w:rPr>
          <w:sz w:val="20"/>
          <w:szCs w:val="20"/>
        </w:rPr>
        <w:t xml:space="preserve">Unless earlier terminated, the Northwestern agreement will remain in force until the expiration of our payment obligations thereunder. We have the right to terminate the agreement for any reason upon prior written notice or for an uncured material </w:t>
      </w:r>
      <w:r>
        <w:rPr>
          <w:sz w:val="20"/>
          <w:szCs w:val="20"/>
        </w:rPr>
        <w:t>breach by Northwestern. Northwestern may terminate the agreement for our uncured material breach or insolvency</w:t>
      </w:r>
      <w:r>
        <w:rPr>
          <w:sz w:val="20"/>
          <w:szCs w:val="20"/>
        </w:rPr>
        <w:t>.</w:t>
      </w:r>
      <w:r>
        <w:rPr>
          <w:sz w:val="20"/>
          <w:szCs w:val="20"/>
        </w:rPr>
        <w:t xml:space="preserve"> </w:t>
      </w:r>
    </w:p>
    <w:p w:rsidR="00000000" w:rsidRDefault="00F83A7A">
      <w:pPr>
        <w:pStyle w:val="a3"/>
        <w:spacing w:before="200" w:beforeAutospacing="0" w:after="0" w:afterAutospacing="0"/>
        <w:jc w:val="both"/>
        <w:rPr>
          <w:sz w:val="20"/>
          <w:szCs w:val="20"/>
        </w:rPr>
      </w:pPr>
      <w:r>
        <w:rPr>
          <w:b/>
          <w:bCs/>
          <w:sz w:val="20"/>
          <w:szCs w:val="20"/>
        </w:rPr>
        <w:t>Sales and Marketin</w:t>
      </w:r>
      <w:r>
        <w:rPr>
          <w:b/>
          <w:bCs/>
          <w:sz w:val="20"/>
          <w:szCs w:val="20"/>
        </w:rPr>
        <w:t>g</w:t>
      </w:r>
    </w:p>
    <w:p w:rsidR="00000000" w:rsidRDefault="00F83A7A">
      <w:pPr>
        <w:pStyle w:val="a3"/>
        <w:spacing w:before="200" w:beforeAutospacing="0" w:after="0" w:afterAutospacing="0"/>
        <w:ind w:firstLine="555"/>
        <w:jc w:val="both"/>
        <w:rPr>
          <w:sz w:val="20"/>
          <w:szCs w:val="20"/>
        </w:rPr>
      </w:pPr>
      <w:r>
        <w:rPr>
          <w:sz w:val="20"/>
          <w:szCs w:val="20"/>
        </w:rPr>
        <w:t>Given our stage of development, we have not yet established a commercial organization or distribution capabilities. However</w:t>
      </w:r>
      <w:r>
        <w:rPr>
          <w:sz w:val="20"/>
          <w:szCs w:val="20"/>
        </w:rPr>
        <w:t xml:space="preserve">, we do have internal market access capabilities that inform our pipeline strategy and execution. As our pipeline assets move into the clinic in the future, we intend to build focused capabilities to commercialize our programs focused on rare disorders of </w:t>
      </w:r>
      <w:r>
        <w:rPr>
          <w:sz w:val="20"/>
          <w:szCs w:val="20"/>
        </w:rPr>
        <w:t>the brain. In markets for which commercialization may be less capital efficient for us, we may selectively pursue strategic collaborations with third parties in order to maximize the commercial potential of our drug candidates</w:t>
      </w:r>
      <w:r>
        <w:rPr>
          <w:sz w:val="20"/>
          <w:szCs w:val="20"/>
        </w:rPr>
        <w:t>.</w:t>
      </w:r>
      <w:r>
        <w:rPr>
          <w:sz w:val="20"/>
          <w:szCs w:val="20"/>
        </w:rPr>
        <w:t xml:space="preserve"> </w:t>
      </w:r>
    </w:p>
    <w:p w:rsidR="00000000" w:rsidRDefault="00F83A7A">
      <w:pPr>
        <w:pStyle w:val="a3"/>
        <w:spacing w:before="200" w:beforeAutospacing="0" w:after="0" w:afterAutospacing="0"/>
        <w:jc w:val="both"/>
        <w:rPr>
          <w:sz w:val="20"/>
          <w:szCs w:val="20"/>
        </w:rPr>
      </w:pPr>
      <w:r>
        <w:rPr>
          <w:b/>
          <w:bCs/>
          <w:sz w:val="20"/>
          <w:szCs w:val="20"/>
        </w:rPr>
        <w:t>Manufacturing and Suppl</w:t>
      </w:r>
      <w:r>
        <w:rPr>
          <w:b/>
          <w:bCs/>
          <w:sz w:val="20"/>
          <w:szCs w:val="20"/>
        </w:rPr>
        <w:t>y</w:t>
      </w:r>
    </w:p>
    <w:p w:rsidR="00000000" w:rsidRDefault="00F83A7A">
      <w:pPr>
        <w:pStyle w:val="a3"/>
        <w:spacing w:before="200" w:beforeAutospacing="0" w:after="0" w:afterAutospacing="0"/>
        <w:ind w:firstLine="555"/>
        <w:jc w:val="both"/>
        <w:rPr>
          <w:sz w:val="20"/>
          <w:szCs w:val="20"/>
        </w:rPr>
      </w:pPr>
      <w:r>
        <w:rPr>
          <w:sz w:val="20"/>
          <w:szCs w:val="20"/>
        </w:rPr>
        <w:t>We</w:t>
      </w:r>
      <w:r>
        <w:rPr>
          <w:sz w:val="20"/>
          <w:szCs w:val="20"/>
        </w:rPr>
        <w:t xml:space="preserve"> currently outsource all manufacturing, and we intend to use our collaborators and contract manufacturers for the foreseeable future. However, certain members of our management have broad experience in manufacturing, which we believe may provide a competit</w:t>
      </w:r>
      <w:r>
        <w:rPr>
          <w:sz w:val="20"/>
          <w:szCs w:val="20"/>
        </w:rPr>
        <w:t>ive advantage</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Competitio</w:t>
      </w:r>
      <w:r>
        <w:rPr>
          <w:b/>
          <w:bCs/>
          <w:sz w:val="20"/>
          <w:szCs w:val="20"/>
        </w:rPr>
        <w:t>n</w:t>
      </w:r>
    </w:p>
    <w:p w:rsidR="00000000" w:rsidRDefault="00F83A7A">
      <w:pPr>
        <w:pStyle w:val="a3"/>
        <w:spacing w:before="200" w:beforeAutospacing="0" w:after="0" w:afterAutospacing="0"/>
        <w:ind w:firstLine="555"/>
        <w:jc w:val="both"/>
        <w:rPr>
          <w:sz w:val="20"/>
          <w:szCs w:val="20"/>
        </w:rPr>
      </w:pPr>
      <w:r>
        <w:rPr>
          <w:sz w:val="20"/>
          <w:szCs w:val="20"/>
        </w:rPr>
        <w:t>We believe Zogenix, Inc. (which is set to be acquired by UCB in 2022), Jazz Pharmaceuticals Inc., Sage Therapeutics, Inc., Marinus Pharmaceuticals, Inc., Mallinckrodt Pharmaceuticals, Inc., Stoke Therapeutics, Inc., Ultragenyx, R</w:t>
      </w:r>
      <w:r>
        <w:rPr>
          <w:sz w:val="20"/>
          <w:szCs w:val="20"/>
        </w:rPr>
        <w:t>oche, and PTC Therapeutics, Inc. and Xenon Pharmaceuticals, Inc. are our most direct competitors with respect to soticlestat, OV329 and OV350</w:t>
      </w:r>
      <w:r>
        <w:rPr>
          <w:sz w:val="20"/>
          <w:szCs w:val="20"/>
        </w:rPr>
        <w:t>.</w:t>
      </w:r>
      <w:r>
        <w:rPr>
          <w:sz w:val="20"/>
          <w:szCs w:val="20"/>
        </w:rPr>
        <w:t xml:space="preserve"> </w:t>
      </w:r>
    </w:p>
    <w:p w:rsidR="00000000" w:rsidRDefault="00F83A7A">
      <w:pPr>
        <w:pStyle w:val="a3"/>
        <w:spacing w:before="200" w:beforeAutospacing="0" w:after="0" w:afterAutospacing="0"/>
        <w:ind w:firstLine="555"/>
        <w:jc w:val="both"/>
        <w:rPr>
          <w:sz w:val="20"/>
          <w:szCs w:val="20"/>
        </w:rPr>
      </w:pPr>
      <w:r>
        <w:rPr>
          <w:sz w:val="20"/>
          <w:szCs w:val="20"/>
        </w:rPr>
        <w:t>Drug development is highly competitive and subject to rapid and significant technological advancements. Our abil</w:t>
      </w:r>
      <w:r>
        <w:rPr>
          <w:sz w:val="20"/>
          <w:szCs w:val="20"/>
        </w:rPr>
        <w:t>ity to compete will significantly depend upon our ability to complete necessary clinical trials and regulatory approval processes, and effectively market any drug that we may successfully develop. Our current and potential future competitors include pharma</w:t>
      </w:r>
      <w:r>
        <w:rPr>
          <w:sz w:val="20"/>
          <w:szCs w:val="20"/>
        </w:rPr>
        <w:t>ceutical and biotechnology companies, academic institutions and government agencies. The primary competitive factors that will affect the commercial success of any drug candidate for which we may receive marketing approval include efficacy, safety and tole</w:t>
      </w:r>
      <w:r>
        <w:rPr>
          <w:sz w:val="20"/>
          <w:szCs w:val="20"/>
        </w:rPr>
        <w:t xml:space="preserve">rability profile, dosing convenience, price, coverage and reimbursement. Many of our existing or potential competitors have substantially greater financial, technical and human resources than we do and significantly greater experience in the discovery and </w:t>
      </w:r>
      <w:r>
        <w:rPr>
          <w:sz w:val="20"/>
          <w:szCs w:val="20"/>
        </w:rPr>
        <w:t>development of drug candidates, as well as in obtaining regulatory approvals of those drug candidates in the United States and in foreign countries</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 xml:space="preserve">Our current and potential future competitors also have significantly more experience commercializing drugs </w:t>
      </w:r>
      <w:r>
        <w:rPr>
          <w:sz w:val="20"/>
          <w:szCs w:val="20"/>
        </w:rPr>
        <w:t>that have been approved for marketing. Mergers and acquisitions in the pharmaceutical and biotechnology industries could result in even more resources being concentrated among a small number of our competitors</w:t>
      </w:r>
      <w:r>
        <w:rPr>
          <w:sz w:val="20"/>
          <w:szCs w:val="20"/>
        </w:rPr>
        <w:t>.</w:t>
      </w:r>
    </w:p>
    <w:p w:rsidR="00000000" w:rsidRDefault="00F83A7A">
      <w:pPr>
        <w:pStyle w:val="a3"/>
        <w:spacing w:before="240" w:beforeAutospacing="0" w:after="0" w:afterAutospacing="0"/>
        <w:jc w:val="center"/>
        <w:rPr>
          <w:sz w:val="20"/>
          <w:szCs w:val="20"/>
        </w:rPr>
      </w:pPr>
      <w:r>
        <w:rPr>
          <w:sz w:val="20"/>
          <w:szCs w:val="20"/>
        </w:rPr>
        <w:t>9</w:t>
      </w:r>
    </w:p>
    <w:p w:rsidR="00000000" w:rsidRDefault="00F83A7A">
      <w:pPr>
        <w:rPr>
          <w:rFonts w:eastAsia="Times New Roman"/>
        </w:rPr>
      </w:pPr>
      <w:r>
        <w:rPr>
          <w:rFonts w:eastAsia="Times New Roman"/>
        </w:rPr>
        <w:pict>
          <v:rect id="_x0000_i1036"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ind w:firstLine="555"/>
        <w:jc w:val="both"/>
        <w:rPr>
          <w:sz w:val="20"/>
          <w:szCs w:val="20"/>
        </w:rPr>
      </w:pPr>
      <w:r>
        <w:rPr>
          <w:sz w:val="20"/>
          <w:szCs w:val="20"/>
        </w:rPr>
        <w:t>Accordingly, our competitors may be more successful than us in obtaining regulatory approval for therapies and in achieving widespread market acceptance of their drugs. It is also possible that the development of a cure or more effective treatment method f</w:t>
      </w:r>
      <w:r>
        <w:rPr>
          <w:sz w:val="20"/>
          <w:szCs w:val="20"/>
        </w:rPr>
        <w:t>or the disorders we are targeting by a competitor could render our current or future drug candidates non-competitive or obsolete or reduce the demand for our drug candidates before we can recover our development and commercialization expenses</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Intellectual</w:t>
      </w:r>
      <w:r>
        <w:rPr>
          <w:b/>
          <w:bCs/>
          <w:sz w:val="20"/>
          <w:szCs w:val="20"/>
        </w:rPr>
        <w:t xml:space="preserve"> Propert</w:t>
      </w:r>
      <w:r>
        <w:rPr>
          <w:b/>
          <w:bCs/>
          <w:sz w:val="20"/>
          <w:szCs w:val="20"/>
        </w:rPr>
        <w:t>y</w:t>
      </w:r>
    </w:p>
    <w:p w:rsidR="00000000" w:rsidRDefault="00F83A7A">
      <w:pPr>
        <w:pStyle w:val="a3"/>
        <w:spacing w:before="200" w:beforeAutospacing="0" w:after="0" w:afterAutospacing="0"/>
        <w:ind w:firstLine="555"/>
        <w:jc w:val="both"/>
        <w:rPr>
          <w:sz w:val="20"/>
          <w:szCs w:val="20"/>
        </w:rPr>
      </w:pPr>
      <w:r>
        <w:rPr>
          <w:sz w:val="20"/>
          <w:szCs w:val="20"/>
        </w:rPr>
        <w:t>Our commercial success depends in part on our ability to obtain and maintain proprietary protection for our current and future drug candidates, novel discoveries, product development technologies and know-how, to operate without infringing on the</w:t>
      </w:r>
      <w:r>
        <w:rPr>
          <w:sz w:val="20"/>
          <w:szCs w:val="20"/>
        </w:rPr>
        <w:t xml:space="preserve"> proprietary rights of others and to prevent others from infringing our proprietary rights. Our policy is to seek to protect our proprietary position by, among other methods, filing or in-licensing U.S. and foreign patents and patent applications related t</w:t>
      </w:r>
      <w:r>
        <w:rPr>
          <w:sz w:val="20"/>
          <w:szCs w:val="20"/>
        </w:rPr>
        <w:t>o technology, inventions and improvements that are important to the development and implementation of our business. We also rely on trademarks, trade secrets, copyright protection, know-how, continuing technological innovation and potential in-licensing op</w:t>
      </w:r>
      <w:r>
        <w:rPr>
          <w:sz w:val="20"/>
          <w:szCs w:val="20"/>
        </w:rPr>
        <w:t>portunities to develop and maintain our proprietary position. For example, the proprietary map of disease-relevant biological pathways underlying orphan disorders of the brain that we developed would not be appropriate for patent protection and, as a resul</w:t>
      </w:r>
      <w:r>
        <w:rPr>
          <w:sz w:val="20"/>
          <w:szCs w:val="20"/>
        </w:rPr>
        <w:t>t, we rely on trade secrets to protect this aspect of our business</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While we seek broad coverage under our existing patent applications, there is always a risk that an alteration to the product or process may provide sufficient basis for a competitor to av</w:t>
      </w:r>
      <w:r>
        <w:rPr>
          <w:sz w:val="20"/>
          <w:szCs w:val="20"/>
        </w:rPr>
        <w:t>oid infringement claims. In addition, the coverage claimed in a patent application can be significantly reduced before a patent is issued and courts can reinterpret patent scope after issuance. Moreover, many jurisdictions including the United States permi</w:t>
      </w:r>
      <w:r>
        <w:rPr>
          <w:sz w:val="20"/>
          <w:szCs w:val="20"/>
        </w:rPr>
        <w:t>t third parties to challenge issued patents in administrative proceedings, which may result in further narrowing or even cancellation of patent claims. Moreover, we cannot provide any assurance that any patents will be issued from our pending or any future</w:t>
      </w:r>
      <w:r>
        <w:rPr>
          <w:sz w:val="20"/>
          <w:szCs w:val="20"/>
        </w:rPr>
        <w:t xml:space="preserve"> applications or that any potentially issued patents will adequately protect our intellectual property</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We currently own issued U.S. patents directed to treatment of Angelman syndrome and Fragile X syndrome with OV101 that expire in 2035, excluding any reg</w:t>
      </w:r>
      <w:r>
        <w:rPr>
          <w:sz w:val="20"/>
          <w:szCs w:val="20"/>
        </w:rPr>
        <w:t>ulatory extensions. We also have exclusively licensed a portfolio of issued U.S. and international patents from Lundbeck directed to polymorphic forms of OV101 and their preparation, and these patents expire on dates ranging from 2025 to 2028. In addition,</w:t>
      </w:r>
      <w:r>
        <w:rPr>
          <w:sz w:val="20"/>
          <w:szCs w:val="20"/>
        </w:rPr>
        <w:t xml:space="preserve"> we have exclusively licensed from Lundbeck an issued U.S. patent that will expire in 2036 and a pending application directed to an OV101 manufacturing processes that, if issued, would have a statutory expiration in 2036. We have also filed, and own, multi</w:t>
      </w:r>
      <w:r>
        <w:rPr>
          <w:sz w:val="20"/>
          <w:szCs w:val="20"/>
        </w:rPr>
        <w:t>ple patent families directed to methods of treatment and formulations with OV101. Additional issued patents and pending applications are directed to methods of treating neurodegenerative diseases and developmental disorders. We are seeking or will seek pat</w:t>
      </w:r>
      <w:r>
        <w:rPr>
          <w:sz w:val="20"/>
          <w:szCs w:val="20"/>
        </w:rPr>
        <w:t>ent protection for these inventions in numerous countries and regions including, among others, Europe, Australia, Canada, Mexico, Israel, Japan, China, and Korea</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We licensed from Takeda a portfolio of U.S. and international patents and applications direct</w:t>
      </w:r>
      <w:r>
        <w:rPr>
          <w:sz w:val="20"/>
          <w:szCs w:val="20"/>
        </w:rPr>
        <w:t>ed to the soticlestat composition of matter, and these patents and applications expire in 2032, excluding any regulatory extensions</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Individual patents extend for varying periods depending on the date of filing of the patent application or the date of pate</w:t>
      </w:r>
      <w:r>
        <w:rPr>
          <w:sz w:val="20"/>
          <w:szCs w:val="20"/>
        </w:rPr>
        <w:t>nt issuance and the legal term of patents in the countries in which they are obtained. Generally, utility patents issued for applications filed in the United States are granted a term of 20 years from the earliest effective filing date of a non-provisional</w:t>
      </w:r>
      <w:r>
        <w:rPr>
          <w:sz w:val="20"/>
          <w:szCs w:val="20"/>
        </w:rPr>
        <w:t xml:space="preserve"> patent application. In addition, in certain instances, a patent term can be extended to recapture a portion of the U.S. Patent and Trademark Office, or the USPTO, delay in issuing the patent as well as a portion of the term effectively lost as a result of</w:t>
      </w:r>
      <w:r>
        <w:rPr>
          <w:sz w:val="20"/>
          <w:szCs w:val="20"/>
        </w:rPr>
        <w:t xml:space="preserve"> the FDA regulatory review period. However, as to the FDA component, the restoration period cannot be longer than five years and the total patent term including the restoration period must not exceed 14 years following FDA approval. The duration of foreign</w:t>
      </w:r>
      <w:r>
        <w:rPr>
          <w:sz w:val="20"/>
          <w:szCs w:val="20"/>
        </w:rPr>
        <w:t xml:space="preserve"> patents varies in accordance with provisions of applicable local law, but typically is also 20 years from the earliest effective filing date. The actual protection afforded by a patent may vary on a product-by-product basis, from country to country and ca</w:t>
      </w:r>
      <w:r>
        <w:rPr>
          <w:sz w:val="20"/>
          <w:szCs w:val="20"/>
        </w:rPr>
        <w:t>n depend upon many factors, including the type of patent, the scope of its coverage, the availability of regulatory-related extensions, the availability of legal remedies in a particular country and the validity and enforceability of the patent</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Furthermor</w:t>
      </w:r>
      <w:r>
        <w:rPr>
          <w:sz w:val="20"/>
          <w:szCs w:val="20"/>
        </w:rPr>
        <w:t>e, we rely upon trade secrets and know-how and continuing technological innovation to develop and maintain our competitive position. We seek to protect our proprietary information, in part, using confidentiality agreements with our employees and consultant</w:t>
      </w:r>
      <w:r>
        <w:rPr>
          <w:sz w:val="20"/>
          <w:szCs w:val="20"/>
        </w:rPr>
        <w:t>s and any potential commercial partners and collaborators and invention assignment agreements with our employees. We also have or intend to implement confidentiality agreements or invention assignment agreements with our selected consultants and any potent</w:t>
      </w:r>
      <w:r>
        <w:rPr>
          <w:sz w:val="20"/>
          <w:szCs w:val="20"/>
        </w:rPr>
        <w:t>ial commercial partners. These agreements are designed to protect our proprietary information and, in the case of the invention assignment agreements, to grant us ownership of technologies that are developed through a relationship with a third party. These</w:t>
      </w:r>
      <w:r>
        <w:rPr>
          <w:sz w:val="20"/>
          <w:szCs w:val="20"/>
        </w:rPr>
        <w:t xml:space="preserve"> agreements may be breached, and we may not have adequate remedies for any breach. In addition, our trade secrets may otherwise become known or be independently discovered by competitors. To the extent that our commercial partners, collaborators, employees</w:t>
      </w:r>
      <w:r>
        <w:rPr>
          <w:sz w:val="20"/>
          <w:szCs w:val="20"/>
        </w:rPr>
        <w:t xml:space="preserve"> and consultants use intellectual property owned by others in their work for us, disputes may arise as to the rights in related or resulting know-how and inventions</w:t>
      </w:r>
      <w:r>
        <w:rPr>
          <w:sz w:val="20"/>
          <w:szCs w:val="20"/>
        </w:rPr>
        <w:t>.</w:t>
      </w:r>
    </w:p>
    <w:p w:rsidR="00000000" w:rsidRDefault="00F83A7A">
      <w:pPr>
        <w:pStyle w:val="a3"/>
        <w:spacing w:before="240" w:beforeAutospacing="0" w:after="0" w:afterAutospacing="0"/>
        <w:jc w:val="center"/>
        <w:rPr>
          <w:sz w:val="20"/>
          <w:szCs w:val="20"/>
        </w:rPr>
      </w:pPr>
      <w:r>
        <w:rPr>
          <w:sz w:val="20"/>
          <w:szCs w:val="20"/>
        </w:rPr>
        <w:t>1</w:t>
      </w:r>
      <w:r>
        <w:rPr>
          <w:sz w:val="20"/>
          <w:szCs w:val="20"/>
        </w:rPr>
        <w:t>0</w:t>
      </w:r>
    </w:p>
    <w:p w:rsidR="00000000" w:rsidRDefault="00F83A7A">
      <w:pPr>
        <w:rPr>
          <w:rFonts w:eastAsia="Times New Roman"/>
        </w:rPr>
      </w:pPr>
      <w:r>
        <w:rPr>
          <w:rFonts w:eastAsia="Times New Roman"/>
        </w:rPr>
        <w:pict>
          <v:rect id="_x0000_i1037"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ind w:firstLine="555"/>
        <w:jc w:val="both"/>
        <w:rPr>
          <w:sz w:val="20"/>
          <w:szCs w:val="20"/>
        </w:rPr>
      </w:pPr>
      <w:r>
        <w:rPr>
          <w:sz w:val="20"/>
          <w:szCs w:val="20"/>
        </w:rPr>
        <w:t xml:space="preserve">Our commercial success will also depend in part on not infringing upon the proprietary rights of third parties. It is uncertain whether the issuance of any third-party patent would require us to alter our development or commercial strategies, or our drugs </w:t>
      </w:r>
      <w:r>
        <w:rPr>
          <w:sz w:val="20"/>
          <w:szCs w:val="20"/>
        </w:rPr>
        <w:t>or processes, obtain licenses or cease certain activities. Our breach of any license agreements or failure to obtain a license to proprietary rights that we may require to develop or commercialize our future drugs may have an adverse impact on us. Since pa</w:t>
      </w:r>
      <w:r>
        <w:rPr>
          <w:sz w:val="20"/>
          <w:szCs w:val="20"/>
        </w:rPr>
        <w:t>tent applications in the United States and certain other jurisdictions are maintained in secrecy for 18 months or potentially longer, and since publication of discoveries in the scientific or patent literature often lags behind actual discoveries, we canno</w:t>
      </w:r>
      <w:r>
        <w:rPr>
          <w:sz w:val="20"/>
          <w:szCs w:val="20"/>
        </w:rPr>
        <w:t>t be certain of the priority of inventions covered by pending patent applications. Moreover, we may have to participate in Interference, Derivation, Reexam, Post-Grant Review, Inter Partes Review, or Opposition proceedings brought by third parties or decla</w:t>
      </w:r>
      <w:r>
        <w:rPr>
          <w:sz w:val="20"/>
          <w:szCs w:val="20"/>
        </w:rPr>
        <w:t>red by the USPTO</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Government Regulatio</w:t>
      </w:r>
      <w:r>
        <w:rPr>
          <w:b/>
          <w:bCs/>
          <w:sz w:val="20"/>
          <w:szCs w:val="20"/>
        </w:rPr>
        <w:t>n</w:t>
      </w:r>
    </w:p>
    <w:p w:rsidR="00000000" w:rsidRDefault="00F83A7A">
      <w:pPr>
        <w:pStyle w:val="a3"/>
        <w:spacing w:before="200" w:beforeAutospacing="0" w:after="0" w:afterAutospacing="0"/>
        <w:ind w:firstLine="555"/>
        <w:jc w:val="both"/>
        <w:rPr>
          <w:sz w:val="20"/>
          <w:szCs w:val="20"/>
        </w:rPr>
      </w:pPr>
      <w:r>
        <w:rPr>
          <w:sz w:val="20"/>
          <w:szCs w:val="20"/>
        </w:rPr>
        <w:t>The FDA and regulatory authorities in state and local jurisdictions and in other countries impose substantial and burdensome requirements upon companies involved in the clinical development, manufacture, marketing an</w:t>
      </w:r>
      <w:r>
        <w:rPr>
          <w:sz w:val="20"/>
          <w:szCs w:val="20"/>
        </w:rPr>
        <w:t>d distribution of drugs, such as those we are developing. These agencies and other federal, state and local entities regulate, among other things, the research and development, testing, manufacture, quality control, safety, effectiveness, labeling, storage</w:t>
      </w:r>
      <w:r>
        <w:rPr>
          <w:sz w:val="20"/>
          <w:szCs w:val="20"/>
        </w:rPr>
        <w:t>, record keeping, approval, advertising and promotion, distribution, post-approval monitoring and reporting, sampling and export and import of drugs and drug candidates</w:t>
      </w:r>
      <w:r>
        <w:rPr>
          <w:sz w:val="20"/>
          <w:szCs w:val="20"/>
        </w:rPr>
        <w:t>.</w:t>
      </w:r>
    </w:p>
    <w:p w:rsidR="00000000" w:rsidRDefault="00F83A7A">
      <w:pPr>
        <w:pStyle w:val="a3"/>
        <w:spacing w:before="200" w:beforeAutospacing="0" w:after="0" w:afterAutospacing="0"/>
        <w:ind w:left="238"/>
        <w:jc w:val="both"/>
        <w:rPr>
          <w:sz w:val="20"/>
          <w:szCs w:val="20"/>
        </w:rPr>
      </w:pPr>
      <w:r>
        <w:rPr>
          <w:b/>
          <w:bCs/>
          <w:i/>
          <w:iCs/>
          <w:sz w:val="20"/>
          <w:szCs w:val="20"/>
        </w:rPr>
        <w:t>U.S. Government Regulatio</w:t>
      </w:r>
      <w:r>
        <w:rPr>
          <w:b/>
          <w:bCs/>
          <w:i/>
          <w:iCs/>
          <w:sz w:val="20"/>
          <w:szCs w:val="20"/>
        </w:rPr>
        <w:t>n</w:t>
      </w:r>
    </w:p>
    <w:p w:rsidR="00000000" w:rsidRDefault="00F83A7A">
      <w:pPr>
        <w:pStyle w:val="a3"/>
        <w:spacing w:before="200" w:beforeAutospacing="0" w:after="0" w:afterAutospacing="0"/>
        <w:ind w:firstLine="555"/>
        <w:jc w:val="both"/>
        <w:rPr>
          <w:sz w:val="20"/>
          <w:szCs w:val="20"/>
        </w:rPr>
      </w:pPr>
      <w:r>
        <w:rPr>
          <w:sz w:val="20"/>
          <w:szCs w:val="20"/>
        </w:rPr>
        <w:t>In the United States, the FDA regulates drugs under the Fed</w:t>
      </w:r>
      <w:r>
        <w:rPr>
          <w:sz w:val="20"/>
          <w:szCs w:val="20"/>
        </w:rPr>
        <w:t>eral Food, Drug, and Cosmetic Act, or FDCA, and its implementing regulations. The process of obtaining regulatory approvals and the subsequent compliance with applicable federal, state, local and foreign statutes and regulations requires the expenditure of</w:t>
      </w:r>
      <w:r>
        <w:rPr>
          <w:sz w:val="20"/>
          <w:szCs w:val="20"/>
        </w:rPr>
        <w:t xml:space="preserve"> substantial time and financial resources. Failure to comply with the applicable U.S. requirements at any time during the product development process, approval process or after approval, may subject an applicant to a variety of administrative or judicial s</w:t>
      </w:r>
      <w:r>
        <w:rPr>
          <w:sz w:val="20"/>
          <w:szCs w:val="20"/>
        </w:rPr>
        <w:t>anctions, such as the FDA’s refusal to approve pending New Drug Applications (NDAs) or Biologics License Applications (BLAs), withdrawal of an approval, imposition of a clinical hold, issuance of warning letters, product recalls, product seizures, total or</w:t>
      </w:r>
      <w:r>
        <w:rPr>
          <w:sz w:val="20"/>
          <w:szCs w:val="20"/>
        </w:rPr>
        <w:t xml:space="preserve"> partial suspension of production or distribution, injunctions, fines, refusals of government contracts, restitution, disgorgement or civil or criminal penalties</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The process required by the FDA before a drug product may be marketed in the United States ge</w:t>
      </w:r>
      <w:r>
        <w:rPr>
          <w:sz w:val="20"/>
          <w:szCs w:val="20"/>
        </w:rPr>
        <w:t>nerally involves the following</w:t>
      </w:r>
      <w:r>
        <w:rPr>
          <w:sz w:val="20"/>
          <w:szCs w:val="20"/>
        </w:rPr>
        <w:t>:</w:t>
      </w:r>
    </w:p>
    <w:p w:rsidR="00000000" w:rsidRDefault="00F83A7A">
      <w:pPr>
        <w:jc w:val="both"/>
        <w:divId w:val="1332218974"/>
        <w:rPr>
          <w:rFonts w:eastAsia="Times New Roman"/>
        </w:rPr>
      </w:pPr>
      <w:r>
        <w:rPr>
          <w:rFonts w:eastAsia="Times New Roman"/>
          <w:sz w:val="20"/>
          <w:szCs w:val="20"/>
        </w:rPr>
        <w:t>•</w:t>
      </w:r>
    </w:p>
    <w:p w:rsidR="00000000" w:rsidRDefault="00F83A7A">
      <w:pPr>
        <w:jc w:val="both"/>
        <w:divId w:val="581570566"/>
        <w:rPr>
          <w:rFonts w:eastAsia="Times New Roman"/>
        </w:rPr>
      </w:pPr>
      <w:r>
        <w:rPr>
          <w:rFonts w:eastAsia="Times New Roman"/>
          <w:sz w:val="20"/>
          <w:szCs w:val="20"/>
        </w:rPr>
        <w:t>completion of preclinical laboratory tests, animal studies and formulation studies in compliance with the FDA’s good laboratory practice, or GLP, regulations</w:t>
      </w:r>
      <w:r>
        <w:rPr>
          <w:rFonts w:eastAsia="Times New Roman"/>
          <w:sz w:val="20"/>
          <w:szCs w:val="20"/>
        </w:rPr>
        <w:t>.</w:t>
      </w:r>
    </w:p>
    <w:p w:rsidR="00000000" w:rsidRDefault="00F83A7A">
      <w:pPr>
        <w:jc w:val="both"/>
        <w:divId w:val="1944266919"/>
        <w:rPr>
          <w:rFonts w:eastAsia="Times New Roman"/>
        </w:rPr>
      </w:pPr>
      <w:r>
        <w:rPr>
          <w:rFonts w:eastAsia="Times New Roman"/>
          <w:sz w:val="20"/>
          <w:szCs w:val="20"/>
        </w:rPr>
        <w:t>•</w:t>
      </w:r>
    </w:p>
    <w:p w:rsidR="00000000" w:rsidRDefault="00F83A7A">
      <w:pPr>
        <w:jc w:val="both"/>
        <w:divId w:val="191842165"/>
        <w:rPr>
          <w:rFonts w:eastAsia="Times New Roman"/>
        </w:rPr>
      </w:pPr>
      <w:r>
        <w:rPr>
          <w:rFonts w:eastAsia="Times New Roman"/>
          <w:sz w:val="20"/>
          <w:szCs w:val="20"/>
        </w:rPr>
        <w:t>submission to the FDA of an IND which must become effective before human clinical trials may begin</w:t>
      </w:r>
      <w:r>
        <w:rPr>
          <w:rFonts w:eastAsia="Times New Roman"/>
          <w:sz w:val="20"/>
          <w:szCs w:val="20"/>
        </w:rPr>
        <w:t>.</w:t>
      </w:r>
    </w:p>
    <w:p w:rsidR="00000000" w:rsidRDefault="00F83A7A">
      <w:pPr>
        <w:jc w:val="both"/>
        <w:divId w:val="694238064"/>
        <w:rPr>
          <w:rFonts w:eastAsia="Times New Roman"/>
        </w:rPr>
      </w:pPr>
      <w:r>
        <w:rPr>
          <w:rFonts w:eastAsia="Times New Roman"/>
          <w:sz w:val="20"/>
          <w:szCs w:val="20"/>
        </w:rPr>
        <w:t>•</w:t>
      </w:r>
    </w:p>
    <w:p w:rsidR="00000000" w:rsidRDefault="00F83A7A">
      <w:pPr>
        <w:jc w:val="both"/>
        <w:divId w:val="879246675"/>
        <w:rPr>
          <w:rFonts w:eastAsia="Times New Roman"/>
        </w:rPr>
      </w:pPr>
      <w:r>
        <w:rPr>
          <w:rFonts w:eastAsia="Times New Roman"/>
          <w:sz w:val="20"/>
          <w:szCs w:val="20"/>
        </w:rPr>
        <w:t>approval by an independent institutional review board, or IRB, at each clinical site before each trial may be initiated</w:t>
      </w:r>
      <w:r>
        <w:rPr>
          <w:rFonts w:eastAsia="Times New Roman"/>
          <w:sz w:val="20"/>
          <w:szCs w:val="20"/>
        </w:rPr>
        <w:t>.</w:t>
      </w:r>
    </w:p>
    <w:p w:rsidR="00000000" w:rsidRDefault="00F83A7A">
      <w:pPr>
        <w:jc w:val="both"/>
        <w:divId w:val="1117333405"/>
        <w:rPr>
          <w:rFonts w:eastAsia="Times New Roman"/>
        </w:rPr>
      </w:pPr>
      <w:r>
        <w:rPr>
          <w:rFonts w:eastAsia="Times New Roman"/>
          <w:sz w:val="20"/>
          <w:szCs w:val="20"/>
        </w:rPr>
        <w:t>•</w:t>
      </w:r>
    </w:p>
    <w:p w:rsidR="00000000" w:rsidRDefault="00F83A7A">
      <w:pPr>
        <w:jc w:val="both"/>
        <w:divId w:val="1445803103"/>
        <w:rPr>
          <w:rFonts w:eastAsia="Times New Roman"/>
        </w:rPr>
      </w:pPr>
      <w:r>
        <w:rPr>
          <w:rFonts w:eastAsia="Times New Roman"/>
          <w:sz w:val="20"/>
          <w:szCs w:val="20"/>
        </w:rPr>
        <w:t>performance of adequate and wel</w:t>
      </w:r>
      <w:r>
        <w:rPr>
          <w:rFonts w:eastAsia="Times New Roman"/>
          <w:sz w:val="20"/>
          <w:szCs w:val="20"/>
        </w:rPr>
        <w:t>l controlled human clinical trials in accordance with good clinical practice, or GCP, requirements to establish the safety and efficacy of the proposed drug product for each indication</w:t>
      </w:r>
      <w:r>
        <w:rPr>
          <w:rFonts w:eastAsia="Times New Roman"/>
          <w:sz w:val="20"/>
          <w:szCs w:val="20"/>
        </w:rPr>
        <w:t>.</w:t>
      </w:r>
    </w:p>
    <w:p w:rsidR="00000000" w:rsidRDefault="00F83A7A">
      <w:pPr>
        <w:jc w:val="both"/>
        <w:divId w:val="2100174343"/>
        <w:rPr>
          <w:rFonts w:eastAsia="Times New Roman"/>
        </w:rPr>
      </w:pPr>
      <w:r>
        <w:rPr>
          <w:rFonts w:eastAsia="Times New Roman"/>
          <w:sz w:val="20"/>
          <w:szCs w:val="20"/>
        </w:rPr>
        <w:t>•</w:t>
      </w:r>
    </w:p>
    <w:p w:rsidR="00000000" w:rsidRDefault="00F83A7A">
      <w:pPr>
        <w:jc w:val="both"/>
        <w:divId w:val="1249191548"/>
        <w:rPr>
          <w:rFonts w:eastAsia="Times New Roman"/>
        </w:rPr>
      </w:pPr>
      <w:r>
        <w:rPr>
          <w:rFonts w:eastAsia="Times New Roman"/>
          <w:sz w:val="20"/>
          <w:szCs w:val="20"/>
        </w:rPr>
        <w:t>submission to the FDA of an NDA or BLA</w:t>
      </w:r>
      <w:r>
        <w:rPr>
          <w:rFonts w:eastAsia="Times New Roman"/>
          <w:sz w:val="20"/>
          <w:szCs w:val="20"/>
        </w:rPr>
        <w:t>.</w:t>
      </w:r>
    </w:p>
    <w:p w:rsidR="00000000" w:rsidRDefault="00F83A7A">
      <w:pPr>
        <w:jc w:val="both"/>
        <w:divId w:val="1038509278"/>
        <w:rPr>
          <w:rFonts w:eastAsia="Times New Roman"/>
        </w:rPr>
      </w:pPr>
      <w:r>
        <w:rPr>
          <w:rFonts w:eastAsia="Times New Roman"/>
          <w:sz w:val="20"/>
          <w:szCs w:val="20"/>
        </w:rPr>
        <w:t>•</w:t>
      </w:r>
    </w:p>
    <w:p w:rsidR="00000000" w:rsidRDefault="00F83A7A">
      <w:pPr>
        <w:jc w:val="both"/>
        <w:divId w:val="115610924"/>
        <w:rPr>
          <w:rFonts w:eastAsia="Times New Roman"/>
        </w:rPr>
      </w:pPr>
      <w:r>
        <w:rPr>
          <w:rFonts w:eastAsia="Times New Roman"/>
          <w:sz w:val="20"/>
          <w:szCs w:val="20"/>
        </w:rPr>
        <w:t>satisfactory completion of</w:t>
      </w:r>
      <w:r>
        <w:rPr>
          <w:rFonts w:eastAsia="Times New Roman"/>
          <w:sz w:val="20"/>
          <w:szCs w:val="20"/>
        </w:rPr>
        <w:t xml:space="preserve"> an FDA advisory committee review, if applicable</w:t>
      </w:r>
      <w:r>
        <w:rPr>
          <w:rFonts w:eastAsia="Times New Roman"/>
          <w:sz w:val="20"/>
          <w:szCs w:val="20"/>
        </w:rPr>
        <w:t>.</w:t>
      </w:r>
    </w:p>
    <w:p w:rsidR="00000000" w:rsidRDefault="00F83A7A">
      <w:pPr>
        <w:jc w:val="both"/>
        <w:divId w:val="1119490194"/>
        <w:rPr>
          <w:rFonts w:eastAsia="Times New Roman"/>
        </w:rPr>
      </w:pPr>
      <w:r>
        <w:rPr>
          <w:rFonts w:eastAsia="Times New Roman"/>
          <w:sz w:val="20"/>
          <w:szCs w:val="20"/>
        </w:rPr>
        <w:t>•</w:t>
      </w:r>
    </w:p>
    <w:p w:rsidR="00000000" w:rsidRDefault="00F83A7A">
      <w:pPr>
        <w:jc w:val="both"/>
        <w:divId w:val="1010110116"/>
        <w:rPr>
          <w:rFonts w:eastAsia="Times New Roman"/>
        </w:rPr>
      </w:pPr>
      <w:r>
        <w:rPr>
          <w:rFonts w:eastAsia="Times New Roman"/>
          <w:sz w:val="20"/>
          <w:szCs w:val="20"/>
        </w:rPr>
        <w:t>satisfactory completion of an FDA inspection of the manufacturing facility or facilities at which the product is produced to assess compliance with current good manufacturing practice, or cGMP, requiremen</w:t>
      </w:r>
      <w:r>
        <w:rPr>
          <w:rFonts w:eastAsia="Times New Roman"/>
          <w:sz w:val="20"/>
          <w:szCs w:val="20"/>
        </w:rPr>
        <w:t>ts and to assure that the facilities, methods and controls are adequate to preserve the drug’s identity, strength, quality and purity; an</w:t>
      </w:r>
      <w:r>
        <w:rPr>
          <w:rFonts w:eastAsia="Times New Roman"/>
          <w:sz w:val="20"/>
          <w:szCs w:val="20"/>
        </w:rPr>
        <w:t>d</w:t>
      </w:r>
    </w:p>
    <w:p w:rsidR="00000000" w:rsidRDefault="00F83A7A">
      <w:pPr>
        <w:jc w:val="both"/>
        <w:divId w:val="1909218943"/>
        <w:rPr>
          <w:rFonts w:eastAsia="Times New Roman"/>
        </w:rPr>
      </w:pPr>
      <w:r>
        <w:rPr>
          <w:rFonts w:eastAsia="Times New Roman"/>
          <w:sz w:val="20"/>
          <w:szCs w:val="20"/>
        </w:rPr>
        <w:t>•</w:t>
      </w:r>
    </w:p>
    <w:p w:rsidR="00000000" w:rsidRDefault="00F83A7A">
      <w:pPr>
        <w:jc w:val="both"/>
        <w:divId w:val="1061056920"/>
        <w:rPr>
          <w:rFonts w:eastAsia="Times New Roman"/>
        </w:rPr>
      </w:pPr>
      <w:r>
        <w:rPr>
          <w:rFonts w:eastAsia="Times New Roman"/>
          <w:sz w:val="20"/>
          <w:szCs w:val="20"/>
        </w:rPr>
        <w:t>FDA review and approval of the NDA or BLA</w:t>
      </w:r>
      <w:r>
        <w:rPr>
          <w:rFonts w:eastAsia="Times New Roman"/>
          <w:sz w:val="20"/>
          <w:szCs w:val="20"/>
        </w:rPr>
        <w:t>.</w:t>
      </w:r>
    </w:p>
    <w:p w:rsidR="00000000" w:rsidRDefault="00F83A7A">
      <w:pPr>
        <w:pStyle w:val="a3"/>
        <w:spacing w:before="200" w:beforeAutospacing="0" w:after="0" w:afterAutospacing="0"/>
        <w:ind w:left="238"/>
        <w:jc w:val="both"/>
        <w:rPr>
          <w:sz w:val="20"/>
          <w:szCs w:val="20"/>
        </w:rPr>
      </w:pPr>
      <w:r>
        <w:rPr>
          <w:b/>
          <w:bCs/>
          <w:i/>
          <w:iCs/>
          <w:sz w:val="20"/>
          <w:szCs w:val="20"/>
        </w:rPr>
        <w:t>Preclinical Studie</w:t>
      </w:r>
      <w:r>
        <w:rPr>
          <w:b/>
          <w:bCs/>
          <w:i/>
          <w:i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Preclinical studies include laboratory evaluation of</w:t>
      </w:r>
      <w:r>
        <w:rPr>
          <w:sz w:val="20"/>
          <w:szCs w:val="20"/>
        </w:rPr>
        <w:t xml:space="preserve"> product chemistry, toxicity and formulation, as well as animal studies to assess potential safety and efficacy. An IND sponsor must submit the results of the preclinical tests, together with manufacturing information, analytical data and any available cli</w:t>
      </w:r>
      <w:r>
        <w:rPr>
          <w:sz w:val="20"/>
          <w:szCs w:val="20"/>
        </w:rPr>
        <w:t>nical data or literature, among other things, to the FDA as part of an IND. Some preclinical testing may continue even after the IND is submitted. An IND automatically becomes effective 30 days after receipt by the FDA, unless before that time the FDA rais</w:t>
      </w:r>
      <w:r>
        <w:rPr>
          <w:sz w:val="20"/>
          <w:szCs w:val="20"/>
        </w:rPr>
        <w:t>es concerns or questions related to one or more proposed clinical trials and places the clinical trial on a clinical hold. In such a case, the IND sponsor and the FDA must resolve any outstanding concerns before the clinical trial can begin. As a result, s</w:t>
      </w:r>
      <w:r>
        <w:rPr>
          <w:sz w:val="20"/>
          <w:szCs w:val="20"/>
        </w:rPr>
        <w:t>ubmission of an IND may not result in the FDA allowing clinical trials to commence</w:t>
      </w:r>
      <w:r>
        <w:rPr>
          <w:sz w:val="20"/>
          <w:szCs w:val="20"/>
        </w:rPr>
        <w:t>.</w:t>
      </w:r>
    </w:p>
    <w:p w:rsidR="00000000" w:rsidRDefault="00F83A7A">
      <w:pPr>
        <w:pStyle w:val="a3"/>
        <w:spacing w:before="240" w:beforeAutospacing="0" w:after="0" w:afterAutospacing="0"/>
        <w:jc w:val="center"/>
        <w:rPr>
          <w:sz w:val="20"/>
          <w:szCs w:val="20"/>
        </w:rPr>
      </w:pPr>
      <w:r>
        <w:rPr>
          <w:sz w:val="20"/>
          <w:szCs w:val="20"/>
        </w:rPr>
        <w:t>1</w:t>
      </w:r>
      <w:r>
        <w:rPr>
          <w:sz w:val="20"/>
          <w:szCs w:val="20"/>
        </w:rPr>
        <w:t>1</w:t>
      </w:r>
    </w:p>
    <w:p w:rsidR="00000000" w:rsidRDefault="00F83A7A">
      <w:pPr>
        <w:rPr>
          <w:rFonts w:eastAsia="Times New Roman"/>
        </w:rPr>
      </w:pPr>
      <w:r>
        <w:rPr>
          <w:rFonts w:eastAsia="Times New Roman"/>
        </w:rPr>
        <w:pict>
          <v:rect id="_x0000_i1038"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ind w:left="238"/>
        <w:jc w:val="both"/>
        <w:rPr>
          <w:sz w:val="20"/>
          <w:szCs w:val="20"/>
        </w:rPr>
      </w:pPr>
      <w:r>
        <w:rPr>
          <w:b/>
          <w:bCs/>
          <w:i/>
          <w:iCs/>
          <w:sz w:val="20"/>
          <w:szCs w:val="20"/>
        </w:rPr>
        <w:t>Clinical Trial</w:t>
      </w:r>
      <w:r>
        <w:rPr>
          <w:b/>
          <w:bCs/>
          <w:i/>
          <w:i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Clinical trials involve the administration of the investigational new drug to human patients under the supervision</w:t>
      </w:r>
      <w:r>
        <w:rPr>
          <w:sz w:val="20"/>
          <w:szCs w:val="20"/>
        </w:rPr>
        <w:t xml:space="preserve"> of qualified investigators in accordance with GCP requirements, which include the requirement that all research patients provide their informed consent in writing for their participation in any clinical trial. Clinical trials are conducted under protocols</w:t>
      </w:r>
      <w:r>
        <w:rPr>
          <w:sz w:val="20"/>
          <w:szCs w:val="20"/>
        </w:rPr>
        <w:t xml:space="preserve"> detailing, among other things, the objectives of the trial, the parameters to be used in monitoring safety and the effectiveness criteria to be evaluated. A protocol for each clinical trial and any subsequent protocol amendments must be submitted to the F</w:t>
      </w:r>
      <w:r>
        <w:rPr>
          <w:sz w:val="20"/>
          <w:szCs w:val="20"/>
        </w:rPr>
        <w:t xml:space="preserve">DA as part of the IND. In addition, an IRB at each institution participating in the clinical trial must review and approve the plan for any clinical trial before it commences at that institution. Information about certain clinical trials must be submitted </w:t>
      </w:r>
      <w:r>
        <w:rPr>
          <w:sz w:val="20"/>
          <w:szCs w:val="20"/>
        </w:rPr>
        <w:t>within specific timeframes to the National Institutes of Health, or NIH, for public dissemination on their www.clinicaltrials.gov website</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Human clinical trials are typically conducted in three sequential phases, which may overlap or be combined</w:t>
      </w:r>
      <w:r>
        <w:rPr>
          <w:sz w:val="20"/>
          <w:szCs w:val="20"/>
        </w:rPr>
        <w:t>:</w:t>
      </w:r>
    </w:p>
    <w:p w:rsidR="00000000" w:rsidRDefault="00F83A7A">
      <w:pPr>
        <w:jc w:val="both"/>
        <w:divId w:val="614478926"/>
        <w:rPr>
          <w:rFonts w:eastAsia="Times New Roman"/>
        </w:rPr>
      </w:pPr>
      <w:r>
        <w:rPr>
          <w:rFonts w:eastAsia="Times New Roman"/>
          <w:sz w:val="20"/>
          <w:szCs w:val="20"/>
        </w:rPr>
        <w:t>•</w:t>
      </w:r>
    </w:p>
    <w:p w:rsidR="00000000" w:rsidRDefault="00F83A7A">
      <w:pPr>
        <w:jc w:val="both"/>
        <w:divId w:val="1555657010"/>
        <w:rPr>
          <w:rFonts w:eastAsia="Times New Roman"/>
        </w:rPr>
      </w:pPr>
      <w:r>
        <w:rPr>
          <w:rFonts w:eastAsia="Times New Roman"/>
          <w:sz w:val="20"/>
          <w:szCs w:val="20"/>
        </w:rPr>
        <w:t>Phase 1 clinical trial: The drug is initially introduced into healthy human volunteers or patients with the target disease or condition and tested for safety, dosage tolerance, absorption, metabolism, distribution, excretion and, if possible, to gain an ea</w:t>
      </w:r>
      <w:r>
        <w:rPr>
          <w:rFonts w:eastAsia="Times New Roman"/>
          <w:sz w:val="20"/>
          <w:szCs w:val="20"/>
        </w:rPr>
        <w:t>rly indication of its effectiveness</w:t>
      </w:r>
      <w:r>
        <w:rPr>
          <w:rFonts w:eastAsia="Times New Roman"/>
          <w:sz w:val="20"/>
          <w:szCs w:val="20"/>
        </w:rPr>
        <w:t>.</w:t>
      </w:r>
    </w:p>
    <w:p w:rsidR="00000000" w:rsidRDefault="00F83A7A">
      <w:pPr>
        <w:jc w:val="both"/>
        <w:divId w:val="563953094"/>
        <w:rPr>
          <w:rFonts w:eastAsia="Times New Roman"/>
        </w:rPr>
      </w:pPr>
      <w:r>
        <w:rPr>
          <w:rFonts w:eastAsia="Times New Roman"/>
          <w:sz w:val="20"/>
          <w:szCs w:val="20"/>
        </w:rPr>
        <w:t>•</w:t>
      </w:r>
    </w:p>
    <w:p w:rsidR="00000000" w:rsidRDefault="00F83A7A">
      <w:pPr>
        <w:jc w:val="both"/>
        <w:divId w:val="532808191"/>
        <w:rPr>
          <w:rFonts w:eastAsia="Times New Roman"/>
        </w:rPr>
      </w:pPr>
      <w:r>
        <w:rPr>
          <w:rFonts w:eastAsia="Times New Roman"/>
          <w:sz w:val="20"/>
          <w:szCs w:val="20"/>
        </w:rPr>
        <w:t>Phase 2 clinical trial: The drug is administered to a limited patient population to identify possible adverse effects and safety risks, to preliminarily evaluate the efficacy of the product for specific targeted disea</w:t>
      </w:r>
      <w:r>
        <w:rPr>
          <w:rFonts w:eastAsia="Times New Roman"/>
          <w:sz w:val="20"/>
          <w:szCs w:val="20"/>
        </w:rPr>
        <w:t>ses and to determine dosage tolerance and optimal dosage</w:t>
      </w:r>
      <w:r>
        <w:rPr>
          <w:rFonts w:eastAsia="Times New Roman"/>
          <w:sz w:val="20"/>
          <w:szCs w:val="20"/>
        </w:rPr>
        <w:t>.</w:t>
      </w:r>
    </w:p>
    <w:p w:rsidR="00000000" w:rsidRDefault="00F83A7A">
      <w:pPr>
        <w:jc w:val="both"/>
        <w:divId w:val="234053041"/>
        <w:rPr>
          <w:rFonts w:eastAsia="Times New Roman"/>
        </w:rPr>
      </w:pPr>
      <w:r>
        <w:rPr>
          <w:rFonts w:eastAsia="Times New Roman"/>
          <w:sz w:val="20"/>
          <w:szCs w:val="20"/>
        </w:rPr>
        <w:t>•</w:t>
      </w:r>
    </w:p>
    <w:p w:rsidR="00000000" w:rsidRDefault="00F83A7A">
      <w:pPr>
        <w:jc w:val="both"/>
        <w:divId w:val="1887372168"/>
        <w:rPr>
          <w:rFonts w:eastAsia="Times New Roman"/>
        </w:rPr>
      </w:pPr>
      <w:r>
        <w:rPr>
          <w:rFonts w:eastAsia="Times New Roman"/>
          <w:sz w:val="20"/>
          <w:szCs w:val="20"/>
        </w:rPr>
        <w:t>Phase 3 clinical trial: The drug is administered to an expanded patient population, generally at geographically dispersed clinical trial sites, in well controlled clinical trials to generate enoug</w:t>
      </w:r>
      <w:r>
        <w:rPr>
          <w:rFonts w:eastAsia="Times New Roman"/>
          <w:sz w:val="20"/>
          <w:szCs w:val="20"/>
        </w:rPr>
        <w:t>h data to statistically evaluate the efficacy and safety of the product for approval, to establish the overall risk-benefit profile of the product, and to provide adequate information for the labeling of the product</w:t>
      </w:r>
      <w:r>
        <w:rPr>
          <w:rFonts w:eastAsia="Times New Roman"/>
          <w:sz w:val="20"/>
          <w:szCs w:val="20"/>
        </w:rPr>
        <w:t>.</w:t>
      </w:r>
    </w:p>
    <w:p w:rsidR="00000000" w:rsidRDefault="00F83A7A">
      <w:pPr>
        <w:pStyle w:val="a3"/>
        <w:spacing w:before="200" w:beforeAutospacing="0" w:after="0" w:afterAutospacing="0"/>
        <w:ind w:firstLine="555"/>
        <w:jc w:val="both"/>
        <w:rPr>
          <w:sz w:val="20"/>
          <w:szCs w:val="20"/>
        </w:rPr>
      </w:pPr>
      <w:r>
        <w:rPr>
          <w:sz w:val="20"/>
          <w:szCs w:val="20"/>
        </w:rPr>
        <w:t xml:space="preserve">Progress reports detailing the results </w:t>
      </w:r>
      <w:r>
        <w:rPr>
          <w:sz w:val="20"/>
          <w:szCs w:val="20"/>
        </w:rPr>
        <w:t>of the clinical trials must be submitted at least annually to the FDA and more frequently if serious adverse events occur. Each of Phase 1, Phase 2 and Phase 3 clinical trials may not be completed successfully within any specified period, or at all. Furthe</w:t>
      </w:r>
      <w:r>
        <w:rPr>
          <w:sz w:val="20"/>
          <w:szCs w:val="20"/>
        </w:rPr>
        <w:t xml:space="preserve">rmore, the FDA or the sponsor may suspend or terminate a clinical trial at any time on various grounds, including a finding that the research patients are being exposed to an unacceptable health risk. Similarly, an IRB can suspend or terminate approval of </w:t>
      </w:r>
      <w:r>
        <w:rPr>
          <w:sz w:val="20"/>
          <w:szCs w:val="20"/>
        </w:rPr>
        <w:t>a clinical trial at its institution if the clinical trial is not being conducted in accordance with the IRB’s requirements or if the drug has been associated with unexpected serious harm to patients</w:t>
      </w:r>
      <w:r>
        <w:rPr>
          <w:sz w:val="20"/>
          <w:szCs w:val="20"/>
        </w:rPr>
        <w:t>.</w:t>
      </w:r>
    </w:p>
    <w:p w:rsidR="00000000" w:rsidRDefault="00F83A7A">
      <w:pPr>
        <w:pStyle w:val="a3"/>
        <w:spacing w:before="200" w:beforeAutospacing="0" w:after="0" w:afterAutospacing="0"/>
        <w:ind w:left="238"/>
        <w:jc w:val="both"/>
        <w:rPr>
          <w:sz w:val="20"/>
          <w:szCs w:val="20"/>
        </w:rPr>
      </w:pPr>
      <w:r>
        <w:rPr>
          <w:b/>
          <w:bCs/>
          <w:i/>
          <w:iCs/>
          <w:sz w:val="20"/>
          <w:szCs w:val="20"/>
        </w:rPr>
        <w:t>Marketing Approva</w:t>
      </w:r>
      <w:r>
        <w:rPr>
          <w:b/>
          <w:bCs/>
          <w:i/>
          <w:iCs/>
          <w:sz w:val="20"/>
          <w:szCs w:val="20"/>
        </w:rPr>
        <w:t>l</w:t>
      </w:r>
    </w:p>
    <w:p w:rsidR="00000000" w:rsidRDefault="00F83A7A">
      <w:pPr>
        <w:pStyle w:val="a3"/>
        <w:spacing w:before="200" w:beforeAutospacing="0" w:after="0" w:afterAutospacing="0"/>
        <w:ind w:firstLine="555"/>
        <w:jc w:val="both"/>
        <w:rPr>
          <w:sz w:val="20"/>
          <w:szCs w:val="20"/>
        </w:rPr>
      </w:pPr>
      <w:r>
        <w:rPr>
          <w:sz w:val="20"/>
          <w:szCs w:val="20"/>
        </w:rPr>
        <w:t>Assuming successful completion of the</w:t>
      </w:r>
      <w:r>
        <w:rPr>
          <w:sz w:val="20"/>
          <w:szCs w:val="20"/>
        </w:rPr>
        <w:t xml:space="preserve"> required clinical testing, the results of the preclinical studies and clinical trials, together with detailed information relating to the product’s chemistry, manufacture, controls and proposed labeling, among other things, are submitted to the FDA as par</w:t>
      </w:r>
      <w:r>
        <w:rPr>
          <w:sz w:val="20"/>
          <w:szCs w:val="20"/>
        </w:rPr>
        <w:t>t of an NDA or BLA requesting approval to market the product for one or more indications. In most cases, the submission of an NDA or BLA is subject to a substantial application user fee. Under the Prescription Drug User Fee Act, or PDUFA, guidelines that a</w:t>
      </w:r>
      <w:r>
        <w:rPr>
          <w:sz w:val="20"/>
          <w:szCs w:val="20"/>
        </w:rPr>
        <w:t>re currently in effect, the FDA has a goal of ten months from the date of “filing” of a standard NDA for a new molecular entity to review and act on the submission. This review typically takes twelve months from the date the NDA is submitted to FDA because</w:t>
      </w:r>
      <w:r>
        <w:rPr>
          <w:sz w:val="20"/>
          <w:szCs w:val="20"/>
        </w:rPr>
        <w:t xml:space="preserve"> the FDA has approximately two months to make a “filing” decision</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 xml:space="preserve">The FDA conducts a preliminary review of all NDAs within the first 60 days after submission, before accepting them for filing, to determine whether they are sufficiently complete to permit </w:t>
      </w:r>
      <w:r>
        <w:rPr>
          <w:sz w:val="20"/>
          <w:szCs w:val="20"/>
        </w:rPr>
        <w:t>substantive review. The FDA may request additional information rather than accept an NDA for filing. In this event, the application must be resubmitted with the additional information. The resubmitted application is also subject to review before the FDA ac</w:t>
      </w:r>
      <w:r>
        <w:rPr>
          <w:sz w:val="20"/>
          <w:szCs w:val="20"/>
        </w:rPr>
        <w:t>cepts it for filing. Once the submission is accepted for filing, the FDA begins an in-depth substantive review. The FDA reviews an NDA to determine, among other things, whether the drug is safe and effective and whether the facility in which it is manufact</w:t>
      </w:r>
      <w:r>
        <w:rPr>
          <w:sz w:val="20"/>
          <w:szCs w:val="20"/>
        </w:rPr>
        <w:t>ured, processed, packaged or held meets standards designed to assure the product’s continued safety, quality and purity</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 xml:space="preserve">In addition, under the Pediatric Research Equity Act of 2003, or PREA, as amended and reauthorized, certain must contain data that are </w:t>
      </w:r>
      <w:r>
        <w:rPr>
          <w:sz w:val="20"/>
          <w:szCs w:val="20"/>
        </w:rPr>
        <w:t>adequate to assess the safety and effectiveness of the drug for the claimed indications in all relevant pediatric subpopulations, and to support dosing and administration for each pediatric subpopulation for which the product is safe and effective. The FDA</w:t>
      </w:r>
      <w:r>
        <w:rPr>
          <w:sz w:val="20"/>
          <w:szCs w:val="20"/>
        </w:rPr>
        <w:t xml:space="preserve"> may, on its own initiative or at the request of the applicant, grant deferrals for submission of some or all pediatric data until after approval of the product for use in adults, or full or partial waivers from the pediatric data requirements</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The FDA als</w:t>
      </w:r>
      <w:r>
        <w:rPr>
          <w:sz w:val="20"/>
          <w:szCs w:val="20"/>
        </w:rPr>
        <w:t xml:space="preserve">o may require submission of a risk evaluation and mitigation strategy, or REMS, plan to ensure that the benefits of the drug outweigh its risks. The REMS plan could include medication guides, physician communication plans, assessment plans, or elements to </w:t>
      </w:r>
      <w:r>
        <w:rPr>
          <w:sz w:val="20"/>
          <w:szCs w:val="20"/>
        </w:rPr>
        <w:t>assure safe use, such as restricted distribution methods, patient registries, or other risk minimization tools</w:t>
      </w:r>
      <w:r>
        <w:rPr>
          <w:sz w:val="20"/>
          <w:szCs w:val="20"/>
        </w:rPr>
        <w:t>.</w:t>
      </w:r>
      <w:r>
        <w:rPr>
          <w:sz w:val="20"/>
          <w:szCs w:val="20"/>
        </w:rPr>
        <w:t xml:space="preserve"> </w:t>
      </w:r>
    </w:p>
    <w:p w:rsidR="00000000" w:rsidRDefault="00F83A7A">
      <w:pPr>
        <w:pStyle w:val="a3"/>
        <w:spacing w:before="200" w:beforeAutospacing="0" w:after="0" w:afterAutospacing="0"/>
        <w:ind w:firstLine="555"/>
        <w:jc w:val="both"/>
        <w:rPr>
          <w:sz w:val="20"/>
          <w:szCs w:val="20"/>
        </w:rPr>
      </w:pPr>
      <w:r>
        <w:rPr>
          <w:sz w:val="20"/>
          <w:szCs w:val="20"/>
        </w:rPr>
        <w:t xml:space="preserve">The FDA may refer an application for a novel drug to an advisory committee. An advisory committee is a panel of independent experts, including </w:t>
      </w:r>
      <w:r>
        <w:rPr>
          <w:sz w:val="20"/>
          <w:szCs w:val="20"/>
        </w:rPr>
        <w:t>clinicians and other scientific experts, that reviews, evaluates and provides a recommendation as to whether th</w:t>
      </w:r>
      <w:r>
        <w:rPr>
          <w:sz w:val="20"/>
          <w:szCs w:val="20"/>
        </w:rPr>
        <w:t>e</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1</w:t>
      </w:r>
      <w:r>
        <w:rPr>
          <w:sz w:val="20"/>
          <w:szCs w:val="20"/>
        </w:rPr>
        <w:t>2</w:t>
      </w:r>
    </w:p>
    <w:p w:rsidR="00000000" w:rsidRDefault="00F83A7A">
      <w:pPr>
        <w:rPr>
          <w:rFonts w:eastAsia="Times New Roman"/>
        </w:rPr>
      </w:pPr>
      <w:r>
        <w:rPr>
          <w:rFonts w:eastAsia="Times New Roman"/>
        </w:rPr>
        <w:pict>
          <v:rect id="_x0000_i1039"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rPr>
          <w:sz w:val="20"/>
          <w:szCs w:val="20"/>
        </w:rPr>
      </w:pPr>
      <w:r>
        <w:rPr>
          <w:sz w:val="20"/>
          <w:szCs w:val="20"/>
        </w:rPr>
        <w:t>application should be approved and under what conditions. The FDA is not bound by the recommendation</w:t>
      </w:r>
      <w:r>
        <w:rPr>
          <w:sz w:val="20"/>
          <w:szCs w:val="20"/>
        </w:rPr>
        <w:t>s of an advisory committee, but it considers such recommendations carefully when making decisions</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Before approving an NDA or BLA, the FDA typically will inspect the facility or facilities where the product is manufactured. The FDA will not approve an appl</w:t>
      </w:r>
      <w:r>
        <w:rPr>
          <w:sz w:val="20"/>
          <w:szCs w:val="20"/>
        </w:rPr>
        <w:t xml:space="preserve">ication unless it determines that the manufacturing processes and facilities are in compliance with cGMP requirements and adequate to assure consistent production of the product within required specifications. Additionally, before approving an NDA or BLA, </w:t>
      </w:r>
      <w:r>
        <w:rPr>
          <w:sz w:val="20"/>
          <w:szCs w:val="20"/>
        </w:rPr>
        <w:t>the FDA may inspect one or more clinical trial sites to assure compliance with GCP requirements</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After evaluating the application and all related information, including the advisory committee recommendation, if any, and inspection reports regarding the man</w:t>
      </w:r>
      <w:r>
        <w:rPr>
          <w:sz w:val="20"/>
          <w:szCs w:val="20"/>
        </w:rPr>
        <w:t xml:space="preserve">ufacturing facilities and clinical trial sites, the FDA may issue an approval letter, or, in some cases, a complete response letter. A complete response letter generally contains a statement of specific conditions that must be met in order to secure final </w:t>
      </w:r>
      <w:r>
        <w:rPr>
          <w:sz w:val="20"/>
          <w:szCs w:val="20"/>
        </w:rPr>
        <w:t>approval of the NDA or BLA and may require additional clinical or preclinical testing in order for FDA to reconsider the application. Even with submission of this additional information, the FDA ultimately may decide that the application does not satisfy t</w:t>
      </w:r>
      <w:r>
        <w:rPr>
          <w:sz w:val="20"/>
          <w:szCs w:val="20"/>
        </w:rPr>
        <w:t>he regulatory criteria for approval. If and when those conditions have been met to the FDA’s satisfaction, the FDA will typically issue an approval letter. An approval letter authorizes commercial marketing of the drug with specific prescribing information</w:t>
      </w:r>
      <w:r>
        <w:rPr>
          <w:sz w:val="20"/>
          <w:szCs w:val="20"/>
        </w:rPr>
        <w:t xml:space="preserve"> for specific indications</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 xml:space="preserve">Even if the FDA approves a product, it may limit the approved indications for use of the product, require that particular contraindications, warnings or precautions be included in the product labeling, require that post-approval </w:t>
      </w:r>
      <w:r>
        <w:rPr>
          <w:sz w:val="20"/>
          <w:szCs w:val="20"/>
        </w:rPr>
        <w:t xml:space="preserve">studies, including Phase 4 clinical trials, be conducted to further assess a drug’s safety after approval, require testing and surveillance programs to monitor the product after commercialization, or impose other conditions, including distribution and use </w:t>
      </w:r>
      <w:r>
        <w:rPr>
          <w:sz w:val="20"/>
          <w:szCs w:val="20"/>
        </w:rPr>
        <w:t xml:space="preserve">restrictions or other risk management mechanisms under a REMS, which can materially affect the potential market and profitability of the product. The FDA may prevent or limit further marketing of a product based on the results of post-marketing studies or </w:t>
      </w:r>
      <w:r>
        <w:rPr>
          <w:sz w:val="20"/>
          <w:szCs w:val="20"/>
        </w:rPr>
        <w:t>surveillance programs. After approval, some types of changes to the approved product, such as adding new indications, manufacturing changes, and additional labeling claims, are subject to further testing requirements and FDA review and approval</w:t>
      </w:r>
      <w:r>
        <w:rPr>
          <w:sz w:val="20"/>
          <w:szCs w:val="20"/>
        </w:rPr>
        <w:t>.</w:t>
      </w:r>
    </w:p>
    <w:p w:rsidR="00000000" w:rsidRDefault="00F83A7A">
      <w:pPr>
        <w:pStyle w:val="a3"/>
        <w:spacing w:before="200" w:beforeAutospacing="0" w:after="0" w:afterAutospacing="0"/>
        <w:ind w:left="238"/>
        <w:jc w:val="both"/>
        <w:rPr>
          <w:sz w:val="20"/>
          <w:szCs w:val="20"/>
        </w:rPr>
      </w:pPr>
      <w:r>
        <w:rPr>
          <w:b/>
          <w:bCs/>
          <w:i/>
          <w:iCs/>
          <w:sz w:val="20"/>
          <w:szCs w:val="20"/>
        </w:rPr>
        <w:t>Orphan Drug Ac</w:t>
      </w:r>
      <w:r>
        <w:rPr>
          <w:b/>
          <w:bCs/>
          <w:i/>
          <w:iCs/>
          <w:sz w:val="20"/>
          <w:szCs w:val="20"/>
        </w:rPr>
        <w:t>t</w:t>
      </w:r>
    </w:p>
    <w:p w:rsidR="00000000" w:rsidRDefault="00F83A7A">
      <w:pPr>
        <w:pStyle w:val="a3"/>
        <w:spacing w:before="200" w:beforeAutospacing="0" w:after="0" w:afterAutospacing="0"/>
        <w:ind w:firstLine="555"/>
        <w:jc w:val="both"/>
        <w:rPr>
          <w:sz w:val="20"/>
          <w:szCs w:val="20"/>
        </w:rPr>
      </w:pPr>
      <w:r>
        <w:rPr>
          <w:sz w:val="20"/>
          <w:szCs w:val="20"/>
        </w:rPr>
        <w:t>Under the Orphan Drug Act of 1983, the FDA may grant orphan designation to a drug or biologic intended to treat a rare disease or condition, which is generally a disease or condition that affects fewer than 200,000 individuals in the United</w:t>
      </w:r>
      <w:r>
        <w:rPr>
          <w:sz w:val="20"/>
          <w:szCs w:val="20"/>
        </w:rPr>
        <w:t xml:space="preserve"> States, or more than 200,000 individuals in the United States and for which there is no reasonable expectation that the cost of developing and making available in the United States a drug for this type of disease or condition will be recovered from sales </w:t>
      </w:r>
      <w:r>
        <w:rPr>
          <w:sz w:val="20"/>
          <w:szCs w:val="20"/>
        </w:rPr>
        <w:t>in the United States for that drug. Orphan drug designation must be requested before submitting an NDA or BLA. After the FDA grants orphan drug designation, the name of the sponsor, identity of the drug or biologic and its potential orphan use are disclose</w:t>
      </w:r>
      <w:r>
        <w:rPr>
          <w:sz w:val="20"/>
          <w:szCs w:val="20"/>
        </w:rPr>
        <w:t>d publicly by the FDA. The orphan drug designation does not shorten the duration of the regulatory review or approval process, but does provide certain advantages, such as a waiver of PDUFA fees, enhanced access to FDA staff and potential waiver of pediatr</w:t>
      </w:r>
      <w:r>
        <w:rPr>
          <w:sz w:val="20"/>
          <w:szCs w:val="20"/>
        </w:rPr>
        <w:t>ic research requirements</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 xml:space="preserve">If a product that has orphan drug designation subsequently receives the first FDA approval for the disease for which it has such designation, the product is entitled to orphan product exclusivity, which means that the FDA may not </w:t>
      </w:r>
      <w:r>
        <w:rPr>
          <w:sz w:val="20"/>
          <w:szCs w:val="20"/>
        </w:rPr>
        <w:t xml:space="preserve">approve any other applications, including a full NDA or BLA, or an abbreviated NDA (ANDA) or Biosimilar application, to market a drug or biologic with the same active moiety for the same indication for seven years, except in limited circumstances, such as </w:t>
      </w:r>
      <w:r>
        <w:rPr>
          <w:sz w:val="20"/>
          <w:szCs w:val="20"/>
        </w:rPr>
        <w:t xml:space="preserve">a showing of clinical superiority to the product with orphan drug exclusivity. Orphan drug exclusivity does not prevent FDA from approving a different drug or biologic for the same disease or condition, or the same drug or biologic for a different disease </w:t>
      </w:r>
      <w:r>
        <w:rPr>
          <w:sz w:val="20"/>
          <w:szCs w:val="20"/>
        </w:rPr>
        <w:t>or condition. Among the other benefits of orphan drug designation are tax credits for certain research and a waiver of the application user fee. A designated orphan drug may not receive orphan drug exclusivity if it is approved for a use that is broader th</w:t>
      </w:r>
      <w:r>
        <w:rPr>
          <w:sz w:val="20"/>
          <w:szCs w:val="20"/>
        </w:rPr>
        <w:t>an the indication for which it received orphan designation. In addition, exclusive marketing rights in the United States may be lost if the FDA later determines that the request for designation was materially defective or if the manufacturer is unable to a</w:t>
      </w:r>
      <w:r>
        <w:rPr>
          <w:sz w:val="20"/>
          <w:szCs w:val="20"/>
        </w:rPr>
        <w:t>ssure sufficient quantities of the product to meet the needs of patients with the rare disease or condition</w:t>
      </w:r>
      <w:r>
        <w:rPr>
          <w:sz w:val="20"/>
          <w:szCs w:val="20"/>
        </w:rPr>
        <w:t>.</w:t>
      </w:r>
    </w:p>
    <w:p w:rsidR="00000000" w:rsidRDefault="00F83A7A">
      <w:pPr>
        <w:pStyle w:val="a3"/>
        <w:spacing w:before="240" w:beforeAutospacing="0" w:after="0" w:afterAutospacing="0"/>
        <w:jc w:val="center"/>
        <w:rPr>
          <w:sz w:val="20"/>
          <w:szCs w:val="20"/>
        </w:rPr>
      </w:pPr>
      <w:r>
        <w:rPr>
          <w:sz w:val="20"/>
          <w:szCs w:val="20"/>
        </w:rPr>
        <w:t>1</w:t>
      </w:r>
      <w:r>
        <w:rPr>
          <w:sz w:val="20"/>
          <w:szCs w:val="20"/>
        </w:rPr>
        <w:t>3</w:t>
      </w:r>
    </w:p>
    <w:p w:rsidR="00000000" w:rsidRDefault="00F83A7A">
      <w:pPr>
        <w:rPr>
          <w:rFonts w:eastAsia="Times New Roman"/>
        </w:rPr>
      </w:pPr>
      <w:r>
        <w:rPr>
          <w:rFonts w:eastAsia="Times New Roman"/>
        </w:rPr>
        <w:pict>
          <v:rect id="_x0000_i1040"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ind w:left="238"/>
        <w:jc w:val="both"/>
        <w:rPr>
          <w:sz w:val="20"/>
          <w:szCs w:val="20"/>
        </w:rPr>
      </w:pPr>
      <w:r>
        <w:rPr>
          <w:b/>
          <w:bCs/>
          <w:i/>
          <w:iCs/>
          <w:sz w:val="20"/>
          <w:szCs w:val="20"/>
        </w:rPr>
        <w:t>Post-Approval Requirement</w:t>
      </w:r>
      <w:r>
        <w:rPr>
          <w:b/>
          <w:bCs/>
          <w:i/>
          <w:i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Drugs manufactured or distributed pursuant to FDA approvals are subject to perv</w:t>
      </w:r>
      <w:r>
        <w:rPr>
          <w:sz w:val="20"/>
          <w:szCs w:val="20"/>
        </w:rPr>
        <w:t>asive and continuing regulation by the FDA, including, among other things, requirements relating to recordkeeping, periodic reporting, product sampling and distribution, advertising and promotion and reporting of adverse experiences with the product. After</w:t>
      </w:r>
      <w:r>
        <w:rPr>
          <w:sz w:val="20"/>
          <w:szCs w:val="20"/>
        </w:rPr>
        <w:t xml:space="preserve"> approval, most changes to the approved product, such as adding new indications or other labeling claims are subject to prior FDA review and approval. There also are continuing, annual user fee requirements for any marketed products and the establishments </w:t>
      </w:r>
      <w:r>
        <w:rPr>
          <w:sz w:val="20"/>
          <w:szCs w:val="20"/>
        </w:rPr>
        <w:t>at which such products are manufactured, as well as new application fees for supplemental applications with clinical data</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The FDA may impose a number of post-approval requirements as a condition of approval of a marketing authorization. For example, the F</w:t>
      </w:r>
      <w:r>
        <w:rPr>
          <w:sz w:val="20"/>
          <w:szCs w:val="20"/>
        </w:rPr>
        <w:t>DA may require post-marketing testing, including Phase 4 clinical trials, and surveillance to further assess and monitor the product’s safety and effectiveness after commercialization</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In addition, drug manufacturers and other entities involved in the manu</w:t>
      </w:r>
      <w:r>
        <w:rPr>
          <w:sz w:val="20"/>
          <w:szCs w:val="20"/>
        </w:rPr>
        <w:t xml:space="preserve">facture and distribution of approved drugs are required to register their establishments with the FDA and state agencies and are subject to periodic unannounced inspections by the FDA and these state agencies for compliance with cGMP requirements. Changes </w:t>
      </w:r>
      <w:r>
        <w:rPr>
          <w:sz w:val="20"/>
          <w:szCs w:val="20"/>
        </w:rPr>
        <w:t>to the manufacturing process are strictly regulated and often require prior FDA approval before being implemented. FDA regulations also require investigation and correction of any deviations from cGMP requirements and impose reporting and documentation req</w:t>
      </w:r>
      <w:r>
        <w:rPr>
          <w:sz w:val="20"/>
          <w:szCs w:val="20"/>
        </w:rPr>
        <w:t>uirements upon the sponsor and any third-party manufacturers that the sponsor may decide to use. Accordingly, manufacturers must continue to expend time, money, and effort in the area of production and quality control to maintain cGMP compliance</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Once an a</w:t>
      </w:r>
      <w:r>
        <w:rPr>
          <w:sz w:val="20"/>
          <w:szCs w:val="20"/>
        </w:rPr>
        <w:t>pproval is granted, the FDA may withdraw the approval if compliance with regulatory requirements and standards is not maintained or if problems occur after the product reaches the market. Later discovery of previously unknown problems with a product, inclu</w:t>
      </w:r>
      <w:r>
        <w:rPr>
          <w:sz w:val="20"/>
          <w:szCs w:val="20"/>
        </w:rPr>
        <w:t>ding adverse events of unanticipated severity or frequency, or with manufacturing processes, or failure to comply with regulatory requirements, may result in mandatory revisions to the approved labeling to add new safety information; imposition of post-mar</w:t>
      </w:r>
      <w:r>
        <w:rPr>
          <w:sz w:val="20"/>
          <w:szCs w:val="20"/>
        </w:rPr>
        <w:t>ket studies or clinical trials to assess new safety risks; or imposition of distribution or other restrictions under a REMS program. Other potential consequences include, among other things</w:t>
      </w:r>
      <w:r>
        <w:rPr>
          <w:sz w:val="20"/>
          <w:szCs w:val="20"/>
        </w:rPr>
        <w:t>:</w:t>
      </w:r>
    </w:p>
    <w:p w:rsidR="00000000" w:rsidRDefault="00F83A7A">
      <w:pPr>
        <w:jc w:val="both"/>
        <w:divId w:val="1229733200"/>
        <w:rPr>
          <w:rFonts w:eastAsia="Times New Roman"/>
        </w:rPr>
      </w:pPr>
      <w:r>
        <w:rPr>
          <w:rFonts w:eastAsia="Times New Roman"/>
          <w:sz w:val="20"/>
          <w:szCs w:val="20"/>
        </w:rPr>
        <w:t>•</w:t>
      </w:r>
    </w:p>
    <w:p w:rsidR="00000000" w:rsidRDefault="00F83A7A">
      <w:pPr>
        <w:jc w:val="both"/>
        <w:divId w:val="1691030334"/>
        <w:rPr>
          <w:rFonts w:eastAsia="Times New Roman"/>
        </w:rPr>
      </w:pPr>
      <w:r>
        <w:rPr>
          <w:rFonts w:eastAsia="Times New Roman"/>
          <w:sz w:val="20"/>
          <w:szCs w:val="20"/>
        </w:rPr>
        <w:t xml:space="preserve">restrictions on the marketing or manufacturing of the product, </w:t>
      </w:r>
      <w:r>
        <w:rPr>
          <w:rFonts w:eastAsia="Times New Roman"/>
          <w:sz w:val="20"/>
          <w:szCs w:val="20"/>
        </w:rPr>
        <w:t>complete withdrawal of the product from the market or product recalls</w:t>
      </w:r>
      <w:r>
        <w:rPr>
          <w:rFonts w:eastAsia="Times New Roman"/>
          <w:sz w:val="20"/>
          <w:szCs w:val="20"/>
        </w:rPr>
        <w:t>.</w:t>
      </w:r>
    </w:p>
    <w:p w:rsidR="00000000" w:rsidRDefault="00F83A7A">
      <w:pPr>
        <w:jc w:val="both"/>
        <w:divId w:val="1108937790"/>
        <w:rPr>
          <w:rFonts w:eastAsia="Times New Roman"/>
        </w:rPr>
      </w:pPr>
      <w:r>
        <w:rPr>
          <w:rFonts w:eastAsia="Times New Roman"/>
          <w:sz w:val="20"/>
          <w:szCs w:val="20"/>
        </w:rPr>
        <w:t>•</w:t>
      </w:r>
    </w:p>
    <w:p w:rsidR="00000000" w:rsidRDefault="00F83A7A">
      <w:pPr>
        <w:jc w:val="both"/>
        <w:divId w:val="853760348"/>
        <w:rPr>
          <w:rFonts w:eastAsia="Times New Roman"/>
        </w:rPr>
      </w:pPr>
      <w:r>
        <w:rPr>
          <w:rFonts w:eastAsia="Times New Roman"/>
          <w:sz w:val="20"/>
          <w:szCs w:val="20"/>
        </w:rPr>
        <w:t>fines, warning letters or holds on post-approval clinical trials</w:t>
      </w:r>
      <w:r>
        <w:rPr>
          <w:rFonts w:eastAsia="Times New Roman"/>
          <w:sz w:val="20"/>
          <w:szCs w:val="20"/>
        </w:rPr>
        <w:t>;</w:t>
      </w:r>
    </w:p>
    <w:p w:rsidR="00000000" w:rsidRDefault="00F83A7A">
      <w:pPr>
        <w:jc w:val="both"/>
        <w:divId w:val="289366195"/>
        <w:rPr>
          <w:rFonts w:eastAsia="Times New Roman"/>
        </w:rPr>
      </w:pPr>
      <w:r>
        <w:rPr>
          <w:rFonts w:eastAsia="Times New Roman"/>
          <w:sz w:val="20"/>
          <w:szCs w:val="20"/>
        </w:rPr>
        <w:t>•</w:t>
      </w:r>
    </w:p>
    <w:p w:rsidR="00000000" w:rsidRDefault="00F83A7A">
      <w:pPr>
        <w:jc w:val="both"/>
        <w:divId w:val="1158571793"/>
        <w:rPr>
          <w:rFonts w:eastAsia="Times New Roman"/>
        </w:rPr>
      </w:pPr>
      <w:r>
        <w:rPr>
          <w:rFonts w:eastAsia="Times New Roman"/>
          <w:sz w:val="20"/>
          <w:szCs w:val="20"/>
        </w:rPr>
        <w:t>refusal of the FDA to approve related pending applications or supplements to approved applications, or suspension or revocation of product approvals</w:t>
      </w:r>
      <w:r>
        <w:rPr>
          <w:rFonts w:eastAsia="Times New Roman"/>
          <w:sz w:val="20"/>
          <w:szCs w:val="20"/>
        </w:rPr>
        <w:t>;</w:t>
      </w:r>
    </w:p>
    <w:p w:rsidR="00000000" w:rsidRDefault="00F83A7A">
      <w:pPr>
        <w:jc w:val="both"/>
        <w:divId w:val="305278945"/>
        <w:rPr>
          <w:rFonts w:eastAsia="Times New Roman"/>
        </w:rPr>
      </w:pPr>
      <w:r>
        <w:rPr>
          <w:rFonts w:eastAsia="Times New Roman"/>
          <w:sz w:val="20"/>
          <w:szCs w:val="20"/>
        </w:rPr>
        <w:t>•</w:t>
      </w:r>
    </w:p>
    <w:p w:rsidR="00000000" w:rsidRDefault="00F83A7A">
      <w:pPr>
        <w:jc w:val="both"/>
        <w:divId w:val="1663074203"/>
        <w:rPr>
          <w:rFonts w:eastAsia="Times New Roman"/>
        </w:rPr>
      </w:pPr>
      <w:r>
        <w:rPr>
          <w:rFonts w:eastAsia="Times New Roman"/>
          <w:sz w:val="20"/>
          <w:szCs w:val="20"/>
        </w:rPr>
        <w:t>product seizure or detention, or refusal to permit the import or export of products; o</w:t>
      </w:r>
      <w:r>
        <w:rPr>
          <w:rFonts w:eastAsia="Times New Roman"/>
          <w:sz w:val="20"/>
          <w:szCs w:val="20"/>
        </w:rPr>
        <w:t>r</w:t>
      </w:r>
    </w:p>
    <w:p w:rsidR="00000000" w:rsidRDefault="00F83A7A">
      <w:pPr>
        <w:jc w:val="both"/>
        <w:divId w:val="2133285263"/>
        <w:rPr>
          <w:rFonts w:eastAsia="Times New Roman"/>
        </w:rPr>
      </w:pPr>
      <w:r>
        <w:rPr>
          <w:rFonts w:eastAsia="Times New Roman"/>
          <w:sz w:val="20"/>
          <w:szCs w:val="20"/>
        </w:rPr>
        <w:t>•</w:t>
      </w:r>
    </w:p>
    <w:p w:rsidR="00000000" w:rsidRDefault="00F83A7A">
      <w:pPr>
        <w:jc w:val="both"/>
        <w:divId w:val="1907445989"/>
        <w:rPr>
          <w:rFonts w:eastAsia="Times New Roman"/>
        </w:rPr>
      </w:pPr>
      <w:r>
        <w:rPr>
          <w:rFonts w:eastAsia="Times New Roman"/>
          <w:sz w:val="20"/>
          <w:szCs w:val="20"/>
        </w:rPr>
        <w:t>injunctions or</w:t>
      </w:r>
      <w:r>
        <w:rPr>
          <w:rFonts w:eastAsia="Times New Roman"/>
          <w:sz w:val="20"/>
          <w:szCs w:val="20"/>
        </w:rPr>
        <w:t xml:space="preserve"> the imposition of civil or criminal penalties</w:t>
      </w:r>
      <w:r>
        <w:rPr>
          <w:rFonts w:eastAsia="Times New Roman"/>
          <w:sz w:val="20"/>
          <w:szCs w:val="20"/>
        </w:rPr>
        <w:t>.</w:t>
      </w:r>
    </w:p>
    <w:p w:rsidR="00000000" w:rsidRDefault="00F83A7A">
      <w:pPr>
        <w:pStyle w:val="a3"/>
        <w:spacing w:before="200" w:beforeAutospacing="0" w:after="0" w:afterAutospacing="0"/>
        <w:ind w:firstLine="555"/>
        <w:jc w:val="both"/>
        <w:rPr>
          <w:sz w:val="20"/>
          <w:szCs w:val="20"/>
        </w:rPr>
      </w:pPr>
      <w:r>
        <w:rPr>
          <w:sz w:val="20"/>
          <w:szCs w:val="20"/>
        </w:rPr>
        <w:t>The FDA strictly regulates marketing, labeling, advertising and promotion of products that are placed on the market. Drugs may be promoted only for the approved indications and in accordance with the provisio</w:t>
      </w:r>
      <w:r>
        <w:rPr>
          <w:sz w:val="20"/>
          <w:szCs w:val="20"/>
        </w:rPr>
        <w:t>ns of the approved label. The FDA and other agencies actively enforce the laws and regulations prohibiting the promotion of off-label uses, and a company that is found to have improperly promoted off-label uses may be subject to significant liability</w:t>
      </w:r>
      <w:r>
        <w:rPr>
          <w:sz w:val="20"/>
          <w:szCs w:val="20"/>
        </w:rPr>
        <w:t>.</w:t>
      </w:r>
    </w:p>
    <w:p w:rsidR="00000000" w:rsidRDefault="00F83A7A">
      <w:pPr>
        <w:pStyle w:val="a3"/>
        <w:spacing w:before="240" w:beforeAutospacing="0" w:after="0" w:afterAutospacing="0"/>
        <w:jc w:val="center"/>
        <w:rPr>
          <w:sz w:val="20"/>
          <w:szCs w:val="20"/>
        </w:rPr>
      </w:pPr>
      <w:r>
        <w:rPr>
          <w:sz w:val="20"/>
          <w:szCs w:val="20"/>
        </w:rPr>
        <w:t>1</w:t>
      </w:r>
      <w:r>
        <w:rPr>
          <w:sz w:val="20"/>
          <w:szCs w:val="20"/>
        </w:rPr>
        <w:t>4</w:t>
      </w:r>
    </w:p>
    <w:p w:rsidR="00000000" w:rsidRDefault="00F83A7A">
      <w:pPr>
        <w:rPr>
          <w:rFonts w:eastAsia="Times New Roman"/>
        </w:rPr>
      </w:pPr>
      <w:r>
        <w:rPr>
          <w:rFonts w:eastAsia="Times New Roman"/>
        </w:rPr>
        <w:pict>
          <v:rect id="_x0000_i1041"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rPr>
          <w:sz w:val="20"/>
          <w:szCs w:val="20"/>
        </w:rPr>
      </w:pPr>
      <w:r>
        <w:rPr>
          <w:b/>
          <w:bCs/>
          <w:sz w:val="20"/>
          <w:szCs w:val="20"/>
        </w:rPr>
        <w:t>Coverage and Reimbursemen</w:t>
      </w:r>
      <w:r>
        <w:rPr>
          <w:b/>
          <w:bCs/>
          <w:sz w:val="20"/>
          <w:szCs w:val="20"/>
        </w:rPr>
        <w:t>t</w:t>
      </w:r>
    </w:p>
    <w:p w:rsidR="00000000" w:rsidRDefault="00F83A7A">
      <w:pPr>
        <w:pStyle w:val="a3"/>
        <w:spacing w:before="200" w:beforeAutospacing="0" w:after="0" w:afterAutospacing="0"/>
        <w:ind w:firstLine="555"/>
        <w:jc w:val="both"/>
        <w:rPr>
          <w:sz w:val="20"/>
          <w:szCs w:val="20"/>
        </w:rPr>
      </w:pPr>
      <w:r>
        <w:rPr>
          <w:sz w:val="20"/>
          <w:szCs w:val="20"/>
        </w:rPr>
        <w:t>Sales of our drug candidates, if approved, will depend, in part, on the extent to which such products will be covered by third-party payors, such as government health care programs, commercia</w:t>
      </w:r>
      <w:r>
        <w:rPr>
          <w:sz w:val="20"/>
          <w:szCs w:val="20"/>
        </w:rPr>
        <w:t>l insurance and managed healthcare organizations. These third-party payors are increasingly limiting coverage or reducing reimbursements for medical products and services. In addition, the U.S. government, state legislatures, and foreign governments have c</w:t>
      </w:r>
      <w:r>
        <w:rPr>
          <w:sz w:val="20"/>
          <w:szCs w:val="20"/>
        </w:rPr>
        <w:t xml:space="preserve">ontinued implementing cost-containment programs, including price controls, restrictions on reimbursement and requirements for substitution of generic products. Third-party payors decide which therapies they will pay for and establish reimbursement levels. </w:t>
      </w:r>
      <w:r>
        <w:rPr>
          <w:sz w:val="20"/>
          <w:szCs w:val="20"/>
        </w:rPr>
        <w:t>Third-party payors often rely upon Medicare coverage policy and payment limitations in setting their own coverage and reimbursement policies. Further, no uniform policy for coverage and reimbursement exists in the United States. Therefore, decisions regard</w:t>
      </w:r>
      <w:r>
        <w:rPr>
          <w:sz w:val="20"/>
          <w:szCs w:val="20"/>
        </w:rPr>
        <w:t>ing the extent of coverage and amount of reimbursement to be provided for any drug candidates that we develop will be made on a payor-by-payor basis. Each payor determines whether or not it will provide coverage for a therapy, what amount it will pay the m</w:t>
      </w:r>
      <w:r>
        <w:rPr>
          <w:sz w:val="20"/>
          <w:szCs w:val="20"/>
        </w:rPr>
        <w:t>anufacturer for the therapy, and on what tier of its formulary it will be placed. The position on a payor’s list of covered drugs, or formulary, generally determines the co-payment that a patient will need to make to obtain the therapy and can strongly inf</w:t>
      </w:r>
      <w:r>
        <w:rPr>
          <w:sz w:val="20"/>
          <w:szCs w:val="20"/>
        </w:rPr>
        <w:t>luence the adoption of such therapy by patients and physicians. Adoption of price controls and cost-containment measures, and adoption of more restrictive policies in jurisdictions with existing controls and measures, could further limit our net revenue an</w:t>
      </w:r>
      <w:r>
        <w:rPr>
          <w:sz w:val="20"/>
          <w:szCs w:val="20"/>
        </w:rPr>
        <w:t>d results. Decreases in third-party reimbursement for our drug candidates or a decision by a third-party payor to not cover our drug candidates could reduce physician usage of our drug candidates, once approved, and have a material adverse effect on our sa</w:t>
      </w:r>
      <w:r>
        <w:rPr>
          <w:sz w:val="20"/>
          <w:szCs w:val="20"/>
        </w:rPr>
        <w:t>les, results of operations and financial condition. Coverage policies and third-party payor reimbursement rates may change at any time. Therefore, even if favorable coverage and reimbursement status is attained, less favorable coverage policies and reimbur</w:t>
      </w:r>
      <w:r>
        <w:rPr>
          <w:sz w:val="20"/>
          <w:szCs w:val="20"/>
        </w:rPr>
        <w:t>sement rates may be implemented in the future</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Other Healthcare Law</w:t>
      </w:r>
      <w:r>
        <w:rPr>
          <w:b/>
          <w:bCs/>
          <w:sz w:val="20"/>
          <w:szCs w:val="20"/>
        </w:rPr>
        <w:t>s</w:t>
      </w:r>
    </w:p>
    <w:p w:rsidR="00000000" w:rsidRDefault="00F83A7A">
      <w:pPr>
        <w:pStyle w:val="a3"/>
        <w:spacing w:before="200" w:beforeAutospacing="0" w:after="0" w:afterAutospacing="0"/>
        <w:ind w:firstLine="816"/>
        <w:jc w:val="both"/>
        <w:rPr>
          <w:sz w:val="20"/>
          <w:szCs w:val="20"/>
        </w:rPr>
      </w:pPr>
      <w:r>
        <w:rPr>
          <w:sz w:val="20"/>
          <w:szCs w:val="20"/>
        </w:rPr>
        <w:t>Because of our current and future arrangements with healthcare professionals, principal investigators, consultants, customers and third-party payors, we will also be subject to healthcare</w:t>
      </w:r>
      <w:r>
        <w:rPr>
          <w:sz w:val="20"/>
          <w:szCs w:val="20"/>
        </w:rPr>
        <w:t xml:space="preserve"> regulation and enforcement by the federal government and the states and foreign governments in which we will conduct our business, including our clinical research, proposed sales, marketing and educational programs</w:t>
      </w:r>
      <w:r>
        <w:rPr>
          <w:sz w:val="20"/>
          <w:szCs w:val="20"/>
        </w:rPr>
        <w:t>.</w:t>
      </w:r>
      <w:r>
        <w:rPr>
          <w:sz w:val="20"/>
          <w:szCs w:val="20"/>
        </w:rPr>
        <w:t xml:space="preserve"> </w:t>
      </w:r>
    </w:p>
    <w:p w:rsidR="00000000" w:rsidRDefault="00F83A7A">
      <w:pPr>
        <w:pStyle w:val="a3"/>
        <w:spacing w:before="200" w:beforeAutospacing="0" w:after="0" w:afterAutospacing="0"/>
        <w:ind w:firstLine="816"/>
        <w:jc w:val="both"/>
        <w:rPr>
          <w:sz w:val="20"/>
          <w:szCs w:val="20"/>
        </w:rPr>
      </w:pPr>
      <w:r>
        <w:rPr>
          <w:sz w:val="20"/>
          <w:szCs w:val="20"/>
        </w:rPr>
        <w:t>The U.S. laws that may affect our abil</w:t>
      </w:r>
      <w:r>
        <w:rPr>
          <w:sz w:val="20"/>
          <w:szCs w:val="20"/>
        </w:rPr>
        <w:t>ity to operate, among others, include: the federal Health Insurance Portability and Accountability Act of 1996, or HIPAA, as amended by the Health Information Technology for Economic and Clinical Health Act, which governs the conduct of “covered entities,”</w:t>
      </w:r>
      <w:r>
        <w:rPr>
          <w:sz w:val="20"/>
          <w:szCs w:val="20"/>
        </w:rPr>
        <w:t xml:space="preserve"> including certain healthcare providers, health plans, and healthcare clearinghouses, as well as their respective “business associates” that create, receive, maintain or transmit individually identifiable health information for or on behalf of a covered en</w:t>
      </w:r>
      <w:r>
        <w:rPr>
          <w:sz w:val="20"/>
          <w:szCs w:val="20"/>
        </w:rPr>
        <w:t>tity, with respect to certain electronic healthcare transactions and protecting the security and privacy of protected health information; certain state laws governing the privacy and security of health information in certain circumstances, some of which ar</w:t>
      </w:r>
      <w:r>
        <w:rPr>
          <w:sz w:val="20"/>
          <w:szCs w:val="20"/>
        </w:rPr>
        <w:t>e more stringent than HIPAA and many of which differ from each other in significant ways and may not have the same effect, thus complicating compliance efforts; the federal Anti-Kickback Statute, which prohibits, among other things, individuals or entities</w:t>
      </w:r>
      <w:r>
        <w:rPr>
          <w:sz w:val="20"/>
          <w:szCs w:val="20"/>
        </w:rPr>
        <w:t xml:space="preserve"> from knowingly and willfully soliciting, receiving, offering or paying remuneration, directly or indirectly, in exchange for or to induce either the referral of an individual for, or the purchase, order or recommendation of, any good or service for which </w:t>
      </w:r>
      <w:r>
        <w:rPr>
          <w:sz w:val="20"/>
          <w:szCs w:val="20"/>
        </w:rPr>
        <w:t>payment may be made under federal healthcare programs such as the Medicare and Medicaid programs; federal false claims laws and civil monetary penalty laws, which prohibit, among other things, individuals or entities from knowingly presenting, or causing t</w:t>
      </w:r>
      <w:r>
        <w:rPr>
          <w:sz w:val="20"/>
          <w:szCs w:val="20"/>
        </w:rPr>
        <w:t>o be presented, claims for payment from Medicare, Medicaid, or other third-party payors that are false or fraudulent; federal criminal laws that prohibit executing a scheme to defraud any healthcare benefit program or making false statements relating to he</w:t>
      </w:r>
      <w:r>
        <w:rPr>
          <w:sz w:val="20"/>
          <w:szCs w:val="20"/>
        </w:rPr>
        <w:t xml:space="preserve">althcare matters; the Physician Payments Sunshine Act, which requires certain manufacturers of drugs, devices, biologics, and medical supplies to report annually to the U.S. Department of Health and Human Services information related to payments and other </w:t>
      </w:r>
      <w:r>
        <w:rPr>
          <w:sz w:val="20"/>
          <w:szCs w:val="20"/>
        </w:rPr>
        <w:t>transfers of value to physicians (defined to include doctors, dentists, optometrists, podiatrists and chiropractors), certain other healthcare professionals (such as physician assistants and nurse practitioners) and teaching hospitals, and ownership and in</w:t>
      </w:r>
      <w:r>
        <w:rPr>
          <w:sz w:val="20"/>
          <w:szCs w:val="20"/>
        </w:rPr>
        <w:t>vestment interests held by physicians and their immediate family members</w:t>
      </w:r>
      <w:r>
        <w:rPr>
          <w:sz w:val="20"/>
          <w:szCs w:val="20"/>
        </w:rPr>
        <w:t>.</w:t>
      </w:r>
      <w:r>
        <w:rPr>
          <w:sz w:val="20"/>
          <w:szCs w:val="20"/>
        </w:rPr>
        <w:t xml:space="preserve"> </w:t>
      </w:r>
    </w:p>
    <w:p w:rsidR="00000000" w:rsidRDefault="00F83A7A">
      <w:pPr>
        <w:pStyle w:val="a3"/>
        <w:spacing w:before="0" w:beforeAutospacing="0" w:after="0" w:afterAutospacing="0"/>
        <w:ind w:firstLine="816"/>
        <w:jc w:val="both"/>
        <w:rPr>
          <w:sz w:val="20"/>
          <w:szCs w:val="20"/>
        </w:rPr>
      </w:pPr>
      <w:r>
        <w:rPr>
          <w:sz w:val="20"/>
          <w:szCs w:val="20"/>
        </w:rPr>
        <w:t> </w:t>
      </w:r>
    </w:p>
    <w:p w:rsidR="00000000" w:rsidRDefault="00F83A7A">
      <w:pPr>
        <w:pStyle w:val="a3"/>
        <w:spacing w:before="0" w:beforeAutospacing="0" w:after="0" w:afterAutospacing="0"/>
        <w:ind w:firstLine="816"/>
        <w:jc w:val="both"/>
        <w:rPr>
          <w:sz w:val="20"/>
          <w:szCs w:val="20"/>
        </w:rPr>
      </w:pPr>
      <w:r>
        <w:rPr>
          <w:sz w:val="20"/>
          <w:szCs w:val="20"/>
        </w:rPr>
        <w:t>In addition, many states have similar laws and regulations, such as anti-kickback and false claims laws that may be broader in scope and may apply regardless of payor, in addition</w:t>
      </w:r>
      <w:r>
        <w:rPr>
          <w:sz w:val="20"/>
          <w:szCs w:val="20"/>
        </w:rPr>
        <w:t xml:space="preserve"> to items and services reimbursed under Medicaid and other state programs. Additionally, to the extent that our product is sold in a foreign country, we may be subject to similar foreign laws</w:t>
      </w:r>
      <w:r>
        <w:rPr>
          <w:sz w:val="20"/>
          <w:szCs w:val="20"/>
        </w:rPr>
        <w:t>.</w:t>
      </w:r>
    </w:p>
    <w:p w:rsidR="00000000" w:rsidRDefault="00F83A7A">
      <w:pPr>
        <w:pStyle w:val="a3"/>
        <w:spacing w:before="0" w:beforeAutospacing="0" w:after="0" w:afterAutospacing="0"/>
        <w:ind w:firstLine="816"/>
        <w:jc w:val="both"/>
        <w:rPr>
          <w:sz w:val="20"/>
          <w:szCs w:val="20"/>
        </w:rPr>
      </w:pPr>
      <w:r>
        <w:rPr>
          <w:sz w:val="20"/>
          <w:szCs w:val="20"/>
        </w:rPr>
        <w:t> </w:t>
      </w:r>
    </w:p>
    <w:p w:rsidR="00000000" w:rsidRDefault="00F83A7A">
      <w:pPr>
        <w:pStyle w:val="a3"/>
        <w:spacing w:before="0" w:beforeAutospacing="0" w:after="0" w:afterAutospacing="0"/>
        <w:ind w:firstLine="816"/>
        <w:jc w:val="both"/>
        <w:rPr>
          <w:sz w:val="20"/>
          <w:szCs w:val="20"/>
        </w:rPr>
      </w:pPr>
      <w:r>
        <w:rPr>
          <w:sz w:val="20"/>
          <w:szCs w:val="20"/>
        </w:rPr>
        <w:t>Failure to comply with these laws, where applicable, can resu</w:t>
      </w:r>
      <w:r>
        <w:rPr>
          <w:sz w:val="20"/>
          <w:szCs w:val="20"/>
        </w:rPr>
        <w:t xml:space="preserve">lt in the imposition of significant penalties, including civil, criminal, and administrative penalties, damages, disgorgement, monetary fines, possible exclusion from participation in Medicare, Medicaid and other federal healthcare programs, imprisonment, </w:t>
      </w:r>
      <w:r>
        <w:rPr>
          <w:sz w:val="20"/>
          <w:szCs w:val="20"/>
        </w:rPr>
        <w:t>and integrity oversight and reporting obligations</w:t>
      </w:r>
      <w:r>
        <w:rPr>
          <w:sz w:val="20"/>
          <w:szCs w:val="20"/>
        </w:rPr>
        <w:t>.</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1</w:t>
      </w:r>
      <w:r>
        <w:rPr>
          <w:sz w:val="20"/>
          <w:szCs w:val="20"/>
        </w:rPr>
        <w:t>5</w:t>
      </w:r>
    </w:p>
    <w:p w:rsidR="00000000" w:rsidRDefault="00F83A7A">
      <w:pPr>
        <w:rPr>
          <w:rFonts w:eastAsia="Times New Roman"/>
        </w:rPr>
      </w:pPr>
      <w:r>
        <w:rPr>
          <w:rFonts w:eastAsia="Times New Roman"/>
        </w:rPr>
        <w:pict>
          <v:rect id="_x0000_i1042"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rPr>
          <w:sz w:val="20"/>
          <w:szCs w:val="20"/>
        </w:rPr>
      </w:pPr>
      <w:r>
        <w:rPr>
          <w:b/>
          <w:bCs/>
          <w:sz w:val="20"/>
          <w:szCs w:val="20"/>
        </w:rPr>
        <w:t>Healthcare Refor</w:t>
      </w:r>
      <w:r>
        <w:rPr>
          <w:b/>
          <w:bCs/>
          <w:sz w:val="20"/>
          <w:szCs w:val="20"/>
        </w:rPr>
        <w:t>m</w:t>
      </w:r>
    </w:p>
    <w:p w:rsidR="00000000" w:rsidRDefault="00F83A7A">
      <w:pPr>
        <w:pStyle w:val="a3"/>
        <w:spacing w:before="0" w:beforeAutospacing="0" w:after="0" w:afterAutospacing="0"/>
        <w:ind w:firstLine="816"/>
        <w:jc w:val="both"/>
        <w:rPr>
          <w:sz w:val="20"/>
          <w:szCs w:val="20"/>
        </w:rPr>
      </w:pPr>
      <w:r>
        <w:rPr>
          <w:sz w:val="20"/>
          <w:szCs w:val="20"/>
        </w:rPr>
        <w:t> </w:t>
      </w:r>
    </w:p>
    <w:p w:rsidR="00000000" w:rsidRDefault="00F83A7A">
      <w:pPr>
        <w:pStyle w:val="a3"/>
        <w:spacing w:before="0" w:beforeAutospacing="0" w:after="0" w:afterAutospacing="0"/>
        <w:ind w:firstLine="816"/>
        <w:jc w:val="both"/>
        <w:rPr>
          <w:sz w:val="20"/>
          <w:szCs w:val="20"/>
        </w:rPr>
      </w:pPr>
      <w:r>
        <w:rPr>
          <w:sz w:val="20"/>
          <w:szCs w:val="20"/>
        </w:rPr>
        <w:t>Current and future legislative proposals to further reform healthcare or reduce healthcare costs may result in lower reimbursement for our products. The cost containment measures that payors and providers are instituting and the effect of any healthcare re</w:t>
      </w:r>
      <w:r>
        <w:rPr>
          <w:sz w:val="20"/>
          <w:szCs w:val="20"/>
        </w:rPr>
        <w:t>form initiative implemented in the future could significantly reduce our revenues from the sale of our products</w:t>
      </w:r>
      <w:r>
        <w:rPr>
          <w:sz w:val="20"/>
          <w:szCs w:val="20"/>
        </w:rPr>
        <w:t>.</w:t>
      </w:r>
    </w:p>
    <w:p w:rsidR="00000000" w:rsidRDefault="00F83A7A">
      <w:pPr>
        <w:pStyle w:val="a3"/>
        <w:spacing w:before="0" w:beforeAutospacing="0" w:after="0" w:afterAutospacing="0"/>
        <w:ind w:firstLine="816"/>
        <w:jc w:val="both"/>
        <w:rPr>
          <w:sz w:val="20"/>
          <w:szCs w:val="20"/>
        </w:rPr>
      </w:pPr>
      <w:r>
        <w:rPr>
          <w:sz w:val="20"/>
          <w:szCs w:val="20"/>
        </w:rPr>
        <w:t> </w:t>
      </w:r>
    </w:p>
    <w:p w:rsidR="00000000" w:rsidRDefault="00F83A7A">
      <w:pPr>
        <w:pStyle w:val="a3"/>
        <w:spacing w:before="0" w:beforeAutospacing="0" w:after="0" w:afterAutospacing="0"/>
        <w:ind w:firstLine="816"/>
        <w:jc w:val="both"/>
        <w:rPr>
          <w:sz w:val="20"/>
          <w:szCs w:val="20"/>
        </w:rPr>
      </w:pPr>
      <w:r>
        <w:rPr>
          <w:sz w:val="20"/>
          <w:szCs w:val="20"/>
        </w:rPr>
        <w:t>For example, implementation of the Patient Protection and Affordable Care Act, as amended by the Health Care and Education Reconciliation Act</w:t>
      </w:r>
      <w:r>
        <w:rPr>
          <w:sz w:val="20"/>
          <w:szCs w:val="20"/>
        </w:rPr>
        <w:t xml:space="preserve">, collectively the Affordable Care Act, or the PPACA, has substantially changed healthcare financing and delivery by both governmental and private insurers, and significantly impacted the pharmaceutical industry. The PPACA, among other things, established </w:t>
      </w:r>
      <w:r>
        <w:rPr>
          <w:sz w:val="20"/>
          <w:szCs w:val="20"/>
        </w:rPr>
        <w:t>an annual, nondeductible fee on any entity that manufactures or imports certain specified branded prescription drugs and biologic agents, revised the methodology by which rebates owed by manufacturers to the state and federal government for covered outpati</w:t>
      </w:r>
      <w:r>
        <w:rPr>
          <w:sz w:val="20"/>
          <w:szCs w:val="20"/>
        </w:rPr>
        <w:t>ent drugs under the Medicaid Drug Rebate Program are calculated, increased the minimum Medicaid rebates owed by most manufacturers under the Medicaid Drug Rebate Program, extended the Medicaid Drug Rebate program to utilization of prescriptions of individu</w:t>
      </w:r>
      <w:r>
        <w:rPr>
          <w:sz w:val="20"/>
          <w:szCs w:val="20"/>
        </w:rPr>
        <w:t>als enrolled in Medicaid managed care organizations, provided incentives to programs that increase the federal government’s comparative effectiveness research and created a licensure frame work for follow-on biologic products. Since its enactment there hav</w:t>
      </w:r>
      <w:r>
        <w:rPr>
          <w:sz w:val="20"/>
          <w:szCs w:val="20"/>
        </w:rPr>
        <w:t>e been executive, judicial and Congressional challenges to certain aspects of the PPACA. For example, President Trump has signed several Executive Orders and other directives designed to delay the implementation of certain provisions of the PPACA or otherw</w:t>
      </w:r>
      <w:r>
        <w:rPr>
          <w:sz w:val="20"/>
          <w:szCs w:val="20"/>
        </w:rPr>
        <w:t>ise circumvent some of the requirements for health insurance mandated by the PPACA. Concurrently, Congress considered legislation to repeal or repeal and replace all or part of the PPACA. While Congress has not passed comprehensive repeal legislation, seve</w:t>
      </w:r>
      <w:r>
        <w:rPr>
          <w:sz w:val="20"/>
          <w:szCs w:val="20"/>
        </w:rPr>
        <w:t>ral bills affecting the implementation of certain taxes under the PPACA have been signed into law. The Tax Cuts and Jobs Act of 2017 includes a provision repealing, effective January 1, 2019, the tax-based shared responsibility payment imposed by the PPACA</w:t>
      </w:r>
      <w:r>
        <w:rPr>
          <w:sz w:val="20"/>
          <w:szCs w:val="20"/>
        </w:rPr>
        <w:t xml:space="preserve"> on certain individuals who fail to maintain qualifying health coverage for all or part of a year that is commonly referred to as the “individual mandate”. On June 17, 2021, the U.S. Supreme Court dismissed a challenge on procedural grounds that argued the</w:t>
      </w:r>
      <w:r>
        <w:rPr>
          <w:sz w:val="20"/>
          <w:szCs w:val="20"/>
        </w:rPr>
        <w:t xml:space="preserve"> PPACA is unconstitutional in its entirety because the “individual mandate” was repealed by Congress. Thus, the PPACA will remain in effect in its current form. Prior to the U.S. Supreme Court ruling, , on January 28, 2021, President Biden issued an execut</w:t>
      </w:r>
      <w:r>
        <w:rPr>
          <w:sz w:val="20"/>
          <w:szCs w:val="20"/>
        </w:rPr>
        <w:t>ive order to initiate a special enrollment period for purposes of obtaining health insurance coverage through the PPACA marketplace. The executive order also instructed certain governmental agencies to review and reconsider their existing policies and rule</w:t>
      </w:r>
      <w:r>
        <w:rPr>
          <w:sz w:val="20"/>
          <w:szCs w:val="20"/>
        </w:rPr>
        <w:t>s that limit access to healthcare, including among others, reexamining Medicaid demonstration projects and waiver programs that include work requirements, and policies that create barriers to obtaining access to health insurance coverage through Medicaid o</w:t>
      </w:r>
      <w:r>
        <w:rPr>
          <w:sz w:val="20"/>
          <w:szCs w:val="20"/>
        </w:rPr>
        <w:t>r the PPACA. It is possible that the PPACA will be subject to judicial or Congressional challenges in the future. It is unclear how any such challenges and the healthcare reform measures of the Biden administration will impact the PPACA</w:t>
      </w:r>
      <w:r>
        <w:rPr>
          <w:sz w:val="20"/>
          <w:szCs w:val="20"/>
        </w:rPr>
        <w:t>.</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0" w:beforeAutospacing="0" w:after="0" w:afterAutospacing="0"/>
        <w:ind w:firstLine="816"/>
        <w:jc w:val="both"/>
        <w:rPr>
          <w:sz w:val="20"/>
          <w:szCs w:val="20"/>
        </w:rPr>
      </w:pPr>
      <w:r>
        <w:rPr>
          <w:sz w:val="20"/>
          <w:szCs w:val="20"/>
        </w:rPr>
        <w:t>In addition, oth</w:t>
      </w:r>
      <w:r>
        <w:rPr>
          <w:sz w:val="20"/>
          <w:szCs w:val="20"/>
        </w:rPr>
        <w:t>er legislative changes have been proposed and adopted since the PPACA was enacted. In August 2011, then President Obama signed into law the Budget Control Act of 2011, which, among other things, created the Joint Select Committee on Deficit Reduction to re</w:t>
      </w:r>
      <w:r>
        <w:rPr>
          <w:sz w:val="20"/>
          <w:szCs w:val="20"/>
        </w:rPr>
        <w:t>commend to Congress proposals for spending reductions. The Joint Select Committee did not achieve a targeted deficit reduction of at least $1.2 trillion for the years 2013 through 2021, triggering the legislation’s automatic reduction to several government</w:t>
      </w:r>
      <w:r>
        <w:rPr>
          <w:sz w:val="20"/>
          <w:szCs w:val="20"/>
        </w:rPr>
        <w:t xml:space="preserve"> programs. This includes reductions to Medicare payments to providers of 2% per fiscal year, which went into effect in April 2013 and, due to subsequent legislative amendments, including the BBA, will remain in effect through 2031 unless additional Congres</w:t>
      </w:r>
      <w:r>
        <w:rPr>
          <w:sz w:val="20"/>
          <w:szCs w:val="20"/>
        </w:rPr>
        <w:t xml:space="preserve">sional action is taken. However, COVID-19 relief support legislation suspended the 2% Medicare sequester from May 1, 2020 through March 31, 2022. Under current legislation, the actual reduction in Medicare payments will vary from 1% in 2022 to up to 3% in </w:t>
      </w:r>
      <w:r>
        <w:rPr>
          <w:sz w:val="20"/>
          <w:szCs w:val="20"/>
        </w:rPr>
        <w:t>the final fiscal year of this sequester. Additionally, in January 2013, then President Obama signed into law the American Taxpayer Relief Act of 2012, which, among other things, reduced Medicare payments to several providers and increased the statute of li</w:t>
      </w:r>
      <w:r>
        <w:rPr>
          <w:sz w:val="20"/>
          <w:szCs w:val="20"/>
        </w:rPr>
        <w:t>mitations period for the government to recover overpayments to providers from three to five years. Congress is also considering additional health reform measures</w:t>
      </w:r>
      <w:r>
        <w:rPr>
          <w:sz w:val="20"/>
          <w:szCs w:val="20"/>
        </w:rPr>
        <w:t>.</w:t>
      </w:r>
    </w:p>
    <w:p w:rsidR="00000000" w:rsidRDefault="00F83A7A">
      <w:pPr>
        <w:pStyle w:val="a3"/>
        <w:spacing w:before="0" w:beforeAutospacing="0" w:after="0" w:afterAutospacing="0"/>
        <w:ind w:firstLine="816"/>
        <w:jc w:val="both"/>
        <w:rPr>
          <w:sz w:val="20"/>
          <w:szCs w:val="20"/>
        </w:rPr>
      </w:pPr>
      <w:r>
        <w:rPr>
          <w:sz w:val="20"/>
          <w:szCs w:val="20"/>
        </w:rPr>
        <w:t> </w:t>
      </w:r>
    </w:p>
    <w:p w:rsidR="00000000" w:rsidRDefault="00F83A7A">
      <w:pPr>
        <w:pStyle w:val="a3"/>
        <w:spacing w:before="0" w:beforeAutospacing="0" w:after="0" w:afterAutospacing="0"/>
        <w:ind w:firstLine="816"/>
        <w:jc w:val="both"/>
        <w:rPr>
          <w:sz w:val="20"/>
          <w:szCs w:val="20"/>
        </w:rPr>
      </w:pPr>
      <w:r>
        <w:rPr>
          <w:sz w:val="20"/>
          <w:szCs w:val="20"/>
        </w:rPr>
        <w:t>Further, there has been heightened governmental scrutiny over the manner in which manufactu</w:t>
      </w:r>
      <w:r>
        <w:rPr>
          <w:sz w:val="20"/>
          <w:szCs w:val="20"/>
        </w:rPr>
        <w:t>rers set prices for their marketed products. For example, there have been presidential executive orders and several recent presidential executive orders, Congressional inquiries and proposed and enacted federal and state legislation designed to, among othe</w:t>
      </w:r>
      <w:r>
        <w:rPr>
          <w:sz w:val="20"/>
          <w:szCs w:val="20"/>
        </w:rPr>
        <w:t>r things, bring more transparency to drug pricing, review the relationship between pricing and manufacturer patient programs, and reform government program reimbursement methodologies for drug products. For example, in July 2021, the Biden administration r</w:t>
      </w:r>
      <w:r>
        <w:rPr>
          <w:sz w:val="20"/>
          <w:szCs w:val="20"/>
        </w:rPr>
        <w:t>eleased an executive order, “Promoting Competition in the American Economy,” with multiple provisions aimed at prescription drugs. In response to Biden’s executive order, on September 9, 2021, the U.S. Department of Health and Human Services, or HHS, relea</w:t>
      </w:r>
      <w:r>
        <w:rPr>
          <w:sz w:val="20"/>
          <w:szCs w:val="20"/>
        </w:rPr>
        <w:t>sed a Comprehensive Plan for Addressing High Drug Prices that outlines principles for drug pricing reform and sets out a variety of potential legislative policies that Congress could pursue as well as potential administrative actions HHS can take to advanc</w:t>
      </w:r>
      <w:r>
        <w:rPr>
          <w:sz w:val="20"/>
          <w:szCs w:val="20"/>
        </w:rPr>
        <w:t>e these principles. No legislation or administrative actions have been finalized to implement these principles. We expect that additional federal and state, as well as foreign, healthcare reform measures will be adopted in the future, any of which could re</w:t>
      </w:r>
      <w:r>
        <w:rPr>
          <w:sz w:val="20"/>
          <w:szCs w:val="20"/>
        </w:rPr>
        <w:t>sult in reduced demand for our products or additional pricing pressure. Further, it is possible that additional governmental action is taken in response to the COVID-19 pandemic</w:t>
      </w:r>
      <w:r>
        <w:rPr>
          <w:sz w:val="20"/>
          <w:szCs w:val="20"/>
        </w:rPr>
        <w:t>.</w:t>
      </w:r>
      <w:r>
        <w:rPr>
          <w:sz w:val="20"/>
          <w:szCs w:val="20"/>
        </w:rPr>
        <w:t xml:space="preserve"> </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1</w:t>
      </w:r>
      <w:r>
        <w:rPr>
          <w:sz w:val="20"/>
          <w:szCs w:val="20"/>
        </w:rPr>
        <w:t>6</w:t>
      </w:r>
    </w:p>
    <w:p w:rsidR="00000000" w:rsidRDefault="00F83A7A">
      <w:pPr>
        <w:rPr>
          <w:rFonts w:eastAsia="Times New Roman"/>
        </w:rPr>
      </w:pPr>
      <w:r>
        <w:rPr>
          <w:rFonts w:eastAsia="Times New Roman"/>
        </w:rPr>
        <w:pict>
          <v:rect id="_x0000_i1043"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rPr>
          <w:sz w:val="20"/>
          <w:szCs w:val="20"/>
        </w:rPr>
      </w:pPr>
      <w:r>
        <w:rPr>
          <w:b/>
          <w:bCs/>
          <w:sz w:val="20"/>
          <w:szCs w:val="20"/>
        </w:rPr>
        <w:t>Human Capital Managemen</w:t>
      </w:r>
      <w:r>
        <w:rPr>
          <w:b/>
          <w:bCs/>
          <w:sz w:val="20"/>
          <w:szCs w:val="20"/>
        </w:rPr>
        <w:t>t</w:t>
      </w:r>
      <w:r>
        <w:rPr>
          <w:b/>
          <w:bCs/>
          <w:sz w:val="20"/>
          <w:szCs w:val="20"/>
        </w:rPr>
        <w:t xml:space="preserve"> </w:t>
      </w:r>
    </w:p>
    <w:p w:rsidR="00000000" w:rsidRDefault="00F83A7A">
      <w:pPr>
        <w:pStyle w:val="a3"/>
        <w:spacing w:before="0" w:beforeAutospacing="0" w:after="0" w:afterAutospacing="0"/>
        <w:ind w:firstLine="816"/>
        <w:jc w:val="both"/>
        <w:rPr>
          <w:sz w:val="20"/>
          <w:szCs w:val="20"/>
        </w:rPr>
      </w:pPr>
      <w:r>
        <w:rPr>
          <w:sz w:val="20"/>
          <w:szCs w:val="20"/>
        </w:rPr>
        <w:t> </w:t>
      </w:r>
    </w:p>
    <w:p w:rsidR="00000000" w:rsidRDefault="00F83A7A">
      <w:pPr>
        <w:pStyle w:val="a3"/>
        <w:spacing w:before="0" w:beforeAutospacing="0" w:after="0" w:afterAutospacing="0"/>
        <w:ind w:firstLine="816"/>
        <w:jc w:val="both"/>
        <w:rPr>
          <w:sz w:val="20"/>
          <w:szCs w:val="20"/>
        </w:rPr>
      </w:pPr>
      <w:r>
        <w:rPr>
          <w:sz w:val="20"/>
          <w:szCs w:val="20"/>
        </w:rPr>
        <w:t>As o</w:t>
      </w:r>
      <w:r>
        <w:rPr>
          <w:sz w:val="20"/>
          <w:szCs w:val="20"/>
        </w:rPr>
        <w:t>f December 31, 2021, we had 57 full-time employees, the majority of whom were primarily engaged in research and development activities, including more than 10 individuals with M.D. and Ph.D. degrees with epilepsy and neurology experience</w:t>
      </w:r>
      <w:r>
        <w:rPr>
          <w:sz w:val="20"/>
          <w:szCs w:val="20"/>
        </w:rPr>
        <w:t>.</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0" w:afterAutospacing="0"/>
        <w:ind w:firstLine="816"/>
        <w:rPr>
          <w:sz w:val="20"/>
          <w:szCs w:val="20"/>
        </w:rPr>
      </w:pPr>
      <w:r>
        <w:rPr>
          <w:sz w:val="20"/>
          <w:szCs w:val="20"/>
        </w:rPr>
        <w:t>Our human capit</w:t>
      </w:r>
      <w:r>
        <w:rPr>
          <w:sz w:val="20"/>
          <w:szCs w:val="20"/>
        </w:rPr>
        <w:t>al resources objectives include, as applicable, identifying, recruiting, retaining, incentivizing and integrating our existing and additional employees. The principal purposes of our equity incentive plans are to attract, retain and motivate selected emplo</w:t>
      </w:r>
      <w:r>
        <w:rPr>
          <w:sz w:val="20"/>
          <w:szCs w:val="20"/>
        </w:rPr>
        <w:t>yees, consultants and directors through the granting of equity-based compensation awards and cash-based compensation awards, in order to increase stockholder value and the success of our company by motivating such individuals to perform to the best of thei</w:t>
      </w:r>
      <w:r>
        <w:rPr>
          <w:sz w:val="20"/>
          <w:szCs w:val="20"/>
        </w:rPr>
        <w:t>r abilities and achieve our objectives</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Facilitie</w:t>
      </w:r>
      <w:r>
        <w:rPr>
          <w:b/>
          <w:bCs/>
          <w:sz w:val="20"/>
          <w:szCs w:val="20"/>
        </w:rPr>
        <w:t>s</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0" w:beforeAutospacing="0" w:after="0" w:afterAutospacing="0"/>
        <w:ind w:firstLine="816"/>
        <w:jc w:val="both"/>
        <w:rPr>
          <w:sz w:val="20"/>
          <w:szCs w:val="20"/>
        </w:rPr>
      </w:pPr>
      <w:r>
        <w:rPr>
          <w:sz w:val="20"/>
          <w:szCs w:val="20"/>
        </w:rPr>
        <w:t>We lease the space for our principal executive offices, which are located at 1460 Broadway, New York, New York, on a monthly basis. In 2021, we entered into a 10-year lease of an office space at 441 Nint</w:t>
      </w:r>
      <w:r>
        <w:rPr>
          <w:sz w:val="20"/>
          <w:szCs w:val="20"/>
        </w:rPr>
        <w:t>h Avenue, New York, New York. We anticipate using this space as our new principal executive offices and expect that our employees will move into those offices mid-year 2022</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Corporate and Other Informatio</w:t>
      </w:r>
      <w:r>
        <w:rPr>
          <w:b/>
          <w:bCs/>
          <w:sz w:val="20"/>
          <w:szCs w:val="20"/>
        </w:rPr>
        <w:t>n</w:t>
      </w:r>
    </w:p>
    <w:p w:rsidR="00000000" w:rsidRDefault="00F83A7A">
      <w:pPr>
        <w:pStyle w:val="a3"/>
        <w:spacing w:before="200" w:beforeAutospacing="0" w:after="0" w:afterAutospacing="0"/>
        <w:ind w:firstLine="816"/>
        <w:jc w:val="both"/>
        <w:rPr>
          <w:sz w:val="20"/>
          <w:szCs w:val="20"/>
        </w:rPr>
      </w:pPr>
      <w:r>
        <w:rPr>
          <w:sz w:val="20"/>
          <w:szCs w:val="20"/>
        </w:rPr>
        <w:t>We were incorporated in Delaware in April 2014. Our principal executive offices are located at 1460 Broadway, Suite 15021 New York, New York 10036 and our telephone number is (646) 661-7661. Our corporate website address is www.ovidrx.com. Information cont</w:t>
      </w:r>
      <w:r>
        <w:rPr>
          <w:sz w:val="20"/>
          <w:szCs w:val="20"/>
        </w:rPr>
        <w:t>ained on or accessible through our website is not a part of this Annual Report, and the inclusion of our website address in this Annual Report is an inactive textual reference only</w:t>
      </w:r>
      <w:r>
        <w:rPr>
          <w:sz w:val="20"/>
          <w:szCs w:val="20"/>
        </w:rPr>
        <w:t>.</w:t>
      </w:r>
    </w:p>
    <w:p w:rsidR="00000000" w:rsidRDefault="00F83A7A">
      <w:pPr>
        <w:pStyle w:val="a3"/>
        <w:spacing w:before="200" w:beforeAutospacing="0" w:after="0" w:afterAutospacing="0"/>
        <w:ind w:firstLine="816"/>
        <w:jc w:val="both"/>
        <w:rPr>
          <w:sz w:val="20"/>
          <w:szCs w:val="20"/>
        </w:rPr>
      </w:pPr>
      <w:r>
        <w:rPr>
          <w:sz w:val="20"/>
          <w:szCs w:val="20"/>
        </w:rPr>
        <w:t>We file electronically with the Securities and Exchange Commission, or the</w:t>
      </w:r>
      <w:r>
        <w:rPr>
          <w:sz w:val="20"/>
          <w:szCs w:val="20"/>
        </w:rPr>
        <w:t xml:space="preserve"> SEC, our annual reports on Form 10-K, Annual reports on Form 10-Q, current reports on Form 8-K, and amendments to those reports filed or furnished pursuant to Section 13(a) or 15(d) of the Exchange Act. We make available on our website at</w:t>
      </w:r>
      <w:r>
        <w:rPr>
          <w:sz w:val="20"/>
          <w:szCs w:val="20"/>
        </w:rPr>
        <w:t xml:space="preserve"> </w:t>
      </w:r>
      <w:r>
        <w:rPr>
          <w:sz w:val="20"/>
          <w:szCs w:val="20"/>
          <w:u w:val="single"/>
        </w:rPr>
        <w:t>www.ovidrx.co</w:t>
      </w:r>
      <w:r>
        <w:rPr>
          <w:sz w:val="20"/>
          <w:szCs w:val="20"/>
          <w:u w:val="single"/>
        </w:rPr>
        <w:t>m</w:t>
      </w:r>
      <w:r>
        <w:rPr>
          <w:sz w:val="20"/>
          <w:szCs w:val="20"/>
        </w:rPr>
        <w:t xml:space="preserve"> u</w:t>
      </w:r>
      <w:r>
        <w:rPr>
          <w:sz w:val="20"/>
          <w:szCs w:val="20"/>
        </w:rPr>
        <w:t>nder “Investors,” free of charge, copies of these reports as soon as reasonably practicable after filing or furnishing these reports with the SEC</w:t>
      </w:r>
      <w:r>
        <w:rPr>
          <w:sz w:val="20"/>
          <w:szCs w:val="20"/>
        </w:rPr>
        <w:t>.</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1</w:t>
      </w:r>
      <w:r>
        <w:rPr>
          <w:sz w:val="20"/>
          <w:szCs w:val="20"/>
        </w:rPr>
        <w:t>7</w:t>
      </w:r>
    </w:p>
    <w:p w:rsidR="00000000" w:rsidRDefault="00F83A7A">
      <w:pPr>
        <w:rPr>
          <w:rFonts w:eastAsia="Times New Roman"/>
        </w:rPr>
      </w:pPr>
      <w:r>
        <w:rPr>
          <w:rFonts w:eastAsia="Times New Roman"/>
        </w:rPr>
        <w:pict>
          <v:rect id="_x0000_i1044"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both"/>
        <w:rPr>
          <w:sz w:val="20"/>
          <w:szCs w:val="20"/>
        </w:rPr>
      </w:pPr>
      <w:r>
        <w:rPr>
          <w:b/>
          <w:bCs/>
          <w:sz w:val="20"/>
          <w:szCs w:val="20"/>
        </w:rPr>
        <w:t xml:space="preserve">Item 1A. </w:t>
      </w:r>
      <w:r>
        <w:rPr>
          <w:b/>
          <w:bCs/>
          <w:sz w:val="20"/>
          <w:szCs w:val="20"/>
        </w:rPr>
        <w:t>R</w:t>
      </w:r>
      <w:r>
        <w:rPr>
          <w:b/>
          <w:bCs/>
          <w:sz w:val="20"/>
          <w:szCs w:val="20"/>
        </w:rPr>
        <w:t>isk Factor</w:t>
      </w:r>
      <w:r>
        <w:rPr>
          <w:b/>
          <w:bCs/>
          <w:sz w:val="20"/>
          <w:szCs w:val="20"/>
        </w:rPr>
        <w:t>s</w:t>
      </w:r>
    </w:p>
    <w:p w:rsidR="00000000" w:rsidRDefault="00F83A7A">
      <w:pPr>
        <w:pStyle w:val="a3"/>
        <w:spacing w:before="200" w:beforeAutospacing="0" w:after="0" w:afterAutospacing="0"/>
        <w:ind w:firstLine="555"/>
        <w:jc w:val="both"/>
        <w:rPr>
          <w:sz w:val="20"/>
          <w:szCs w:val="20"/>
        </w:rPr>
      </w:pPr>
      <w:r>
        <w:rPr>
          <w:i/>
          <w:iCs/>
          <w:sz w:val="20"/>
          <w:szCs w:val="20"/>
        </w:rPr>
        <w:t>An investment in our securities involves a h</w:t>
      </w:r>
      <w:r>
        <w:rPr>
          <w:i/>
          <w:iCs/>
          <w:sz w:val="20"/>
          <w:szCs w:val="20"/>
        </w:rPr>
        <w:t>igh degree of risk. You should carefully consider the following information about these risks, together with the other information appearing elsewhere in this Annual Report on Form 10-K, including our audited consolidated financial statements and related n</w:t>
      </w:r>
      <w:r>
        <w:rPr>
          <w:i/>
          <w:iCs/>
          <w:sz w:val="20"/>
          <w:szCs w:val="20"/>
        </w:rPr>
        <w:t>otes hereto, before deciding to invest in our common stock. The occurrence of any of the following risks could have a material adverse effect on our business, financial condition, results of operations and future growth prospects or cause our actual result</w:t>
      </w:r>
      <w:r>
        <w:rPr>
          <w:i/>
          <w:iCs/>
          <w:sz w:val="20"/>
          <w:szCs w:val="20"/>
        </w:rPr>
        <w:t>s to differ materially from those contained in forward-looking statements we have made in this report and those we may make from time to time. In these circumstances, the market price of our common stock could decline and you may lose all or part of your i</w:t>
      </w:r>
      <w:r>
        <w:rPr>
          <w:i/>
          <w:iCs/>
          <w:sz w:val="20"/>
          <w:szCs w:val="20"/>
        </w:rPr>
        <w:t>nvestment. We cannot assure you that any of the events discussed below will not occur. In addition, such risks may be amplified by the COVID-19 pandemic and its potential impact on Ovid’s business and the global economy</w:t>
      </w:r>
      <w:r>
        <w:rPr>
          <w:i/>
          <w:iCs/>
          <w:sz w:val="20"/>
          <w:szCs w:val="20"/>
        </w:rPr>
        <w:t>.</w:t>
      </w:r>
    </w:p>
    <w:p w:rsidR="00000000" w:rsidRDefault="00F83A7A">
      <w:pPr>
        <w:pStyle w:val="a3"/>
        <w:spacing w:before="0" w:beforeAutospacing="0" w:after="0" w:afterAutospacing="0"/>
        <w:jc w:val="center"/>
        <w:rPr>
          <w:sz w:val="20"/>
          <w:szCs w:val="20"/>
        </w:rPr>
      </w:pPr>
      <w:r>
        <w:rPr>
          <w:sz w:val="18"/>
          <w:szCs w:val="18"/>
        </w:rPr>
        <w:t> </w:t>
      </w:r>
    </w:p>
    <w:p w:rsidR="00000000" w:rsidRDefault="00F83A7A">
      <w:pPr>
        <w:pStyle w:val="a3"/>
        <w:spacing w:before="0" w:beforeAutospacing="0" w:after="0" w:afterAutospacing="0"/>
        <w:rPr>
          <w:sz w:val="20"/>
          <w:szCs w:val="20"/>
        </w:rPr>
      </w:pPr>
      <w:r>
        <w:rPr>
          <w:b/>
          <w:bCs/>
          <w:sz w:val="20"/>
          <w:szCs w:val="20"/>
        </w:rPr>
        <w:t>Summary of Selected Risks Associa</w:t>
      </w:r>
      <w:r>
        <w:rPr>
          <w:b/>
          <w:bCs/>
          <w:sz w:val="20"/>
          <w:szCs w:val="20"/>
        </w:rPr>
        <w:t>ted with Our Busines</w:t>
      </w:r>
      <w:r>
        <w:rPr>
          <w:b/>
          <w:bCs/>
          <w:sz w:val="20"/>
          <w:szCs w:val="20"/>
        </w:rPr>
        <w:t>s</w:t>
      </w:r>
      <w:r>
        <w:rPr>
          <w:b/>
          <w:bCs/>
          <w:sz w:val="20"/>
          <w:szCs w:val="20"/>
        </w:rPr>
        <w:t xml:space="preserve"> </w:t>
      </w:r>
    </w:p>
    <w:p w:rsidR="00000000" w:rsidRDefault="00F83A7A">
      <w:pPr>
        <w:pStyle w:val="a3"/>
        <w:spacing w:before="200" w:beforeAutospacing="0" w:after="0" w:afterAutospacing="0"/>
        <w:ind w:firstLine="555"/>
        <w:jc w:val="both"/>
        <w:rPr>
          <w:sz w:val="20"/>
          <w:szCs w:val="20"/>
        </w:rPr>
      </w:pPr>
      <w:r>
        <w:rPr>
          <w:sz w:val="20"/>
          <w:szCs w:val="20"/>
        </w:rPr>
        <w:t xml:space="preserve">Our business faces significant risks and uncertainties. If any of the following risks are realized, our business, financial condition and results of operations could be materially and adversely affected. Some of the more significant </w:t>
      </w:r>
      <w:r>
        <w:rPr>
          <w:sz w:val="20"/>
          <w:szCs w:val="20"/>
        </w:rPr>
        <w:t>risks we face include the following</w:t>
      </w:r>
      <w:r>
        <w:rPr>
          <w:sz w:val="20"/>
          <w:szCs w:val="20"/>
        </w:rPr>
        <w:t>:</w:t>
      </w:r>
    </w:p>
    <w:p w:rsidR="00000000" w:rsidRDefault="00F83A7A">
      <w:pPr>
        <w:jc w:val="both"/>
        <w:divId w:val="926772553"/>
        <w:rPr>
          <w:rFonts w:eastAsia="Times New Roman"/>
        </w:rPr>
      </w:pPr>
      <w:r>
        <w:rPr>
          <w:rFonts w:eastAsia="Times New Roman"/>
          <w:sz w:val="20"/>
          <w:szCs w:val="20"/>
        </w:rPr>
        <w:t>•</w:t>
      </w:r>
    </w:p>
    <w:p w:rsidR="00000000" w:rsidRDefault="00F83A7A">
      <w:pPr>
        <w:jc w:val="both"/>
        <w:divId w:val="1877279322"/>
        <w:rPr>
          <w:rFonts w:eastAsia="Times New Roman"/>
        </w:rPr>
      </w:pPr>
      <w:r>
        <w:rPr>
          <w:rFonts w:eastAsia="Times New Roman"/>
          <w:sz w:val="20"/>
          <w:szCs w:val="20"/>
        </w:rPr>
        <w:t>Historically, we have incurred significant operating losses and expect to continue to incur substantial operating losses for the foreseeable future and may never achieve or maintain profitability</w:t>
      </w:r>
      <w:r>
        <w:rPr>
          <w:rFonts w:eastAsia="Times New Roman"/>
          <w:sz w:val="20"/>
          <w:szCs w:val="20"/>
        </w:rPr>
        <w:t>.</w:t>
      </w:r>
    </w:p>
    <w:p w:rsidR="00000000" w:rsidRDefault="00F83A7A">
      <w:pPr>
        <w:jc w:val="both"/>
        <w:divId w:val="1289968612"/>
        <w:rPr>
          <w:rFonts w:eastAsia="Times New Roman"/>
        </w:rPr>
      </w:pPr>
      <w:r>
        <w:rPr>
          <w:rFonts w:eastAsia="Times New Roman"/>
          <w:sz w:val="20"/>
          <w:szCs w:val="20"/>
        </w:rPr>
        <w:t>•</w:t>
      </w:r>
    </w:p>
    <w:p w:rsidR="00000000" w:rsidRDefault="00F83A7A">
      <w:pPr>
        <w:jc w:val="both"/>
        <w:divId w:val="561528068"/>
        <w:rPr>
          <w:rFonts w:eastAsia="Times New Roman"/>
        </w:rPr>
      </w:pPr>
      <w:r>
        <w:rPr>
          <w:rFonts w:eastAsia="Times New Roman"/>
          <w:sz w:val="20"/>
          <w:szCs w:val="20"/>
        </w:rPr>
        <w:t>Our operating history may make it difficult to evaluate the success of our business to date and to assess our future viability</w:t>
      </w:r>
      <w:r>
        <w:rPr>
          <w:rFonts w:eastAsia="Times New Roman"/>
          <w:sz w:val="20"/>
          <w:szCs w:val="20"/>
        </w:rPr>
        <w:t>.</w:t>
      </w:r>
    </w:p>
    <w:p w:rsidR="00000000" w:rsidRDefault="00F83A7A">
      <w:pPr>
        <w:jc w:val="both"/>
        <w:divId w:val="951320704"/>
        <w:rPr>
          <w:rFonts w:eastAsia="Times New Roman"/>
        </w:rPr>
      </w:pPr>
      <w:r>
        <w:rPr>
          <w:rFonts w:eastAsia="Times New Roman"/>
          <w:sz w:val="20"/>
          <w:szCs w:val="20"/>
        </w:rPr>
        <w:t>•</w:t>
      </w:r>
    </w:p>
    <w:p w:rsidR="00000000" w:rsidRDefault="00F83A7A">
      <w:pPr>
        <w:jc w:val="both"/>
        <w:divId w:val="1852142498"/>
        <w:rPr>
          <w:rFonts w:eastAsia="Times New Roman"/>
        </w:rPr>
      </w:pPr>
      <w:r>
        <w:rPr>
          <w:rFonts w:eastAsia="Times New Roman"/>
          <w:sz w:val="20"/>
          <w:szCs w:val="20"/>
        </w:rPr>
        <w:t>We will require additional capital to finance our operations, which may not be available on acceptable terms, if at all. Failu</w:t>
      </w:r>
      <w:r>
        <w:rPr>
          <w:rFonts w:eastAsia="Times New Roman"/>
          <w:sz w:val="20"/>
          <w:szCs w:val="20"/>
        </w:rPr>
        <w:t>re to obtain this necessary capital when needed may force us to delay, limit or terminate certain of our drug development efforts or other operations</w:t>
      </w:r>
      <w:r>
        <w:rPr>
          <w:rFonts w:eastAsia="Times New Roman"/>
          <w:sz w:val="20"/>
          <w:szCs w:val="20"/>
        </w:rPr>
        <w:t>.</w:t>
      </w:r>
    </w:p>
    <w:p w:rsidR="00000000" w:rsidRDefault="00F83A7A">
      <w:pPr>
        <w:jc w:val="both"/>
        <w:divId w:val="1675961869"/>
        <w:rPr>
          <w:rFonts w:eastAsia="Times New Roman"/>
        </w:rPr>
      </w:pPr>
      <w:r>
        <w:rPr>
          <w:rFonts w:eastAsia="Times New Roman"/>
          <w:sz w:val="20"/>
          <w:szCs w:val="20"/>
        </w:rPr>
        <w:t>•</w:t>
      </w:r>
    </w:p>
    <w:p w:rsidR="00000000" w:rsidRDefault="00F83A7A">
      <w:pPr>
        <w:jc w:val="both"/>
        <w:divId w:val="950555977"/>
        <w:rPr>
          <w:rFonts w:eastAsia="Times New Roman"/>
        </w:rPr>
      </w:pPr>
      <w:r>
        <w:rPr>
          <w:rFonts w:eastAsia="Times New Roman"/>
          <w:sz w:val="20"/>
          <w:szCs w:val="20"/>
        </w:rPr>
        <w:t xml:space="preserve">We are early in our development efforts of our current drug candidates and all our drug candidates are </w:t>
      </w:r>
      <w:r>
        <w:rPr>
          <w:rFonts w:eastAsia="Times New Roman"/>
          <w:sz w:val="20"/>
          <w:szCs w:val="20"/>
        </w:rPr>
        <w:t>in preclinical development. If we are unable to successfully develop, receive regulatory approval for and commercialize our drug candidates for these or any other indications, or successfully develop any other drug candidates, or experience significant del</w:t>
      </w:r>
      <w:r>
        <w:rPr>
          <w:rFonts w:eastAsia="Times New Roman"/>
          <w:sz w:val="20"/>
          <w:szCs w:val="20"/>
        </w:rPr>
        <w:t>ays in doing so, our business will be harmed.</w:t>
      </w:r>
      <w:r>
        <w:rPr>
          <w:rFonts w:eastAsia="Times New Roman"/>
          <w:sz w:val="20"/>
          <w:szCs w:val="20"/>
        </w:rPr>
        <w:t xml:space="preserve"> </w:t>
      </w:r>
    </w:p>
    <w:p w:rsidR="00000000" w:rsidRDefault="00F83A7A">
      <w:pPr>
        <w:jc w:val="both"/>
        <w:divId w:val="2034960824"/>
        <w:rPr>
          <w:rFonts w:eastAsia="Times New Roman"/>
        </w:rPr>
      </w:pPr>
      <w:r>
        <w:rPr>
          <w:rFonts w:eastAsia="Times New Roman"/>
          <w:sz w:val="20"/>
          <w:szCs w:val="20"/>
        </w:rPr>
        <w:t>•</w:t>
      </w:r>
    </w:p>
    <w:p w:rsidR="00000000" w:rsidRDefault="00F83A7A">
      <w:pPr>
        <w:jc w:val="both"/>
        <w:divId w:val="1727992059"/>
        <w:rPr>
          <w:rFonts w:eastAsia="Times New Roman"/>
        </w:rPr>
      </w:pPr>
      <w:r>
        <w:rPr>
          <w:rFonts w:eastAsia="Times New Roman"/>
          <w:sz w:val="20"/>
          <w:szCs w:val="20"/>
        </w:rPr>
        <w:t>Our future success is dependent on the successful clinical development, regulatory approval and commercialization of our current and future drug candidates. If we, or our licensees, are not able to obtain th</w:t>
      </w:r>
      <w:r>
        <w:rPr>
          <w:rFonts w:eastAsia="Times New Roman"/>
          <w:sz w:val="20"/>
          <w:szCs w:val="20"/>
        </w:rPr>
        <w:t>e required regulatory approvals, we, or our licensees, will not be able to commercialize our drug candidates, and our ability to generate revenue will be adversely affected</w:t>
      </w:r>
      <w:r>
        <w:rPr>
          <w:rFonts w:eastAsia="Times New Roman"/>
          <w:sz w:val="20"/>
          <w:szCs w:val="20"/>
        </w:rPr>
        <w:t>.</w:t>
      </w:r>
    </w:p>
    <w:p w:rsidR="00000000" w:rsidRDefault="00F83A7A">
      <w:pPr>
        <w:jc w:val="both"/>
        <w:divId w:val="406222857"/>
        <w:rPr>
          <w:rFonts w:eastAsia="Times New Roman"/>
        </w:rPr>
      </w:pPr>
      <w:r>
        <w:rPr>
          <w:rFonts w:eastAsia="Times New Roman"/>
          <w:sz w:val="20"/>
          <w:szCs w:val="20"/>
        </w:rPr>
        <w:t>•</w:t>
      </w:r>
    </w:p>
    <w:p w:rsidR="00000000" w:rsidRDefault="00F83A7A">
      <w:pPr>
        <w:jc w:val="both"/>
        <w:divId w:val="1655061659"/>
        <w:rPr>
          <w:rFonts w:eastAsia="Times New Roman"/>
        </w:rPr>
      </w:pPr>
      <w:r>
        <w:rPr>
          <w:rFonts w:eastAsia="Times New Roman"/>
          <w:sz w:val="20"/>
          <w:szCs w:val="20"/>
        </w:rPr>
        <w:t>Because the results of preclinical studies or earlier clinical trials are not ne</w:t>
      </w:r>
      <w:r>
        <w:rPr>
          <w:rFonts w:eastAsia="Times New Roman"/>
          <w:sz w:val="20"/>
          <w:szCs w:val="20"/>
        </w:rPr>
        <w:t>cessarily predictive of future results, our drug candidates may not have favorable results in planned or future preclinical studies or clinical trials, or may not receive regulatory approval</w:t>
      </w:r>
      <w:r>
        <w:rPr>
          <w:rFonts w:eastAsia="Times New Roman"/>
          <w:sz w:val="20"/>
          <w:szCs w:val="20"/>
        </w:rPr>
        <w:t>.</w:t>
      </w:r>
    </w:p>
    <w:p w:rsidR="00000000" w:rsidRDefault="00F83A7A">
      <w:pPr>
        <w:jc w:val="both"/>
        <w:divId w:val="1057123910"/>
        <w:rPr>
          <w:rFonts w:eastAsia="Times New Roman"/>
        </w:rPr>
      </w:pPr>
      <w:r>
        <w:rPr>
          <w:rFonts w:eastAsia="Times New Roman"/>
          <w:sz w:val="20"/>
          <w:szCs w:val="20"/>
        </w:rPr>
        <w:t>•</w:t>
      </w:r>
    </w:p>
    <w:p w:rsidR="00000000" w:rsidRDefault="00F83A7A">
      <w:pPr>
        <w:jc w:val="both"/>
        <w:divId w:val="555749772"/>
        <w:rPr>
          <w:rFonts w:eastAsia="Times New Roman"/>
        </w:rPr>
      </w:pPr>
      <w:r>
        <w:rPr>
          <w:rFonts w:eastAsia="Times New Roman"/>
          <w:sz w:val="20"/>
          <w:szCs w:val="20"/>
        </w:rPr>
        <w:t xml:space="preserve">Interim topline and preliminary results from our clinical trials that we announce or publish from time to time may change as more patient data become available and are subject to audit and verification procedures, which could result in material changes in </w:t>
      </w:r>
      <w:r>
        <w:rPr>
          <w:rFonts w:eastAsia="Times New Roman"/>
          <w:sz w:val="20"/>
          <w:szCs w:val="20"/>
        </w:rPr>
        <w:t>the final data</w:t>
      </w:r>
      <w:r>
        <w:rPr>
          <w:rFonts w:eastAsia="Times New Roman"/>
          <w:sz w:val="20"/>
          <w:szCs w:val="20"/>
        </w:rPr>
        <w:t>.</w:t>
      </w:r>
    </w:p>
    <w:p w:rsidR="00000000" w:rsidRDefault="00F83A7A">
      <w:pPr>
        <w:jc w:val="both"/>
        <w:divId w:val="37701476"/>
        <w:rPr>
          <w:rFonts w:eastAsia="Times New Roman"/>
        </w:rPr>
      </w:pPr>
      <w:r>
        <w:rPr>
          <w:rFonts w:eastAsia="Times New Roman"/>
          <w:sz w:val="20"/>
          <w:szCs w:val="20"/>
        </w:rPr>
        <w:t>•</w:t>
      </w:r>
    </w:p>
    <w:p w:rsidR="00000000" w:rsidRDefault="00F83A7A">
      <w:pPr>
        <w:jc w:val="both"/>
        <w:divId w:val="506871909"/>
        <w:rPr>
          <w:rFonts w:eastAsia="Times New Roman"/>
        </w:rPr>
      </w:pPr>
      <w:r>
        <w:rPr>
          <w:rFonts w:eastAsia="Times New Roman"/>
          <w:sz w:val="20"/>
          <w:szCs w:val="20"/>
        </w:rPr>
        <w:t>Preclinical studies and clinical trials are very expensive, time-consuming and difficult to design and implement and involve uncertain outcomes. Further, we may encounter substantial delays in our clinical trials or we may fail to demonst</w:t>
      </w:r>
      <w:r>
        <w:rPr>
          <w:rFonts w:eastAsia="Times New Roman"/>
          <w:sz w:val="20"/>
          <w:szCs w:val="20"/>
        </w:rPr>
        <w:t>rate safety and efficacy in our preclinical studies and clinical trials to the satisfaction of applicable regulatory authorities</w:t>
      </w:r>
      <w:r>
        <w:rPr>
          <w:rFonts w:eastAsia="Times New Roman"/>
          <w:sz w:val="20"/>
          <w:szCs w:val="20"/>
        </w:rPr>
        <w:t>.</w:t>
      </w:r>
    </w:p>
    <w:p w:rsidR="00000000" w:rsidRDefault="00F83A7A">
      <w:pPr>
        <w:jc w:val="both"/>
        <w:divId w:val="1770000748"/>
        <w:rPr>
          <w:rFonts w:eastAsia="Times New Roman"/>
        </w:rPr>
      </w:pPr>
      <w:r>
        <w:rPr>
          <w:rFonts w:eastAsia="Times New Roman"/>
          <w:sz w:val="20"/>
          <w:szCs w:val="20"/>
        </w:rPr>
        <w:t>•</w:t>
      </w:r>
    </w:p>
    <w:p w:rsidR="00000000" w:rsidRDefault="00F83A7A">
      <w:pPr>
        <w:jc w:val="both"/>
        <w:divId w:val="1714767176"/>
        <w:rPr>
          <w:rFonts w:eastAsia="Times New Roman"/>
        </w:rPr>
      </w:pPr>
      <w:r>
        <w:rPr>
          <w:rFonts w:eastAsia="Times New Roman"/>
          <w:sz w:val="20"/>
          <w:szCs w:val="20"/>
        </w:rPr>
        <w:t>If we are not successful in discovering, developing and commercializing additional drug candidates, our ability to expand ou</w:t>
      </w:r>
      <w:r>
        <w:rPr>
          <w:rFonts w:eastAsia="Times New Roman"/>
          <w:sz w:val="20"/>
          <w:szCs w:val="20"/>
        </w:rPr>
        <w:t>r business and achieve our strategic objectives would be impaired</w:t>
      </w:r>
      <w:r>
        <w:rPr>
          <w:rFonts w:eastAsia="Times New Roman"/>
          <w:sz w:val="20"/>
          <w:szCs w:val="20"/>
        </w:rPr>
        <w:t>.</w:t>
      </w:r>
    </w:p>
    <w:p w:rsidR="00000000" w:rsidRDefault="00F83A7A">
      <w:pPr>
        <w:jc w:val="both"/>
        <w:divId w:val="1121725027"/>
        <w:rPr>
          <w:rFonts w:eastAsia="Times New Roman"/>
        </w:rPr>
      </w:pPr>
      <w:r>
        <w:rPr>
          <w:rFonts w:eastAsia="Times New Roman"/>
          <w:sz w:val="20"/>
          <w:szCs w:val="20"/>
        </w:rPr>
        <w:t>•</w:t>
      </w:r>
    </w:p>
    <w:p w:rsidR="00000000" w:rsidRDefault="00F83A7A">
      <w:pPr>
        <w:jc w:val="both"/>
        <w:divId w:val="1973366088"/>
        <w:rPr>
          <w:rFonts w:eastAsia="Times New Roman"/>
        </w:rPr>
      </w:pPr>
      <w:r>
        <w:rPr>
          <w:rFonts w:eastAsia="Times New Roman"/>
          <w:sz w:val="20"/>
          <w:szCs w:val="20"/>
        </w:rPr>
        <w:t>Our drug candidates may cause undesirable side effects or have other properties that could delay or prevent their regulatory approval, limit the commercial potential or result in signific</w:t>
      </w:r>
      <w:r>
        <w:rPr>
          <w:rFonts w:eastAsia="Times New Roman"/>
          <w:sz w:val="20"/>
          <w:szCs w:val="20"/>
        </w:rPr>
        <w:t>ant negative consequences following any potential marketing approval</w:t>
      </w:r>
      <w:r>
        <w:rPr>
          <w:rFonts w:eastAsia="Times New Roman"/>
          <w:sz w:val="20"/>
          <w:szCs w:val="20"/>
        </w:rPr>
        <w:t>.</w:t>
      </w:r>
    </w:p>
    <w:p w:rsidR="00000000" w:rsidRDefault="00F83A7A">
      <w:pPr>
        <w:jc w:val="both"/>
        <w:divId w:val="1839998435"/>
        <w:rPr>
          <w:rFonts w:eastAsia="Times New Roman"/>
        </w:rPr>
      </w:pPr>
      <w:r>
        <w:rPr>
          <w:rFonts w:eastAsia="Times New Roman"/>
          <w:sz w:val="20"/>
          <w:szCs w:val="20"/>
        </w:rPr>
        <w:t>•</w:t>
      </w:r>
    </w:p>
    <w:p w:rsidR="00000000" w:rsidRDefault="00F83A7A">
      <w:pPr>
        <w:jc w:val="both"/>
        <w:divId w:val="938948438"/>
        <w:rPr>
          <w:rFonts w:eastAsia="Times New Roman"/>
        </w:rPr>
      </w:pPr>
      <w:r>
        <w:rPr>
          <w:rFonts w:eastAsia="Times New Roman"/>
          <w:sz w:val="20"/>
          <w:szCs w:val="20"/>
        </w:rPr>
        <w:t>Even if our current or future drug candidates receive marketing approval, they may fail to achieve market acceptance by physicians, patients, third-party payors or others in the medica</w:t>
      </w:r>
      <w:r>
        <w:rPr>
          <w:rFonts w:eastAsia="Times New Roman"/>
          <w:sz w:val="20"/>
          <w:szCs w:val="20"/>
        </w:rPr>
        <w:t>l community necessary for commercial success</w:t>
      </w:r>
      <w:r>
        <w:rPr>
          <w:rFonts w:eastAsia="Times New Roman"/>
          <w:sz w:val="20"/>
          <w:szCs w:val="20"/>
        </w:rPr>
        <w:t>.</w:t>
      </w:r>
    </w:p>
    <w:p w:rsidR="00000000" w:rsidRDefault="00F83A7A">
      <w:pPr>
        <w:jc w:val="both"/>
        <w:divId w:val="1752384904"/>
        <w:rPr>
          <w:rFonts w:eastAsia="Times New Roman"/>
        </w:rPr>
      </w:pPr>
      <w:r>
        <w:rPr>
          <w:rFonts w:eastAsia="Times New Roman"/>
          <w:sz w:val="20"/>
          <w:szCs w:val="20"/>
        </w:rPr>
        <w:t>•</w:t>
      </w:r>
    </w:p>
    <w:p w:rsidR="00000000" w:rsidRDefault="00F83A7A">
      <w:pPr>
        <w:jc w:val="both"/>
        <w:divId w:val="2101825154"/>
        <w:rPr>
          <w:rFonts w:eastAsia="Times New Roman"/>
        </w:rPr>
      </w:pPr>
      <w:r>
        <w:rPr>
          <w:rFonts w:eastAsia="Times New Roman"/>
          <w:sz w:val="20"/>
          <w:szCs w:val="20"/>
        </w:rPr>
        <w:t>Under the Takeda License and Termination Agreement, we are entitled to receive royalty and milestone payments in connection with the development and commercialization of soticlestat. If Takeda fails to progre</w:t>
      </w:r>
      <w:r>
        <w:rPr>
          <w:rFonts w:eastAsia="Times New Roman"/>
          <w:sz w:val="20"/>
          <w:szCs w:val="20"/>
        </w:rPr>
        <w:t>ss or discontinues the development of soticlestat, we may not receive some or all of such payments, which would materially harm our business</w:t>
      </w:r>
      <w:r>
        <w:rPr>
          <w:rFonts w:eastAsia="Times New Roman"/>
          <w:sz w:val="20"/>
          <w:szCs w:val="20"/>
        </w:rPr>
        <w:t>.</w:t>
      </w:r>
    </w:p>
    <w:p w:rsidR="00000000" w:rsidRDefault="00F83A7A">
      <w:pPr>
        <w:jc w:val="both"/>
        <w:divId w:val="1155604609"/>
        <w:rPr>
          <w:rFonts w:eastAsia="Times New Roman"/>
        </w:rPr>
      </w:pPr>
      <w:r>
        <w:rPr>
          <w:rFonts w:eastAsia="Times New Roman"/>
          <w:sz w:val="20"/>
          <w:szCs w:val="20"/>
        </w:rPr>
        <w:t>•</w:t>
      </w:r>
    </w:p>
    <w:p w:rsidR="00000000" w:rsidRDefault="00F83A7A">
      <w:pPr>
        <w:jc w:val="both"/>
        <w:divId w:val="449085074"/>
        <w:rPr>
          <w:rFonts w:eastAsia="Times New Roman"/>
        </w:rPr>
      </w:pPr>
      <w:r>
        <w:rPr>
          <w:rFonts w:eastAsia="Times New Roman"/>
          <w:sz w:val="20"/>
          <w:szCs w:val="20"/>
        </w:rPr>
        <w:t xml:space="preserve">Our relationships with customers, physicians, and third-party payors may be subject, directly or indirectly, to </w:t>
      </w:r>
      <w:r>
        <w:rPr>
          <w:rFonts w:eastAsia="Times New Roman"/>
          <w:sz w:val="20"/>
          <w:szCs w:val="20"/>
        </w:rPr>
        <w:t>federal and state healthcare fraud and abuse laws, false claims laws, health information privacy and security laws, and other healthcare laws and regulations. If we are unable to comply, or have not fully complied, with such laws, we could face substantial</w:t>
      </w:r>
      <w:r>
        <w:rPr>
          <w:rFonts w:eastAsia="Times New Roman"/>
          <w:sz w:val="20"/>
          <w:szCs w:val="20"/>
        </w:rPr>
        <w:t xml:space="preserve"> penalties</w:t>
      </w:r>
      <w:r>
        <w:rPr>
          <w:rFonts w:eastAsia="Times New Roman"/>
          <w:sz w:val="20"/>
          <w:szCs w:val="20"/>
        </w:rPr>
        <w:t>.</w:t>
      </w:r>
    </w:p>
    <w:p w:rsidR="00000000" w:rsidRDefault="00F83A7A">
      <w:pPr>
        <w:pStyle w:val="a3"/>
        <w:spacing w:before="240" w:beforeAutospacing="0" w:after="0" w:afterAutospacing="0"/>
        <w:jc w:val="center"/>
        <w:rPr>
          <w:sz w:val="20"/>
          <w:szCs w:val="20"/>
        </w:rPr>
      </w:pPr>
      <w:r>
        <w:rPr>
          <w:sz w:val="20"/>
          <w:szCs w:val="20"/>
        </w:rPr>
        <w:t>1</w:t>
      </w:r>
      <w:r>
        <w:rPr>
          <w:sz w:val="20"/>
          <w:szCs w:val="20"/>
        </w:rPr>
        <w:t>8</w:t>
      </w:r>
    </w:p>
    <w:p w:rsidR="00000000" w:rsidRDefault="00F83A7A">
      <w:pPr>
        <w:rPr>
          <w:rFonts w:eastAsia="Times New Roman"/>
        </w:rPr>
      </w:pPr>
      <w:r>
        <w:rPr>
          <w:rFonts w:eastAsia="Times New Roman"/>
        </w:rPr>
        <w:pict>
          <v:rect id="_x0000_i1045"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jc w:val="both"/>
        <w:divId w:val="1102265435"/>
        <w:rPr>
          <w:rFonts w:eastAsia="Times New Roman"/>
        </w:rPr>
      </w:pPr>
      <w:r>
        <w:rPr>
          <w:rFonts w:eastAsia="Times New Roman"/>
          <w:sz w:val="20"/>
          <w:szCs w:val="20"/>
        </w:rPr>
        <w:t>•</w:t>
      </w:r>
    </w:p>
    <w:p w:rsidR="00000000" w:rsidRDefault="00F83A7A">
      <w:pPr>
        <w:jc w:val="both"/>
        <w:divId w:val="6753709"/>
        <w:rPr>
          <w:rFonts w:eastAsia="Times New Roman"/>
        </w:rPr>
      </w:pPr>
      <w:r>
        <w:rPr>
          <w:rFonts w:eastAsia="Times New Roman"/>
          <w:sz w:val="20"/>
          <w:szCs w:val="20"/>
        </w:rPr>
        <w:t>Coverage and adequate reimbursement may not be available for our current or any future drug candidates, which could make it difficult for us to sell profitably, if approved</w:t>
      </w:r>
      <w:r>
        <w:rPr>
          <w:rFonts w:eastAsia="Times New Roman"/>
          <w:sz w:val="20"/>
          <w:szCs w:val="20"/>
        </w:rPr>
        <w:t>.</w:t>
      </w:r>
    </w:p>
    <w:p w:rsidR="00000000" w:rsidRDefault="00F83A7A">
      <w:pPr>
        <w:jc w:val="both"/>
        <w:divId w:val="1374236538"/>
        <w:rPr>
          <w:rFonts w:eastAsia="Times New Roman"/>
        </w:rPr>
      </w:pPr>
      <w:r>
        <w:rPr>
          <w:rFonts w:eastAsia="Times New Roman"/>
          <w:sz w:val="20"/>
          <w:szCs w:val="20"/>
        </w:rPr>
        <w:t>•</w:t>
      </w:r>
    </w:p>
    <w:p w:rsidR="00000000" w:rsidRDefault="00F83A7A">
      <w:pPr>
        <w:jc w:val="both"/>
        <w:divId w:val="168259247"/>
        <w:rPr>
          <w:rFonts w:eastAsia="Times New Roman"/>
        </w:rPr>
      </w:pPr>
      <w:r>
        <w:rPr>
          <w:rFonts w:eastAsia="Times New Roman"/>
          <w:sz w:val="20"/>
          <w:szCs w:val="20"/>
        </w:rPr>
        <w:t>If we are unable to obtain and maintain patent protection for our current or any</w:t>
      </w:r>
      <w:r>
        <w:rPr>
          <w:rFonts w:eastAsia="Times New Roman"/>
          <w:sz w:val="20"/>
          <w:szCs w:val="20"/>
        </w:rPr>
        <w:t xml:space="preserve"> future drug candidates, or if the scope of the patent protection obtained is not sufficiently broad, we may not be able to compete effectively in our markets</w:t>
      </w:r>
      <w:r>
        <w:rPr>
          <w:rFonts w:eastAsia="Times New Roman"/>
          <w:sz w:val="20"/>
          <w:szCs w:val="20"/>
        </w:rPr>
        <w:t>.</w:t>
      </w:r>
    </w:p>
    <w:p w:rsidR="00000000" w:rsidRDefault="00F83A7A">
      <w:pPr>
        <w:jc w:val="both"/>
        <w:divId w:val="718751666"/>
        <w:rPr>
          <w:rFonts w:eastAsia="Times New Roman"/>
        </w:rPr>
      </w:pPr>
      <w:r>
        <w:rPr>
          <w:rFonts w:eastAsia="Times New Roman"/>
          <w:sz w:val="20"/>
          <w:szCs w:val="20"/>
        </w:rPr>
        <w:t>•</w:t>
      </w:r>
    </w:p>
    <w:p w:rsidR="00000000" w:rsidRDefault="00F83A7A">
      <w:pPr>
        <w:jc w:val="both"/>
        <w:divId w:val="1758937324"/>
        <w:rPr>
          <w:rFonts w:eastAsia="Times New Roman"/>
        </w:rPr>
      </w:pPr>
      <w:r>
        <w:rPr>
          <w:rFonts w:eastAsia="Times New Roman"/>
          <w:sz w:val="20"/>
          <w:szCs w:val="20"/>
        </w:rPr>
        <w:t>We may be involved in lawsuits to protect or enforce our patents, the patents of our licensors</w:t>
      </w:r>
      <w:r>
        <w:rPr>
          <w:rFonts w:eastAsia="Times New Roman"/>
          <w:sz w:val="20"/>
          <w:szCs w:val="20"/>
        </w:rPr>
        <w:t xml:space="preserve"> or our other intellectual property rights, which could be expensive, time consuming and unsuccessful</w:t>
      </w:r>
      <w:r>
        <w:rPr>
          <w:rFonts w:eastAsia="Times New Roman"/>
          <w:sz w:val="20"/>
          <w:szCs w:val="20"/>
        </w:rPr>
        <w:t>.</w:t>
      </w:r>
    </w:p>
    <w:p w:rsidR="00000000" w:rsidRDefault="00F83A7A">
      <w:pPr>
        <w:jc w:val="both"/>
        <w:divId w:val="1797870694"/>
        <w:rPr>
          <w:rFonts w:eastAsia="Times New Roman"/>
        </w:rPr>
      </w:pPr>
      <w:r>
        <w:rPr>
          <w:rFonts w:eastAsia="Times New Roman"/>
          <w:sz w:val="20"/>
          <w:szCs w:val="20"/>
        </w:rPr>
        <w:t>•</w:t>
      </w:r>
    </w:p>
    <w:p w:rsidR="00000000" w:rsidRDefault="00F83A7A">
      <w:pPr>
        <w:jc w:val="both"/>
        <w:divId w:val="164251018"/>
        <w:rPr>
          <w:rFonts w:eastAsia="Times New Roman"/>
        </w:rPr>
      </w:pPr>
      <w:r>
        <w:rPr>
          <w:rFonts w:eastAsia="Times New Roman"/>
          <w:sz w:val="20"/>
          <w:szCs w:val="20"/>
        </w:rPr>
        <w:t>We do not have our own manufacturing capabilities and will rely on third parties to produce clinical and commercial supplies of our current and any fut</w:t>
      </w:r>
      <w:r>
        <w:rPr>
          <w:rFonts w:eastAsia="Times New Roman"/>
          <w:sz w:val="20"/>
          <w:szCs w:val="20"/>
        </w:rPr>
        <w:t>ure drug candidates</w:t>
      </w:r>
      <w:r>
        <w:rPr>
          <w:rFonts w:eastAsia="Times New Roman"/>
          <w:sz w:val="20"/>
          <w:szCs w:val="20"/>
        </w:rPr>
        <w:t>.</w:t>
      </w:r>
    </w:p>
    <w:p w:rsidR="00000000" w:rsidRDefault="00F83A7A">
      <w:pPr>
        <w:jc w:val="both"/>
        <w:divId w:val="15011452"/>
        <w:rPr>
          <w:rFonts w:eastAsia="Times New Roman"/>
        </w:rPr>
      </w:pPr>
      <w:r>
        <w:rPr>
          <w:rFonts w:eastAsia="Times New Roman"/>
          <w:sz w:val="20"/>
          <w:szCs w:val="20"/>
        </w:rPr>
        <w:t>•</w:t>
      </w:r>
    </w:p>
    <w:p w:rsidR="00000000" w:rsidRDefault="00F83A7A">
      <w:pPr>
        <w:jc w:val="both"/>
        <w:divId w:val="1847818465"/>
        <w:rPr>
          <w:rFonts w:eastAsia="Times New Roman"/>
        </w:rPr>
      </w:pPr>
      <w:r>
        <w:rPr>
          <w:rFonts w:eastAsia="Times New Roman"/>
          <w:sz w:val="20"/>
          <w:szCs w:val="20"/>
        </w:rPr>
        <w:t>We intend to rely on third parties to conduct, supervise and monitor our preclinical studies and clinical trials, and if those third parties perform in an unsatisfactory manner, it may harm our business</w:t>
      </w:r>
      <w:r>
        <w:rPr>
          <w:rFonts w:eastAsia="Times New Roman"/>
          <w:sz w:val="20"/>
          <w:szCs w:val="20"/>
        </w:rPr>
        <w:t>.</w:t>
      </w:r>
    </w:p>
    <w:p w:rsidR="00000000" w:rsidRDefault="00F83A7A">
      <w:pPr>
        <w:jc w:val="both"/>
        <w:divId w:val="2011251172"/>
        <w:rPr>
          <w:rFonts w:eastAsia="Times New Roman"/>
        </w:rPr>
      </w:pPr>
      <w:r>
        <w:rPr>
          <w:rFonts w:eastAsia="Times New Roman"/>
          <w:sz w:val="20"/>
          <w:szCs w:val="20"/>
        </w:rPr>
        <w:t>•</w:t>
      </w:r>
    </w:p>
    <w:p w:rsidR="00000000" w:rsidRDefault="00F83A7A">
      <w:pPr>
        <w:jc w:val="both"/>
        <w:divId w:val="638730531"/>
        <w:rPr>
          <w:rFonts w:eastAsia="Times New Roman"/>
        </w:rPr>
      </w:pPr>
      <w:r>
        <w:rPr>
          <w:rFonts w:eastAsia="Times New Roman"/>
          <w:sz w:val="20"/>
          <w:szCs w:val="20"/>
        </w:rPr>
        <w:t>COVID-19 could adversely im</w:t>
      </w:r>
      <w:r>
        <w:rPr>
          <w:rFonts w:eastAsia="Times New Roman"/>
          <w:sz w:val="20"/>
          <w:szCs w:val="20"/>
        </w:rPr>
        <w:t>pact our business, including our preclinical studies, clinical trials and access to capital</w:t>
      </w:r>
      <w:r>
        <w:rPr>
          <w:rFonts w:eastAsia="Times New Roman"/>
          <w:sz w:val="20"/>
          <w:szCs w:val="20"/>
        </w:rPr>
        <w:t>.</w:t>
      </w:r>
    </w:p>
    <w:p w:rsidR="00000000" w:rsidRDefault="00F83A7A">
      <w:pPr>
        <w:jc w:val="both"/>
        <w:divId w:val="1539660421"/>
        <w:rPr>
          <w:rFonts w:eastAsia="Times New Roman"/>
        </w:rPr>
      </w:pPr>
      <w:r>
        <w:rPr>
          <w:rFonts w:eastAsia="Times New Roman"/>
          <w:sz w:val="20"/>
          <w:szCs w:val="20"/>
        </w:rPr>
        <w:t>•</w:t>
      </w:r>
    </w:p>
    <w:p w:rsidR="00000000" w:rsidRDefault="00F83A7A">
      <w:pPr>
        <w:jc w:val="both"/>
        <w:divId w:val="1528524763"/>
        <w:rPr>
          <w:rFonts w:eastAsia="Times New Roman"/>
        </w:rPr>
      </w:pPr>
      <w:r>
        <w:rPr>
          <w:rFonts w:eastAsia="Times New Roman"/>
          <w:sz w:val="20"/>
          <w:szCs w:val="20"/>
        </w:rPr>
        <w:t>We may need to expand our organization, and we may experience difficulties in managing this growth, which could disrupt our operations</w:t>
      </w:r>
      <w:r>
        <w:rPr>
          <w:rFonts w:eastAsia="Times New Roman"/>
          <w:sz w:val="20"/>
          <w:szCs w:val="20"/>
        </w:rPr>
        <w:t>.</w:t>
      </w:r>
    </w:p>
    <w:p w:rsidR="00000000" w:rsidRDefault="00F83A7A">
      <w:pPr>
        <w:jc w:val="both"/>
        <w:divId w:val="1595286876"/>
        <w:rPr>
          <w:rFonts w:eastAsia="Times New Roman"/>
        </w:rPr>
      </w:pPr>
      <w:r>
        <w:rPr>
          <w:rFonts w:eastAsia="Times New Roman"/>
          <w:sz w:val="20"/>
          <w:szCs w:val="20"/>
        </w:rPr>
        <w:t>•</w:t>
      </w:r>
    </w:p>
    <w:p w:rsidR="00000000" w:rsidRDefault="00F83A7A">
      <w:pPr>
        <w:jc w:val="both"/>
        <w:divId w:val="824007709"/>
        <w:rPr>
          <w:rFonts w:eastAsia="Times New Roman"/>
        </w:rPr>
      </w:pPr>
      <w:r>
        <w:rPr>
          <w:rFonts w:eastAsia="Times New Roman"/>
          <w:sz w:val="20"/>
          <w:szCs w:val="20"/>
        </w:rPr>
        <w:t>We may be subject to nu</w:t>
      </w:r>
      <w:r>
        <w:rPr>
          <w:rFonts w:eastAsia="Times New Roman"/>
          <w:sz w:val="20"/>
          <w:szCs w:val="20"/>
        </w:rPr>
        <w:t>merous and varying privacy and security laws, and our failure to comply could result in penalties and reputational damage</w:t>
      </w:r>
      <w:r>
        <w:rPr>
          <w:rFonts w:eastAsia="Times New Roman"/>
          <w:sz w:val="20"/>
          <w:szCs w:val="20"/>
        </w:rPr>
        <w:t>.</w:t>
      </w:r>
    </w:p>
    <w:p w:rsidR="00000000" w:rsidRDefault="00F83A7A">
      <w:pPr>
        <w:pStyle w:val="a3"/>
        <w:spacing w:before="200" w:beforeAutospacing="0" w:after="0" w:afterAutospacing="0"/>
        <w:jc w:val="both"/>
        <w:rPr>
          <w:sz w:val="20"/>
          <w:szCs w:val="20"/>
        </w:rPr>
      </w:pPr>
      <w:r>
        <w:rPr>
          <w:b/>
          <w:bCs/>
          <w:sz w:val="20"/>
          <w:szCs w:val="20"/>
        </w:rPr>
        <w:t>Risks Related to Our Financial Position and Need for Additional Capita</w:t>
      </w:r>
      <w:r>
        <w:rPr>
          <w:b/>
          <w:bCs/>
          <w:sz w:val="20"/>
          <w:szCs w:val="20"/>
        </w:rPr>
        <w:t>l</w:t>
      </w:r>
    </w:p>
    <w:p w:rsidR="00000000" w:rsidRDefault="00F83A7A">
      <w:pPr>
        <w:pStyle w:val="a3"/>
        <w:spacing w:before="200" w:beforeAutospacing="0" w:after="0" w:afterAutospacing="0"/>
        <w:jc w:val="both"/>
        <w:rPr>
          <w:sz w:val="20"/>
          <w:szCs w:val="20"/>
        </w:rPr>
      </w:pPr>
      <w:r>
        <w:rPr>
          <w:b/>
          <w:bCs/>
          <w:i/>
          <w:iCs/>
          <w:sz w:val="20"/>
          <w:szCs w:val="20"/>
        </w:rPr>
        <w:t>Historically, we have incurred significant operating losses a</w:t>
      </w:r>
      <w:r>
        <w:rPr>
          <w:b/>
          <w:bCs/>
          <w:i/>
          <w:iCs/>
          <w:sz w:val="20"/>
          <w:szCs w:val="20"/>
        </w:rPr>
        <w:t>nd expect to continue to incur substantial operating losses for the foreseeable future and may never achieve or maintain profitability</w:t>
      </w:r>
      <w:r>
        <w:rPr>
          <w:b/>
          <w:bCs/>
          <w:i/>
          <w:iCs/>
          <w:sz w:val="20"/>
          <w:szCs w:val="20"/>
        </w:rPr>
        <w:t>.</w:t>
      </w:r>
    </w:p>
    <w:p w:rsidR="00000000" w:rsidRDefault="00F83A7A">
      <w:pPr>
        <w:pStyle w:val="a3"/>
        <w:spacing w:before="200" w:beforeAutospacing="0" w:after="0" w:afterAutospacing="0"/>
        <w:ind w:firstLine="555"/>
        <w:jc w:val="both"/>
        <w:rPr>
          <w:sz w:val="20"/>
          <w:szCs w:val="20"/>
        </w:rPr>
      </w:pPr>
      <w:r>
        <w:rPr>
          <w:sz w:val="20"/>
          <w:szCs w:val="20"/>
        </w:rPr>
        <w:t>We have historically incurred significant operating losses. Due to a one-time, upfront payment of $196.0 million pursuan</w:t>
      </w:r>
      <w:r>
        <w:rPr>
          <w:sz w:val="20"/>
          <w:szCs w:val="20"/>
        </w:rPr>
        <w:t>t to the royalty, license and termination agreement (the “Takeda License and Termination Agreement”) with Takeda Pharmaceutical Company Limited (“Takeda”),</w:t>
      </w:r>
      <w:r>
        <w:rPr>
          <w:sz w:val="20"/>
          <w:szCs w:val="20"/>
        </w:rPr>
        <w:t xml:space="preserve"> </w:t>
      </w:r>
      <w:r>
        <w:rPr>
          <w:sz w:val="18"/>
          <w:szCs w:val="18"/>
        </w:rPr>
        <w:t>o</w:t>
      </w:r>
      <w:r>
        <w:rPr>
          <w:sz w:val="20"/>
          <w:szCs w:val="20"/>
        </w:rPr>
        <w:t xml:space="preserve">ur </w:t>
      </w:r>
      <w:r>
        <w:rPr>
          <w:sz w:val="20"/>
          <w:szCs w:val="20"/>
        </w:rPr>
        <w:t>n</w:t>
      </w:r>
      <w:r>
        <w:rPr>
          <w:sz w:val="20"/>
          <w:szCs w:val="20"/>
        </w:rPr>
        <w:t xml:space="preserve">et income was $122.8 million for the year ended December 31, 2021. As of December 31, 2021, we </w:t>
      </w:r>
      <w:r>
        <w:rPr>
          <w:sz w:val="20"/>
          <w:szCs w:val="20"/>
        </w:rPr>
        <w:t>had an accumulated deficit of $171.4 million. We expect to continue to incur increasing operating losses for the foreseeable future. Since inception, we have devoted substantially all of our efforts to research and preclinical and clinical development of o</w:t>
      </w:r>
      <w:r>
        <w:rPr>
          <w:sz w:val="20"/>
          <w:szCs w:val="20"/>
        </w:rPr>
        <w:t>ur drug candidates, as well as hiring employees and building our infrastructure</w:t>
      </w:r>
      <w:r>
        <w:rPr>
          <w:sz w:val="20"/>
          <w:szCs w:val="20"/>
        </w:rPr>
        <w:t>.</w:t>
      </w:r>
      <w:r>
        <w:rPr>
          <w:sz w:val="20"/>
          <w:szCs w:val="20"/>
        </w:rPr>
        <w:t xml:space="preserve"> </w:t>
      </w:r>
    </w:p>
    <w:p w:rsidR="00000000" w:rsidRDefault="00F83A7A">
      <w:pPr>
        <w:pStyle w:val="a3"/>
        <w:spacing w:before="200" w:beforeAutospacing="0" w:after="0" w:afterAutospacing="0"/>
        <w:ind w:firstLine="555"/>
        <w:jc w:val="both"/>
        <w:rPr>
          <w:sz w:val="20"/>
          <w:szCs w:val="20"/>
        </w:rPr>
      </w:pPr>
      <w:r>
        <w:rPr>
          <w:sz w:val="20"/>
          <w:szCs w:val="20"/>
        </w:rPr>
        <w:t>We have no drugs approved for commercialization and have never generated any revenue from drug sales. All of our drug candidates are still in the preclinical testing stage. I</w:t>
      </w:r>
      <w:r>
        <w:rPr>
          <w:sz w:val="20"/>
          <w:szCs w:val="20"/>
        </w:rPr>
        <w:t>t could be several years, if ever, before we have a commercialized drug. We expect to continue to incur significant expenses and operating losses over the next several years, and t</w:t>
      </w:r>
      <w:r>
        <w:rPr>
          <w:sz w:val="20"/>
          <w:szCs w:val="20"/>
        </w:rPr>
        <w:t>h</w:t>
      </w:r>
      <w:r>
        <w:rPr>
          <w:sz w:val="18"/>
          <w:szCs w:val="18"/>
        </w:rPr>
        <w:t>e</w:t>
      </w:r>
      <w:r>
        <w:rPr>
          <w:sz w:val="18"/>
          <w:szCs w:val="18"/>
        </w:rPr>
        <w:t xml:space="preserve"> </w:t>
      </w:r>
      <w:r>
        <w:rPr>
          <w:sz w:val="20"/>
          <w:szCs w:val="20"/>
        </w:rPr>
        <w:t>net</w:t>
      </w:r>
      <w:r>
        <w:rPr>
          <w:sz w:val="20"/>
          <w:szCs w:val="20"/>
        </w:rPr>
        <w:t xml:space="preserve"> </w:t>
      </w:r>
      <w:r>
        <w:rPr>
          <w:sz w:val="18"/>
          <w:szCs w:val="18"/>
        </w:rPr>
        <w:t>l</w:t>
      </w:r>
      <w:r>
        <w:rPr>
          <w:sz w:val="20"/>
          <w:szCs w:val="20"/>
        </w:rPr>
        <w:t>osses we incur may fluctuate significantly from quarter to quarter a</w:t>
      </w:r>
      <w:r>
        <w:rPr>
          <w:sz w:val="20"/>
          <w:szCs w:val="20"/>
        </w:rPr>
        <w:t>nd year to year. We anticipate that our expenses will increase substantially if, and as, we</w:t>
      </w:r>
      <w:r>
        <w:rPr>
          <w:sz w:val="20"/>
          <w:szCs w:val="20"/>
        </w:rPr>
        <w:t>:</w:t>
      </w:r>
    </w:p>
    <w:p w:rsidR="00000000" w:rsidRDefault="00F83A7A">
      <w:pPr>
        <w:jc w:val="both"/>
        <w:divId w:val="510528182"/>
        <w:rPr>
          <w:rFonts w:eastAsia="Times New Roman"/>
        </w:rPr>
      </w:pPr>
      <w:r>
        <w:rPr>
          <w:rFonts w:eastAsia="Times New Roman"/>
          <w:sz w:val="20"/>
          <w:szCs w:val="20"/>
        </w:rPr>
        <w:t>•</w:t>
      </w:r>
    </w:p>
    <w:p w:rsidR="00000000" w:rsidRDefault="00F83A7A">
      <w:pPr>
        <w:jc w:val="both"/>
        <w:divId w:val="1110007815"/>
        <w:rPr>
          <w:rFonts w:eastAsia="Times New Roman"/>
        </w:rPr>
      </w:pPr>
      <w:r>
        <w:rPr>
          <w:rFonts w:eastAsia="Times New Roman"/>
          <w:sz w:val="20"/>
          <w:szCs w:val="20"/>
        </w:rPr>
        <w:t>continue the ongoing and planned preclinical and clinical development of our drug candidates</w:t>
      </w:r>
      <w:r>
        <w:rPr>
          <w:rFonts w:eastAsia="Times New Roman"/>
          <w:sz w:val="20"/>
          <w:szCs w:val="20"/>
        </w:rPr>
        <w:t>;</w:t>
      </w:r>
    </w:p>
    <w:p w:rsidR="00000000" w:rsidRDefault="00F83A7A">
      <w:pPr>
        <w:jc w:val="both"/>
        <w:divId w:val="1417903032"/>
        <w:rPr>
          <w:rFonts w:eastAsia="Times New Roman"/>
        </w:rPr>
      </w:pPr>
      <w:r>
        <w:rPr>
          <w:rFonts w:eastAsia="Times New Roman"/>
          <w:sz w:val="20"/>
          <w:szCs w:val="20"/>
        </w:rPr>
        <w:t>•</w:t>
      </w:r>
    </w:p>
    <w:p w:rsidR="00000000" w:rsidRDefault="00F83A7A">
      <w:pPr>
        <w:jc w:val="both"/>
        <w:divId w:val="22831917"/>
        <w:rPr>
          <w:rFonts w:eastAsia="Times New Roman"/>
        </w:rPr>
      </w:pPr>
      <w:r>
        <w:rPr>
          <w:rFonts w:eastAsia="Times New Roman"/>
          <w:sz w:val="20"/>
          <w:szCs w:val="20"/>
        </w:rPr>
        <w:t>continue to build a portfolio of drug candidates through the acqu</w:t>
      </w:r>
      <w:r>
        <w:rPr>
          <w:rFonts w:eastAsia="Times New Roman"/>
          <w:sz w:val="20"/>
          <w:szCs w:val="20"/>
        </w:rPr>
        <w:t>isition or in-license of drugs, drug candidates or technologies</w:t>
      </w:r>
      <w:r>
        <w:rPr>
          <w:rFonts w:eastAsia="Times New Roman"/>
          <w:sz w:val="20"/>
          <w:szCs w:val="20"/>
        </w:rPr>
        <w:t>;</w:t>
      </w:r>
    </w:p>
    <w:p w:rsidR="00000000" w:rsidRDefault="00F83A7A">
      <w:pPr>
        <w:jc w:val="both"/>
        <w:divId w:val="635994105"/>
        <w:rPr>
          <w:rFonts w:eastAsia="Times New Roman"/>
        </w:rPr>
      </w:pPr>
      <w:r>
        <w:rPr>
          <w:rFonts w:eastAsia="Times New Roman"/>
          <w:sz w:val="20"/>
          <w:szCs w:val="20"/>
        </w:rPr>
        <w:t>•</w:t>
      </w:r>
    </w:p>
    <w:p w:rsidR="00000000" w:rsidRDefault="00F83A7A">
      <w:pPr>
        <w:jc w:val="both"/>
        <w:divId w:val="1656060941"/>
        <w:rPr>
          <w:rFonts w:eastAsia="Times New Roman"/>
        </w:rPr>
      </w:pPr>
      <w:r>
        <w:rPr>
          <w:rFonts w:eastAsia="Times New Roman"/>
          <w:sz w:val="20"/>
          <w:szCs w:val="20"/>
        </w:rPr>
        <w:t>initiate preclinical studies and clinical trials for any additional drug candidates that we may pursue in the future</w:t>
      </w:r>
      <w:r>
        <w:rPr>
          <w:rFonts w:eastAsia="Times New Roman"/>
          <w:sz w:val="20"/>
          <w:szCs w:val="20"/>
        </w:rPr>
        <w:t>;</w:t>
      </w:r>
    </w:p>
    <w:p w:rsidR="00000000" w:rsidRDefault="00F83A7A">
      <w:pPr>
        <w:jc w:val="both"/>
        <w:divId w:val="1223178366"/>
        <w:rPr>
          <w:rFonts w:eastAsia="Times New Roman"/>
        </w:rPr>
      </w:pPr>
      <w:r>
        <w:rPr>
          <w:rFonts w:eastAsia="Times New Roman"/>
          <w:sz w:val="20"/>
          <w:szCs w:val="20"/>
        </w:rPr>
        <w:t>•</w:t>
      </w:r>
    </w:p>
    <w:p w:rsidR="00000000" w:rsidRDefault="00F83A7A">
      <w:pPr>
        <w:jc w:val="both"/>
        <w:divId w:val="502743503"/>
        <w:rPr>
          <w:rFonts w:eastAsia="Times New Roman"/>
        </w:rPr>
      </w:pPr>
      <w:r>
        <w:rPr>
          <w:rFonts w:eastAsia="Times New Roman"/>
          <w:sz w:val="20"/>
          <w:szCs w:val="20"/>
        </w:rPr>
        <w:t>experience further delays in our preclinical studies and clinical trials due to the ongoing COVID-19 pandemic</w:t>
      </w:r>
      <w:r>
        <w:rPr>
          <w:rFonts w:eastAsia="Times New Roman"/>
          <w:sz w:val="20"/>
          <w:szCs w:val="20"/>
        </w:rPr>
        <w:t>;</w:t>
      </w:r>
    </w:p>
    <w:p w:rsidR="00000000" w:rsidRDefault="00F83A7A">
      <w:pPr>
        <w:jc w:val="both"/>
        <w:divId w:val="14813584"/>
        <w:rPr>
          <w:rFonts w:eastAsia="Times New Roman"/>
        </w:rPr>
      </w:pPr>
      <w:r>
        <w:rPr>
          <w:rFonts w:eastAsia="Times New Roman"/>
          <w:sz w:val="20"/>
          <w:szCs w:val="20"/>
        </w:rPr>
        <w:t>•</w:t>
      </w:r>
    </w:p>
    <w:p w:rsidR="00000000" w:rsidRDefault="00F83A7A">
      <w:pPr>
        <w:jc w:val="both"/>
        <w:divId w:val="1523545703"/>
        <w:rPr>
          <w:rFonts w:eastAsia="Times New Roman"/>
        </w:rPr>
      </w:pPr>
      <w:r>
        <w:rPr>
          <w:rFonts w:eastAsia="Times New Roman"/>
          <w:sz w:val="20"/>
          <w:szCs w:val="20"/>
        </w:rPr>
        <w:t>seek marketing approval</w:t>
      </w:r>
      <w:r>
        <w:rPr>
          <w:rFonts w:eastAsia="Times New Roman"/>
          <w:sz w:val="20"/>
          <w:szCs w:val="20"/>
        </w:rPr>
        <w:t>s for our current and future drug candidates that successfully complete clinical trials</w:t>
      </w:r>
      <w:r>
        <w:rPr>
          <w:rFonts w:eastAsia="Times New Roman"/>
          <w:sz w:val="20"/>
          <w:szCs w:val="20"/>
        </w:rPr>
        <w:t>;</w:t>
      </w:r>
    </w:p>
    <w:p w:rsidR="00000000" w:rsidRDefault="00F83A7A">
      <w:pPr>
        <w:jc w:val="both"/>
        <w:divId w:val="1594894106"/>
        <w:rPr>
          <w:rFonts w:eastAsia="Times New Roman"/>
        </w:rPr>
      </w:pPr>
      <w:r>
        <w:rPr>
          <w:rFonts w:eastAsia="Times New Roman"/>
          <w:sz w:val="20"/>
          <w:szCs w:val="20"/>
        </w:rPr>
        <w:t>•</w:t>
      </w:r>
    </w:p>
    <w:p w:rsidR="00000000" w:rsidRDefault="00F83A7A">
      <w:pPr>
        <w:jc w:val="both"/>
        <w:divId w:val="1971127245"/>
        <w:rPr>
          <w:rFonts w:eastAsia="Times New Roman"/>
        </w:rPr>
      </w:pPr>
      <w:r>
        <w:rPr>
          <w:rFonts w:eastAsia="Times New Roman"/>
          <w:sz w:val="20"/>
          <w:szCs w:val="20"/>
        </w:rPr>
        <w:t>establish a sales, marketing and distribution infrastructure to commercialize any drug candidate for which we may obtain marketing approval</w:t>
      </w:r>
      <w:r>
        <w:rPr>
          <w:rFonts w:eastAsia="Times New Roman"/>
          <w:sz w:val="20"/>
          <w:szCs w:val="20"/>
        </w:rPr>
        <w:t>;</w:t>
      </w:r>
    </w:p>
    <w:p w:rsidR="00000000" w:rsidRDefault="00F83A7A">
      <w:pPr>
        <w:jc w:val="both"/>
        <w:divId w:val="1925794371"/>
        <w:rPr>
          <w:rFonts w:eastAsia="Times New Roman"/>
        </w:rPr>
      </w:pPr>
      <w:r>
        <w:rPr>
          <w:rFonts w:eastAsia="Times New Roman"/>
          <w:sz w:val="20"/>
          <w:szCs w:val="20"/>
        </w:rPr>
        <w:t>•</w:t>
      </w:r>
    </w:p>
    <w:p w:rsidR="00000000" w:rsidRDefault="00F83A7A">
      <w:pPr>
        <w:jc w:val="both"/>
        <w:divId w:val="310017302"/>
        <w:rPr>
          <w:rFonts w:eastAsia="Times New Roman"/>
        </w:rPr>
      </w:pPr>
      <w:r>
        <w:rPr>
          <w:rFonts w:eastAsia="Times New Roman"/>
          <w:sz w:val="20"/>
          <w:szCs w:val="20"/>
        </w:rPr>
        <w:t>develop, maintain, exp</w:t>
      </w:r>
      <w:r>
        <w:rPr>
          <w:rFonts w:eastAsia="Times New Roman"/>
          <w:sz w:val="20"/>
          <w:szCs w:val="20"/>
        </w:rPr>
        <w:t>and and protect our intellectual property portfolio</w:t>
      </w:r>
      <w:r>
        <w:rPr>
          <w:rFonts w:eastAsia="Times New Roman"/>
          <w:sz w:val="20"/>
          <w:szCs w:val="20"/>
        </w:rPr>
        <w:t>;</w:t>
      </w:r>
    </w:p>
    <w:p w:rsidR="00000000" w:rsidRDefault="00F83A7A">
      <w:pPr>
        <w:jc w:val="both"/>
        <w:divId w:val="194122377"/>
        <w:rPr>
          <w:rFonts w:eastAsia="Times New Roman"/>
        </w:rPr>
      </w:pPr>
      <w:r>
        <w:rPr>
          <w:rFonts w:eastAsia="Times New Roman"/>
          <w:sz w:val="20"/>
          <w:szCs w:val="20"/>
        </w:rPr>
        <w:t>•</w:t>
      </w:r>
    </w:p>
    <w:p w:rsidR="00000000" w:rsidRDefault="00F83A7A">
      <w:pPr>
        <w:jc w:val="both"/>
        <w:divId w:val="2041394053"/>
        <w:rPr>
          <w:rFonts w:eastAsia="Times New Roman"/>
        </w:rPr>
      </w:pPr>
      <w:r>
        <w:rPr>
          <w:rFonts w:eastAsia="Times New Roman"/>
          <w:sz w:val="20"/>
          <w:szCs w:val="20"/>
        </w:rPr>
        <w:t>implement operational, financial and management systems; an</w:t>
      </w:r>
      <w:r>
        <w:rPr>
          <w:rFonts w:eastAsia="Times New Roman"/>
          <w:sz w:val="20"/>
          <w:szCs w:val="20"/>
        </w:rPr>
        <w:t>d</w:t>
      </w:r>
    </w:p>
    <w:p w:rsidR="00000000" w:rsidRDefault="00F83A7A">
      <w:pPr>
        <w:jc w:val="both"/>
        <w:divId w:val="1227688712"/>
        <w:rPr>
          <w:rFonts w:eastAsia="Times New Roman"/>
        </w:rPr>
      </w:pPr>
      <w:r>
        <w:rPr>
          <w:rFonts w:eastAsia="Times New Roman"/>
          <w:sz w:val="20"/>
          <w:szCs w:val="20"/>
        </w:rPr>
        <w:t>•</w:t>
      </w:r>
    </w:p>
    <w:p w:rsidR="00000000" w:rsidRDefault="00F83A7A">
      <w:pPr>
        <w:jc w:val="both"/>
        <w:divId w:val="481821114"/>
        <w:rPr>
          <w:rFonts w:eastAsia="Times New Roman"/>
        </w:rPr>
      </w:pPr>
      <w:r>
        <w:rPr>
          <w:rFonts w:eastAsia="Times New Roman"/>
          <w:sz w:val="20"/>
          <w:szCs w:val="20"/>
        </w:rPr>
        <w:t>attract, hire and retain additional administrative, clinical, regulatory and scientific personnel</w:t>
      </w:r>
      <w:r>
        <w:rPr>
          <w:rFonts w:eastAsia="Times New Roman"/>
          <w:sz w:val="20"/>
          <w:szCs w:val="20"/>
        </w:rPr>
        <w:t>.</w:t>
      </w:r>
    </w:p>
    <w:p w:rsidR="00000000" w:rsidRDefault="00F83A7A">
      <w:pPr>
        <w:pStyle w:val="a3"/>
        <w:spacing w:before="240" w:beforeAutospacing="0" w:after="0" w:afterAutospacing="0"/>
        <w:jc w:val="center"/>
        <w:rPr>
          <w:sz w:val="20"/>
          <w:szCs w:val="20"/>
        </w:rPr>
      </w:pPr>
      <w:r>
        <w:rPr>
          <w:sz w:val="20"/>
          <w:szCs w:val="20"/>
        </w:rPr>
        <w:t>1</w:t>
      </w:r>
      <w:r>
        <w:rPr>
          <w:sz w:val="20"/>
          <w:szCs w:val="20"/>
        </w:rPr>
        <w:t>9</w:t>
      </w:r>
    </w:p>
    <w:p w:rsidR="00000000" w:rsidRDefault="00F83A7A">
      <w:pPr>
        <w:rPr>
          <w:rFonts w:eastAsia="Times New Roman"/>
        </w:rPr>
      </w:pPr>
      <w:r>
        <w:rPr>
          <w:rFonts w:eastAsia="Times New Roman"/>
        </w:rPr>
        <w:pict>
          <v:rect id="_x0000_i1046"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ind w:firstLine="555"/>
        <w:jc w:val="both"/>
        <w:rPr>
          <w:sz w:val="20"/>
          <w:szCs w:val="20"/>
        </w:rPr>
      </w:pPr>
      <w:r>
        <w:rPr>
          <w:sz w:val="20"/>
          <w:szCs w:val="20"/>
        </w:rPr>
        <w:t>Even if we complete the development and regulatory processes described above, we anticipate incurring significant costs associated with launching and commercializing our current and future drug candidates</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If we do achieve profitability, we may not be ab</w:t>
      </w:r>
      <w:r>
        <w:rPr>
          <w:sz w:val="20"/>
          <w:szCs w:val="20"/>
        </w:rPr>
        <w:t>le to sustain or increase profitability on a quarterly or annual basis. Our failure to become and remain profitable would decrease the value of our company and could impair our ability to raise capital, maintain our research and development efforts, expand</w:t>
      </w:r>
      <w:r>
        <w:rPr>
          <w:sz w:val="20"/>
          <w:szCs w:val="20"/>
        </w:rPr>
        <w:t xml:space="preserve"> our business or continue our operations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Our operating history may make it difficult to evaluate the success of our business to date and to assess our future viability</w:t>
      </w:r>
      <w:r>
        <w:rPr>
          <w:b/>
          <w:bCs/>
          <w:i/>
          <w:iCs/>
          <w:sz w:val="20"/>
          <w:szCs w:val="20"/>
        </w:rPr>
        <w:t>.</w:t>
      </w:r>
    </w:p>
    <w:p w:rsidR="00000000" w:rsidRDefault="00F83A7A">
      <w:pPr>
        <w:pStyle w:val="a3"/>
        <w:spacing w:before="132" w:beforeAutospacing="0" w:after="0" w:afterAutospacing="0"/>
        <w:ind w:firstLine="599"/>
        <w:jc w:val="both"/>
        <w:rPr>
          <w:sz w:val="20"/>
          <w:szCs w:val="20"/>
        </w:rPr>
      </w:pPr>
      <w:r>
        <w:rPr>
          <w:sz w:val="20"/>
          <w:szCs w:val="20"/>
        </w:rPr>
        <w:t xml:space="preserve">Our operations have consumed substantial amounts of cash since our inception in April </w:t>
      </w:r>
      <w:r>
        <w:rPr>
          <w:sz w:val="20"/>
          <w:szCs w:val="20"/>
        </w:rPr>
        <w:t xml:space="preserve">2014, primarily due to organizing and staffing our company, business planning, raising capital, acquiring assets and undertaking the development of our drug candidates. We have not yet demonstrated the ability to, obtain marketing approvals, manufacture a </w:t>
      </w:r>
      <w:r>
        <w:rPr>
          <w:sz w:val="20"/>
          <w:szCs w:val="20"/>
        </w:rPr>
        <w:t>commercial-scale drug or conduct sales and marketing activities necessary for successful commercialization. Consequently, any predictions about our future success or viability may not be as accurate as they could be if we had more experience developing dru</w:t>
      </w:r>
      <w:r>
        <w:rPr>
          <w:sz w:val="20"/>
          <w:szCs w:val="20"/>
        </w:rPr>
        <w:t>g candidates</w:t>
      </w:r>
      <w:r>
        <w:rPr>
          <w:sz w:val="20"/>
          <w:szCs w:val="20"/>
        </w:rPr>
        <w:t>.</w:t>
      </w:r>
    </w:p>
    <w:p w:rsidR="00000000" w:rsidRDefault="00F83A7A">
      <w:pPr>
        <w:pStyle w:val="a3"/>
        <w:spacing w:before="132" w:beforeAutospacing="0" w:after="0" w:afterAutospacing="0"/>
        <w:ind w:firstLine="599"/>
        <w:jc w:val="both"/>
        <w:rPr>
          <w:sz w:val="20"/>
          <w:szCs w:val="20"/>
        </w:rPr>
      </w:pPr>
      <w:r>
        <w:rPr>
          <w:sz w:val="20"/>
          <w:szCs w:val="20"/>
        </w:rPr>
        <w:t>We expect our financial condition and operating results to continue to fluctuate from quarter to quarter and year to year due to a variety of factors, many of which are beyond our control. We will need to eventually transition from a company with a researc</w:t>
      </w:r>
      <w:r>
        <w:rPr>
          <w:sz w:val="20"/>
          <w:szCs w:val="20"/>
        </w:rPr>
        <w:t>h and development focus to a company capable of undertaking commercial activities. We may encounter unforeseen expenses, difficulties, complications and delays and may not be successful in such a transition</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We will require additional capital to finance ou</w:t>
      </w:r>
      <w:r>
        <w:rPr>
          <w:b/>
          <w:bCs/>
          <w:i/>
          <w:iCs/>
          <w:sz w:val="20"/>
          <w:szCs w:val="20"/>
        </w:rPr>
        <w:t>r operations, which may not be available on acceptable terms, if at all. Failure to obtain this necessary capital when needed may force us to delay, limit or terminate certain of our drug development efforts or other operations</w:t>
      </w:r>
      <w:r>
        <w:rPr>
          <w:b/>
          <w:bCs/>
          <w:i/>
          <w:iCs/>
          <w:sz w:val="20"/>
          <w:szCs w:val="20"/>
        </w:rPr>
        <w:t>.</w:t>
      </w:r>
    </w:p>
    <w:p w:rsidR="00000000" w:rsidRDefault="00F83A7A">
      <w:pPr>
        <w:pStyle w:val="a3"/>
        <w:spacing w:before="132" w:beforeAutospacing="0" w:after="0" w:afterAutospacing="0"/>
        <w:ind w:firstLine="599"/>
        <w:jc w:val="both"/>
        <w:rPr>
          <w:sz w:val="20"/>
          <w:szCs w:val="20"/>
        </w:rPr>
      </w:pPr>
      <w:r>
        <w:rPr>
          <w:sz w:val="20"/>
          <w:szCs w:val="20"/>
        </w:rPr>
        <w:t>Our operations have consume</w:t>
      </w:r>
      <w:r>
        <w:rPr>
          <w:sz w:val="20"/>
          <w:szCs w:val="20"/>
        </w:rPr>
        <w:t>d substantial amounts of cash since our inception. We expect our expenses to increase as we advance our current and future drug candidates through preclinical studies and clinical trials, commercialize our drug candidates, and pursue the acquisition or in-</w:t>
      </w:r>
      <w:r>
        <w:rPr>
          <w:sz w:val="20"/>
          <w:szCs w:val="20"/>
        </w:rPr>
        <w:t>licensing of any additional drug candidates. Our expenses could increase beyond expectations if the FDA or other regulatory authorities require us to perform preclinical studies or clinical trials in addition to those that we currently anticipate. In addit</w:t>
      </w:r>
      <w:r>
        <w:rPr>
          <w:sz w:val="20"/>
          <w:szCs w:val="20"/>
        </w:rPr>
        <w:t xml:space="preserve">ion, even if we obtain marketing approval for our drug candidates, they may not achieve commercial success. Our revenue, if any, will be derived from sales of drugs that we do not expect to be commercially available for a number of years, if at all. If we </w:t>
      </w:r>
      <w:r>
        <w:rPr>
          <w:sz w:val="20"/>
          <w:szCs w:val="20"/>
        </w:rPr>
        <w:t>obtain marketing approval for any drug candidates that we develop or otherwise acquire, we expect to incur significant expenses related to manufacturing, marketing, sales and distribution</w:t>
      </w:r>
      <w:r>
        <w:rPr>
          <w:sz w:val="20"/>
          <w:szCs w:val="20"/>
        </w:rPr>
        <w:t>.</w:t>
      </w:r>
    </w:p>
    <w:p w:rsidR="00000000" w:rsidRDefault="00F83A7A">
      <w:pPr>
        <w:pStyle w:val="a3"/>
        <w:spacing w:before="0" w:beforeAutospacing="0" w:after="0" w:afterAutospacing="0"/>
        <w:ind w:firstLine="599"/>
        <w:jc w:val="both"/>
        <w:rPr>
          <w:sz w:val="20"/>
          <w:szCs w:val="20"/>
        </w:rPr>
      </w:pPr>
      <w:r>
        <w:rPr>
          <w:sz w:val="20"/>
          <w:szCs w:val="20"/>
        </w:rPr>
        <w:t> </w:t>
      </w:r>
    </w:p>
    <w:p w:rsidR="00000000" w:rsidRDefault="00F83A7A">
      <w:pPr>
        <w:pStyle w:val="a3"/>
        <w:spacing w:before="0" w:beforeAutospacing="0" w:after="0" w:afterAutospacing="0"/>
        <w:ind w:firstLine="599"/>
        <w:jc w:val="both"/>
        <w:rPr>
          <w:sz w:val="20"/>
          <w:szCs w:val="20"/>
        </w:rPr>
      </w:pPr>
      <w:r>
        <w:rPr>
          <w:sz w:val="20"/>
          <w:szCs w:val="20"/>
        </w:rPr>
        <w:t>As of December 31, 2021, our cash and cash equivalents were $187.</w:t>
      </w:r>
      <w:r>
        <w:rPr>
          <w:sz w:val="20"/>
          <w:szCs w:val="20"/>
        </w:rPr>
        <w:t>8 million and we had an accumulated deficit of $171.4 million. We believe that our existing cash and cash equivalents will fund our current operating plans through at least 12 months from the filing of this Annual Report on Form 10-K. However, our operatin</w:t>
      </w:r>
      <w:r>
        <w:rPr>
          <w:sz w:val="20"/>
          <w:szCs w:val="20"/>
        </w:rPr>
        <w:t xml:space="preserve">g plans may change because of many factors currently unknown to us, and we may need to seek additional funds sooner than planned, through public or private equity or debt financings, third-party funding, marketing and distribution arrangements, as well as </w:t>
      </w:r>
      <w:r>
        <w:rPr>
          <w:sz w:val="20"/>
          <w:szCs w:val="20"/>
        </w:rPr>
        <w:t>other collaborations, strategic alliances and licensing arrangements, or any combination of these approaches</w:t>
      </w:r>
      <w:r>
        <w:rPr>
          <w:sz w:val="20"/>
          <w:szCs w:val="20"/>
        </w:rPr>
        <w:t>.</w:t>
      </w:r>
      <w:r>
        <w:rPr>
          <w:sz w:val="20"/>
          <w:szCs w:val="20"/>
        </w:rPr>
        <w:t xml:space="preserve"> </w:t>
      </w:r>
    </w:p>
    <w:p w:rsidR="00000000" w:rsidRDefault="00F83A7A">
      <w:pPr>
        <w:pStyle w:val="a3"/>
        <w:spacing w:before="264" w:beforeAutospacing="0" w:after="0" w:afterAutospacing="0"/>
        <w:ind w:firstLine="599"/>
        <w:jc w:val="both"/>
        <w:rPr>
          <w:sz w:val="20"/>
          <w:szCs w:val="20"/>
        </w:rPr>
      </w:pPr>
      <w:r>
        <w:rPr>
          <w:sz w:val="20"/>
          <w:szCs w:val="20"/>
        </w:rPr>
        <w:t>We will require more capital in order to advance the preclinical and clinical development, obtain regulatory approval and, following regulatory a</w:t>
      </w:r>
      <w:r>
        <w:rPr>
          <w:sz w:val="20"/>
          <w:szCs w:val="20"/>
        </w:rPr>
        <w:t>pproval, commercialize our current or future drug candidates. Any additional capital raising efforts may divert our management from their day-to-day activities, which may adversely affect our ability to develop and commercialize our current and future drug</w:t>
      </w:r>
      <w:r>
        <w:rPr>
          <w:sz w:val="20"/>
          <w:szCs w:val="20"/>
        </w:rPr>
        <w:t xml:space="preserve"> candidates. The ongoing COVID-19 pandemic has already resulted in a significant disruption of global financial markets. If the disruption persists and deepens, we could experience an inability to access additional capital. If we do not raise additional ca</w:t>
      </w:r>
      <w:r>
        <w:rPr>
          <w:sz w:val="20"/>
          <w:szCs w:val="20"/>
        </w:rPr>
        <w:t>pital in sufficient amounts, or on terms acceptable to us, we may be prevented from pursuing development and commercialization efforts, which will harm our business, operating results and prospects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Raising additional capital or acquiring or licensing asse</w:t>
      </w:r>
      <w:r>
        <w:rPr>
          <w:b/>
          <w:bCs/>
          <w:i/>
          <w:iCs/>
          <w:sz w:val="20"/>
          <w:szCs w:val="20"/>
        </w:rPr>
        <w:t>ts by issuing equity or debt securities may cause dilution to our stockholders, and raising funds through lending and licensing arrangements may restrict our operations or require us to relinquish proprietary rights</w:t>
      </w:r>
      <w:r>
        <w:rPr>
          <w:b/>
          <w:bCs/>
          <w:i/>
          <w:iCs/>
          <w:sz w:val="20"/>
          <w:szCs w:val="20"/>
        </w:rPr>
        <w:t>.</w:t>
      </w:r>
    </w:p>
    <w:p w:rsidR="00000000" w:rsidRDefault="00F83A7A">
      <w:pPr>
        <w:pStyle w:val="a3"/>
        <w:spacing w:before="0" w:beforeAutospacing="0" w:after="0" w:afterAutospacing="0"/>
        <w:ind w:firstLine="612"/>
        <w:jc w:val="both"/>
        <w:rPr>
          <w:sz w:val="20"/>
          <w:szCs w:val="20"/>
        </w:rPr>
      </w:pPr>
      <w:r>
        <w:rPr>
          <w:sz w:val="20"/>
          <w:szCs w:val="20"/>
        </w:rPr>
        <w:t> </w:t>
      </w:r>
    </w:p>
    <w:p w:rsidR="00000000" w:rsidRDefault="00F83A7A">
      <w:pPr>
        <w:pStyle w:val="a3"/>
        <w:spacing w:before="0" w:beforeAutospacing="0" w:after="0" w:afterAutospacing="0"/>
        <w:ind w:firstLine="612"/>
        <w:jc w:val="both"/>
        <w:rPr>
          <w:sz w:val="20"/>
          <w:szCs w:val="20"/>
        </w:rPr>
      </w:pPr>
      <w:r>
        <w:rPr>
          <w:sz w:val="20"/>
          <w:szCs w:val="20"/>
        </w:rPr>
        <w:t>Until such time as we can generate su</w:t>
      </w:r>
      <w:r>
        <w:rPr>
          <w:sz w:val="20"/>
          <w:szCs w:val="20"/>
        </w:rPr>
        <w:t>bstantial revenue from drug sales, if ever, we expect to finance our cash needs through a combination of equity and debt financings, strategic alliances, and license and development agreements in connection with any collaborations. We do not have any commi</w:t>
      </w:r>
      <w:r>
        <w:rPr>
          <w:sz w:val="20"/>
          <w:szCs w:val="20"/>
        </w:rPr>
        <w:t xml:space="preserve">tted external source of funds. To the extent that we issue additional equity securities, our stockholders may experience substantial dilution, and the terms of these securities may include liquidation or other preferences that adversely affect your rights </w:t>
      </w:r>
      <w:r>
        <w:rPr>
          <w:sz w:val="20"/>
          <w:szCs w:val="20"/>
        </w:rPr>
        <w:t>as a stockholder. In addition, we may issue equity or debt securities as consideration for obtaining rights to additional compounds</w:t>
      </w:r>
      <w:r>
        <w:rPr>
          <w:sz w:val="20"/>
          <w:szCs w:val="20"/>
        </w:rPr>
        <w:t>.</w:t>
      </w:r>
      <w:r>
        <w:rPr>
          <w:sz w:val="20"/>
          <w:szCs w:val="20"/>
        </w:rPr>
        <w:t xml:space="preserve"> </w:t>
      </w:r>
    </w:p>
    <w:p w:rsidR="00000000" w:rsidRDefault="00F83A7A">
      <w:pPr>
        <w:pStyle w:val="a3"/>
        <w:spacing w:before="0" w:beforeAutospacing="0" w:after="0" w:afterAutospacing="0"/>
        <w:ind w:firstLine="612"/>
        <w:jc w:val="both"/>
        <w:rPr>
          <w:sz w:val="20"/>
          <w:szCs w:val="20"/>
        </w:rPr>
      </w:pPr>
      <w:r>
        <w:rPr>
          <w:sz w:val="20"/>
          <w:szCs w:val="20"/>
        </w:rPr>
        <w:t> </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2</w:t>
      </w:r>
      <w:r>
        <w:rPr>
          <w:sz w:val="20"/>
          <w:szCs w:val="20"/>
        </w:rPr>
        <w:t>0</w:t>
      </w:r>
    </w:p>
    <w:p w:rsidR="00000000" w:rsidRDefault="00F83A7A">
      <w:pPr>
        <w:rPr>
          <w:rFonts w:eastAsia="Times New Roman"/>
        </w:rPr>
      </w:pPr>
      <w:r>
        <w:rPr>
          <w:rFonts w:eastAsia="Times New Roman"/>
        </w:rPr>
        <w:pict>
          <v:rect id="_x0000_i1047"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ind w:firstLine="620"/>
        <w:jc w:val="both"/>
        <w:rPr>
          <w:sz w:val="20"/>
          <w:szCs w:val="20"/>
        </w:rPr>
      </w:pPr>
      <w:r>
        <w:rPr>
          <w:sz w:val="20"/>
          <w:szCs w:val="20"/>
        </w:rPr>
        <w:t>Debt and equity financings, if available, may involve agreements that includ</w:t>
      </w:r>
      <w:r>
        <w:rPr>
          <w:sz w:val="20"/>
          <w:szCs w:val="20"/>
        </w:rPr>
        <w:t>e covenants limiting or restricting our ability to take specific actions, such as redeeming our shares, making investments, issuing additional equity, incurring additional debt, making capital expenditures, declaring dividends or placing limitations on our</w:t>
      </w:r>
      <w:r>
        <w:rPr>
          <w:sz w:val="20"/>
          <w:szCs w:val="20"/>
        </w:rPr>
        <w:t xml:space="preserve"> ability to acquire, sell or license intellectual property rights and other operating restrictions that could negatively impact our ability to conduct our business. If we raise additional capital through future collaborations, strategic alliances or third-</w:t>
      </w:r>
      <w:r>
        <w:rPr>
          <w:sz w:val="20"/>
          <w:szCs w:val="20"/>
        </w:rPr>
        <w:t>party licensing arrangements, we may have to relinquish valuable rights to our intellectual property, future revenue streams, research programs or drug candidates, or grant licenses on terms that may not be favorable to us</w:t>
      </w:r>
      <w:r>
        <w:rPr>
          <w:sz w:val="20"/>
          <w:szCs w:val="20"/>
        </w:rPr>
        <w:t>.</w:t>
      </w:r>
    </w:p>
    <w:p w:rsidR="00000000" w:rsidRDefault="00F83A7A">
      <w:pPr>
        <w:pStyle w:val="a3"/>
        <w:spacing w:before="264" w:beforeAutospacing="0" w:after="0" w:afterAutospacing="0"/>
        <w:ind w:firstLine="599"/>
        <w:jc w:val="both"/>
        <w:rPr>
          <w:sz w:val="20"/>
          <w:szCs w:val="20"/>
        </w:rPr>
      </w:pPr>
      <w:r>
        <w:rPr>
          <w:sz w:val="20"/>
          <w:szCs w:val="20"/>
        </w:rPr>
        <w:t>If we are unable to raise additional capital when needed, we may be required to delay, limit, reduce or terminate our drug development or future commercialization efforts, or grant rights to develop and market drug candidates that we would otherwise develo</w:t>
      </w:r>
      <w:r>
        <w:rPr>
          <w:sz w:val="20"/>
          <w:szCs w:val="20"/>
        </w:rPr>
        <w:t>p and market ourselves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Our ability to use our net operating loss (“NOL”) carryforwards and certain other tax attributes to offset future taxable income may be subject to limitation</w:t>
      </w:r>
      <w:r>
        <w:rPr>
          <w:b/>
          <w:bCs/>
          <w:i/>
          <w:iCs/>
          <w:sz w:val="20"/>
          <w:szCs w:val="20"/>
        </w:rPr>
        <w:t>.</w:t>
      </w:r>
    </w:p>
    <w:p w:rsidR="00000000" w:rsidRDefault="00F83A7A">
      <w:pPr>
        <w:pStyle w:val="a3"/>
        <w:spacing w:before="264" w:beforeAutospacing="0" w:after="0" w:afterAutospacing="0"/>
        <w:ind w:firstLine="599"/>
        <w:jc w:val="both"/>
        <w:rPr>
          <w:sz w:val="20"/>
          <w:szCs w:val="20"/>
        </w:rPr>
      </w:pPr>
      <w:r>
        <w:rPr>
          <w:sz w:val="20"/>
          <w:szCs w:val="20"/>
        </w:rPr>
        <w:t>Our NOL carryforwards could expire unused and be unavailable to offset fu</w:t>
      </w:r>
      <w:r>
        <w:rPr>
          <w:sz w:val="20"/>
          <w:szCs w:val="20"/>
        </w:rPr>
        <w:t>ture income tax liabilities because of their limited duration or because of restrictions under U.S. tax law. Our federal NOLs generated in tax years beginning on or before December 31, 2017 are permitted to be carried forward for only 20 years under applic</w:t>
      </w:r>
      <w:r>
        <w:rPr>
          <w:sz w:val="20"/>
          <w:szCs w:val="20"/>
        </w:rPr>
        <w:t>able U.S. tax law. Under the Tax Cuts and Jobs Act, or the Tax Act, as modified by the Coronavirus Aid, Relief, and Economic Security Act, or the CARES Act, federal NOLs incurred in taxable years beginning after December 31, 2017 may be carried forward ind</w:t>
      </w:r>
      <w:r>
        <w:rPr>
          <w:sz w:val="20"/>
          <w:szCs w:val="20"/>
        </w:rPr>
        <w:t>efinitely, but the utilization of such federal NOLs incurred in the taxable year beginning after December 31, 2020 is limited to 80% of taxable income</w:t>
      </w:r>
      <w:r>
        <w:rPr>
          <w:sz w:val="20"/>
          <w:szCs w:val="20"/>
        </w:rPr>
        <w:t>.</w:t>
      </w:r>
    </w:p>
    <w:p w:rsidR="00000000" w:rsidRDefault="00F83A7A">
      <w:pPr>
        <w:pStyle w:val="a3"/>
        <w:spacing w:before="264" w:beforeAutospacing="0" w:after="0" w:afterAutospacing="0"/>
        <w:ind w:firstLine="599"/>
        <w:jc w:val="both"/>
        <w:rPr>
          <w:sz w:val="20"/>
          <w:szCs w:val="20"/>
        </w:rPr>
      </w:pPr>
      <w:r>
        <w:rPr>
          <w:sz w:val="20"/>
          <w:szCs w:val="20"/>
        </w:rPr>
        <w:t>In addition, under Section 382 and Section 383 of the Internal Revenue Code of 1986, as amended, and cor</w:t>
      </w:r>
      <w:r>
        <w:rPr>
          <w:sz w:val="20"/>
          <w:szCs w:val="20"/>
        </w:rPr>
        <w:t xml:space="preserve">responding provisions of state law, if a corporation undergoes an “ownership change,” its ability to use its pre-change NOL carryforwards and other pre-change tax attributes (such as research tax credits) to offset its post-change income may be limited. A </w:t>
      </w:r>
      <w:r>
        <w:rPr>
          <w:sz w:val="20"/>
          <w:szCs w:val="20"/>
        </w:rPr>
        <w:t>Section 382 “ownership change” generally occurs if one or more stockholders or groups of stockholders who own at least 5% of our stock increase their ownership by more than 50 percentage points (by value) over their lowest ownership percentage over a rolli</w:t>
      </w:r>
      <w:r>
        <w:rPr>
          <w:sz w:val="20"/>
          <w:szCs w:val="20"/>
        </w:rPr>
        <w:t>ng three-year period. We may have experienced ownership changes in the past and may experience ownership changes in the future as a result of shifts in our stock ownership (some of which are outside our control). As a result, if we earn net taxable income,</w:t>
      </w:r>
      <w:r>
        <w:rPr>
          <w:sz w:val="20"/>
          <w:szCs w:val="20"/>
        </w:rPr>
        <w:t xml:space="preserve"> our ability to use our pre-change NOLs to offset such taxable income may be subject to limitations. Similar provisions of state tax law may also apply to limit our use of accumulated state tax attributes. In addition, at the state level, there may be peri</w:t>
      </w:r>
      <w:r>
        <w:rPr>
          <w:sz w:val="20"/>
          <w:szCs w:val="20"/>
        </w:rPr>
        <w:t>ods during which the use of NOLs is suspended or otherwise limited, which could accelerate or permanently increase state taxes owed</w:t>
      </w:r>
      <w:r>
        <w:rPr>
          <w:sz w:val="20"/>
          <w:szCs w:val="20"/>
        </w:rPr>
        <w:t>.</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0" w:afterAutospacing="0"/>
        <w:ind w:firstLine="620"/>
        <w:jc w:val="both"/>
        <w:rPr>
          <w:sz w:val="20"/>
          <w:szCs w:val="20"/>
        </w:rPr>
      </w:pPr>
      <w:r>
        <w:rPr>
          <w:sz w:val="20"/>
          <w:szCs w:val="20"/>
        </w:rPr>
        <w:t xml:space="preserve">For the years ended December 31, 2021 and 2020, we recorded U.S. federal and state income tax provisions of $1.3 million </w:t>
      </w:r>
      <w:r>
        <w:rPr>
          <w:sz w:val="20"/>
          <w:szCs w:val="20"/>
        </w:rPr>
        <w:t>and zero, respectively, on pre-tax income of $124.2 million and pre-tax loss of $81.0 million, respectively. As of December 31, 2021, we had available approximately $171.3 million of unused NOL carryforwards for federal and New York state income tax purpos</w:t>
      </w:r>
      <w:r>
        <w:rPr>
          <w:sz w:val="20"/>
          <w:szCs w:val="20"/>
        </w:rPr>
        <w:t>es and approximately $163.9 million of unused NOL carryforwards for New York City income tax purposes, that may be applied against future taxable income. Our NOL carryforwards are significantly limited such that if we achieve profitability in future period</w:t>
      </w:r>
      <w:r>
        <w:rPr>
          <w:sz w:val="20"/>
          <w:szCs w:val="20"/>
        </w:rPr>
        <w:t>s, we may not be able to utilize most of the NOL carryforwards, which could have a material adverse effect on cash flow and results of operations</w:t>
      </w:r>
      <w:r>
        <w:rPr>
          <w:sz w:val="20"/>
          <w:szCs w:val="20"/>
        </w:rPr>
        <w:t>.</w:t>
      </w:r>
      <w:r>
        <w:rPr>
          <w:sz w:val="20"/>
          <w:szCs w:val="20"/>
        </w:rPr>
        <w:t xml:space="preserve"> </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0" w:beforeAutospacing="0" w:after="0" w:afterAutospacing="0"/>
        <w:jc w:val="both"/>
        <w:rPr>
          <w:sz w:val="20"/>
          <w:szCs w:val="20"/>
        </w:rPr>
      </w:pPr>
      <w:r>
        <w:rPr>
          <w:b/>
          <w:bCs/>
          <w:sz w:val="20"/>
          <w:szCs w:val="20"/>
        </w:rPr>
        <w:t>Risks Related to the Development and Commercialization of Our Drug Candidate</w:t>
      </w:r>
      <w:r>
        <w:rPr>
          <w:b/>
          <w:bCs/>
          <w:sz w:val="20"/>
          <w:szCs w:val="20"/>
        </w:rPr>
        <w:t>s</w:t>
      </w:r>
    </w:p>
    <w:p w:rsidR="00000000" w:rsidRDefault="00F83A7A">
      <w:pPr>
        <w:pStyle w:val="a3"/>
        <w:spacing w:before="200" w:beforeAutospacing="0" w:after="0" w:afterAutospacing="0"/>
        <w:jc w:val="both"/>
        <w:rPr>
          <w:sz w:val="20"/>
          <w:szCs w:val="20"/>
        </w:rPr>
      </w:pPr>
      <w:r>
        <w:rPr>
          <w:b/>
          <w:bCs/>
          <w:i/>
          <w:iCs/>
          <w:sz w:val="20"/>
          <w:szCs w:val="20"/>
        </w:rPr>
        <w:t>We are very early in our dev</w:t>
      </w:r>
      <w:r>
        <w:rPr>
          <w:b/>
          <w:bCs/>
          <w:i/>
          <w:iCs/>
          <w:sz w:val="20"/>
          <w:szCs w:val="20"/>
        </w:rPr>
        <w:t>elopment efforts and all our drug candidates are in preclinical development. If we are unable to successfully develop, receive regulatory approval for and commercialize our drug candidates for these or any other indications, or successfully develop any oth</w:t>
      </w:r>
      <w:r>
        <w:rPr>
          <w:b/>
          <w:bCs/>
          <w:i/>
          <w:iCs/>
          <w:sz w:val="20"/>
          <w:szCs w:val="20"/>
        </w:rPr>
        <w:t>er drug candidates, or experience significant delays in doing so, our business will be harmed</w:t>
      </w:r>
      <w:r>
        <w:rPr>
          <w:b/>
          <w:bCs/>
          <w:i/>
          <w:iCs/>
          <w:sz w:val="20"/>
          <w:szCs w:val="20"/>
        </w:rPr>
        <w:t>.</w:t>
      </w:r>
      <w:r>
        <w:rPr>
          <w:sz w:val="20"/>
          <w:szCs w:val="20"/>
        </w:rPr>
        <w:t xml:space="preserve"> </w:t>
      </w:r>
    </w:p>
    <w:p w:rsidR="00000000" w:rsidRDefault="00F83A7A">
      <w:pPr>
        <w:pStyle w:val="a3"/>
        <w:spacing w:before="240" w:beforeAutospacing="0" w:after="0" w:afterAutospacing="0"/>
        <w:ind w:firstLine="620"/>
        <w:jc w:val="both"/>
        <w:rPr>
          <w:sz w:val="20"/>
          <w:szCs w:val="20"/>
        </w:rPr>
      </w:pPr>
      <w:r>
        <w:rPr>
          <w:sz w:val="20"/>
          <w:szCs w:val="20"/>
        </w:rPr>
        <w:t>We are very early in our development efforts and all of the drug candidates (including OV329 and OV350), for which we control developmental and commercial respo</w:t>
      </w:r>
      <w:r>
        <w:rPr>
          <w:sz w:val="20"/>
          <w:szCs w:val="20"/>
        </w:rPr>
        <w:t>nsibility are still in preclinical development. For example, we previously publicly announced we anticipate filing three investigational new drug (“IND”) applications in three years, beginning in 2022, however we cannot guarantee success of pre-clinical de</w:t>
      </w:r>
      <w:r>
        <w:rPr>
          <w:sz w:val="20"/>
          <w:szCs w:val="20"/>
        </w:rPr>
        <w:t>velopment to achieve all such IND applications. Following IND acceptance, each of our drug candidates will need to be progressed through clinical development in order to achieve regulatory approval, and we will also need to address issues relating to manuf</w:t>
      </w:r>
      <w:r>
        <w:rPr>
          <w:sz w:val="20"/>
          <w:szCs w:val="20"/>
        </w:rPr>
        <w:t>acture and supply, which may involve building our own capacity and expertise. In order to commercialize any product that achieves regulatory approval, we will need to build a commercial organization or successfully outsource commercialization, all of which</w:t>
      </w:r>
      <w:r>
        <w:rPr>
          <w:sz w:val="20"/>
          <w:szCs w:val="20"/>
        </w:rPr>
        <w:t xml:space="preserve"> will require substantial investment and significant marketing efforts before we have the ability to generate any revenue from drug sales. We do not have any drugs that are approved for commercial sale, and we may never be able to develop or commercialize </w:t>
      </w:r>
      <w:r>
        <w:rPr>
          <w:sz w:val="20"/>
          <w:szCs w:val="20"/>
        </w:rPr>
        <w:t>marketable drugs</w:t>
      </w:r>
      <w:r>
        <w:rPr>
          <w:sz w:val="20"/>
          <w:szCs w:val="20"/>
        </w:rPr>
        <w:t>.</w:t>
      </w:r>
    </w:p>
    <w:p w:rsidR="00000000" w:rsidRDefault="00F83A7A">
      <w:pPr>
        <w:pStyle w:val="a3"/>
        <w:spacing w:before="240" w:beforeAutospacing="0" w:after="0" w:afterAutospacing="0"/>
        <w:ind w:firstLine="555"/>
        <w:jc w:val="both"/>
        <w:rPr>
          <w:sz w:val="20"/>
          <w:szCs w:val="20"/>
        </w:rPr>
      </w:pPr>
      <w:r>
        <w:rPr>
          <w:sz w:val="20"/>
          <w:szCs w:val="20"/>
        </w:rPr>
        <w:t>Our ability to generate revenue from drug sales and achieve profitability depends on our ability, alone or with any current or future collaborative partners, to successfully complete the development of, and obtain the regulatory approvals</w:t>
      </w:r>
      <w:r>
        <w:rPr>
          <w:sz w:val="20"/>
          <w:szCs w:val="20"/>
        </w:rPr>
        <w:t xml:space="preserve"> necessary to commercialize, our current and future drug candidates. We do not anticipate generating revenue from drug sales for the next several years, if ever. Ou</w:t>
      </w:r>
      <w:r>
        <w:rPr>
          <w:sz w:val="20"/>
          <w:szCs w:val="20"/>
        </w:rPr>
        <w:t>r</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2</w:t>
      </w:r>
      <w:r>
        <w:rPr>
          <w:sz w:val="20"/>
          <w:szCs w:val="20"/>
        </w:rPr>
        <w:t>1</w:t>
      </w:r>
    </w:p>
    <w:p w:rsidR="00000000" w:rsidRDefault="00F83A7A">
      <w:pPr>
        <w:rPr>
          <w:rFonts w:eastAsia="Times New Roman"/>
        </w:rPr>
      </w:pPr>
      <w:r>
        <w:rPr>
          <w:rFonts w:eastAsia="Times New Roman"/>
        </w:rPr>
        <w:pict>
          <v:rect id="_x0000_i1048"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jc w:val="both"/>
        <w:rPr>
          <w:sz w:val="20"/>
          <w:szCs w:val="20"/>
        </w:rPr>
      </w:pPr>
      <w:r>
        <w:rPr>
          <w:sz w:val="20"/>
          <w:szCs w:val="20"/>
        </w:rPr>
        <w:t>ability to generate revenue from drug sales depe</w:t>
      </w:r>
      <w:r>
        <w:rPr>
          <w:sz w:val="20"/>
          <w:szCs w:val="20"/>
        </w:rPr>
        <w:t>nds heavily on our, or any current or future collaborators’, success in the following areas, including but not limited to</w:t>
      </w:r>
      <w:r>
        <w:rPr>
          <w:sz w:val="20"/>
          <w:szCs w:val="20"/>
        </w:rPr>
        <w:t>:</w:t>
      </w:r>
    </w:p>
    <w:p w:rsidR="00000000" w:rsidRDefault="00F83A7A">
      <w:pPr>
        <w:jc w:val="both"/>
        <w:divId w:val="915090885"/>
        <w:rPr>
          <w:rFonts w:eastAsia="Times New Roman"/>
        </w:rPr>
      </w:pPr>
      <w:r>
        <w:rPr>
          <w:rFonts w:eastAsia="Times New Roman"/>
          <w:sz w:val="20"/>
          <w:szCs w:val="20"/>
        </w:rPr>
        <w:t>•</w:t>
      </w:r>
    </w:p>
    <w:p w:rsidR="00000000" w:rsidRDefault="00F83A7A">
      <w:pPr>
        <w:jc w:val="both"/>
        <w:divId w:val="863446864"/>
        <w:rPr>
          <w:rFonts w:eastAsia="Times New Roman"/>
        </w:rPr>
      </w:pPr>
      <w:r>
        <w:rPr>
          <w:rFonts w:eastAsia="Times New Roman"/>
          <w:sz w:val="20"/>
          <w:szCs w:val="20"/>
        </w:rPr>
        <w:t>timely and successfully completing preclinical and clinical development of our current and future drug candidates</w:t>
      </w:r>
      <w:r>
        <w:rPr>
          <w:rFonts w:eastAsia="Times New Roman"/>
          <w:sz w:val="20"/>
          <w:szCs w:val="20"/>
        </w:rPr>
        <w:t>;</w:t>
      </w:r>
    </w:p>
    <w:p w:rsidR="00000000" w:rsidRDefault="00F83A7A">
      <w:pPr>
        <w:jc w:val="both"/>
        <w:divId w:val="1897348739"/>
        <w:rPr>
          <w:rFonts w:eastAsia="Times New Roman"/>
        </w:rPr>
      </w:pPr>
      <w:r>
        <w:rPr>
          <w:rFonts w:eastAsia="Times New Roman"/>
          <w:sz w:val="20"/>
          <w:szCs w:val="20"/>
        </w:rPr>
        <w:t>•</w:t>
      </w:r>
    </w:p>
    <w:p w:rsidR="00000000" w:rsidRDefault="00F83A7A">
      <w:pPr>
        <w:jc w:val="both"/>
        <w:divId w:val="1745058154"/>
        <w:rPr>
          <w:rFonts w:eastAsia="Times New Roman"/>
        </w:rPr>
      </w:pPr>
      <w:r>
        <w:rPr>
          <w:rFonts w:eastAsia="Times New Roman"/>
          <w:sz w:val="20"/>
          <w:szCs w:val="20"/>
        </w:rPr>
        <w:t>obtaining regulatory approvals for our current and future drug candidates for which we successfully complete clinical trials</w:t>
      </w:r>
      <w:r>
        <w:rPr>
          <w:rFonts w:eastAsia="Times New Roman"/>
          <w:sz w:val="20"/>
          <w:szCs w:val="20"/>
        </w:rPr>
        <w:t>;</w:t>
      </w:r>
    </w:p>
    <w:p w:rsidR="00000000" w:rsidRDefault="00F83A7A">
      <w:pPr>
        <w:jc w:val="both"/>
        <w:divId w:val="927427123"/>
        <w:rPr>
          <w:rFonts w:eastAsia="Times New Roman"/>
        </w:rPr>
      </w:pPr>
      <w:r>
        <w:rPr>
          <w:rFonts w:eastAsia="Times New Roman"/>
          <w:sz w:val="20"/>
          <w:szCs w:val="20"/>
        </w:rPr>
        <w:t>•</w:t>
      </w:r>
    </w:p>
    <w:p w:rsidR="00000000" w:rsidRDefault="00F83A7A">
      <w:pPr>
        <w:jc w:val="both"/>
        <w:divId w:val="853105435"/>
        <w:rPr>
          <w:rFonts w:eastAsia="Times New Roman"/>
        </w:rPr>
      </w:pPr>
      <w:r>
        <w:rPr>
          <w:rFonts w:eastAsia="Times New Roman"/>
          <w:sz w:val="20"/>
          <w:szCs w:val="20"/>
        </w:rPr>
        <w:t>launching a</w:t>
      </w:r>
      <w:r>
        <w:rPr>
          <w:rFonts w:eastAsia="Times New Roman"/>
          <w:sz w:val="20"/>
          <w:szCs w:val="20"/>
        </w:rPr>
        <w:t>nd commercializing any drug candidates for which we obtain regulatory approval by establishing a sales force, marketing and distribution infrastructure or, alternatively, collaborating with a commercialization partner</w:t>
      </w:r>
      <w:r>
        <w:rPr>
          <w:rFonts w:eastAsia="Times New Roman"/>
          <w:sz w:val="20"/>
          <w:szCs w:val="20"/>
        </w:rPr>
        <w:t>;</w:t>
      </w:r>
    </w:p>
    <w:p w:rsidR="00000000" w:rsidRDefault="00F83A7A">
      <w:pPr>
        <w:jc w:val="both"/>
        <w:divId w:val="715203457"/>
        <w:rPr>
          <w:rFonts w:eastAsia="Times New Roman"/>
        </w:rPr>
      </w:pPr>
      <w:r>
        <w:rPr>
          <w:rFonts w:eastAsia="Times New Roman"/>
          <w:sz w:val="20"/>
          <w:szCs w:val="20"/>
        </w:rPr>
        <w:t>•</w:t>
      </w:r>
    </w:p>
    <w:p w:rsidR="00000000" w:rsidRDefault="00F83A7A">
      <w:pPr>
        <w:jc w:val="both"/>
        <w:divId w:val="1519150435"/>
        <w:rPr>
          <w:rFonts w:eastAsia="Times New Roman"/>
        </w:rPr>
      </w:pPr>
      <w:r>
        <w:rPr>
          <w:rFonts w:eastAsia="Times New Roman"/>
          <w:sz w:val="20"/>
          <w:szCs w:val="20"/>
        </w:rPr>
        <w:t>qualifying for coverage and adequat</w:t>
      </w:r>
      <w:r>
        <w:rPr>
          <w:rFonts w:eastAsia="Times New Roman"/>
          <w:sz w:val="20"/>
          <w:szCs w:val="20"/>
        </w:rPr>
        <w:t>e reimbursement by government and third-party payors for any drug candidates for which we obtain regulatory approval, both in the United States and internationally</w:t>
      </w:r>
      <w:r>
        <w:rPr>
          <w:rFonts w:eastAsia="Times New Roman"/>
          <w:sz w:val="20"/>
          <w:szCs w:val="20"/>
        </w:rPr>
        <w:t>;</w:t>
      </w:r>
    </w:p>
    <w:p w:rsidR="00000000" w:rsidRDefault="00F83A7A">
      <w:pPr>
        <w:jc w:val="both"/>
        <w:divId w:val="477915497"/>
        <w:rPr>
          <w:rFonts w:eastAsia="Times New Roman"/>
        </w:rPr>
      </w:pPr>
      <w:r>
        <w:rPr>
          <w:rFonts w:eastAsia="Times New Roman"/>
          <w:sz w:val="20"/>
          <w:szCs w:val="20"/>
        </w:rPr>
        <w:t>•</w:t>
      </w:r>
    </w:p>
    <w:p w:rsidR="00000000" w:rsidRDefault="00F83A7A">
      <w:pPr>
        <w:jc w:val="both"/>
        <w:divId w:val="224995979"/>
        <w:rPr>
          <w:rFonts w:eastAsia="Times New Roman"/>
        </w:rPr>
      </w:pPr>
      <w:r>
        <w:rPr>
          <w:rFonts w:eastAsia="Times New Roman"/>
          <w:sz w:val="20"/>
          <w:szCs w:val="20"/>
        </w:rPr>
        <w:t>developing, validating and maintaining a commercially viable, sustainable, scalable, repr</w:t>
      </w:r>
      <w:r>
        <w:rPr>
          <w:rFonts w:eastAsia="Times New Roman"/>
          <w:sz w:val="20"/>
          <w:szCs w:val="20"/>
        </w:rPr>
        <w:t>oducible and transferable manufacturing process for our current and future drug candidates that is compliant with current good manufacturing practices (“cGMP”)</w:t>
      </w:r>
      <w:r>
        <w:rPr>
          <w:rFonts w:eastAsia="Times New Roman"/>
          <w:sz w:val="20"/>
          <w:szCs w:val="20"/>
        </w:rPr>
        <w:t>;</w:t>
      </w:r>
    </w:p>
    <w:p w:rsidR="00000000" w:rsidRDefault="00F83A7A">
      <w:pPr>
        <w:jc w:val="both"/>
        <w:divId w:val="1470704061"/>
        <w:rPr>
          <w:rFonts w:eastAsia="Times New Roman"/>
        </w:rPr>
      </w:pPr>
      <w:r>
        <w:rPr>
          <w:rFonts w:eastAsia="Times New Roman"/>
          <w:sz w:val="20"/>
          <w:szCs w:val="20"/>
        </w:rPr>
        <w:t>•</w:t>
      </w:r>
    </w:p>
    <w:p w:rsidR="00000000" w:rsidRDefault="00F83A7A">
      <w:pPr>
        <w:jc w:val="both"/>
        <w:divId w:val="148980589"/>
        <w:rPr>
          <w:rFonts w:eastAsia="Times New Roman"/>
        </w:rPr>
      </w:pPr>
      <w:r>
        <w:rPr>
          <w:rFonts w:eastAsia="Times New Roman"/>
          <w:sz w:val="20"/>
          <w:szCs w:val="20"/>
        </w:rPr>
        <w:t>establishing and maintaining supply and manufacturing relationships with third parties that c</w:t>
      </w:r>
      <w:r>
        <w:rPr>
          <w:rFonts w:eastAsia="Times New Roman"/>
          <w:sz w:val="20"/>
          <w:szCs w:val="20"/>
        </w:rPr>
        <w:t>an provide an adequate amount and quality of drugs and services to support clinical development, as well as the market demand for our current and future drug candidates, if approved</w:t>
      </w:r>
      <w:r>
        <w:rPr>
          <w:rFonts w:eastAsia="Times New Roman"/>
          <w:sz w:val="20"/>
          <w:szCs w:val="20"/>
        </w:rPr>
        <w:t>;</w:t>
      </w:r>
    </w:p>
    <w:p w:rsidR="00000000" w:rsidRDefault="00F83A7A">
      <w:pPr>
        <w:jc w:val="both"/>
        <w:divId w:val="2024504939"/>
        <w:rPr>
          <w:rFonts w:eastAsia="Times New Roman"/>
        </w:rPr>
      </w:pPr>
      <w:r>
        <w:rPr>
          <w:rFonts w:eastAsia="Times New Roman"/>
          <w:sz w:val="20"/>
          <w:szCs w:val="20"/>
        </w:rPr>
        <w:t>•</w:t>
      </w:r>
    </w:p>
    <w:p w:rsidR="00000000" w:rsidRDefault="00F83A7A">
      <w:pPr>
        <w:jc w:val="both"/>
        <w:divId w:val="1101343156"/>
        <w:rPr>
          <w:rFonts w:eastAsia="Times New Roman"/>
        </w:rPr>
      </w:pPr>
      <w:r>
        <w:rPr>
          <w:rFonts w:eastAsia="Times New Roman"/>
          <w:sz w:val="20"/>
          <w:szCs w:val="20"/>
        </w:rPr>
        <w:t>obtaining market acceptance, if and when approved, of our current or an</w:t>
      </w:r>
      <w:r>
        <w:rPr>
          <w:rFonts w:eastAsia="Times New Roman"/>
          <w:sz w:val="20"/>
          <w:szCs w:val="20"/>
        </w:rPr>
        <w:t>y future drug candidates as a viable treatment option by physicians, patients, third-party payors and others in the medical community</w:t>
      </w:r>
      <w:r>
        <w:rPr>
          <w:rFonts w:eastAsia="Times New Roman"/>
          <w:sz w:val="20"/>
          <w:szCs w:val="20"/>
        </w:rPr>
        <w:t>;</w:t>
      </w:r>
    </w:p>
    <w:p w:rsidR="00000000" w:rsidRDefault="00F83A7A">
      <w:pPr>
        <w:jc w:val="both"/>
        <w:divId w:val="2012416473"/>
        <w:rPr>
          <w:rFonts w:eastAsia="Times New Roman"/>
        </w:rPr>
      </w:pPr>
      <w:r>
        <w:rPr>
          <w:rFonts w:eastAsia="Times New Roman"/>
          <w:sz w:val="20"/>
          <w:szCs w:val="20"/>
        </w:rPr>
        <w:t>•</w:t>
      </w:r>
    </w:p>
    <w:p w:rsidR="00000000" w:rsidRDefault="00F83A7A">
      <w:pPr>
        <w:jc w:val="both"/>
        <w:divId w:val="1882742226"/>
        <w:rPr>
          <w:rFonts w:eastAsia="Times New Roman"/>
        </w:rPr>
      </w:pPr>
      <w:r>
        <w:rPr>
          <w:rFonts w:eastAsia="Times New Roman"/>
          <w:sz w:val="20"/>
          <w:szCs w:val="20"/>
        </w:rPr>
        <w:t>effectively addressing any competing technological and market developments</w:t>
      </w:r>
      <w:r>
        <w:rPr>
          <w:rFonts w:eastAsia="Times New Roman"/>
          <w:sz w:val="20"/>
          <w:szCs w:val="20"/>
        </w:rPr>
        <w:t>;</w:t>
      </w:r>
    </w:p>
    <w:p w:rsidR="00000000" w:rsidRDefault="00F83A7A">
      <w:pPr>
        <w:jc w:val="both"/>
        <w:divId w:val="1746300998"/>
        <w:rPr>
          <w:rFonts w:eastAsia="Times New Roman"/>
        </w:rPr>
      </w:pPr>
      <w:r>
        <w:rPr>
          <w:rFonts w:eastAsia="Times New Roman"/>
          <w:sz w:val="20"/>
          <w:szCs w:val="20"/>
        </w:rPr>
        <w:t>•</w:t>
      </w:r>
    </w:p>
    <w:p w:rsidR="00000000" w:rsidRDefault="00F83A7A">
      <w:pPr>
        <w:jc w:val="both"/>
        <w:divId w:val="1351637508"/>
        <w:rPr>
          <w:rFonts w:eastAsia="Times New Roman"/>
        </w:rPr>
      </w:pPr>
      <w:r>
        <w:rPr>
          <w:rFonts w:eastAsia="Times New Roman"/>
          <w:sz w:val="20"/>
          <w:szCs w:val="20"/>
        </w:rPr>
        <w:t>implementing additional internal systems and infrastructure, as needed</w:t>
      </w:r>
      <w:r>
        <w:rPr>
          <w:rFonts w:eastAsia="Times New Roman"/>
          <w:sz w:val="20"/>
          <w:szCs w:val="20"/>
        </w:rPr>
        <w:t>;</w:t>
      </w:r>
    </w:p>
    <w:p w:rsidR="00000000" w:rsidRDefault="00F83A7A">
      <w:pPr>
        <w:jc w:val="both"/>
        <w:divId w:val="299649024"/>
        <w:rPr>
          <w:rFonts w:eastAsia="Times New Roman"/>
        </w:rPr>
      </w:pPr>
      <w:r>
        <w:rPr>
          <w:rFonts w:eastAsia="Times New Roman"/>
          <w:sz w:val="20"/>
          <w:szCs w:val="20"/>
        </w:rPr>
        <w:t>•</w:t>
      </w:r>
    </w:p>
    <w:p w:rsidR="00000000" w:rsidRDefault="00F83A7A">
      <w:pPr>
        <w:jc w:val="both"/>
        <w:divId w:val="1473401071"/>
        <w:rPr>
          <w:rFonts w:eastAsia="Times New Roman"/>
        </w:rPr>
      </w:pPr>
      <w:r>
        <w:rPr>
          <w:rFonts w:eastAsia="Times New Roman"/>
          <w:sz w:val="20"/>
          <w:szCs w:val="20"/>
        </w:rPr>
        <w:t>negotiating favorable terms in any collaboration, licensing or other arrangements into which we may enter and performing our obligations pursuant to such arrangements</w:t>
      </w:r>
      <w:r>
        <w:rPr>
          <w:rFonts w:eastAsia="Times New Roman"/>
          <w:sz w:val="20"/>
          <w:szCs w:val="20"/>
        </w:rPr>
        <w:t>;</w:t>
      </w:r>
    </w:p>
    <w:p w:rsidR="00000000" w:rsidRDefault="00F83A7A">
      <w:pPr>
        <w:jc w:val="both"/>
        <w:divId w:val="2121606255"/>
        <w:rPr>
          <w:rFonts w:eastAsia="Times New Roman"/>
        </w:rPr>
      </w:pPr>
      <w:r>
        <w:rPr>
          <w:rFonts w:eastAsia="Times New Roman"/>
          <w:sz w:val="20"/>
          <w:szCs w:val="20"/>
        </w:rPr>
        <w:t>•</w:t>
      </w:r>
    </w:p>
    <w:p w:rsidR="00000000" w:rsidRDefault="00F83A7A">
      <w:pPr>
        <w:jc w:val="both"/>
        <w:divId w:val="1108820069"/>
        <w:rPr>
          <w:rFonts w:eastAsia="Times New Roman"/>
        </w:rPr>
      </w:pPr>
      <w:r>
        <w:rPr>
          <w:rFonts w:eastAsia="Times New Roman"/>
          <w:sz w:val="20"/>
          <w:szCs w:val="20"/>
        </w:rPr>
        <w:t>obtaining an</w:t>
      </w:r>
      <w:r>
        <w:rPr>
          <w:rFonts w:eastAsia="Times New Roman"/>
          <w:sz w:val="20"/>
          <w:szCs w:val="20"/>
        </w:rPr>
        <w:t>d maintaining orphan drug exclusivity for any of our current and future drug candidates for which we obtain regulatory approval</w:t>
      </w:r>
      <w:r>
        <w:rPr>
          <w:rFonts w:eastAsia="Times New Roman"/>
          <w:sz w:val="20"/>
          <w:szCs w:val="20"/>
        </w:rPr>
        <w:t>;</w:t>
      </w:r>
    </w:p>
    <w:p w:rsidR="00000000" w:rsidRDefault="00F83A7A">
      <w:pPr>
        <w:jc w:val="both"/>
        <w:divId w:val="1553541937"/>
        <w:rPr>
          <w:rFonts w:eastAsia="Times New Roman"/>
        </w:rPr>
      </w:pPr>
      <w:r>
        <w:rPr>
          <w:rFonts w:eastAsia="Times New Roman"/>
          <w:sz w:val="20"/>
          <w:szCs w:val="20"/>
        </w:rPr>
        <w:t>•</w:t>
      </w:r>
    </w:p>
    <w:p w:rsidR="00000000" w:rsidRDefault="00F83A7A">
      <w:pPr>
        <w:jc w:val="both"/>
        <w:divId w:val="1514302450"/>
        <w:rPr>
          <w:rFonts w:eastAsia="Times New Roman"/>
        </w:rPr>
      </w:pPr>
      <w:r>
        <w:rPr>
          <w:rFonts w:eastAsia="Times New Roman"/>
          <w:sz w:val="20"/>
          <w:szCs w:val="20"/>
        </w:rPr>
        <w:t>maintaining, protecting and expanding our portfolio of intellectual property rights, including patents, trade secrets and kno</w:t>
      </w:r>
      <w:r>
        <w:rPr>
          <w:rFonts w:eastAsia="Times New Roman"/>
          <w:sz w:val="20"/>
          <w:szCs w:val="20"/>
        </w:rPr>
        <w:t>w-how</w:t>
      </w:r>
      <w:r>
        <w:rPr>
          <w:rFonts w:eastAsia="Times New Roman"/>
          <w:sz w:val="20"/>
          <w:szCs w:val="20"/>
        </w:rPr>
        <w:t>;</w:t>
      </w:r>
    </w:p>
    <w:p w:rsidR="00000000" w:rsidRDefault="00F83A7A">
      <w:pPr>
        <w:jc w:val="both"/>
        <w:divId w:val="1279871527"/>
        <w:rPr>
          <w:rFonts w:eastAsia="Times New Roman"/>
        </w:rPr>
      </w:pPr>
      <w:r>
        <w:rPr>
          <w:rFonts w:eastAsia="Times New Roman"/>
          <w:sz w:val="20"/>
          <w:szCs w:val="20"/>
        </w:rPr>
        <w:t>•</w:t>
      </w:r>
    </w:p>
    <w:p w:rsidR="00000000" w:rsidRDefault="00F83A7A">
      <w:pPr>
        <w:jc w:val="both"/>
        <w:divId w:val="2062902264"/>
        <w:rPr>
          <w:rFonts w:eastAsia="Times New Roman"/>
        </w:rPr>
      </w:pPr>
      <w:r>
        <w:rPr>
          <w:rFonts w:eastAsia="Times New Roman"/>
          <w:sz w:val="20"/>
          <w:szCs w:val="20"/>
        </w:rPr>
        <w:t>avoiding and defending against third-party interference or infringement claims; an</w:t>
      </w:r>
      <w:r>
        <w:rPr>
          <w:rFonts w:eastAsia="Times New Roman"/>
          <w:sz w:val="20"/>
          <w:szCs w:val="20"/>
        </w:rPr>
        <w:t>d</w:t>
      </w:r>
    </w:p>
    <w:p w:rsidR="00000000" w:rsidRDefault="00F83A7A">
      <w:pPr>
        <w:jc w:val="both"/>
        <w:divId w:val="864754591"/>
        <w:rPr>
          <w:rFonts w:eastAsia="Times New Roman"/>
        </w:rPr>
      </w:pPr>
      <w:r>
        <w:rPr>
          <w:rFonts w:eastAsia="Times New Roman"/>
          <w:sz w:val="20"/>
          <w:szCs w:val="20"/>
        </w:rPr>
        <w:t>•</w:t>
      </w:r>
    </w:p>
    <w:p w:rsidR="00000000" w:rsidRDefault="00F83A7A">
      <w:pPr>
        <w:jc w:val="both"/>
        <w:divId w:val="1747801866"/>
        <w:rPr>
          <w:rFonts w:eastAsia="Times New Roman"/>
        </w:rPr>
      </w:pPr>
      <w:r>
        <w:rPr>
          <w:rFonts w:eastAsia="Times New Roman"/>
          <w:sz w:val="20"/>
          <w:szCs w:val="20"/>
        </w:rPr>
        <w:t>securing appropriate pricing in the United States, the European Union and other countries</w:t>
      </w:r>
      <w:r>
        <w:rPr>
          <w:rFonts w:eastAsia="Times New Roman"/>
          <w:sz w:val="20"/>
          <w:szCs w:val="20"/>
        </w:rPr>
        <w:t>.</w:t>
      </w:r>
    </w:p>
    <w:p w:rsidR="00000000" w:rsidRDefault="00F83A7A">
      <w:pPr>
        <w:pStyle w:val="a3"/>
        <w:spacing w:before="240" w:beforeAutospacing="0" w:after="0" w:afterAutospacing="0"/>
        <w:ind w:firstLine="555"/>
        <w:rPr>
          <w:sz w:val="20"/>
          <w:szCs w:val="20"/>
        </w:rPr>
      </w:pPr>
      <w:r>
        <w:rPr>
          <w:sz w:val="20"/>
          <w:szCs w:val="20"/>
        </w:rPr>
        <w:t>If we are not successful with respect to one or more of these factors in a timely manner or at all, we could experience significant delays or an inability to success</w:t>
      </w:r>
      <w:r>
        <w:rPr>
          <w:sz w:val="20"/>
          <w:szCs w:val="20"/>
        </w:rPr>
        <w:t>fully commercialize the drug candidates we develop, which would materially harm our business. If we do not receive marketing approvals for any drug candidate we develop, we may not be able to continue our operations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 xml:space="preserve">Our future success is dependent on the </w:t>
      </w:r>
      <w:r>
        <w:rPr>
          <w:b/>
          <w:bCs/>
          <w:i/>
          <w:iCs/>
          <w:sz w:val="20"/>
          <w:szCs w:val="20"/>
        </w:rPr>
        <w:t>successful clinical development, regulatory approval and commercialization of our current and future drug candidates. If we, or our licensees, are not able to obtain the required regulatory approvals, we, or our licensees, will not be able to commercialize</w:t>
      </w:r>
      <w:r>
        <w:rPr>
          <w:b/>
          <w:bCs/>
          <w:i/>
          <w:iCs/>
          <w:sz w:val="20"/>
          <w:szCs w:val="20"/>
        </w:rPr>
        <w:t xml:space="preserve"> our drug candidates, and our ability to generate revenue will be adversely affected</w:t>
      </w:r>
      <w:r>
        <w:rPr>
          <w:b/>
          <w:bCs/>
          <w:i/>
          <w:iCs/>
          <w:sz w:val="20"/>
          <w:szCs w:val="20"/>
        </w:rPr>
        <w:t>.</w:t>
      </w:r>
    </w:p>
    <w:p w:rsidR="00000000" w:rsidRDefault="00F83A7A">
      <w:pPr>
        <w:pStyle w:val="a3"/>
        <w:spacing w:before="240" w:beforeAutospacing="0" w:after="0" w:afterAutospacing="0"/>
        <w:ind w:firstLine="555"/>
        <w:jc w:val="both"/>
        <w:rPr>
          <w:sz w:val="20"/>
          <w:szCs w:val="20"/>
        </w:rPr>
      </w:pPr>
      <w:r>
        <w:rPr>
          <w:sz w:val="20"/>
          <w:szCs w:val="20"/>
        </w:rPr>
        <w:t>We do not have any drugs that have received regulatory approval. Our business is dependent on our ability to successfully complete preclinical and clinical development of</w:t>
      </w:r>
      <w:r>
        <w:rPr>
          <w:sz w:val="20"/>
          <w:szCs w:val="20"/>
        </w:rPr>
        <w:t>, obtain regulatory approval for, and, if approved, successfully commercialize our current and future drug candidates in a timely manner. Activities associated with the development and commercialization of our current and future drug candidates are subject</w:t>
      </w:r>
      <w:r>
        <w:rPr>
          <w:sz w:val="20"/>
          <w:szCs w:val="20"/>
        </w:rPr>
        <w:t xml:space="preserve"> to comprehensive regulation by the FDA and other regulatory agencies in the United States and similar regulatory authorities outside the United States. Failure to obtain regulatory approval in the United States or other jurisdictions would prevent us from</w:t>
      </w:r>
      <w:r>
        <w:rPr>
          <w:sz w:val="20"/>
          <w:szCs w:val="20"/>
        </w:rPr>
        <w:t xml:space="preserve"> commercializing and marketing our current and future drug candidates. An inability to effectively develop and commercialize our current and future drug candidates, whether due to the impacts of the ongoing COVID-19 pandemic or otherwise, could have an adv</w:t>
      </w:r>
      <w:r>
        <w:rPr>
          <w:sz w:val="20"/>
          <w:szCs w:val="20"/>
        </w:rPr>
        <w:t>erse effect on our business, financial condition, results of operations and growth prospects</w:t>
      </w:r>
      <w:r>
        <w:rPr>
          <w:sz w:val="20"/>
          <w:szCs w:val="20"/>
        </w:rPr>
        <w:t>.</w:t>
      </w:r>
    </w:p>
    <w:p w:rsidR="00000000" w:rsidRDefault="00F83A7A">
      <w:pPr>
        <w:pStyle w:val="a3"/>
        <w:spacing w:before="240" w:beforeAutospacing="0" w:after="0" w:afterAutospacing="0"/>
        <w:ind w:firstLine="555"/>
        <w:jc w:val="both"/>
        <w:rPr>
          <w:sz w:val="20"/>
          <w:szCs w:val="20"/>
        </w:rPr>
      </w:pPr>
      <w:r>
        <w:rPr>
          <w:sz w:val="20"/>
          <w:szCs w:val="20"/>
        </w:rPr>
        <w:t>TAK-935, the most advanced compound we helped to develop, is continuing to be developed by Takeda and is currently in a pivotal trial program. If the pivotal tria</w:t>
      </w:r>
      <w:r>
        <w:rPr>
          <w:sz w:val="20"/>
          <w:szCs w:val="20"/>
        </w:rPr>
        <w:t>ls are unsuccessful, or the compound is not approved, we will not receive the milestone payments and royalties from the Takeda License and Termination Agreement. Without those funds, we may need to raise significant additional capital to pursue the develop</w:t>
      </w:r>
      <w:r>
        <w:rPr>
          <w:sz w:val="20"/>
          <w:szCs w:val="20"/>
        </w:rPr>
        <w:t>ment and commercialization of our current and future pipeline</w:t>
      </w:r>
      <w:r>
        <w:rPr>
          <w:sz w:val="20"/>
          <w:szCs w:val="20"/>
        </w:rPr>
        <w:t>.</w:t>
      </w:r>
    </w:p>
    <w:p w:rsidR="00000000" w:rsidRDefault="00F83A7A">
      <w:pPr>
        <w:pStyle w:val="a3"/>
        <w:spacing w:before="240" w:beforeAutospacing="0" w:after="0" w:afterAutospacing="0"/>
        <w:ind w:firstLine="555"/>
        <w:jc w:val="both"/>
        <w:rPr>
          <w:sz w:val="20"/>
          <w:szCs w:val="20"/>
        </w:rPr>
      </w:pPr>
      <w:r>
        <w:rPr>
          <w:sz w:val="20"/>
          <w:szCs w:val="20"/>
        </w:rPr>
        <w:t>Further, activities associated with the development and commercialization of our current and future drug candidates are subject to comprehensive regulation by the FDA and other regulatory agenc</w:t>
      </w:r>
      <w:r>
        <w:rPr>
          <w:sz w:val="20"/>
          <w:szCs w:val="20"/>
        </w:rPr>
        <w:t>ies in the United States and similar regulatory authorities outsid</w:t>
      </w:r>
      <w:r>
        <w:rPr>
          <w:sz w:val="20"/>
          <w:szCs w:val="20"/>
        </w:rPr>
        <w:t>e</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2</w:t>
      </w:r>
      <w:r>
        <w:rPr>
          <w:sz w:val="20"/>
          <w:szCs w:val="20"/>
        </w:rPr>
        <w:t>2</w:t>
      </w:r>
    </w:p>
    <w:p w:rsidR="00000000" w:rsidRDefault="00F83A7A">
      <w:pPr>
        <w:rPr>
          <w:rFonts w:eastAsia="Times New Roman"/>
        </w:rPr>
      </w:pPr>
      <w:r>
        <w:rPr>
          <w:rFonts w:eastAsia="Times New Roman"/>
        </w:rPr>
        <w:pict>
          <v:rect id="_x0000_i1049"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jc w:val="both"/>
        <w:rPr>
          <w:sz w:val="20"/>
          <w:szCs w:val="20"/>
        </w:rPr>
      </w:pPr>
      <w:r>
        <w:rPr>
          <w:sz w:val="20"/>
          <w:szCs w:val="20"/>
        </w:rPr>
        <w:t>the United States. Failure to obtain regulatory approval in the United States or other jurisdictions would prevent us from commercializing and mar</w:t>
      </w:r>
      <w:r>
        <w:rPr>
          <w:sz w:val="20"/>
          <w:szCs w:val="20"/>
        </w:rPr>
        <w:t>keting our current and future drug candidates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Even if we obtain approval from the FDA and comparable foreign regulatory authorities for our current and future drug candidates, any approval might contain significant limitations related to use restrictions </w:t>
      </w:r>
      <w:r>
        <w:rPr>
          <w:sz w:val="20"/>
          <w:szCs w:val="20"/>
        </w:rPr>
        <w:t xml:space="preserve">for specified age groups, warnings, precautions or contraindications, or may be subject to burdensome post-approval study or risk management requirements. If we are unable to obtain regulatory approval, or any approval contains significant limitations, we </w:t>
      </w:r>
      <w:r>
        <w:rPr>
          <w:sz w:val="20"/>
          <w:szCs w:val="20"/>
        </w:rPr>
        <w:t>may not be able to obtain sufficient funding or generate sufficient revenue to continue the development of that drug candidate or any other drug candidate that we may in-license, develop or acquire in the future. In certain circumstances, our third-party l</w:t>
      </w:r>
      <w:r>
        <w:rPr>
          <w:sz w:val="20"/>
          <w:szCs w:val="20"/>
        </w:rPr>
        <w:t>icensees are responsible for obtaining regulatory approvals in the countries covered by the license, and we are dependent on their efforts in order to achieve the necessary approvals in order to commercialize our products. If any future licensees fail to p</w:t>
      </w:r>
      <w:r>
        <w:rPr>
          <w:sz w:val="20"/>
          <w:szCs w:val="20"/>
        </w:rPr>
        <w:t>erform their obligations to develop and obtain regulatory approvals for the licensed products, we may not be able to commercialize our products in the affected countries, or our ability to do so may be substantially delayed</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Furthermore, even if we obtain </w:t>
      </w:r>
      <w:r>
        <w:rPr>
          <w:sz w:val="20"/>
          <w:szCs w:val="20"/>
        </w:rPr>
        <w:t>regulatory approval for our current and future drug candidates, we will still need to develop a commercial organization, establish a commercially viable pricing structure and obtain approval for adequate reimbursement from third-party and government payors</w:t>
      </w:r>
      <w:r>
        <w:rPr>
          <w:sz w:val="20"/>
          <w:szCs w:val="20"/>
        </w:rPr>
        <w:t>. If we are unable to successfully commercialize our current and future drug candidates, we may not be able to generate sufficient revenue to continue our business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Because the results of preclinical studies or earlier clinical trials are not necessarily p</w:t>
      </w:r>
      <w:r>
        <w:rPr>
          <w:b/>
          <w:bCs/>
          <w:i/>
          <w:iCs/>
          <w:sz w:val="20"/>
          <w:szCs w:val="20"/>
        </w:rPr>
        <w:t>redictive of future results, our drug candidates may not have favorable results in planned or future preclinical studies or clinical trials, or may not receive regulatory approval</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Success in preclinical testing and early clinical trials does not ensure th</w:t>
      </w:r>
      <w:r>
        <w:rPr>
          <w:sz w:val="20"/>
          <w:szCs w:val="20"/>
        </w:rPr>
        <w:t>at subsequent clinical trials will generate similar results or otherwise provide adequate data to demonstrate the efficacy and safety of a drug candidate. Frequently, drug candidates that have shown promising results in early clinical trials have subsequen</w:t>
      </w:r>
      <w:r>
        <w:rPr>
          <w:sz w:val="20"/>
          <w:szCs w:val="20"/>
        </w:rPr>
        <w:t>tly suffered significant setbacks in later clinical trials. For instance, our NEPTUNE trial of OV101, one of our former drug candidates, did not meet its primary endpoints despite earlier encouraging results from our phase 2 trial STARS, the first clinical</w:t>
      </w:r>
      <w:r>
        <w:rPr>
          <w:sz w:val="20"/>
          <w:szCs w:val="20"/>
        </w:rPr>
        <w:t xml:space="preserve"> trial evaluating efficacy of OV101 in patients with Angelman syndrome. We closed our OV101 program in Angelman syndrome in early 2021. The results from preclinical studies of our current and future drug candidates may not be predictive of the effects of t</w:t>
      </w:r>
      <w:r>
        <w:rPr>
          <w:sz w:val="20"/>
          <w:szCs w:val="20"/>
        </w:rPr>
        <w:t xml:space="preserve">hese compounds in later stage clinical trials. If we do not observe favorable results in clinical trials of one of our drug candidates, we may decide to delay or abandon clinical development of that drug candidate. Any such delay or abandonment could harm </w:t>
      </w:r>
      <w:r>
        <w:rPr>
          <w:sz w:val="20"/>
          <w:szCs w:val="20"/>
        </w:rPr>
        <w:t>our business, financial condition, results of operations and prospects</w:t>
      </w:r>
      <w:r>
        <w:rPr>
          <w:sz w:val="20"/>
          <w:szCs w:val="20"/>
        </w:rPr>
        <w:t>.</w:t>
      </w:r>
      <w:r>
        <w:rPr>
          <w:b/>
          <w:bCs/>
          <w:i/>
          <w:iCs/>
          <w:sz w:val="20"/>
          <w:szCs w:val="20"/>
        </w:rPr>
        <w:t xml:space="preserve"> </w:t>
      </w:r>
    </w:p>
    <w:p w:rsidR="00000000" w:rsidRDefault="00F83A7A">
      <w:pPr>
        <w:pStyle w:val="a3"/>
        <w:spacing w:before="200" w:beforeAutospacing="0" w:after="0" w:afterAutospacing="0"/>
        <w:jc w:val="both"/>
        <w:rPr>
          <w:sz w:val="20"/>
          <w:szCs w:val="20"/>
        </w:rPr>
      </w:pPr>
      <w:r>
        <w:rPr>
          <w:b/>
          <w:bCs/>
          <w:i/>
          <w:iCs/>
          <w:sz w:val="20"/>
          <w:szCs w:val="20"/>
        </w:rPr>
        <w:t>It is difficult to predict the time and cost of product candidate development and subsequently obtaining regulatory approval for our gene therapy candidates</w:t>
      </w:r>
      <w:r>
        <w:rPr>
          <w:b/>
          <w:bCs/>
          <w:i/>
          <w:iCs/>
          <w:sz w:val="20"/>
          <w:szCs w:val="20"/>
        </w:rPr>
        <w:t>.</w:t>
      </w:r>
    </w:p>
    <w:p w:rsidR="00000000" w:rsidRDefault="00F83A7A">
      <w:pPr>
        <w:pStyle w:val="a3"/>
        <w:spacing w:before="240" w:beforeAutospacing="0" w:after="0" w:afterAutospacing="0"/>
        <w:ind w:firstLine="555"/>
        <w:jc w:val="both"/>
        <w:rPr>
          <w:sz w:val="20"/>
          <w:szCs w:val="20"/>
        </w:rPr>
      </w:pPr>
      <w:r>
        <w:rPr>
          <w:sz w:val="20"/>
          <w:szCs w:val="20"/>
        </w:rPr>
        <w:t>Our future success depend</w:t>
      </w:r>
      <w:r>
        <w:rPr>
          <w:sz w:val="20"/>
          <w:szCs w:val="20"/>
        </w:rPr>
        <w:t>s in part on the successful development of our early-stage gene therapy product candidates. We may experience delays in developing a sustainable, reproducible, and scalable manufacturing process or transferring that process to internal and external commerc</w:t>
      </w:r>
      <w:r>
        <w:rPr>
          <w:sz w:val="20"/>
          <w:szCs w:val="20"/>
        </w:rPr>
        <w:t>ial manufacturing sites, which may prevent us from initiating or completing our clinical trials or commercializing our product candidates on a timely or profitable basis, if at all</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The regulatory approval process for novel gene therapy products such as ou</w:t>
      </w:r>
      <w:r>
        <w:rPr>
          <w:sz w:val="20"/>
          <w:szCs w:val="20"/>
        </w:rPr>
        <w:t>rs can be more expensive and take longer than for other product types, which are better known or more extensively studied to date. Regulatory approaches and requirements for gene therapy products continue to evolve, and any changes could create significant</w:t>
      </w:r>
      <w:r>
        <w:rPr>
          <w:sz w:val="20"/>
          <w:szCs w:val="20"/>
        </w:rPr>
        <w:t xml:space="preserve"> delay and unpredictability for product development and approval as compared to technologies with which regulatory authorities have more substantial experience</w:t>
      </w:r>
      <w:r>
        <w:rPr>
          <w:sz w:val="20"/>
          <w:szCs w:val="20"/>
        </w:rPr>
        <w:t>.</w:t>
      </w:r>
      <w:r>
        <w:rPr>
          <w:sz w:val="20"/>
          <w:szCs w:val="20"/>
        </w:rPr>
        <w:t xml:space="preserve"> </w:t>
      </w:r>
    </w:p>
    <w:p w:rsidR="00000000" w:rsidRDefault="00F83A7A">
      <w:pPr>
        <w:pStyle w:val="a3"/>
        <w:spacing w:before="240" w:beforeAutospacing="0" w:after="0" w:afterAutospacing="0"/>
        <w:ind w:firstLine="620"/>
        <w:jc w:val="both"/>
        <w:rPr>
          <w:sz w:val="20"/>
          <w:szCs w:val="20"/>
        </w:rPr>
      </w:pPr>
      <w:r>
        <w:rPr>
          <w:sz w:val="20"/>
          <w:szCs w:val="20"/>
        </w:rPr>
        <w:t>Also, before a clinical trial can begin to enroll at a site, each clinical site's Institutional Review Board (“IRB”) and its Institutional Biosafety Committee will have to review the proposed clinical trial to assess appropriateness to conduct the clinical</w:t>
      </w:r>
      <w:r>
        <w:rPr>
          <w:sz w:val="20"/>
          <w:szCs w:val="20"/>
        </w:rPr>
        <w:t xml:space="preserve"> trial at that site. In addition, adverse events in clinical trials of gene therapy products conducted by others may cause the FDA or other regulatory authorities outside the U.S. to change the requirements for human research on or for approval of any of o</w:t>
      </w:r>
      <w:r>
        <w:rPr>
          <w:sz w:val="20"/>
          <w:szCs w:val="20"/>
        </w:rPr>
        <w:t>ur product candidates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Negative public opinion and increased regulatory scrutiny of gene therapy and genetic research may damage public perception of our product candidates or adversely affect our ability to conduct our business or obtain marketing approva</w:t>
      </w:r>
      <w:r>
        <w:rPr>
          <w:b/>
          <w:bCs/>
          <w:i/>
          <w:iCs/>
          <w:sz w:val="20"/>
          <w:szCs w:val="20"/>
        </w:rPr>
        <w:t>ls for our product candidates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Public perception may be influenced by claims that gene therapy is unsafe, and gene therapy may not gain the acceptance of the public or the medical community. More restrictive government regulations or negative public opinio</w:t>
      </w:r>
      <w:r>
        <w:rPr>
          <w:sz w:val="20"/>
          <w:szCs w:val="20"/>
        </w:rPr>
        <w:t>n would have a negative effect on our business or financial condition and may delay or impair the development and commercialization of our product candidates or demand for any products we may develop. Trials using early versions of retroviral vectors, whic</w:t>
      </w:r>
      <w:r>
        <w:rPr>
          <w:sz w:val="20"/>
          <w:szCs w:val="20"/>
        </w:rPr>
        <w:t>h integrate into, and thereby alter, the host cell’s DNA, have led to several well-publicized adverse events. The risk of serious adverse events remains a concern for gene therapy and w</w:t>
      </w:r>
      <w:r>
        <w:rPr>
          <w:sz w:val="20"/>
          <w:szCs w:val="20"/>
        </w:rPr>
        <w:t>e</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2</w:t>
      </w:r>
      <w:r>
        <w:rPr>
          <w:sz w:val="20"/>
          <w:szCs w:val="20"/>
        </w:rPr>
        <w:t>3</w:t>
      </w:r>
    </w:p>
    <w:p w:rsidR="00000000" w:rsidRDefault="00F83A7A">
      <w:pPr>
        <w:rPr>
          <w:rFonts w:eastAsia="Times New Roman"/>
        </w:rPr>
      </w:pPr>
      <w:r>
        <w:rPr>
          <w:rFonts w:eastAsia="Times New Roman"/>
        </w:rPr>
        <w:pict>
          <v:rect id="_x0000_i1050"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jc w:val="both"/>
        <w:rPr>
          <w:sz w:val="20"/>
          <w:szCs w:val="20"/>
        </w:rPr>
      </w:pPr>
      <w:r>
        <w:rPr>
          <w:sz w:val="20"/>
          <w:szCs w:val="20"/>
        </w:rPr>
        <w:t>cannot assure that it will</w:t>
      </w:r>
      <w:r>
        <w:rPr>
          <w:sz w:val="20"/>
          <w:szCs w:val="20"/>
        </w:rPr>
        <w:t xml:space="preserve"> not occur in any of our future clinical trials. In addition, there is the potential risk of delayed adverse events following exposure to gene therapy products due to persistent biological activity of the genetic material or other components of products us</w:t>
      </w:r>
      <w:r>
        <w:rPr>
          <w:sz w:val="20"/>
          <w:szCs w:val="20"/>
        </w:rPr>
        <w:t>ed to carry the genetic material</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Adverse events in trials or studies conducted by us or other parties, even if not ultimately attributable to our product candidates, and resulting publicity, could result in increased governmental regulation, unfavorable p</w:t>
      </w:r>
      <w:r>
        <w:rPr>
          <w:sz w:val="20"/>
          <w:szCs w:val="20"/>
        </w:rPr>
        <w:t>ublic perception, potential regulatory delays in the testing or approval of our product candidates, stricter labeling requirements for those product candidates that are approved and a decrease in demand for any such product candidates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 xml:space="preserve">Interim topline and </w:t>
      </w:r>
      <w:r>
        <w:rPr>
          <w:b/>
          <w:bCs/>
          <w:i/>
          <w:iCs/>
          <w:sz w:val="20"/>
          <w:szCs w:val="20"/>
        </w:rPr>
        <w:t>preliminary results from our clinical trials that we announce or publish from time to time may change as more patient data become available and are subject to audit and verification procedures, which could result in material changes in the final data</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From</w:t>
      </w:r>
      <w:r>
        <w:rPr>
          <w:sz w:val="20"/>
          <w:szCs w:val="20"/>
        </w:rPr>
        <w:t xml:space="preserve"> time to time, we have and may in the future publish or report preliminary or interim data from our clinical trials. Preliminary or interim data from our clinical trials and those of our partners may not be indicative of the final results of the trial and </w:t>
      </w:r>
      <w:r>
        <w:rPr>
          <w:sz w:val="20"/>
          <w:szCs w:val="20"/>
        </w:rPr>
        <w:t xml:space="preserve">are subject to the risk that one or more of the clinical outcomes may materially change as patient enrollment continues and/or more patient data become available. Preliminary or topline results also remain subject to audit and verification procedures that </w:t>
      </w:r>
      <w:r>
        <w:rPr>
          <w:sz w:val="20"/>
          <w:szCs w:val="20"/>
        </w:rPr>
        <w:t>may result in the final data being materially different from the preliminary data we previously published or reported. As a result, preliminary or interim data should be considered carefully and with caution until final data are available. Differences betw</w:t>
      </w:r>
      <w:r>
        <w:rPr>
          <w:sz w:val="20"/>
          <w:szCs w:val="20"/>
        </w:rPr>
        <w:t>een preliminary or interim data and final data could significantly harm our business prospects and may cause the trading price of our common stock to fluctuate significantly</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Preclinical studies and clinical trials are very expensive, time-consuming and di</w:t>
      </w:r>
      <w:r>
        <w:rPr>
          <w:b/>
          <w:bCs/>
          <w:i/>
          <w:iCs/>
          <w:sz w:val="20"/>
          <w:szCs w:val="20"/>
        </w:rPr>
        <w:t>fficult to design and implement and involve uncertain outcomes. Further, we may encounter substantial delays in our clinical trials or we may fail to demonstrate safety and efficacy in our preclinical studies and clinical trials to the satisfaction of appl</w:t>
      </w:r>
      <w:r>
        <w:rPr>
          <w:b/>
          <w:bCs/>
          <w:i/>
          <w:iCs/>
          <w:sz w:val="20"/>
          <w:szCs w:val="20"/>
        </w:rPr>
        <w:t>icable regulatory authorities</w:t>
      </w:r>
      <w:r>
        <w:rPr>
          <w:b/>
          <w:bCs/>
          <w:i/>
          <w:iCs/>
          <w:sz w:val="20"/>
          <w:szCs w:val="20"/>
        </w:rPr>
        <w:t>.</w:t>
      </w:r>
    </w:p>
    <w:p w:rsidR="00000000" w:rsidRDefault="00F83A7A">
      <w:pPr>
        <w:pStyle w:val="a3"/>
        <w:spacing w:before="240" w:beforeAutospacing="0" w:after="0" w:afterAutospacing="0"/>
        <w:ind w:firstLine="555"/>
        <w:jc w:val="both"/>
        <w:rPr>
          <w:sz w:val="20"/>
          <w:szCs w:val="20"/>
        </w:rPr>
      </w:pPr>
      <w:r>
        <w:rPr>
          <w:sz w:val="20"/>
          <w:szCs w:val="20"/>
        </w:rPr>
        <w:t>All of our current drug candidates are in preclinical development and their risk of failure is high. We must demonstrate through lengthy, complex and expensive preclinical testing and clinical trials that each of our drug can</w:t>
      </w:r>
      <w:r>
        <w:rPr>
          <w:sz w:val="20"/>
          <w:szCs w:val="20"/>
        </w:rPr>
        <w:t>didates are safe and effective for its intended indications before we are prepared to submit a new drug application (“NDA”) or Biologics License Application (“BLA”) for regulatory approval. We cannot predict with any certainty if or when we might submit an</w:t>
      </w:r>
      <w:r>
        <w:rPr>
          <w:sz w:val="20"/>
          <w:szCs w:val="20"/>
        </w:rPr>
        <w:t xml:space="preserve"> NDA or BLA for any of our product candidates or whether any such application will be approved by the FDA. Human clinical trials are very expensive and difficult to design and implement, in part because they are subject to rigorous review and regulatory re</w:t>
      </w:r>
      <w:r>
        <w:rPr>
          <w:sz w:val="20"/>
          <w:szCs w:val="20"/>
        </w:rPr>
        <w:t>quirements by numerous government authorities in the United States and in other countries where we intend to test and market our product candidates. For instance, the FDA may not agree with our proposed endpoints for any future clinical trial of our produc</w:t>
      </w:r>
      <w:r>
        <w:rPr>
          <w:sz w:val="20"/>
          <w:szCs w:val="20"/>
        </w:rPr>
        <w:t>t candidates, which may delay the commencement of such clinical trial</w:t>
      </w:r>
      <w:r>
        <w:rPr>
          <w:sz w:val="20"/>
          <w:szCs w:val="20"/>
        </w:rPr>
        <w:t>.</w:t>
      </w:r>
    </w:p>
    <w:p w:rsidR="00000000" w:rsidRDefault="00F83A7A">
      <w:pPr>
        <w:pStyle w:val="a3"/>
        <w:spacing w:before="240" w:beforeAutospacing="0" w:after="0" w:afterAutospacing="0"/>
        <w:ind w:firstLine="555"/>
        <w:jc w:val="both"/>
        <w:rPr>
          <w:sz w:val="20"/>
          <w:szCs w:val="20"/>
        </w:rPr>
      </w:pPr>
      <w:r>
        <w:rPr>
          <w:sz w:val="20"/>
          <w:szCs w:val="20"/>
        </w:rPr>
        <w:t>We estimate that the successful completion of clinical trials of our product candidates will take at least several years to complete, if not longer. We cannot guarantee that any clinica</w:t>
      </w:r>
      <w:r>
        <w:rPr>
          <w:sz w:val="20"/>
          <w:szCs w:val="20"/>
        </w:rPr>
        <w:t>l trials will be conducted as planned or completed on schedule, if at all. Furthermore, failure can occur at any stage and we could encounter problems that cause us to abandon or repeat clinical trials. Events that may prevent successful or timely completi</w:t>
      </w:r>
      <w:r>
        <w:rPr>
          <w:sz w:val="20"/>
          <w:szCs w:val="20"/>
        </w:rPr>
        <w:t>on of clinical development include</w:t>
      </w:r>
      <w:r>
        <w:rPr>
          <w:sz w:val="20"/>
          <w:szCs w:val="20"/>
        </w:rPr>
        <w:t>:</w:t>
      </w:r>
    </w:p>
    <w:p w:rsidR="00000000" w:rsidRDefault="00F83A7A">
      <w:pPr>
        <w:jc w:val="both"/>
        <w:divId w:val="1073701092"/>
        <w:rPr>
          <w:rFonts w:eastAsia="Times New Roman"/>
        </w:rPr>
      </w:pPr>
      <w:r>
        <w:rPr>
          <w:rFonts w:eastAsia="Times New Roman"/>
          <w:sz w:val="20"/>
          <w:szCs w:val="20"/>
        </w:rPr>
        <w:t>•</w:t>
      </w:r>
    </w:p>
    <w:p w:rsidR="00000000" w:rsidRDefault="00F83A7A">
      <w:pPr>
        <w:jc w:val="both"/>
        <w:divId w:val="741214607"/>
        <w:rPr>
          <w:rFonts w:eastAsia="Times New Roman"/>
        </w:rPr>
      </w:pPr>
      <w:r>
        <w:rPr>
          <w:rFonts w:eastAsia="Times New Roman"/>
          <w:sz w:val="20"/>
          <w:szCs w:val="20"/>
        </w:rPr>
        <w:t>our inability to generate sufficient preclinical, toxicology or other data to support the initiation of clinical trials</w:t>
      </w:r>
      <w:r>
        <w:rPr>
          <w:rFonts w:eastAsia="Times New Roman"/>
          <w:sz w:val="20"/>
          <w:szCs w:val="20"/>
        </w:rPr>
        <w:t>;</w:t>
      </w:r>
    </w:p>
    <w:p w:rsidR="00000000" w:rsidRDefault="00F83A7A">
      <w:pPr>
        <w:jc w:val="both"/>
        <w:divId w:val="1454054190"/>
        <w:rPr>
          <w:rFonts w:eastAsia="Times New Roman"/>
        </w:rPr>
      </w:pPr>
      <w:r>
        <w:rPr>
          <w:rFonts w:eastAsia="Times New Roman"/>
          <w:sz w:val="20"/>
          <w:szCs w:val="20"/>
        </w:rPr>
        <w:t>•</w:t>
      </w:r>
    </w:p>
    <w:p w:rsidR="00000000" w:rsidRDefault="00F83A7A">
      <w:pPr>
        <w:jc w:val="both"/>
        <w:divId w:val="1000547129"/>
        <w:rPr>
          <w:rFonts w:eastAsia="Times New Roman"/>
        </w:rPr>
      </w:pPr>
      <w:r>
        <w:rPr>
          <w:rFonts w:eastAsia="Times New Roman"/>
          <w:sz w:val="20"/>
          <w:szCs w:val="20"/>
        </w:rPr>
        <w:t>our inability to develop and validate disease-relevant clinical endpoints</w:t>
      </w:r>
      <w:r>
        <w:rPr>
          <w:rFonts w:eastAsia="Times New Roman"/>
          <w:sz w:val="20"/>
          <w:szCs w:val="20"/>
        </w:rPr>
        <w:t>;</w:t>
      </w:r>
    </w:p>
    <w:p w:rsidR="00000000" w:rsidRDefault="00F83A7A">
      <w:pPr>
        <w:jc w:val="both"/>
        <w:divId w:val="1748728314"/>
        <w:rPr>
          <w:rFonts w:eastAsia="Times New Roman"/>
        </w:rPr>
      </w:pPr>
      <w:r>
        <w:rPr>
          <w:rFonts w:eastAsia="Times New Roman"/>
          <w:sz w:val="20"/>
          <w:szCs w:val="20"/>
        </w:rPr>
        <w:t>•</w:t>
      </w:r>
    </w:p>
    <w:p w:rsidR="00000000" w:rsidRDefault="00F83A7A">
      <w:pPr>
        <w:jc w:val="both"/>
        <w:divId w:val="1102263232"/>
        <w:rPr>
          <w:rFonts w:eastAsia="Times New Roman"/>
        </w:rPr>
      </w:pPr>
      <w:r>
        <w:rPr>
          <w:rFonts w:eastAsia="Times New Roman"/>
          <w:sz w:val="20"/>
          <w:szCs w:val="20"/>
        </w:rPr>
        <w:t>delays in reaching</w:t>
      </w:r>
      <w:r>
        <w:rPr>
          <w:rFonts w:eastAsia="Times New Roman"/>
          <w:sz w:val="20"/>
          <w:szCs w:val="20"/>
        </w:rPr>
        <w:t xml:space="preserve"> a consensus with regulatory authorities on trial design</w:t>
      </w:r>
      <w:r>
        <w:rPr>
          <w:rFonts w:eastAsia="Times New Roman"/>
          <w:sz w:val="20"/>
          <w:szCs w:val="20"/>
        </w:rPr>
        <w:t>;</w:t>
      </w:r>
    </w:p>
    <w:p w:rsidR="00000000" w:rsidRDefault="00F83A7A">
      <w:pPr>
        <w:jc w:val="both"/>
        <w:divId w:val="2074884226"/>
        <w:rPr>
          <w:rFonts w:eastAsia="Times New Roman"/>
        </w:rPr>
      </w:pPr>
      <w:r>
        <w:rPr>
          <w:rFonts w:eastAsia="Times New Roman"/>
          <w:sz w:val="20"/>
          <w:szCs w:val="20"/>
        </w:rPr>
        <w:t>•</w:t>
      </w:r>
    </w:p>
    <w:p w:rsidR="00000000" w:rsidRDefault="00F83A7A">
      <w:pPr>
        <w:jc w:val="both"/>
        <w:divId w:val="209733717"/>
        <w:rPr>
          <w:rFonts w:eastAsia="Times New Roman"/>
        </w:rPr>
      </w:pPr>
      <w:r>
        <w:rPr>
          <w:rFonts w:eastAsia="Times New Roman"/>
          <w:sz w:val="20"/>
          <w:szCs w:val="20"/>
        </w:rPr>
        <w:t>delays in reaching agreement on acceptable terms with prospective clinical research organizations (“CROs”) and clinical trial sites</w:t>
      </w:r>
      <w:r>
        <w:rPr>
          <w:rFonts w:eastAsia="Times New Roman"/>
          <w:sz w:val="20"/>
          <w:szCs w:val="20"/>
        </w:rPr>
        <w:t>;</w:t>
      </w:r>
    </w:p>
    <w:p w:rsidR="00000000" w:rsidRDefault="00F83A7A">
      <w:pPr>
        <w:jc w:val="both"/>
        <w:divId w:val="304967600"/>
        <w:rPr>
          <w:rFonts w:eastAsia="Times New Roman"/>
        </w:rPr>
      </w:pPr>
      <w:r>
        <w:rPr>
          <w:rFonts w:eastAsia="Times New Roman"/>
          <w:sz w:val="20"/>
          <w:szCs w:val="20"/>
        </w:rPr>
        <w:t>•</w:t>
      </w:r>
    </w:p>
    <w:p w:rsidR="00000000" w:rsidRDefault="00F83A7A">
      <w:pPr>
        <w:jc w:val="both"/>
        <w:divId w:val="2026665536"/>
        <w:rPr>
          <w:rFonts w:eastAsia="Times New Roman"/>
        </w:rPr>
      </w:pPr>
      <w:r>
        <w:rPr>
          <w:rFonts w:eastAsia="Times New Roman"/>
          <w:sz w:val="20"/>
          <w:szCs w:val="20"/>
        </w:rPr>
        <w:t>delays in opening investigational sites</w:t>
      </w:r>
      <w:r>
        <w:rPr>
          <w:rFonts w:eastAsia="Times New Roman"/>
          <w:sz w:val="20"/>
          <w:szCs w:val="20"/>
        </w:rPr>
        <w:t>;</w:t>
      </w:r>
    </w:p>
    <w:p w:rsidR="00000000" w:rsidRDefault="00F83A7A">
      <w:pPr>
        <w:jc w:val="both"/>
        <w:divId w:val="1435437706"/>
        <w:rPr>
          <w:rFonts w:eastAsia="Times New Roman"/>
        </w:rPr>
      </w:pPr>
      <w:r>
        <w:rPr>
          <w:rFonts w:eastAsia="Times New Roman"/>
          <w:sz w:val="20"/>
          <w:szCs w:val="20"/>
        </w:rPr>
        <w:t>•</w:t>
      </w:r>
    </w:p>
    <w:p w:rsidR="00000000" w:rsidRDefault="00F83A7A">
      <w:pPr>
        <w:jc w:val="both"/>
        <w:divId w:val="1361474300"/>
        <w:rPr>
          <w:rFonts w:eastAsia="Times New Roman"/>
        </w:rPr>
      </w:pPr>
      <w:r>
        <w:rPr>
          <w:rFonts w:eastAsia="Times New Roman"/>
          <w:sz w:val="20"/>
          <w:szCs w:val="20"/>
        </w:rPr>
        <w:t>delays or difficulty in recruiting and enrollment of suitable patients to part</w:t>
      </w:r>
      <w:r>
        <w:rPr>
          <w:rFonts w:eastAsia="Times New Roman"/>
          <w:sz w:val="20"/>
          <w:szCs w:val="20"/>
        </w:rPr>
        <w:t>icipate in our clinical trials, whether as a result of the COVID-19 pandemic or otherwise</w:t>
      </w:r>
      <w:r>
        <w:rPr>
          <w:rFonts w:eastAsia="Times New Roman"/>
          <w:sz w:val="20"/>
          <w:szCs w:val="20"/>
        </w:rPr>
        <w:t>;</w:t>
      </w:r>
    </w:p>
    <w:p w:rsidR="00000000" w:rsidRDefault="00F83A7A">
      <w:pPr>
        <w:jc w:val="both"/>
        <w:divId w:val="2103526550"/>
        <w:rPr>
          <w:rFonts w:eastAsia="Times New Roman"/>
        </w:rPr>
      </w:pPr>
      <w:r>
        <w:rPr>
          <w:rFonts w:eastAsia="Times New Roman"/>
          <w:sz w:val="20"/>
          <w:szCs w:val="20"/>
        </w:rPr>
        <w:t>•</w:t>
      </w:r>
    </w:p>
    <w:p w:rsidR="00000000" w:rsidRDefault="00F83A7A">
      <w:pPr>
        <w:jc w:val="both"/>
        <w:divId w:val="1426266153"/>
        <w:rPr>
          <w:rFonts w:eastAsia="Times New Roman"/>
        </w:rPr>
      </w:pPr>
      <w:r>
        <w:rPr>
          <w:rFonts w:eastAsia="Times New Roman"/>
          <w:sz w:val="20"/>
          <w:szCs w:val="20"/>
        </w:rPr>
        <w:t xml:space="preserve">imposition of a clinical hold by regulatory authorities because of a serious adverse event, concerns with a class of drug candidates or after an inspection of our </w:t>
      </w:r>
      <w:r>
        <w:rPr>
          <w:rFonts w:eastAsia="Times New Roman"/>
          <w:sz w:val="20"/>
          <w:szCs w:val="20"/>
        </w:rPr>
        <w:t>clinical trial operations or trial sites</w:t>
      </w:r>
      <w:r>
        <w:rPr>
          <w:rFonts w:eastAsia="Times New Roman"/>
          <w:sz w:val="20"/>
          <w:szCs w:val="20"/>
        </w:rPr>
        <w:t>;</w:t>
      </w:r>
    </w:p>
    <w:p w:rsidR="00000000" w:rsidRDefault="00F83A7A">
      <w:pPr>
        <w:jc w:val="both"/>
        <w:divId w:val="285624276"/>
        <w:rPr>
          <w:rFonts w:eastAsia="Times New Roman"/>
        </w:rPr>
      </w:pPr>
      <w:r>
        <w:rPr>
          <w:rFonts w:eastAsia="Times New Roman"/>
          <w:sz w:val="20"/>
          <w:szCs w:val="20"/>
        </w:rPr>
        <w:t>•</w:t>
      </w:r>
    </w:p>
    <w:p w:rsidR="00000000" w:rsidRDefault="00F83A7A">
      <w:pPr>
        <w:jc w:val="both"/>
        <w:divId w:val="1002507015"/>
        <w:rPr>
          <w:rFonts w:eastAsia="Times New Roman"/>
        </w:rPr>
      </w:pPr>
      <w:r>
        <w:rPr>
          <w:rFonts w:eastAsia="Times New Roman"/>
          <w:sz w:val="20"/>
          <w:szCs w:val="20"/>
        </w:rPr>
        <w:t>delays in having patients complete participation in a trial or return for post-treatment follow-up</w:t>
      </w:r>
      <w:r>
        <w:rPr>
          <w:rFonts w:eastAsia="Times New Roman"/>
          <w:sz w:val="20"/>
          <w:szCs w:val="20"/>
        </w:rPr>
        <w:t>;</w:t>
      </w:r>
    </w:p>
    <w:p w:rsidR="00000000" w:rsidRDefault="00F83A7A">
      <w:pPr>
        <w:jc w:val="both"/>
        <w:divId w:val="124664884"/>
        <w:rPr>
          <w:rFonts w:eastAsia="Times New Roman"/>
        </w:rPr>
      </w:pPr>
      <w:r>
        <w:rPr>
          <w:rFonts w:eastAsia="Times New Roman"/>
          <w:sz w:val="20"/>
          <w:szCs w:val="20"/>
        </w:rPr>
        <w:t>•</w:t>
      </w:r>
    </w:p>
    <w:p w:rsidR="00000000" w:rsidRDefault="00F83A7A">
      <w:pPr>
        <w:jc w:val="both"/>
        <w:divId w:val="823744465"/>
        <w:rPr>
          <w:rFonts w:eastAsia="Times New Roman"/>
        </w:rPr>
      </w:pPr>
      <w:r>
        <w:rPr>
          <w:rFonts w:eastAsia="Times New Roman"/>
          <w:sz w:val="20"/>
          <w:szCs w:val="20"/>
        </w:rPr>
        <w:t>occurrence of serious adverse events associated with the drug candidate that are viewed to outweigh its potent</w:t>
      </w:r>
      <w:r>
        <w:rPr>
          <w:rFonts w:eastAsia="Times New Roman"/>
          <w:sz w:val="20"/>
          <w:szCs w:val="20"/>
        </w:rPr>
        <w:t>ial benefits;</w:t>
      </w:r>
      <w:r>
        <w:rPr>
          <w:rFonts w:eastAsia="Times New Roman"/>
          <w:sz w:val="20"/>
          <w:szCs w:val="20"/>
        </w:rPr>
        <w:t xml:space="preserve"> </w:t>
      </w:r>
    </w:p>
    <w:p w:rsidR="00000000" w:rsidRDefault="00F83A7A">
      <w:pPr>
        <w:jc w:val="both"/>
        <w:divId w:val="1770201982"/>
        <w:rPr>
          <w:rFonts w:eastAsia="Times New Roman"/>
        </w:rPr>
      </w:pPr>
      <w:r>
        <w:rPr>
          <w:rFonts w:eastAsia="Times New Roman"/>
          <w:sz w:val="20"/>
          <w:szCs w:val="20"/>
        </w:rPr>
        <w:t>•</w:t>
      </w:r>
    </w:p>
    <w:p w:rsidR="00000000" w:rsidRDefault="00F83A7A">
      <w:pPr>
        <w:jc w:val="both"/>
        <w:divId w:val="1046222295"/>
        <w:rPr>
          <w:rFonts w:eastAsia="Times New Roman"/>
        </w:rPr>
      </w:pPr>
      <w:r>
        <w:rPr>
          <w:rFonts w:eastAsia="Times New Roman"/>
          <w:sz w:val="20"/>
          <w:szCs w:val="20"/>
        </w:rPr>
        <w:t>changes in regulatory requirements and guidance that require amending or submitting new clinical protocols; o</w:t>
      </w:r>
      <w:r>
        <w:rPr>
          <w:rFonts w:eastAsia="Times New Roman"/>
          <w:sz w:val="20"/>
          <w:szCs w:val="20"/>
        </w:rPr>
        <w:t>r</w:t>
      </w:r>
    </w:p>
    <w:p w:rsidR="00000000" w:rsidRDefault="00F83A7A">
      <w:pPr>
        <w:pStyle w:val="a3"/>
        <w:spacing w:before="240" w:beforeAutospacing="0" w:after="0" w:afterAutospacing="0"/>
        <w:jc w:val="center"/>
        <w:rPr>
          <w:sz w:val="20"/>
          <w:szCs w:val="20"/>
        </w:rPr>
      </w:pPr>
      <w:r>
        <w:rPr>
          <w:sz w:val="20"/>
          <w:szCs w:val="20"/>
        </w:rPr>
        <w:t>2</w:t>
      </w:r>
      <w:r>
        <w:rPr>
          <w:sz w:val="20"/>
          <w:szCs w:val="20"/>
        </w:rPr>
        <w:t>4</w:t>
      </w:r>
    </w:p>
    <w:p w:rsidR="00000000" w:rsidRDefault="00F83A7A">
      <w:pPr>
        <w:rPr>
          <w:rFonts w:eastAsia="Times New Roman"/>
        </w:rPr>
      </w:pPr>
      <w:r>
        <w:rPr>
          <w:rFonts w:eastAsia="Times New Roman"/>
        </w:rPr>
        <w:pict>
          <v:rect id="_x0000_i1051"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jc w:val="both"/>
        <w:divId w:val="388040558"/>
        <w:rPr>
          <w:rFonts w:eastAsia="Times New Roman"/>
        </w:rPr>
      </w:pPr>
      <w:r>
        <w:rPr>
          <w:rFonts w:eastAsia="Times New Roman"/>
          <w:sz w:val="20"/>
          <w:szCs w:val="20"/>
        </w:rPr>
        <w:t>•</w:t>
      </w:r>
    </w:p>
    <w:p w:rsidR="00000000" w:rsidRDefault="00F83A7A">
      <w:pPr>
        <w:jc w:val="both"/>
        <w:divId w:val="700472647"/>
        <w:rPr>
          <w:rFonts w:eastAsia="Times New Roman"/>
        </w:rPr>
      </w:pPr>
      <w:r>
        <w:rPr>
          <w:rFonts w:eastAsia="Times New Roman"/>
          <w:sz w:val="20"/>
          <w:szCs w:val="20"/>
        </w:rPr>
        <w:t>business interruptions resulting from geo-political actions, including war or the perception that hostilities may be imminent, including, the ongoing conflict in Ukraine and terrorism, or natural disasters and public</w:t>
      </w:r>
      <w:r>
        <w:rPr>
          <w:rFonts w:eastAsia="Times New Roman"/>
          <w:sz w:val="20"/>
          <w:szCs w:val="20"/>
        </w:rPr>
        <w:t xml:space="preserve"> health epidemics</w:t>
      </w:r>
      <w:r>
        <w:rPr>
          <w:rFonts w:eastAsia="Times New Roman"/>
          <w:sz w:val="20"/>
          <w:szCs w:val="20"/>
        </w:rPr>
        <w:t>.</w:t>
      </w:r>
    </w:p>
    <w:p w:rsidR="00000000" w:rsidRDefault="00F83A7A">
      <w:pPr>
        <w:pStyle w:val="a3"/>
        <w:spacing w:before="240" w:beforeAutospacing="0" w:after="0" w:afterAutospacing="0"/>
        <w:ind w:firstLine="620"/>
        <w:jc w:val="both"/>
        <w:rPr>
          <w:sz w:val="20"/>
          <w:szCs w:val="20"/>
        </w:rPr>
      </w:pPr>
      <w:r>
        <w:rPr>
          <w:sz w:val="20"/>
          <w:szCs w:val="20"/>
        </w:rPr>
        <w:t>Clinical site initiation and patient enrollment may be delayed due to prioritization of hospital resources toward the COVID-19 pandemic. Patients may not be able to comply with clinical trial protocols if quarantines impede patient movem</w:t>
      </w:r>
      <w:r>
        <w:rPr>
          <w:sz w:val="20"/>
          <w:szCs w:val="20"/>
        </w:rPr>
        <w:t>ent or interrupt healthcare services. Similarly, our ability to recruit and retain patients and principal investigators and site staff who, as healthcare providers, may have heightened exposure to COVID-19, could be limited, which in turn could adversely i</w:t>
      </w:r>
      <w:r>
        <w:rPr>
          <w:sz w:val="20"/>
          <w:szCs w:val="20"/>
        </w:rPr>
        <w:t>mpact our clinical trial operations. Additionally, we may experience interruption of key clinical trial activities, such as clinical trial site monitoring, due to limitations on travel, quarantines or social distancing protocols imposed or recommended by f</w:t>
      </w:r>
      <w:r>
        <w:rPr>
          <w:sz w:val="20"/>
          <w:szCs w:val="20"/>
        </w:rPr>
        <w:t>ederal or state governments, employers and others in connection with the ongoing COVID-19 pandemic. As a result of the COVID-19 pandemic, we have faced and may continue to face delays in meeting our anticipated timelines for our ongoing and planned preclin</w:t>
      </w:r>
      <w:r>
        <w:rPr>
          <w:sz w:val="20"/>
          <w:szCs w:val="20"/>
        </w:rPr>
        <w:t>ical studies and clinical trials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Further, clinical endpoints for certain diseases we are targeting, such as Angelman syndrome, have not been established, and accordingly we may have to develop new modalities or modify existing endpoints to measure efficac</w:t>
      </w:r>
      <w:r>
        <w:rPr>
          <w:sz w:val="20"/>
          <w:szCs w:val="20"/>
        </w:rPr>
        <w:t>y, which may increase the time it takes for us to commence or complete clinical trials. In addition, we believe investigators in this area may be inexperienced in conducting trials in this area due to the current lack of drugs to treat these disorders, whi</w:t>
      </w:r>
      <w:r>
        <w:rPr>
          <w:sz w:val="20"/>
          <w:szCs w:val="20"/>
        </w:rPr>
        <w:t>ch may result in increased time and expense to train investigators and open clinical sites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Any inability to successfully complete preclinical and clinical development could result in additional costs to us or impair our ability to generate revenue from fu</w:t>
      </w:r>
      <w:r>
        <w:rPr>
          <w:sz w:val="20"/>
          <w:szCs w:val="20"/>
        </w:rPr>
        <w:t>ture drug sales and regulatory and commercialization milestones. In addition, if we make manufacturing or formulation changes to our drug candidates, we may need to conduct additional testing to bridge our modified drug candidate to earlier versions. Clini</w:t>
      </w:r>
      <w:r>
        <w:rPr>
          <w:sz w:val="20"/>
          <w:szCs w:val="20"/>
        </w:rPr>
        <w:t>cal trial delays could also shorten any periods during which we may have the exclusive right to commercialize our drug candidates, if approved, or allow our competitors to bring comparable drugs to market before we do, which could impair our ability to suc</w:t>
      </w:r>
      <w:r>
        <w:rPr>
          <w:sz w:val="20"/>
          <w:szCs w:val="20"/>
        </w:rPr>
        <w:t>cessfully commercialize our drug candidates and may harm our business, financial condition, results of operations and prospects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Additionally, if the results of our clinical trials are inconclusive or if there are safety concerns or serious adverse events </w:t>
      </w:r>
      <w:r>
        <w:rPr>
          <w:sz w:val="20"/>
          <w:szCs w:val="20"/>
        </w:rPr>
        <w:t>associated with our drug candidates, we may</w:t>
      </w:r>
      <w:r>
        <w:rPr>
          <w:sz w:val="20"/>
          <w:szCs w:val="20"/>
        </w:rPr>
        <w:t>:</w:t>
      </w:r>
    </w:p>
    <w:p w:rsidR="00000000" w:rsidRDefault="00F83A7A">
      <w:pPr>
        <w:jc w:val="both"/>
        <w:divId w:val="148400569"/>
        <w:rPr>
          <w:rFonts w:eastAsia="Times New Roman"/>
        </w:rPr>
      </w:pPr>
      <w:r>
        <w:rPr>
          <w:rFonts w:eastAsia="Times New Roman"/>
          <w:sz w:val="20"/>
          <w:szCs w:val="20"/>
        </w:rPr>
        <w:t>•</w:t>
      </w:r>
    </w:p>
    <w:p w:rsidR="00000000" w:rsidRDefault="00F83A7A">
      <w:pPr>
        <w:jc w:val="both"/>
        <w:divId w:val="333075615"/>
        <w:rPr>
          <w:rFonts w:eastAsia="Times New Roman"/>
        </w:rPr>
      </w:pPr>
      <w:r>
        <w:rPr>
          <w:rFonts w:eastAsia="Times New Roman"/>
          <w:sz w:val="20"/>
          <w:szCs w:val="20"/>
        </w:rPr>
        <w:t>be delayed in obtaining marketing approval, if at all</w:t>
      </w:r>
      <w:r>
        <w:rPr>
          <w:rFonts w:eastAsia="Times New Roman"/>
          <w:sz w:val="20"/>
          <w:szCs w:val="20"/>
        </w:rPr>
        <w:t>;</w:t>
      </w:r>
    </w:p>
    <w:p w:rsidR="00000000" w:rsidRDefault="00F83A7A">
      <w:pPr>
        <w:jc w:val="both"/>
        <w:divId w:val="462387304"/>
        <w:rPr>
          <w:rFonts w:eastAsia="Times New Roman"/>
        </w:rPr>
      </w:pPr>
      <w:r>
        <w:rPr>
          <w:rFonts w:eastAsia="Times New Roman"/>
          <w:sz w:val="20"/>
          <w:szCs w:val="20"/>
        </w:rPr>
        <w:t>•</w:t>
      </w:r>
    </w:p>
    <w:p w:rsidR="00000000" w:rsidRDefault="00F83A7A">
      <w:pPr>
        <w:jc w:val="both"/>
        <w:divId w:val="131562138"/>
        <w:rPr>
          <w:rFonts w:eastAsia="Times New Roman"/>
        </w:rPr>
      </w:pPr>
      <w:r>
        <w:rPr>
          <w:rFonts w:eastAsia="Times New Roman"/>
          <w:sz w:val="20"/>
          <w:szCs w:val="20"/>
        </w:rPr>
        <w:t>obtain approval for indications or patient populations that are not as broad as intended or desired</w:t>
      </w:r>
      <w:r>
        <w:rPr>
          <w:rFonts w:eastAsia="Times New Roman"/>
          <w:sz w:val="20"/>
          <w:szCs w:val="20"/>
        </w:rPr>
        <w:t>;</w:t>
      </w:r>
    </w:p>
    <w:p w:rsidR="00000000" w:rsidRDefault="00F83A7A">
      <w:pPr>
        <w:jc w:val="both"/>
        <w:divId w:val="170218938"/>
        <w:rPr>
          <w:rFonts w:eastAsia="Times New Roman"/>
        </w:rPr>
      </w:pPr>
      <w:r>
        <w:rPr>
          <w:rFonts w:eastAsia="Times New Roman"/>
          <w:sz w:val="20"/>
          <w:szCs w:val="20"/>
        </w:rPr>
        <w:t>•</w:t>
      </w:r>
    </w:p>
    <w:p w:rsidR="00000000" w:rsidRDefault="00F83A7A">
      <w:pPr>
        <w:jc w:val="both"/>
        <w:divId w:val="1631787096"/>
        <w:rPr>
          <w:rFonts w:eastAsia="Times New Roman"/>
        </w:rPr>
      </w:pPr>
      <w:r>
        <w:rPr>
          <w:rFonts w:eastAsia="Times New Roman"/>
          <w:sz w:val="20"/>
          <w:szCs w:val="20"/>
        </w:rPr>
        <w:t>obtain approval with labeling that includes significant use or distribution restrictions or safety warnings</w:t>
      </w:r>
      <w:r>
        <w:rPr>
          <w:rFonts w:eastAsia="Times New Roman"/>
          <w:sz w:val="20"/>
          <w:szCs w:val="20"/>
        </w:rPr>
        <w:t>;</w:t>
      </w:r>
    </w:p>
    <w:p w:rsidR="00000000" w:rsidRDefault="00F83A7A">
      <w:pPr>
        <w:jc w:val="both"/>
        <w:divId w:val="1138645691"/>
        <w:rPr>
          <w:rFonts w:eastAsia="Times New Roman"/>
        </w:rPr>
      </w:pPr>
      <w:r>
        <w:rPr>
          <w:rFonts w:eastAsia="Times New Roman"/>
          <w:sz w:val="20"/>
          <w:szCs w:val="20"/>
        </w:rPr>
        <w:t>•</w:t>
      </w:r>
    </w:p>
    <w:p w:rsidR="00000000" w:rsidRDefault="00F83A7A">
      <w:pPr>
        <w:jc w:val="both"/>
        <w:divId w:val="1490098046"/>
        <w:rPr>
          <w:rFonts w:eastAsia="Times New Roman"/>
        </w:rPr>
      </w:pPr>
      <w:r>
        <w:rPr>
          <w:rFonts w:eastAsia="Times New Roman"/>
          <w:sz w:val="20"/>
          <w:szCs w:val="20"/>
        </w:rPr>
        <w:t>be subject to additional post-marketing te</w:t>
      </w:r>
      <w:r>
        <w:rPr>
          <w:rFonts w:eastAsia="Times New Roman"/>
          <w:sz w:val="20"/>
          <w:szCs w:val="20"/>
        </w:rPr>
        <w:t>sting requirements</w:t>
      </w:r>
      <w:r>
        <w:rPr>
          <w:rFonts w:eastAsia="Times New Roman"/>
          <w:sz w:val="20"/>
          <w:szCs w:val="20"/>
        </w:rPr>
        <w:t>;</w:t>
      </w:r>
    </w:p>
    <w:p w:rsidR="00000000" w:rsidRDefault="00F83A7A">
      <w:pPr>
        <w:jc w:val="both"/>
        <w:divId w:val="912468252"/>
        <w:rPr>
          <w:rFonts w:eastAsia="Times New Roman"/>
        </w:rPr>
      </w:pPr>
      <w:r>
        <w:rPr>
          <w:rFonts w:eastAsia="Times New Roman"/>
          <w:sz w:val="20"/>
          <w:szCs w:val="20"/>
        </w:rPr>
        <w:t>•</w:t>
      </w:r>
    </w:p>
    <w:p w:rsidR="00000000" w:rsidRDefault="00F83A7A">
      <w:pPr>
        <w:jc w:val="both"/>
        <w:divId w:val="1216432128"/>
        <w:rPr>
          <w:rFonts w:eastAsia="Times New Roman"/>
        </w:rPr>
      </w:pPr>
      <w:r>
        <w:rPr>
          <w:rFonts w:eastAsia="Times New Roman"/>
          <w:sz w:val="20"/>
          <w:szCs w:val="20"/>
        </w:rPr>
        <w:t>be required to perform additional clinical trials to support approval or be subject to additional post-marketing testing requirements</w:t>
      </w:r>
      <w:r>
        <w:rPr>
          <w:rFonts w:eastAsia="Times New Roman"/>
          <w:sz w:val="20"/>
          <w:szCs w:val="20"/>
        </w:rPr>
        <w:t>;</w:t>
      </w:r>
    </w:p>
    <w:p w:rsidR="00000000" w:rsidRDefault="00F83A7A">
      <w:pPr>
        <w:jc w:val="both"/>
        <w:divId w:val="1053041358"/>
        <w:rPr>
          <w:rFonts w:eastAsia="Times New Roman"/>
        </w:rPr>
      </w:pPr>
      <w:r>
        <w:rPr>
          <w:rFonts w:eastAsia="Times New Roman"/>
          <w:sz w:val="20"/>
          <w:szCs w:val="20"/>
        </w:rPr>
        <w:t>•</w:t>
      </w:r>
    </w:p>
    <w:p w:rsidR="00000000" w:rsidRDefault="00F83A7A">
      <w:pPr>
        <w:jc w:val="both"/>
        <w:divId w:val="997460694"/>
        <w:rPr>
          <w:rFonts w:eastAsia="Times New Roman"/>
        </w:rPr>
      </w:pPr>
      <w:r>
        <w:rPr>
          <w:rFonts w:eastAsia="Times New Roman"/>
          <w:sz w:val="20"/>
          <w:szCs w:val="20"/>
        </w:rPr>
        <w:t>have regulatory authorities withdraw, or suspend, their approval of the drug or impose restrictio</w:t>
      </w:r>
      <w:r>
        <w:rPr>
          <w:rFonts w:eastAsia="Times New Roman"/>
          <w:sz w:val="20"/>
          <w:szCs w:val="20"/>
        </w:rPr>
        <w:t>ns on its distribution in the form of a modified risk evaluation and mitigation strategy (“REMS”)</w:t>
      </w:r>
      <w:r>
        <w:rPr>
          <w:rFonts w:eastAsia="Times New Roman"/>
          <w:sz w:val="20"/>
          <w:szCs w:val="20"/>
        </w:rPr>
        <w:t>;</w:t>
      </w:r>
    </w:p>
    <w:p w:rsidR="00000000" w:rsidRDefault="00F83A7A">
      <w:pPr>
        <w:jc w:val="both"/>
        <w:divId w:val="917056123"/>
        <w:rPr>
          <w:rFonts w:eastAsia="Times New Roman"/>
        </w:rPr>
      </w:pPr>
      <w:r>
        <w:rPr>
          <w:rFonts w:eastAsia="Times New Roman"/>
          <w:sz w:val="20"/>
          <w:szCs w:val="20"/>
        </w:rPr>
        <w:t>•</w:t>
      </w:r>
    </w:p>
    <w:p w:rsidR="00000000" w:rsidRDefault="00F83A7A">
      <w:pPr>
        <w:jc w:val="both"/>
        <w:divId w:val="1048411870"/>
        <w:rPr>
          <w:rFonts w:eastAsia="Times New Roman"/>
        </w:rPr>
      </w:pPr>
      <w:r>
        <w:rPr>
          <w:rFonts w:eastAsia="Times New Roman"/>
          <w:sz w:val="20"/>
          <w:szCs w:val="20"/>
        </w:rPr>
        <w:t>be subject to the addition of labeling statements, such as warnings or contraindications</w:t>
      </w:r>
      <w:r>
        <w:rPr>
          <w:rFonts w:eastAsia="Times New Roman"/>
          <w:sz w:val="20"/>
          <w:szCs w:val="20"/>
        </w:rPr>
        <w:t>;</w:t>
      </w:r>
    </w:p>
    <w:p w:rsidR="00000000" w:rsidRDefault="00F83A7A">
      <w:pPr>
        <w:jc w:val="both"/>
        <w:divId w:val="54009184"/>
        <w:rPr>
          <w:rFonts w:eastAsia="Times New Roman"/>
        </w:rPr>
      </w:pPr>
      <w:r>
        <w:rPr>
          <w:rFonts w:eastAsia="Times New Roman"/>
          <w:sz w:val="20"/>
          <w:szCs w:val="20"/>
        </w:rPr>
        <w:t>•</w:t>
      </w:r>
    </w:p>
    <w:p w:rsidR="00000000" w:rsidRDefault="00F83A7A">
      <w:pPr>
        <w:jc w:val="both"/>
        <w:divId w:val="1344896856"/>
        <w:rPr>
          <w:rFonts w:eastAsia="Times New Roman"/>
        </w:rPr>
      </w:pPr>
      <w:r>
        <w:rPr>
          <w:rFonts w:eastAsia="Times New Roman"/>
          <w:sz w:val="20"/>
          <w:szCs w:val="20"/>
        </w:rPr>
        <w:t>be sued; o</w:t>
      </w:r>
      <w:r>
        <w:rPr>
          <w:rFonts w:eastAsia="Times New Roman"/>
          <w:sz w:val="20"/>
          <w:szCs w:val="20"/>
        </w:rPr>
        <w:t>r</w:t>
      </w:r>
    </w:p>
    <w:p w:rsidR="00000000" w:rsidRDefault="00F83A7A">
      <w:pPr>
        <w:jc w:val="both"/>
        <w:divId w:val="1530991388"/>
        <w:rPr>
          <w:rFonts w:eastAsia="Times New Roman"/>
        </w:rPr>
      </w:pPr>
      <w:r>
        <w:rPr>
          <w:rFonts w:eastAsia="Times New Roman"/>
          <w:sz w:val="20"/>
          <w:szCs w:val="20"/>
        </w:rPr>
        <w:t>•</w:t>
      </w:r>
    </w:p>
    <w:p w:rsidR="00000000" w:rsidRDefault="00F83A7A">
      <w:pPr>
        <w:jc w:val="both"/>
        <w:divId w:val="2068795884"/>
        <w:rPr>
          <w:rFonts w:eastAsia="Times New Roman"/>
        </w:rPr>
      </w:pPr>
      <w:r>
        <w:rPr>
          <w:rFonts w:eastAsia="Times New Roman"/>
          <w:sz w:val="20"/>
          <w:szCs w:val="20"/>
        </w:rPr>
        <w:t>experience damage to our reputation</w:t>
      </w:r>
      <w:r>
        <w:rPr>
          <w:rFonts w:eastAsia="Times New Roman"/>
          <w:sz w:val="20"/>
          <w:szCs w:val="20"/>
        </w:rPr>
        <w:t>.</w:t>
      </w:r>
    </w:p>
    <w:p w:rsidR="00000000" w:rsidRDefault="00F83A7A">
      <w:pPr>
        <w:pStyle w:val="a3"/>
        <w:spacing w:before="240" w:beforeAutospacing="0" w:after="0" w:afterAutospacing="0"/>
        <w:ind w:firstLine="620"/>
        <w:jc w:val="both"/>
        <w:rPr>
          <w:sz w:val="20"/>
          <w:szCs w:val="20"/>
        </w:rPr>
      </w:pPr>
      <w:r>
        <w:rPr>
          <w:sz w:val="20"/>
          <w:szCs w:val="20"/>
        </w:rPr>
        <w:t>Our drug dev</w:t>
      </w:r>
      <w:r>
        <w:rPr>
          <w:sz w:val="20"/>
          <w:szCs w:val="20"/>
        </w:rPr>
        <w:t>elopment costs will also increase if we experience delays in testing or obtaining marketing approvals. We do not know whether any of our preclinical studies or clinical trials will begin as planned, need to be restructured or be completed on schedule, if a</w:t>
      </w:r>
      <w:r>
        <w:rPr>
          <w:sz w:val="20"/>
          <w:szCs w:val="20"/>
        </w:rPr>
        <w:t>t all</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Further, we, the FDA or an IRB may suspend our clinical trials at any time if it appears that we or our collaborators are failing to conduct a trial in accordance with regulatory requirements, including the FDA’s current Good Clinical Practice (“GCP</w:t>
      </w:r>
      <w:r>
        <w:rPr>
          <w:sz w:val="20"/>
          <w:szCs w:val="20"/>
        </w:rPr>
        <w:t>”) regulations, that we are exposing participants to unacceptable health risks, or if the FDA finds deficiencies in our IND applications or the conduct of these trials. Therefore, we cannot predict with any certainty the schedule for commencement and compl</w:t>
      </w:r>
      <w:r>
        <w:rPr>
          <w:sz w:val="20"/>
          <w:szCs w:val="20"/>
        </w:rPr>
        <w:t>etion of future clinical trials. If we experience delays in the commencement or completion of our clinical trials, or if we terminate a clinical trial prior to completion, the commercial prospects of our drug candidates could be negatively impacted, and ou</w:t>
      </w:r>
      <w:r>
        <w:rPr>
          <w:sz w:val="20"/>
          <w:szCs w:val="20"/>
        </w:rPr>
        <w:t>r ability to generate revenues from our drug candidates may be delayed</w:t>
      </w:r>
      <w:r>
        <w:rPr>
          <w:sz w:val="20"/>
          <w:szCs w:val="20"/>
        </w:rPr>
        <w:t>.</w:t>
      </w:r>
    </w:p>
    <w:p w:rsidR="00000000" w:rsidRDefault="00F83A7A">
      <w:pPr>
        <w:pStyle w:val="a3"/>
        <w:spacing w:before="240" w:beforeAutospacing="0" w:after="0" w:afterAutospacing="0"/>
        <w:jc w:val="center"/>
        <w:rPr>
          <w:sz w:val="20"/>
          <w:szCs w:val="20"/>
        </w:rPr>
      </w:pPr>
      <w:r>
        <w:rPr>
          <w:sz w:val="20"/>
          <w:szCs w:val="20"/>
        </w:rPr>
        <w:t>2</w:t>
      </w:r>
      <w:r>
        <w:rPr>
          <w:sz w:val="20"/>
          <w:szCs w:val="20"/>
        </w:rPr>
        <w:t>5</w:t>
      </w:r>
    </w:p>
    <w:p w:rsidR="00000000" w:rsidRDefault="00F83A7A">
      <w:pPr>
        <w:rPr>
          <w:rFonts w:eastAsia="Times New Roman"/>
        </w:rPr>
      </w:pPr>
      <w:r>
        <w:rPr>
          <w:rFonts w:eastAsia="Times New Roman"/>
        </w:rPr>
        <w:pict>
          <v:rect id="_x0000_i1052"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rPr>
          <w:sz w:val="20"/>
          <w:szCs w:val="20"/>
        </w:rPr>
      </w:pPr>
      <w:r>
        <w:rPr>
          <w:b/>
          <w:bCs/>
          <w:i/>
          <w:iCs/>
          <w:sz w:val="20"/>
          <w:szCs w:val="20"/>
        </w:rPr>
        <w:t>If we are not successful in discovering, developing and commercializing additional drug candidates, our ability to expand our business and ach</w:t>
      </w:r>
      <w:r>
        <w:rPr>
          <w:b/>
          <w:bCs/>
          <w:i/>
          <w:iCs/>
          <w:sz w:val="20"/>
          <w:szCs w:val="20"/>
        </w:rPr>
        <w:t>ieve our strategic objectives would be impaired</w:t>
      </w:r>
      <w:r>
        <w:rPr>
          <w:b/>
          <w:bCs/>
          <w:i/>
          <w:iCs/>
          <w:sz w:val="20"/>
          <w:szCs w:val="20"/>
        </w:rPr>
        <w:t>.</w:t>
      </w:r>
    </w:p>
    <w:p w:rsidR="00000000" w:rsidRDefault="00F83A7A">
      <w:pPr>
        <w:pStyle w:val="a3"/>
        <w:spacing w:before="240" w:beforeAutospacing="0" w:after="0" w:afterAutospacing="0"/>
        <w:ind w:firstLine="555"/>
        <w:jc w:val="both"/>
        <w:rPr>
          <w:sz w:val="20"/>
          <w:szCs w:val="20"/>
        </w:rPr>
      </w:pPr>
      <w:r>
        <w:rPr>
          <w:sz w:val="20"/>
          <w:szCs w:val="20"/>
        </w:rPr>
        <w:t>A key element of our current strategy is to discover, develop and potentially commercialize a portfolio of drug candidates to treat epilepsies, seizure-related disorders, and rare neurological disorders. However, our business development activities and res</w:t>
      </w:r>
      <w:r>
        <w:rPr>
          <w:sz w:val="20"/>
          <w:szCs w:val="20"/>
        </w:rPr>
        <w:t xml:space="preserve">earch activities may present attractive opportunities outside of epilepsies and seizure related disorders and we may choose to pursue drug candidates in other areas of interest including other disorders that we believe would be in the best interest of the </w:t>
      </w:r>
      <w:r>
        <w:rPr>
          <w:sz w:val="20"/>
          <w:szCs w:val="20"/>
        </w:rPr>
        <w:t>Company and our stockholders. We plan to continuously review our strategies and modify as necessary based on attractive areas of interest and assets that we choose to pursue. We intend to develop our portfolio of drug candidates by in-licensing and enterin</w:t>
      </w:r>
      <w:r>
        <w:rPr>
          <w:sz w:val="20"/>
          <w:szCs w:val="20"/>
        </w:rPr>
        <w:t>g into collaborations with leading biopharmaceutical companies or academic institutions for new drug candidates. Identifying new drug candidates requires substantial technical, financial and human resources, whether or not any drug candidates are ultimatel</w:t>
      </w:r>
      <w:r>
        <w:rPr>
          <w:sz w:val="20"/>
          <w:szCs w:val="20"/>
        </w:rPr>
        <w:t>y identified. The COVID-19 pandemic could also impact our ability to do in-person due diligence, negotiations and other interactions to identify new opportunities. Even if we identify drug candidates that initially show promise, we may fail to in-license o</w:t>
      </w:r>
      <w:r>
        <w:rPr>
          <w:sz w:val="20"/>
          <w:szCs w:val="20"/>
        </w:rPr>
        <w:t>r acquire these assets and may also fail to successfully develop and commercialize such drug candidates for many reasons, including the following</w:t>
      </w:r>
      <w:r>
        <w:rPr>
          <w:sz w:val="20"/>
          <w:szCs w:val="20"/>
        </w:rPr>
        <w:t>:</w:t>
      </w:r>
    </w:p>
    <w:p w:rsidR="00000000" w:rsidRDefault="00F83A7A">
      <w:pPr>
        <w:jc w:val="both"/>
        <w:divId w:val="1549755212"/>
        <w:rPr>
          <w:rFonts w:eastAsia="Times New Roman"/>
        </w:rPr>
      </w:pPr>
      <w:r>
        <w:rPr>
          <w:rFonts w:eastAsia="Times New Roman"/>
          <w:sz w:val="20"/>
          <w:szCs w:val="20"/>
        </w:rPr>
        <w:t>•</w:t>
      </w:r>
    </w:p>
    <w:p w:rsidR="00000000" w:rsidRDefault="00F83A7A">
      <w:pPr>
        <w:jc w:val="both"/>
        <w:divId w:val="838542501"/>
        <w:rPr>
          <w:rFonts w:eastAsia="Times New Roman"/>
        </w:rPr>
      </w:pPr>
      <w:r>
        <w:rPr>
          <w:rFonts w:eastAsia="Times New Roman"/>
          <w:sz w:val="20"/>
          <w:szCs w:val="20"/>
        </w:rPr>
        <w:t>the research methodology used may not be successful in identifying potential drug candidates</w:t>
      </w:r>
      <w:r>
        <w:rPr>
          <w:rFonts w:eastAsia="Times New Roman"/>
          <w:sz w:val="20"/>
          <w:szCs w:val="20"/>
        </w:rPr>
        <w:t>;</w:t>
      </w:r>
    </w:p>
    <w:p w:rsidR="00000000" w:rsidRDefault="00F83A7A">
      <w:pPr>
        <w:jc w:val="both"/>
        <w:divId w:val="1171067978"/>
        <w:rPr>
          <w:rFonts w:eastAsia="Times New Roman"/>
        </w:rPr>
      </w:pPr>
      <w:r>
        <w:rPr>
          <w:rFonts w:eastAsia="Times New Roman"/>
          <w:sz w:val="20"/>
          <w:szCs w:val="20"/>
        </w:rPr>
        <w:t>•</w:t>
      </w:r>
    </w:p>
    <w:p w:rsidR="00000000" w:rsidRDefault="00F83A7A">
      <w:pPr>
        <w:jc w:val="both"/>
        <w:divId w:val="68499618"/>
        <w:rPr>
          <w:rFonts w:eastAsia="Times New Roman"/>
        </w:rPr>
      </w:pPr>
      <w:r>
        <w:rPr>
          <w:rFonts w:eastAsia="Times New Roman"/>
          <w:sz w:val="20"/>
          <w:szCs w:val="20"/>
        </w:rPr>
        <w:t>competitors</w:t>
      </w:r>
      <w:r>
        <w:rPr>
          <w:rFonts w:eastAsia="Times New Roman"/>
          <w:sz w:val="20"/>
          <w:szCs w:val="20"/>
        </w:rPr>
        <w:t xml:space="preserve"> may develop alternatives that render any drug candidate we develop obsolete</w:t>
      </w:r>
      <w:r>
        <w:rPr>
          <w:rFonts w:eastAsia="Times New Roman"/>
          <w:sz w:val="20"/>
          <w:szCs w:val="20"/>
        </w:rPr>
        <w:t>;</w:t>
      </w:r>
    </w:p>
    <w:p w:rsidR="00000000" w:rsidRDefault="00F83A7A">
      <w:pPr>
        <w:jc w:val="both"/>
        <w:divId w:val="1603302274"/>
        <w:rPr>
          <w:rFonts w:eastAsia="Times New Roman"/>
        </w:rPr>
      </w:pPr>
      <w:r>
        <w:rPr>
          <w:rFonts w:eastAsia="Times New Roman"/>
          <w:sz w:val="20"/>
          <w:szCs w:val="20"/>
        </w:rPr>
        <w:t>•</w:t>
      </w:r>
    </w:p>
    <w:p w:rsidR="00000000" w:rsidRDefault="00F83A7A">
      <w:pPr>
        <w:jc w:val="both"/>
        <w:divId w:val="2031373740"/>
        <w:rPr>
          <w:rFonts w:eastAsia="Times New Roman"/>
        </w:rPr>
      </w:pPr>
      <w:r>
        <w:rPr>
          <w:rFonts w:eastAsia="Times New Roman"/>
          <w:sz w:val="20"/>
          <w:szCs w:val="20"/>
        </w:rPr>
        <w:t>any drug candidate we develop may nevertheless be covered by third parties’ patents or other exclusive rights</w:t>
      </w:r>
      <w:r>
        <w:rPr>
          <w:rFonts w:eastAsia="Times New Roman"/>
          <w:sz w:val="20"/>
          <w:szCs w:val="20"/>
        </w:rPr>
        <w:t>;</w:t>
      </w:r>
    </w:p>
    <w:p w:rsidR="00000000" w:rsidRDefault="00F83A7A">
      <w:pPr>
        <w:jc w:val="both"/>
        <w:divId w:val="328794362"/>
        <w:rPr>
          <w:rFonts w:eastAsia="Times New Roman"/>
        </w:rPr>
      </w:pPr>
      <w:r>
        <w:rPr>
          <w:rFonts w:eastAsia="Times New Roman"/>
          <w:sz w:val="20"/>
          <w:szCs w:val="20"/>
        </w:rPr>
        <w:t>•</w:t>
      </w:r>
    </w:p>
    <w:p w:rsidR="00000000" w:rsidRDefault="00F83A7A">
      <w:pPr>
        <w:jc w:val="both"/>
        <w:divId w:val="2096365605"/>
        <w:rPr>
          <w:rFonts w:eastAsia="Times New Roman"/>
        </w:rPr>
      </w:pPr>
      <w:r>
        <w:rPr>
          <w:rFonts w:eastAsia="Times New Roman"/>
          <w:sz w:val="20"/>
          <w:szCs w:val="20"/>
        </w:rPr>
        <w:t>a drug candidate may, on further study, be shown to have harmfu</w:t>
      </w:r>
      <w:r>
        <w:rPr>
          <w:rFonts w:eastAsia="Times New Roman"/>
          <w:sz w:val="20"/>
          <w:szCs w:val="20"/>
        </w:rPr>
        <w:t>l side effects or other characteristics that indicate it is unlikely to be effective or otherwise does not meet applicable regulatory criteria</w:t>
      </w:r>
      <w:r>
        <w:rPr>
          <w:rFonts w:eastAsia="Times New Roman"/>
          <w:sz w:val="20"/>
          <w:szCs w:val="20"/>
        </w:rPr>
        <w:t>;</w:t>
      </w:r>
    </w:p>
    <w:p w:rsidR="00000000" w:rsidRDefault="00F83A7A">
      <w:pPr>
        <w:jc w:val="both"/>
        <w:divId w:val="1453212044"/>
        <w:rPr>
          <w:rFonts w:eastAsia="Times New Roman"/>
        </w:rPr>
      </w:pPr>
      <w:r>
        <w:rPr>
          <w:rFonts w:eastAsia="Times New Roman"/>
          <w:sz w:val="20"/>
          <w:szCs w:val="20"/>
        </w:rPr>
        <w:t>•</w:t>
      </w:r>
    </w:p>
    <w:p w:rsidR="00000000" w:rsidRDefault="00F83A7A">
      <w:pPr>
        <w:jc w:val="both"/>
        <w:divId w:val="120850468"/>
        <w:rPr>
          <w:rFonts w:eastAsia="Times New Roman"/>
        </w:rPr>
      </w:pPr>
      <w:r>
        <w:rPr>
          <w:rFonts w:eastAsia="Times New Roman"/>
          <w:sz w:val="20"/>
          <w:szCs w:val="20"/>
        </w:rPr>
        <w:t>a drug candidate may not be capable of being produced in commercial quantities at an acceptable cost, or at al</w:t>
      </w:r>
      <w:r>
        <w:rPr>
          <w:rFonts w:eastAsia="Times New Roman"/>
          <w:sz w:val="20"/>
          <w:szCs w:val="20"/>
        </w:rPr>
        <w:t>l; an</w:t>
      </w:r>
      <w:r>
        <w:rPr>
          <w:rFonts w:eastAsia="Times New Roman"/>
          <w:sz w:val="20"/>
          <w:szCs w:val="20"/>
        </w:rPr>
        <w:t>d</w:t>
      </w:r>
    </w:p>
    <w:p w:rsidR="00000000" w:rsidRDefault="00F83A7A">
      <w:pPr>
        <w:jc w:val="both"/>
        <w:divId w:val="1246573962"/>
        <w:rPr>
          <w:rFonts w:eastAsia="Times New Roman"/>
        </w:rPr>
      </w:pPr>
      <w:r>
        <w:rPr>
          <w:rFonts w:eastAsia="Times New Roman"/>
          <w:sz w:val="20"/>
          <w:szCs w:val="20"/>
        </w:rPr>
        <w:t>•</w:t>
      </w:r>
    </w:p>
    <w:p w:rsidR="00000000" w:rsidRDefault="00F83A7A">
      <w:pPr>
        <w:jc w:val="both"/>
        <w:divId w:val="973020150"/>
        <w:rPr>
          <w:rFonts w:eastAsia="Times New Roman"/>
        </w:rPr>
      </w:pPr>
      <w:r>
        <w:rPr>
          <w:rFonts w:eastAsia="Times New Roman"/>
          <w:sz w:val="20"/>
          <w:szCs w:val="20"/>
        </w:rPr>
        <w:t>a drug candidate may not be accepted as safe and effective by physicians, patients, the medical community or third-party payors, even if approved</w:t>
      </w:r>
      <w:r>
        <w:rPr>
          <w:rFonts w:eastAsia="Times New Roman"/>
          <w:sz w:val="20"/>
          <w:szCs w:val="20"/>
        </w:rPr>
        <w:t>.</w:t>
      </w:r>
    </w:p>
    <w:p w:rsidR="00000000" w:rsidRDefault="00F83A7A">
      <w:pPr>
        <w:pStyle w:val="a3"/>
        <w:spacing w:before="240" w:beforeAutospacing="0" w:after="0" w:afterAutospacing="0"/>
        <w:ind w:firstLine="620"/>
        <w:jc w:val="both"/>
        <w:rPr>
          <w:sz w:val="20"/>
          <w:szCs w:val="20"/>
        </w:rPr>
      </w:pPr>
      <w:r>
        <w:rPr>
          <w:sz w:val="20"/>
          <w:szCs w:val="20"/>
        </w:rPr>
        <w:t>We have limited financial and management resources and, as a result, we may forego or delay the purs</w:t>
      </w:r>
      <w:r>
        <w:rPr>
          <w:sz w:val="20"/>
          <w:szCs w:val="20"/>
        </w:rPr>
        <w:t xml:space="preserve">uit of opportunities with other drug candidates or for other indications that later prove to have greater market potential. Our resource allocation decisions may cause us to fail to capitalize on viable commercial drugs or profitable market opportunities. </w:t>
      </w:r>
      <w:r>
        <w:rPr>
          <w:sz w:val="20"/>
          <w:szCs w:val="20"/>
        </w:rPr>
        <w:t>If we do not accurately evaluate the commercial potential or target market for a particular drug candidate, we may relinquish valuable rights to that drug candidate through collaboration, licensing or other royalty arrangements in circumstances under which</w:t>
      </w:r>
      <w:r>
        <w:rPr>
          <w:sz w:val="20"/>
          <w:szCs w:val="20"/>
        </w:rPr>
        <w:t xml:space="preserve"> it would have been more advantageous for us to retain sole development and commercialization rights to such drug candidate</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If we are unsuccessful in identifying and developing additional drug candidates or are unable to do so, our key growth strategy and</w:t>
      </w:r>
      <w:r>
        <w:rPr>
          <w:sz w:val="20"/>
          <w:szCs w:val="20"/>
        </w:rPr>
        <w:t xml:space="preserve"> business will be harmed</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Enrollment and retention of patients in clinical trials is an expensive and time-consuming process and could be made more difficult or rendered impossible by multiple factors outside our control</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Identifying and qualifying patient</w:t>
      </w:r>
      <w:r>
        <w:rPr>
          <w:sz w:val="20"/>
          <w:szCs w:val="20"/>
        </w:rPr>
        <w:t>s to participate in our clinical trials is critical to our success. The number of patients suffering from some of the seizure related disorders and rare neurological disorders we are pursuing is small and has not been established with precision. If the act</w:t>
      </w:r>
      <w:r>
        <w:rPr>
          <w:sz w:val="20"/>
          <w:szCs w:val="20"/>
        </w:rPr>
        <w:t>ual number of patients with these disorders is smaller than we anticipate, we may encounter difficulties in enrolling patients in our clinical trials, thereby delaying or preventing development and approval of our drug candidates. Even once enrolled we may</w:t>
      </w:r>
      <w:r>
        <w:rPr>
          <w:sz w:val="20"/>
          <w:szCs w:val="20"/>
        </w:rPr>
        <w:t xml:space="preserve"> be unable to retain a sufficient number of patients to complete any of our trials. Patient enrollment and retention in clinical trials depends on many factors, including the size of the patient population, the nature of the trial protocol, the existing bo</w:t>
      </w:r>
      <w:r>
        <w:rPr>
          <w:sz w:val="20"/>
          <w:szCs w:val="20"/>
        </w:rPr>
        <w:t>dy of safety and efficacy data, the number and nature of competing treatments and ongoing clinical trials of competing therapies for the same indication, the proximity of patients to clinical sites and the eligibility criteria for the trial, any such enrol</w:t>
      </w:r>
      <w:r>
        <w:rPr>
          <w:sz w:val="20"/>
          <w:szCs w:val="20"/>
        </w:rPr>
        <w:t>lment issues could cause delays or prevent development and approval of our drug candidates. Because we are focused on addressing seizure related disorders and rare neurological disorders, there are limited patient pools from which to draw in order to compl</w:t>
      </w:r>
      <w:r>
        <w:rPr>
          <w:sz w:val="20"/>
          <w:szCs w:val="20"/>
        </w:rPr>
        <w:t>ete our clinical trials in a timely and cost-effective manner. Furthermore, our efforts to build relationships with patient communities may not succeed, which could result in delays in patient enrollment in our clinical trials. In addition, any negative re</w:t>
      </w:r>
      <w:r>
        <w:rPr>
          <w:sz w:val="20"/>
          <w:szCs w:val="20"/>
        </w:rPr>
        <w:t>sults we may report in clinical trials of our drug candidate may make it difficult or impossible to recruit and retain patients in other clinical trials of that same drug candidate. Delays or failures in planned patient enrollment or retention may result i</w:t>
      </w:r>
      <w:r>
        <w:rPr>
          <w:sz w:val="20"/>
          <w:szCs w:val="20"/>
        </w:rPr>
        <w:t>n increased costs, program delays or both, which could have a harmful effect on our ability to develop our drug candidates, or could render further development impossible</w:t>
      </w:r>
      <w:r>
        <w:rPr>
          <w:sz w:val="20"/>
          <w:szCs w:val="20"/>
        </w:rPr>
        <w:t>.</w:t>
      </w:r>
    </w:p>
    <w:p w:rsidR="00000000" w:rsidRDefault="00F83A7A">
      <w:pPr>
        <w:pStyle w:val="a3"/>
        <w:spacing w:before="240" w:beforeAutospacing="0" w:after="0" w:afterAutospacing="0"/>
        <w:jc w:val="center"/>
        <w:rPr>
          <w:sz w:val="20"/>
          <w:szCs w:val="20"/>
        </w:rPr>
      </w:pPr>
      <w:r>
        <w:rPr>
          <w:sz w:val="20"/>
          <w:szCs w:val="20"/>
        </w:rPr>
        <w:t>2</w:t>
      </w:r>
      <w:r>
        <w:rPr>
          <w:sz w:val="20"/>
          <w:szCs w:val="20"/>
        </w:rPr>
        <w:t>6</w:t>
      </w:r>
    </w:p>
    <w:p w:rsidR="00000000" w:rsidRDefault="00F83A7A">
      <w:pPr>
        <w:rPr>
          <w:rFonts w:eastAsia="Times New Roman"/>
        </w:rPr>
      </w:pPr>
      <w:r>
        <w:rPr>
          <w:rFonts w:eastAsia="Times New Roman"/>
        </w:rPr>
        <w:pict>
          <v:rect id="_x0000_i1053"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rPr>
          <w:sz w:val="20"/>
          <w:szCs w:val="20"/>
        </w:rPr>
      </w:pPr>
      <w:r>
        <w:rPr>
          <w:b/>
          <w:bCs/>
          <w:i/>
          <w:iCs/>
          <w:sz w:val="20"/>
          <w:szCs w:val="20"/>
        </w:rPr>
        <w:t>Our drug candidates may cause undesirable side effects or have other properties that could delay or prevent their regulatory approval, limit the commercial potential or result in significant negative consequences following any potential marketing approval</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During the conduct of clinical trials, patients report changes in their health, including illnesses, injuries and discomforts, to their doctor. Often, it is not possible to determine whether or not the drug candidate being studied caused these conditions.</w:t>
      </w:r>
      <w:r>
        <w:rPr>
          <w:sz w:val="20"/>
          <w:szCs w:val="20"/>
        </w:rPr>
        <w:t xml:space="preserve"> Regulatory authorities may draw different conclusions or require additional testing to confirm these determinations, if they occur. In addition, it is possible that as we test our drug candidates in larger, longer and more extensive clinical programs, or </w:t>
      </w:r>
      <w:r>
        <w:rPr>
          <w:sz w:val="20"/>
          <w:szCs w:val="20"/>
        </w:rPr>
        <w:t>as use of these drug candidates becomes more widespread if they receive regulatory approval, illnesses, injuries, discomforts and other adverse events that were observed in earlier trials, as well as conditions that did not occur or went undetected in prev</w:t>
      </w:r>
      <w:r>
        <w:rPr>
          <w:sz w:val="20"/>
          <w:szCs w:val="20"/>
        </w:rPr>
        <w:t>ious trials, will be reported by subjects. Many times, side effects are only detectable after investigational drugs are tested in large-scale, Phase 3 trials or, in some cases, after they are made available to patients on a commercial scale after approval.</w:t>
      </w:r>
      <w:r>
        <w:rPr>
          <w:sz w:val="20"/>
          <w:szCs w:val="20"/>
        </w:rPr>
        <w:t xml:space="preserve"> For example, adverse events were reported in certain clinical trials for OV101 and OV935, two of our former drug candidates. If clinical experience indicates that any of our drug candidates causes adverse events or serious or life-threatening adverse even</w:t>
      </w:r>
      <w:r>
        <w:rPr>
          <w:sz w:val="20"/>
          <w:szCs w:val="20"/>
        </w:rPr>
        <w:t>ts, the development of that drug candidate may fail or be delayed, or, if the drug candidate has received regulatory approval, such approval may be revoked, which would harm our business, prospects, operating results and financial condition</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Moreover, if w</w:t>
      </w:r>
      <w:r>
        <w:rPr>
          <w:sz w:val="20"/>
          <w:szCs w:val="20"/>
        </w:rPr>
        <w:t>e elect, or are required, to delay, suspend or terminate any clinical trial of our drug candidates, the commercial prospects of our drug candidates may be harmed and our ability to generate revenue through their sale may be delayed or eliminated. Any of th</w:t>
      </w:r>
      <w:r>
        <w:rPr>
          <w:sz w:val="20"/>
          <w:szCs w:val="20"/>
        </w:rPr>
        <w:t>ese occurrences may harm our business, financial condition and prospects significantly</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Additionally, if any of our drug candidates receive marketing approval, the FDA could require us to include a black box warning in our label or adopt REMS to ensure tha</w:t>
      </w:r>
      <w:r>
        <w:rPr>
          <w:sz w:val="20"/>
          <w:szCs w:val="20"/>
        </w:rPr>
        <w:t>t the benefits outweigh its risks, which may include, among other things, a medication guide outlining the risks of the drug for distribution to patients and a communication plan to health care practitioners. Furthermore, if we or others later identify und</w:t>
      </w:r>
      <w:r>
        <w:rPr>
          <w:sz w:val="20"/>
          <w:szCs w:val="20"/>
        </w:rPr>
        <w:t>esirable side effects caused by our drug candidates, several potentially significant negative consequences could result, including</w:t>
      </w:r>
      <w:r>
        <w:rPr>
          <w:sz w:val="20"/>
          <w:szCs w:val="20"/>
        </w:rPr>
        <w:t>:</w:t>
      </w:r>
    </w:p>
    <w:p w:rsidR="00000000" w:rsidRDefault="00F83A7A">
      <w:pPr>
        <w:jc w:val="both"/>
        <w:divId w:val="1885946747"/>
        <w:rPr>
          <w:rFonts w:eastAsia="Times New Roman"/>
        </w:rPr>
      </w:pPr>
      <w:r>
        <w:rPr>
          <w:rFonts w:eastAsia="Times New Roman"/>
          <w:sz w:val="20"/>
          <w:szCs w:val="20"/>
        </w:rPr>
        <w:t>•</w:t>
      </w:r>
    </w:p>
    <w:p w:rsidR="00000000" w:rsidRDefault="00F83A7A">
      <w:pPr>
        <w:jc w:val="both"/>
        <w:divId w:val="81075949"/>
        <w:rPr>
          <w:rFonts w:eastAsia="Times New Roman"/>
        </w:rPr>
      </w:pPr>
      <w:r>
        <w:rPr>
          <w:rFonts w:eastAsia="Times New Roman"/>
          <w:sz w:val="20"/>
          <w:szCs w:val="20"/>
        </w:rPr>
        <w:t>regulatory authorities may suspend or withdraw approvals of such drug candidate</w:t>
      </w:r>
      <w:r>
        <w:rPr>
          <w:rFonts w:eastAsia="Times New Roman"/>
          <w:sz w:val="20"/>
          <w:szCs w:val="20"/>
        </w:rPr>
        <w:t>;</w:t>
      </w:r>
    </w:p>
    <w:p w:rsidR="00000000" w:rsidRDefault="00F83A7A">
      <w:pPr>
        <w:jc w:val="both"/>
        <w:divId w:val="519272232"/>
        <w:rPr>
          <w:rFonts w:eastAsia="Times New Roman"/>
        </w:rPr>
      </w:pPr>
      <w:r>
        <w:rPr>
          <w:rFonts w:eastAsia="Times New Roman"/>
          <w:sz w:val="20"/>
          <w:szCs w:val="20"/>
        </w:rPr>
        <w:t>•</w:t>
      </w:r>
    </w:p>
    <w:p w:rsidR="00000000" w:rsidRDefault="00F83A7A">
      <w:pPr>
        <w:jc w:val="both"/>
        <w:divId w:val="1516535207"/>
        <w:rPr>
          <w:rFonts w:eastAsia="Times New Roman"/>
        </w:rPr>
      </w:pPr>
      <w:r>
        <w:rPr>
          <w:rFonts w:eastAsia="Times New Roman"/>
          <w:sz w:val="20"/>
          <w:szCs w:val="20"/>
        </w:rPr>
        <w:t>regulatory authorities may require addi</w:t>
      </w:r>
      <w:r>
        <w:rPr>
          <w:rFonts w:eastAsia="Times New Roman"/>
          <w:sz w:val="20"/>
          <w:szCs w:val="20"/>
        </w:rPr>
        <w:t>tional warnings on the label</w:t>
      </w:r>
      <w:r>
        <w:rPr>
          <w:rFonts w:eastAsia="Times New Roman"/>
          <w:sz w:val="20"/>
          <w:szCs w:val="20"/>
        </w:rPr>
        <w:t>;</w:t>
      </w:r>
    </w:p>
    <w:p w:rsidR="00000000" w:rsidRDefault="00F83A7A">
      <w:pPr>
        <w:jc w:val="both"/>
        <w:divId w:val="2047630905"/>
        <w:rPr>
          <w:rFonts w:eastAsia="Times New Roman"/>
        </w:rPr>
      </w:pPr>
      <w:r>
        <w:rPr>
          <w:rFonts w:eastAsia="Times New Roman"/>
          <w:sz w:val="20"/>
          <w:szCs w:val="20"/>
        </w:rPr>
        <w:t>•</w:t>
      </w:r>
    </w:p>
    <w:p w:rsidR="00000000" w:rsidRDefault="00F83A7A">
      <w:pPr>
        <w:jc w:val="both"/>
        <w:divId w:val="1516310859"/>
        <w:rPr>
          <w:rFonts w:eastAsia="Times New Roman"/>
        </w:rPr>
      </w:pPr>
      <w:r>
        <w:rPr>
          <w:rFonts w:eastAsia="Times New Roman"/>
          <w:sz w:val="20"/>
          <w:szCs w:val="20"/>
        </w:rPr>
        <w:t>we may be required to change the way a drug candidate is administered or conduct additional clinical trials</w:t>
      </w:r>
      <w:r>
        <w:rPr>
          <w:rFonts w:eastAsia="Times New Roman"/>
          <w:sz w:val="20"/>
          <w:szCs w:val="20"/>
        </w:rPr>
        <w:t>;</w:t>
      </w:r>
    </w:p>
    <w:p w:rsidR="00000000" w:rsidRDefault="00F83A7A">
      <w:pPr>
        <w:jc w:val="both"/>
        <w:divId w:val="2040086954"/>
        <w:rPr>
          <w:rFonts w:eastAsia="Times New Roman"/>
        </w:rPr>
      </w:pPr>
      <w:r>
        <w:rPr>
          <w:rFonts w:eastAsia="Times New Roman"/>
          <w:sz w:val="20"/>
          <w:szCs w:val="20"/>
        </w:rPr>
        <w:t>•</w:t>
      </w:r>
    </w:p>
    <w:p w:rsidR="00000000" w:rsidRDefault="00F83A7A">
      <w:pPr>
        <w:jc w:val="both"/>
        <w:divId w:val="1559390729"/>
        <w:rPr>
          <w:rFonts w:eastAsia="Times New Roman"/>
        </w:rPr>
      </w:pPr>
      <w:r>
        <w:rPr>
          <w:rFonts w:eastAsia="Times New Roman"/>
          <w:sz w:val="20"/>
          <w:szCs w:val="20"/>
        </w:rPr>
        <w:t>we could be sued and held liable for harm caused to patients</w:t>
      </w:r>
      <w:r>
        <w:rPr>
          <w:rFonts w:eastAsia="Times New Roman"/>
          <w:sz w:val="20"/>
          <w:szCs w:val="20"/>
        </w:rPr>
        <w:t>;</w:t>
      </w:r>
    </w:p>
    <w:p w:rsidR="00000000" w:rsidRDefault="00F83A7A">
      <w:pPr>
        <w:jc w:val="both"/>
        <w:divId w:val="1232933685"/>
        <w:rPr>
          <w:rFonts w:eastAsia="Times New Roman"/>
        </w:rPr>
      </w:pPr>
      <w:r>
        <w:rPr>
          <w:rFonts w:eastAsia="Times New Roman"/>
          <w:sz w:val="20"/>
          <w:szCs w:val="20"/>
        </w:rPr>
        <w:t>•</w:t>
      </w:r>
    </w:p>
    <w:p w:rsidR="00000000" w:rsidRDefault="00F83A7A">
      <w:pPr>
        <w:jc w:val="both"/>
        <w:divId w:val="1120101031"/>
        <w:rPr>
          <w:rFonts w:eastAsia="Times New Roman"/>
        </w:rPr>
      </w:pPr>
      <w:r>
        <w:rPr>
          <w:rFonts w:eastAsia="Times New Roman"/>
          <w:sz w:val="20"/>
          <w:szCs w:val="20"/>
        </w:rPr>
        <w:t>we may need to conduct a recall; an</w:t>
      </w:r>
      <w:r>
        <w:rPr>
          <w:rFonts w:eastAsia="Times New Roman"/>
          <w:sz w:val="20"/>
          <w:szCs w:val="20"/>
        </w:rPr>
        <w:t>d</w:t>
      </w:r>
    </w:p>
    <w:p w:rsidR="00000000" w:rsidRDefault="00F83A7A">
      <w:pPr>
        <w:jc w:val="both"/>
        <w:divId w:val="57561108"/>
        <w:rPr>
          <w:rFonts w:eastAsia="Times New Roman"/>
        </w:rPr>
      </w:pPr>
      <w:r>
        <w:rPr>
          <w:rFonts w:eastAsia="Times New Roman"/>
          <w:sz w:val="20"/>
          <w:szCs w:val="20"/>
        </w:rPr>
        <w:t>•</w:t>
      </w:r>
    </w:p>
    <w:p w:rsidR="00000000" w:rsidRDefault="00F83A7A">
      <w:pPr>
        <w:jc w:val="both"/>
        <w:divId w:val="1433356950"/>
        <w:rPr>
          <w:rFonts w:eastAsia="Times New Roman"/>
        </w:rPr>
      </w:pPr>
      <w:r>
        <w:rPr>
          <w:rFonts w:eastAsia="Times New Roman"/>
          <w:sz w:val="20"/>
          <w:szCs w:val="20"/>
        </w:rPr>
        <w:t>our reputa</w:t>
      </w:r>
      <w:r>
        <w:rPr>
          <w:rFonts w:eastAsia="Times New Roman"/>
          <w:sz w:val="20"/>
          <w:szCs w:val="20"/>
        </w:rPr>
        <w:t>tion may suffer</w:t>
      </w:r>
      <w:r>
        <w:rPr>
          <w:rFonts w:eastAsia="Times New Roman"/>
          <w:sz w:val="20"/>
          <w:szCs w:val="20"/>
        </w:rPr>
        <w:t>.</w:t>
      </w:r>
    </w:p>
    <w:p w:rsidR="00000000" w:rsidRDefault="00F83A7A">
      <w:pPr>
        <w:pStyle w:val="a3"/>
        <w:spacing w:before="240" w:beforeAutospacing="0" w:after="0" w:afterAutospacing="0"/>
        <w:ind w:firstLine="620"/>
        <w:jc w:val="both"/>
        <w:rPr>
          <w:sz w:val="20"/>
          <w:szCs w:val="20"/>
        </w:rPr>
      </w:pPr>
      <w:r>
        <w:rPr>
          <w:sz w:val="20"/>
          <w:szCs w:val="20"/>
        </w:rPr>
        <w:t>Any of these events could prevent us from achieving or maintaining market acceptance of our drug candidates and could significantly harm our business, prospects, financial condition and results of operations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If the market opportunities fo</w:t>
      </w:r>
      <w:r>
        <w:rPr>
          <w:b/>
          <w:bCs/>
          <w:i/>
          <w:iCs/>
          <w:sz w:val="20"/>
          <w:szCs w:val="20"/>
        </w:rPr>
        <w:t xml:space="preserve">r our drug candidates are smaller than we believe they are, even assuming approval of a drug candidate, our business may suffer. Because the patient populations in the market for our drug candidates may be small and difficult to assess, we must be able to </w:t>
      </w:r>
      <w:r>
        <w:rPr>
          <w:b/>
          <w:bCs/>
          <w:i/>
          <w:iCs/>
          <w:sz w:val="20"/>
          <w:szCs w:val="20"/>
        </w:rPr>
        <w:t>successfully identify patients and acquire a significant market share to achieve profitability and growth</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We focus our research and drug development on treatments for epilepsies, seizure-related disorders and rare neurological disorders. Given the small n</w:t>
      </w:r>
      <w:r>
        <w:rPr>
          <w:sz w:val="20"/>
          <w:szCs w:val="20"/>
        </w:rPr>
        <w:t xml:space="preserve">umber of patients who have the disorders that we are targeting, our eligible patient population and pricing estimates may differ significantly from the actual market addressable by our drug candidates. Our projections of both the number of people who have </w:t>
      </w:r>
      <w:r>
        <w:rPr>
          <w:sz w:val="20"/>
          <w:szCs w:val="20"/>
        </w:rPr>
        <w:t xml:space="preserve">these disorders, as well as the subset of people with these disorders who have the potential to benefit from treatment with our drug candidates, are based on our beliefs and estimates. These estimates have been derived from a variety of sources, including </w:t>
      </w:r>
      <w:r>
        <w:rPr>
          <w:sz w:val="20"/>
          <w:szCs w:val="20"/>
        </w:rPr>
        <w:t>the scientific literature, patient foundations, or market research, and may prove to be incorrect. Further, new studies may change the estimated incidence or prevalence of these disorders. The number of patients may turn out to be lower than expected. Like</w:t>
      </w:r>
      <w:r>
        <w:rPr>
          <w:sz w:val="20"/>
          <w:szCs w:val="20"/>
        </w:rPr>
        <w:t xml:space="preserve">wise, the potentially addressable patient population for each of our drug candidates may be limited or may not be amenable to treatment with our drug candidates, and new patients may become increasingly difficult to identify or gain access to, which would </w:t>
      </w:r>
      <w:r>
        <w:rPr>
          <w:sz w:val="20"/>
          <w:szCs w:val="20"/>
        </w:rPr>
        <w:t>adversely affect our results of operations and our business</w:t>
      </w:r>
      <w:r>
        <w:rPr>
          <w:sz w:val="20"/>
          <w:szCs w:val="20"/>
        </w:rPr>
        <w:t>.</w:t>
      </w:r>
      <w:r>
        <w:rPr>
          <w:sz w:val="20"/>
          <w:szCs w:val="20"/>
        </w:rPr>
        <w:t xml:space="preserve"> </w:t>
      </w:r>
    </w:p>
    <w:p w:rsidR="00000000" w:rsidRDefault="00F83A7A">
      <w:pPr>
        <w:pStyle w:val="a3"/>
        <w:spacing w:before="200" w:beforeAutospacing="0" w:after="0" w:afterAutospacing="0"/>
        <w:jc w:val="both"/>
        <w:rPr>
          <w:sz w:val="20"/>
          <w:szCs w:val="20"/>
        </w:rPr>
      </w:pPr>
      <w:r>
        <w:rPr>
          <w:b/>
          <w:bCs/>
          <w:i/>
          <w:iCs/>
          <w:sz w:val="20"/>
          <w:szCs w:val="20"/>
        </w:rPr>
        <w:t>We face substantial competition, which may result in others developing or commercializing drugs before or more successfully than us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The development and commercialization of new drugs is highly </w:t>
      </w:r>
      <w:r>
        <w:rPr>
          <w:sz w:val="20"/>
          <w:szCs w:val="20"/>
        </w:rPr>
        <w:t>competitive. We face competition with respect to our current drug candidates and will face competition with respect to any other drug candidates that we may seek to develop or commercialize in the future, from major pharmaceutical companies, specialty phar</w:t>
      </w:r>
      <w:r>
        <w:rPr>
          <w:sz w:val="20"/>
          <w:szCs w:val="20"/>
        </w:rPr>
        <w:t>maceutical companies and biotechnology companies worldwide. Ther</w:t>
      </w:r>
      <w:r>
        <w:rPr>
          <w:sz w:val="20"/>
          <w:szCs w:val="20"/>
        </w:rPr>
        <w:t>e</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2</w:t>
      </w:r>
      <w:r>
        <w:rPr>
          <w:sz w:val="20"/>
          <w:szCs w:val="20"/>
        </w:rPr>
        <w:t>7</w:t>
      </w:r>
    </w:p>
    <w:p w:rsidR="00000000" w:rsidRDefault="00F83A7A">
      <w:pPr>
        <w:rPr>
          <w:rFonts w:eastAsia="Times New Roman"/>
        </w:rPr>
      </w:pPr>
      <w:r>
        <w:rPr>
          <w:rFonts w:eastAsia="Times New Roman"/>
        </w:rPr>
        <w:pict>
          <v:rect id="_x0000_i1054"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jc w:val="both"/>
        <w:rPr>
          <w:sz w:val="20"/>
          <w:szCs w:val="20"/>
        </w:rPr>
      </w:pPr>
      <w:r>
        <w:rPr>
          <w:sz w:val="20"/>
          <w:szCs w:val="20"/>
        </w:rPr>
        <w:t>are a number of large pharmaceutical and biotechnology companies that currently market and sell drugs or are pursuing the development of drug candidates for the treatment of the indications that we are pursuing. Potent</w:t>
      </w:r>
      <w:r>
        <w:rPr>
          <w:sz w:val="20"/>
          <w:szCs w:val="20"/>
        </w:rPr>
        <w:t xml:space="preserve">ial competitors also include academic institutions, government agencies and other public and private research organizations that conduct research, seek patent protection and establish collaborative arrangements for research, development, manufacturing and </w:t>
      </w:r>
      <w:r>
        <w:rPr>
          <w:sz w:val="20"/>
          <w:szCs w:val="20"/>
        </w:rPr>
        <w:t>commercialization</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More established companies may have a competitive advantage over us due to their greater size, resources and institutional experience. In particular, these companies have greater experience and expertise in securing reimbursement, govern</w:t>
      </w:r>
      <w:r>
        <w:rPr>
          <w:sz w:val="20"/>
          <w:szCs w:val="20"/>
        </w:rPr>
        <w:t>ment contracts, relationships with key opinion leaders, conducting testing and clinical trials, obtaining and maintaining regulatory approvals and distribution relationships to market products, and marketing approved drugs. These companies also have signif</w:t>
      </w:r>
      <w:r>
        <w:rPr>
          <w:sz w:val="20"/>
          <w:szCs w:val="20"/>
        </w:rPr>
        <w:t>icantly greater research and marketing capabilities than we do. If we are not able to compete effectively against existing and potential competitors, our business and financial condition may be harmed</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As a result of these factors, our competitors may obta</w:t>
      </w:r>
      <w:r>
        <w:rPr>
          <w:sz w:val="20"/>
          <w:szCs w:val="20"/>
        </w:rPr>
        <w:t>in regulatory approval of their drugs before we are able to, which may limit our ability to develop or commercialize our drug candidates. Our competitors may also develop therapies that are safer, more effective, more widely accepted and cheaper than ours,</w:t>
      </w:r>
      <w:r>
        <w:rPr>
          <w:sz w:val="20"/>
          <w:szCs w:val="20"/>
        </w:rPr>
        <w:t xml:space="preserve"> and may also be more successful than us in manufacturing and marketing their drugs. These appreciable advantages could render our drug candidates obsolete or non-competitive before we can recover the expenses of such drug candidates’ development and comme</w:t>
      </w:r>
      <w:r>
        <w:rPr>
          <w:sz w:val="20"/>
          <w:szCs w:val="20"/>
        </w:rPr>
        <w:t>rcialization</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Mergers and acquisitions in the pharmaceutical and biotechnology industries may result in even more resources being concentrated among a smaller number of our competitors. Smaller and other early-stage companies may also prove to be significa</w:t>
      </w:r>
      <w:r>
        <w:rPr>
          <w:sz w:val="20"/>
          <w:szCs w:val="20"/>
        </w:rPr>
        <w:t>nt competitors, particularly through collaborative arrangements with large and established companies. These third parties compete with us in recruiting and retaining qualified scientific, management and commercial personnel, establishing clinical trial sit</w:t>
      </w:r>
      <w:r>
        <w:rPr>
          <w:sz w:val="20"/>
          <w:szCs w:val="20"/>
        </w:rPr>
        <w:t>es and subject registration for clinical trials, as well as in acquiring technologies complementary to, or necessary for, our programs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 xml:space="preserve">Even if our current or future drug candidates receive marketing approval, they may fail to achieve market acceptance by </w:t>
      </w:r>
      <w:r>
        <w:rPr>
          <w:b/>
          <w:bCs/>
          <w:i/>
          <w:iCs/>
          <w:sz w:val="20"/>
          <w:szCs w:val="20"/>
        </w:rPr>
        <w:t>physicians, patients, third-party payors or others in the medical community necessary for commercial success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Even if our current or future drug candidates receive marketing approval, they may fail to gain sufficient market acceptance by physicians, patien</w:t>
      </w:r>
      <w:r>
        <w:rPr>
          <w:sz w:val="20"/>
          <w:szCs w:val="20"/>
        </w:rPr>
        <w:t>ts, third-party payors and others in the medical community. If they do not achieve an adequate level of acceptance, we may not generate significant drug revenue and may not become profitable. The degree of market acceptance of our current or future drug ca</w:t>
      </w:r>
      <w:r>
        <w:rPr>
          <w:sz w:val="20"/>
          <w:szCs w:val="20"/>
        </w:rPr>
        <w:t>ndidates, if approved for commercial sale, will depend on a number of factors, including but not limited to</w:t>
      </w:r>
      <w:r>
        <w:rPr>
          <w:sz w:val="20"/>
          <w:szCs w:val="20"/>
        </w:rPr>
        <w:t>:</w:t>
      </w:r>
    </w:p>
    <w:p w:rsidR="00000000" w:rsidRDefault="00F83A7A">
      <w:pPr>
        <w:jc w:val="both"/>
        <w:divId w:val="872619661"/>
        <w:rPr>
          <w:rFonts w:eastAsia="Times New Roman"/>
        </w:rPr>
      </w:pPr>
      <w:r>
        <w:rPr>
          <w:rFonts w:eastAsia="Times New Roman"/>
          <w:sz w:val="20"/>
          <w:szCs w:val="20"/>
        </w:rPr>
        <w:t>•</w:t>
      </w:r>
    </w:p>
    <w:p w:rsidR="00000000" w:rsidRDefault="00F83A7A">
      <w:pPr>
        <w:jc w:val="both"/>
        <w:divId w:val="469589166"/>
        <w:rPr>
          <w:rFonts w:eastAsia="Times New Roman"/>
        </w:rPr>
      </w:pPr>
      <w:r>
        <w:rPr>
          <w:rFonts w:eastAsia="Times New Roman"/>
          <w:sz w:val="20"/>
          <w:szCs w:val="20"/>
        </w:rPr>
        <w:t>the efficacy and potential advantages compared to alternative treatments and therapies</w:t>
      </w:r>
      <w:r>
        <w:rPr>
          <w:rFonts w:eastAsia="Times New Roman"/>
          <w:sz w:val="20"/>
          <w:szCs w:val="20"/>
        </w:rPr>
        <w:t>;</w:t>
      </w:r>
    </w:p>
    <w:p w:rsidR="00000000" w:rsidRDefault="00F83A7A">
      <w:pPr>
        <w:jc w:val="both"/>
        <w:divId w:val="628779457"/>
        <w:rPr>
          <w:rFonts w:eastAsia="Times New Roman"/>
        </w:rPr>
      </w:pPr>
      <w:r>
        <w:rPr>
          <w:rFonts w:eastAsia="Times New Roman"/>
          <w:sz w:val="20"/>
          <w:szCs w:val="20"/>
        </w:rPr>
        <w:t>•</w:t>
      </w:r>
    </w:p>
    <w:p w:rsidR="00000000" w:rsidRDefault="00F83A7A">
      <w:pPr>
        <w:jc w:val="both"/>
        <w:divId w:val="641733187"/>
        <w:rPr>
          <w:rFonts w:eastAsia="Times New Roman"/>
        </w:rPr>
      </w:pPr>
      <w:r>
        <w:rPr>
          <w:rFonts w:eastAsia="Times New Roman"/>
          <w:sz w:val="20"/>
          <w:szCs w:val="20"/>
        </w:rPr>
        <w:t>the safety profile of our drug candidate compared to al</w:t>
      </w:r>
      <w:r>
        <w:rPr>
          <w:rFonts w:eastAsia="Times New Roman"/>
          <w:sz w:val="20"/>
          <w:szCs w:val="20"/>
        </w:rPr>
        <w:t>ternative treatments and therapies</w:t>
      </w:r>
      <w:r>
        <w:rPr>
          <w:rFonts w:eastAsia="Times New Roman"/>
          <w:sz w:val="20"/>
          <w:szCs w:val="20"/>
        </w:rPr>
        <w:t>;</w:t>
      </w:r>
    </w:p>
    <w:p w:rsidR="00000000" w:rsidRDefault="00F83A7A">
      <w:pPr>
        <w:jc w:val="both"/>
        <w:divId w:val="1706373042"/>
        <w:rPr>
          <w:rFonts w:eastAsia="Times New Roman"/>
        </w:rPr>
      </w:pPr>
      <w:r>
        <w:rPr>
          <w:rFonts w:eastAsia="Times New Roman"/>
          <w:sz w:val="20"/>
          <w:szCs w:val="20"/>
        </w:rPr>
        <w:t>•</w:t>
      </w:r>
    </w:p>
    <w:p w:rsidR="00000000" w:rsidRDefault="00F83A7A">
      <w:pPr>
        <w:jc w:val="both"/>
        <w:divId w:val="726073727"/>
        <w:rPr>
          <w:rFonts w:eastAsia="Times New Roman"/>
        </w:rPr>
      </w:pPr>
      <w:r>
        <w:rPr>
          <w:rFonts w:eastAsia="Times New Roman"/>
          <w:sz w:val="20"/>
          <w:szCs w:val="20"/>
        </w:rPr>
        <w:t>effectiveness of sales and marketing efforts</w:t>
      </w:r>
      <w:r>
        <w:rPr>
          <w:rFonts w:eastAsia="Times New Roman"/>
          <w:sz w:val="20"/>
          <w:szCs w:val="20"/>
        </w:rPr>
        <w:t>;</w:t>
      </w:r>
    </w:p>
    <w:p w:rsidR="00000000" w:rsidRDefault="00F83A7A">
      <w:pPr>
        <w:jc w:val="both"/>
        <w:divId w:val="1527526000"/>
        <w:rPr>
          <w:rFonts w:eastAsia="Times New Roman"/>
        </w:rPr>
      </w:pPr>
      <w:r>
        <w:rPr>
          <w:rFonts w:eastAsia="Times New Roman"/>
          <w:sz w:val="20"/>
          <w:szCs w:val="20"/>
        </w:rPr>
        <w:t>•</w:t>
      </w:r>
    </w:p>
    <w:p w:rsidR="00000000" w:rsidRDefault="00F83A7A">
      <w:pPr>
        <w:jc w:val="both"/>
        <w:divId w:val="1734694240"/>
        <w:rPr>
          <w:rFonts w:eastAsia="Times New Roman"/>
        </w:rPr>
      </w:pPr>
      <w:r>
        <w:rPr>
          <w:rFonts w:eastAsia="Times New Roman"/>
          <w:sz w:val="20"/>
          <w:szCs w:val="20"/>
        </w:rPr>
        <w:t>the strength of our relationships with patient communities</w:t>
      </w:r>
      <w:r>
        <w:rPr>
          <w:rFonts w:eastAsia="Times New Roman"/>
          <w:sz w:val="20"/>
          <w:szCs w:val="20"/>
        </w:rPr>
        <w:t>;</w:t>
      </w:r>
    </w:p>
    <w:p w:rsidR="00000000" w:rsidRDefault="00F83A7A">
      <w:pPr>
        <w:jc w:val="both"/>
        <w:divId w:val="1368288363"/>
        <w:rPr>
          <w:rFonts w:eastAsia="Times New Roman"/>
        </w:rPr>
      </w:pPr>
      <w:r>
        <w:rPr>
          <w:rFonts w:eastAsia="Times New Roman"/>
          <w:sz w:val="20"/>
          <w:szCs w:val="20"/>
        </w:rPr>
        <w:t>•</w:t>
      </w:r>
    </w:p>
    <w:p w:rsidR="00000000" w:rsidRDefault="00F83A7A">
      <w:pPr>
        <w:jc w:val="both"/>
        <w:divId w:val="2024286860"/>
        <w:rPr>
          <w:rFonts w:eastAsia="Times New Roman"/>
        </w:rPr>
      </w:pPr>
      <w:r>
        <w:rPr>
          <w:rFonts w:eastAsia="Times New Roman"/>
          <w:sz w:val="20"/>
          <w:szCs w:val="20"/>
        </w:rPr>
        <w:t>the cost of treatment in relation to alternative treatments and therapies, including any similar generic tre</w:t>
      </w:r>
      <w:r>
        <w:rPr>
          <w:rFonts w:eastAsia="Times New Roman"/>
          <w:sz w:val="20"/>
          <w:szCs w:val="20"/>
        </w:rPr>
        <w:t>atments</w:t>
      </w:r>
      <w:r>
        <w:rPr>
          <w:rFonts w:eastAsia="Times New Roman"/>
          <w:sz w:val="20"/>
          <w:szCs w:val="20"/>
        </w:rPr>
        <w:t>;</w:t>
      </w:r>
    </w:p>
    <w:p w:rsidR="00000000" w:rsidRDefault="00F83A7A">
      <w:pPr>
        <w:jc w:val="both"/>
        <w:divId w:val="852525016"/>
        <w:rPr>
          <w:rFonts w:eastAsia="Times New Roman"/>
        </w:rPr>
      </w:pPr>
      <w:r>
        <w:rPr>
          <w:rFonts w:eastAsia="Times New Roman"/>
          <w:sz w:val="20"/>
          <w:szCs w:val="20"/>
        </w:rPr>
        <w:t>•</w:t>
      </w:r>
    </w:p>
    <w:p w:rsidR="00000000" w:rsidRDefault="00F83A7A">
      <w:pPr>
        <w:jc w:val="both"/>
        <w:divId w:val="1938977254"/>
        <w:rPr>
          <w:rFonts w:eastAsia="Times New Roman"/>
        </w:rPr>
      </w:pPr>
      <w:r>
        <w:rPr>
          <w:rFonts w:eastAsia="Times New Roman"/>
          <w:sz w:val="20"/>
          <w:szCs w:val="20"/>
        </w:rPr>
        <w:t>our ability to offer such drug for sale at competitive prices</w:t>
      </w:r>
      <w:r>
        <w:rPr>
          <w:rFonts w:eastAsia="Times New Roman"/>
          <w:sz w:val="20"/>
          <w:szCs w:val="20"/>
        </w:rPr>
        <w:t>;</w:t>
      </w:r>
    </w:p>
    <w:p w:rsidR="00000000" w:rsidRDefault="00F83A7A">
      <w:pPr>
        <w:jc w:val="both"/>
        <w:divId w:val="1021660689"/>
        <w:rPr>
          <w:rFonts w:eastAsia="Times New Roman"/>
        </w:rPr>
      </w:pPr>
      <w:r>
        <w:rPr>
          <w:rFonts w:eastAsia="Times New Roman"/>
          <w:sz w:val="20"/>
          <w:szCs w:val="20"/>
        </w:rPr>
        <w:t>•</w:t>
      </w:r>
    </w:p>
    <w:p w:rsidR="00000000" w:rsidRDefault="00F83A7A">
      <w:pPr>
        <w:jc w:val="both"/>
        <w:divId w:val="1095587637"/>
        <w:rPr>
          <w:rFonts w:eastAsia="Times New Roman"/>
        </w:rPr>
      </w:pPr>
      <w:r>
        <w:rPr>
          <w:rFonts w:eastAsia="Times New Roman"/>
          <w:sz w:val="20"/>
          <w:szCs w:val="20"/>
        </w:rPr>
        <w:t>the convenience and ease of administration compared to alternative treatments and therapies</w:t>
      </w:r>
      <w:r>
        <w:rPr>
          <w:rFonts w:eastAsia="Times New Roman"/>
          <w:sz w:val="20"/>
          <w:szCs w:val="20"/>
        </w:rPr>
        <w:t>;</w:t>
      </w:r>
    </w:p>
    <w:p w:rsidR="00000000" w:rsidRDefault="00F83A7A">
      <w:pPr>
        <w:jc w:val="both"/>
        <w:divId w:val="1648973902"/>
        <w:rPr>
          <w:rFonts w:eastAsia="Times New Roman"/>
        </w:rPr>
      </w:pPr>
      <w:r>
        <w:rPr>
          <w:rFonts w:eastAsia="Times New Roman"/>
          <w:sz w:val="20"/>
          <w:szCs w:val="20"/>
        </w:rPr>
        <w:t>•</w:t>
      </w:r>
    </w:p>
    <w:p w:rsidR="00000000" w:rsidRDefault="00F83A7A">
      <w:pPr>
        <w:jc w:val="both"/>
        <w:divId w:val="1894853854"/>
        <w:rPr>
          <w:rFonts w:eastAsia="Times New Roman"/>
        </w:rPr>
      </w:pPr>
      <w:r>
        <w:rPr>
          <w:rFonts w:eastAsia="Times New Roman"/>
          <w:sz w:val="20"/>
          <w:szCs w:val="20"/>
        </w:rPr>
        <w:t>the willingness of the target patient population to try new therapies and of physicians to prescribe these therapies</w:t>
      </w:r>
      <w:r>
        <w:rPr>
          <w:rFonts w:eastAsia="Times New Roman"/>
          <w:sz w:val="20"/>
          <w:szCs w:val="20"/>
        </w:rPr>
        <w:t>;</w:t>
      </w:r>
    </w:p>
    <w:p w:rsidR="00000000" w:rsidRDefault="00F83A7A">
      <w:pPr>
        <w:jc w:val="both"/>
        <w:divId w:val="1829979382"/>
        <w:rPr>
          <w:rFonts w:eastAsia="Times New Roman"/>
        </w:rPr>
      </w:pPr>
      <w:r>
        <w:rPr>
          <w:rFonts w:eastAsia="Times New Roman"/>
          <w:sz w:val="20"/>
          <w:szCs w:val="20"/>
        </w:rPr>
        <w:t>•</w:t>
      </w:r>
    </w:p>
    <w:p w:rsidR="00000000" w:rsidRDefault="00F83A7A">
      <w:pPr>
        <w:jc w:val="both"/>
        <w:divId w:val="1324972707"/>
        <w:rPr>
          <w:rFonts w:eastAsia="Times New Roman"/>
        </w:rPr>
      </w:pPr>
      <w:r>
        <w:rPr>
          <w:rFonts w:eastAsia="Times New Roman"/>
          <w:sz w:val="20"/>
          <w:szCs w:val="20"/>
        </w:rPr>
        <w:t>the strength of marketing and distributio</w:t>
      </w:r>
      <w:r>
        <w:rPr>
          <w:rFonts w:eastAsia="Times New Roman"/>
          <w:sz w:val="20"/>
          <w:szCs w:val="20"/>
        </w:rPr>
        <w:t>n support</w:t>
      </w:r>
      <w:r>
        <w:rPr>
          <w:rFonts w:eastAsia="Times New Roman"/>
          <w:sz w:val="20"/>
          <w:szCs w:val="20"/>
        </w:rPr>
        <w:t>;</w:t>
      </w:r>
    </w:p>
    <w:p w:rsidR="00000000" w:rsidRDefault="00F83A7A">
      <w:pPr>
        <w:jc w:val="both"/>
        <w:divId w:val="2048142795"/>
        <w:rPr>
          <w:rFonts w:eastAsia="Times New Roman"/>
        </w:rPr>
      </w:pPr>
      <w:r>
        <w:rPr>
          <w:rFonts w:eastAsia="Times New Roman"/>
          <w:sz w:val="20"/>
          <w:szCs w:val="20"/>
        </w:rPr>
        <w:t>•</w:t>
      </w:r>
    </w:p>
    <w:p w:rsidR="00000000" w:rsidRDefault="00F83A7A">
      <w:pPr>
        <w:jc w:val="both"/>
        <w:divId w:val="697505683"/>
        <w:rPr>
          <w:rFonts w:eastAsia="Times New Roman"/>
        </w:rPr>
      </w:pPr>
      <w:r>
        <w:rPr>
          <w:rFonts w:eastAsia="Times New Roman"/>
          <w:sz w:val="20"/>
          <w:szCs w:val="20"/>
        </w:rPr>
        <w:t>the availability of third-party coverage and adequate reimbursement</w:t>
      </w:r>
      <w:r>
        <w:rPr>
          <w:rFonts w:eastAsia="Times New Roman"/>
          <w:sz w:val="20"/>
          <w:szCs w:val="20"/>
        </w:rPr>
        <w:t>;</w:t>
      </w:r>
    </w:p>
    <w:p w:rsidR="00000000" w:rsidRDefault="00F83A7A">
      <w:pPr>
        <w:jc w:val="both"/>
        <w:divId w:val="832792377"/>
        <w:rPr>
          <w:rFonts w:eastAsia="Times New Roman"/>
        </w:rPr>
      </w:pPr>
      <w:r>
        <w:rPr>
          <w:rFonts w:eastAsia="Times New Roman"/>
          <w:sz w:val="20"/>
          <w:szCs w:val="20"/>
        </w:rPr>
        <w:t>•</w:t>
      </w:r>
    </w:p>
    <w:p w:rsidR="00000000" w:rsidRDefault="00F83A7A">
      <w:pPr>
        <w:jc w:val="both"/>
        <w:divId w:val="1721050476"/>
        <w:rPr>
          <w:rFonts w:eastAsia="Times New Roman"/>
        </w:rPr>
      </w:pPr>
      <w:r>
        <w:rPr>
          <w:rFonts w:eastAsia="Times New Roman"/>
          <w:sz w:val="20"/>
          <w:szCs w:val="20"/>
        </w:rPr>
        <w:t>the prevalence and severity of any side effects; an</w:t>
      </w:r>
      <w:r>
        <w:rPr>
          <w:rFonts w:eastAsia="Times New Roman"/>
          <w:sz w:val="20"/>
          <w:szCs w:val="20"/>
        </w:rPr>
        <w:t>d</w:t>
      </w:r>
    </w:p>
    <w:p w:rsidR="00000000" w:rsidRDefault="00F83A7A">
      <w:pPr>
        <w:jc w:val="both"/>
        <w:divId w:val="1076439716"/>
        <w:rPr>
          <w:rFonts w:eastAsia="Times New Roman"/>
        </w:rPr>
      </w:pPr>
      <w:r>
        <w:rPr>
          <w:rFonts w:eastAsia="Times New Roman"/>
          <w:sz w:val="20"/>
          <w:szCs w:val="20"/>
        </w:rPr>
        <w:t>•</w:t>
      </w:r>
    </w:p>
    <w:p w:rsidR="00000000" w:rsidRDefault="00F83A7A">
      <w:pPr>
        <w:jc w:val="both"/>
        <w:divId w:val="772365066"/>
        <w:rPr>
          <w:rFonts w:eastAsia="Times New Roman"/>
        </w:rPr>
      </w:pPr>
      <w:r>
        <w:rPr>
          <w:rFonts w:eastAsia="Times New Roman"/>
          <w:sz w:val="20"/>
          <w:szCs w:val="20"/>
        </w:rPr>
        <w:t>any restrictions on the use of the drug together with other medications</w:t>
      </w:r>
      <w:r>
        <w:rPr>
          <w:rFonts w:eastAsia="Times New Roman"/>
          <w:sz w:val="20"/>
          <w:szCs w:val="20"/>
        </w:rPr>
        <w:t>.</w:t>
      </w:r>
    </w:p>
    <w:p w:rsidR="00000000" w:rsidRDefault="00F83A7A">
      <w:pPr>
        <w:pStyle w:val="a3"/>
        <w:spacing w:before="240" w:beforeAutospacing="0" w:after="0" w:afterAutospacing="0"/>
        <w:ind w:firstLine="620"/>
        <w:jc w:val="both"/>
        <w:rPr>
          <w:sz w:val="20"/>
          <w:szCs w:val="20"/>
        </w:rPr>
      </w:pPr>
      <w:r>
        <w:rPr>
          <w:sz w:val="20"/>
          <w:szCs w:val="20"/>
        </w:rPr>
        <w:t>Our efforts to educate physicians, patients,</w:t>
      </w:r>
      <w:r>
        <w:rPr>
          <w:sz w:val="20"/>
          <w:szCs w:val="20"/>
        </w:rPr>
        <w:t xml:space="preserve"> third-party payors and others in the medical community on the benefits of our drug candidates may require significant resources and may never be successful. Such efforts may require more resources than are typically required due to the complexity and uniq</w:t>
      </w:r>
      <w:r>
        <w:rPr>
          <w:sz w:val="20"/>
          <w:szCs w:val="20"/>
        </w:rPr>
        <w:t xml:space="preserve">ueness of our drug candidates. Because we expect sales of our drug candidates, if approved, to generate substantially all of our drug revenues for the foreseeable future, the failure of our drugs to find market acceptance would harm our business and could </w:t>
      </w:r>
      <w:r>
        <w:rPr>
          <w:sz w:val="20"/>
          <w:szCs w:val="20"/>
        </w:rPr>
        <w:t>require us to seek additional financing</w:t>
      </w:r>
      <w:r>
        <w:rPr>
          <w:sz w:val="20"/>
          <w:szCs w:val="20"/>
        </w:rPr>
        <w:t>.</w:t>
      </w:r>
    </w:p>
    <w:p w:rsidR="00000000" w:rsidRDefault="00F83A7A">
      <w:pPr>
        <w:pStyle w:val="a3"/>
        <w:spacing w:before="240" w:beforeAutospacing="0" w:after="0" w:afterAutospacing="0"/>
        <w:jc w:val="center"/>
        <w:rPr>
          <w:sz w:val="20"/>
          <w:szCs w:val="20"/>
        </w:rPr>
      </w:pPr>
      <w:r>
        <w:rPr>
          <w:sz w:val="20"/>
          <w:szCs w:val="20"/>
        </w:rPr>
        <w:t>2</w:t>
      </w:r>
      <w:r>
        <w:rPr>
          <w:sz w:val="20"/>
          <w:szCs w:val="20"/>
        </w:rPr>
        <w:t>8</w:t>
      </w:r>
    </w:p>
    <w:p w:rsidR="00000000" w:rsidRDefault="00F83A7A">
      <w:pPr>
        <w:rPr>
          <w:rFonts w:eastAsia="Times New Roman"/>
        </w:rPr>
      </w:pPr>
      <w:r>
        <w:rPr>
          <w:rFonts w:eastAsia="Times New Roman"/>
        </w:rPr>
        <w:pict>
          <v:rect id="_x0000_i1055"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rPr>
          <w:sz w:val="20"/>
          <w:szCs w:val="20"/>
        </w:rPr>
      </w:pPr>
      <w:r>
        <w:rPr>
          <w:b/>
          <w:bCs/>
          <w:i/>
          <w:iCs/>
          <w:sz w:val="20"/>
          <w:szCs w:val="20"/>
        </w:rPr>
        <w:t>Even if we obtain and maintain approval for our current or future drug candidates from the FDA, we may never obtain approval for our current or future drug candidates outside of the United States, which would limit our market opportunities and could harm o</w:t>
      </w:r>
      <w:r>
        <w:rPr>
          <w:b/>
          <w:bCs/>
          <w:i/>
          <w:iCs/>
          <w:sz w:val="20"/>
          <w:szCs w:val="20"/>
        </w:rPr>
        <w:t>ur business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Approval of a drug candidate in the United States by the FDA does not ensure approval of such drug candidate by regulatory authorities in other countries or jurisdictions, and approval by one foreign regulatory authority does not ensure approv</w:t>
      </w:r>
      <w:r>
        <w:rPr>
          <w:sz w:val="20"/>
          <w:szCs w:val="20"/>
        </w:rPr>
        <w:t>al by regulatory authorities in other foreign countries or by the FDA. Sales of our current and future drug candidates outside of the United States will be subject to foreign regulatory requirements governing clinical trials and marketing approval. Even if</w:t>
      </w:r>
      <w:r>
        <w:rPr>
          <w:sz w:val="20"/>
          <w:szCs w:val="20"/>
        </w:rPr>
        <w:t xml:space="preserve"> the FDA grants marketing approval for a drug candidate, comparable regulatory authorities of foreign countries also must approve the manufacturing and marketing of the drug candidate in those countries. Approval procedures vary among jurisdictions and can</w:t>
      </w:r>
      <w:r>
        <w:rPr>
          <w:sz w:val="20"/>
          <w:szCs w:val="20"/>
        </w:rPr>
        <w:t xml:space="preserve"> involve requirements and administrative review periods different from, and more onerous than, those in the United States, which may require additional preclinical studies or clinical trials. In many countries outside the United States, a drug candidate mu</w:t>
      </w:r>
      <w:r>
        <w:rPr>
          <w:sz w:val="20"/>
          <w:szCs w:val="20"/>
        </w:rPr>
        <w:t>st be approved for reimbursement before it can be approved for sale in that country. In some cases, the price that we intend to charge for any drug candidates, if approved, is also subject to approval. Obtaining approval for our current and future drug can</w:t>
      </w:r>
      <w:r>
        <w:rPr>
          <w:sz w:val="20"/>
          <w:szCs w:val="20"/>
        </w:rPr>
        <w:t xml:space="preserve">didates in the European Union from the European Commission following the opinion of the European Medicines Agency, if we choose to submit a marketing authorization application there, would be a lengthy and expensive process. The FDA and comparable foreign </w:t>
      </w:r>
      <w:r>
        <w:rPr>
          <w:sz w:val="20"/>
          <w:szCs w:val="20"/>
        </w:rPr>
        <w:t xml:space="preserve">regulatory authorities have the ability to limit the indications for which the drug may be marketed, require extensive warnings on the drug labeling or require expensive and time-consuming additional clinical trials or reporting as conditions of approval. </w:t>
      </w:r>
      <w:r>
        <w:rPr>
          <w:sz w:val="20"/>
          <w:szCs w:val="20"/>
        </w:rPr>
        <w:t>Obtaining foreign regulatory approvals and compliance with foreign regulatory requirements could result in significant delays, difficulties and costs for us and could delay or prevent the introduction of our current and future drug candidates in certain co</w:t>
      </w:r>
      <w:r>
        <w:rPr>
          <w:sz w:val="20"/>
          <w:szCs w:val="20"/>
        </w:rPr>
        <w:t>untries. In certain cases, we are dependent on third parties to obtain such foreign regulatory approvals, and any delay or failure of performance of such third parties could delay or prevent our ability to commercialize our products in the affected countri</w:t>
      </w:r>
      <w:r>
        <w:rPr>
          <w:sz w:val="20"/>
          <w:szCs w:val="20"/>
        </w:rPr>
        <w:t>es. Due to the ongoing COVID-19 pandemic, it is possible that we could experience delays in the timing of our interactions with regulatory authorities due to absenteeism by governmental employees, inability to conduct planned physical inspections related t</w:t>
      </w:r>
      <w:r>
        <w:rPr>
          <w:sz w:val="20"/>
          <w:szCs w:val="20"/>
        </w:rPr>
        <w:t>o regulatory approval, or the diversion of regulatory authority efforts and attention to approval of other therapeutics or other activities related to COVID-19, which could delay anticipated approval decisions and otherwise delay or limit our ability to ma</w:t>
      </w:r>
      <w:r>
        <w:rPr>
          <w:sz w:val="20"/>
          <w:szCs w:val="20"/>
        </w:rPr>
        <w:t>ke planned regulatory submissions or obtain new product approvals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Further, clinical trials conducted in one country may not be accepted by regulatory authorities in other countries. Also, regulatory approval for our drug candidates may be withdrawn. If we</w:t>
      </w:r>
      <w:r>
        <w:rPr>
          <w:sz w:val="20"/>
          <w:szCs w:val="20"/>
        </w:rPr>
        <w:t xml:space="preserve"> fail to comply with the regulatory requirements, our target market will be reduced and our ability to realize the full market potential of our current and future drug candidates will be harmed and our business, financial condition, results of operations a</w:t>
      </w:r>
      <w:r>
        <w:rPr>
          <w:sz w:val="20"/>
          <w:szCs w:val="20"/>
        </w:rPr>
        <w:t>nd prospects could be harmed</w:t>
      </w:r>
      <w:r>
        <w:rPr>
          <w:sz w:val="20"/>
          <w:szCs w:val="20"/>
        </w:rPr>
        <w:t>.</w:t>
      </w:r>
    </w:p>
    <w:p w:rsidR="00000000" w:rsidRDefault="00F83A7A">
      <w:pPr>
        <w:pStyle w:val="a3"/>
        <w:spacing w:before="200" w:beforeAutospacing="0" w:after="0" w:afterAutospacing="0"/>
        <w:rPr>
          <w:sz w:val="20"/>
          <w:szCs w:val="20"/>
        </w:rPr>
      </w:pPr>
      <w:r>
        <w:rPr>
          <w:b/>
          <w:bCs/>
          <w:i/>
          <w:iCs/>
          <w:sz w:val="20"/>
          <w:szCs w:val="20"/>
        </w:rPr>
        <w:t>If we seek approval to commercialize our current or future drug candidates outside of the United States, a variety of risks associated with international operations could harm our business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If we seek approval of our current o</w:t>
      </w:r>
      <w:r>
        <w:rPr>
          <w:sz w:val="20"/>
          <w:szCs w:val="20"/>
        </w:rPr>
        <w:t>r future drug candidates outside of the United States, we expect that we will be subject to additional risks in commercialization including</w:t>
      </w:r>
      <w:r>
        <w:rPr>
          <w:sz w:val="20"/>
          <w:szCs w:val="20"/>
        </w:rPr>
        <w:t>:</w:t>
      </w:r>
    </w:p>
    <w:p w:rsidR="00000000" w:rsidRDefault="00F83A7A">
      <w:pPr>
        <w:jc w:val="both"/>
        <w:divId w:val="1261450714"/>
        <w:rPr>
          <w:rFonts w:eastAsia="Times New Roman"/>
        </w:rPr>
      </w:pPr>
      <w:r>
        <w:rPr>
          <w:rFonts w:eastAsia="Times New Roman"/>
          <w:sz w:val="20"/>
          <w:szCs w:val="20"/>
        </w:rPr>
        <w:t>•</w:t>
      </w:r>
    </w:p>
    <w:p w:rsidR="00000000" w:rsidRDefault="00F83A7A">
      <w:pPr>
        <w:jc w:val="both"/>
        <w:divId w:val="1609580497"/>
        <w:rPr>
          <w:rFonts w:eastAsia="Times New Roman"/>
        </w:rPr>
      </w:pPr>
      <w:r>
        <w:rPr>
          <w:rFonts w:eastAsia="Times New Roman"/>
          <w:sz w:val="20"/>
          <w:szCs w:val="20"/>
        </w:rPr>
        <w:t>different regulatory requirements for approval of therapies in foreign countries</w:t>
      </w:r>
      <w:r>
        <w:rPr>
          <w:rFonts w:eastAsia="Times New Roman"/>
          <w:sz w:val="20"/>
          <w:szCs w:val="20"/>
        </w:rPr>
        <w:t>;</w:t>
      </w:r>
    </w:p>
    <w:p w:rsidR="00000000" w:rsidRDefault="00F83A7A">
      <w:pPr>
        <w:jc w:val="both"/>
        <w:divId w:val="122190095"/>
        <w:rPr>
          <w:rFonts w:eastAsia="Times New Roman"/>
        </w:rPr>
      </w:pPr>
      <w:r>
        <w:rPr>
          <w:rFonts w:eastAsia="Times New Roman"/>
          <w:sz w:val="20"/>
          <w:szCs w:val="20"/>
        </w:rPr>
        <w:t>•</w:t>
      </w:r>
    </w:p>
    <w:p w:rsidR="00000000" w:rsidRDefault="00F83A7A">
      <w:pPr>
        <w:jc w:val="both"/>
        <w:divId w:val="1964727546"/>
        <w:rPr>
          <w:rFonts w:eastAsia="Times New Roman"/>
        </w:rPr>
      </w:pPr>
      <w:r>
        <w:rPr>
          <w:rFonts w:eastAsia="Times New Roman"/>
          <w:sz w:val="20"/>
          <w:szCs w:val="20"/>
        </w:rPr>
        <w:t>reduced protection for intellectual property rights</w:t>
      </w:r>
      <w:r>
        <w:rPr>
          <w:rFonts w:eastAsia="Times New Roman"/>
          <w:sz w:val="20"/>
          <w:szCs w:val="20"/>
        </w:rPr>
        <w:t>;</w:t>
      </w:r>
    </w:p>
    <w:p w:rsidR="00000000" w:rsidRDefault="00F83A7A">
      <w:pPr>
        <w:jc w:val="both"/>
        <w:divId w:val="1233193717"/>
        <w:rPr>
          <w:rFonts w:eastAsia="Times New Roman"/>
        </w:rPr>
      </w:pPr>
      <w:r>
        <w:rPr>
          <w:rFonts w:eastAsia="Times New Roman"/>
          <w:sz w:val="20"/>
          <w:szCs w:val="20"/>
        </w:rPr>
        <w:t>•</w:t>
      </w:r>
    </w:p>
    <w:p w:rsidR="00000000" w:rsidRDefault="00F83A7A">
      <w:pPr>
        <w:jc w:val="both"/>
        <w:divId w:val="1521553878"/>
        <w:rPr>
          <w:rFonts w:eastAsia="Times New Roman"/>
        </w:rPr>
      </w:pPr>
      <w:r>
        <w:rPr>
          <w:rFonts w:eastAsia="Times New Roman"/>
          <w:sz w:val="20"/>
          <w:szCs w:val="20"/>
        </w:rPr>
        <w:t>the potential requirement of additional clinical studies in international jurisdictions</w:t>
      </w:r>
      <w:r>
        <w:rPr>
          <w:rFonts w:eastAsia="Times New Roman"/>
          <w:sz w:val="20"/>
          <w:szCs w:val="20"/>
        </w:rPr>
        <w:t>;</w:t>
      </w:r>
    </w:p>
    <w:p w:rsidR="00000000" w:rsidRDefault="00F83A7A">
      <w:pPr>
        <w:jc w:val="both"/>
        <w:divId w:val="1803230124"/>
        <w:rPr>
          <w:rFonts w:eastAsia="Times New Roman"/>
        </w:rPr>
      </w:pPr>
      <w:r>
        <w:rPr>
          <w:rFonts w:eastAsia="Times New Roman"/>
          <w:sz w:val="20"/>
          <w:szCs w:val="20"/>
        </w:rPr>
        <w:t>•</w:t>
      </w:r>
    </w:p>
    <w:p w:rsidR="00000000" w:rsidRDefault="00F83A7A">
      <w:pPr>
        <w:jc w:val="both"/>
        <w:divId w:val="1880505701"/>
        <w:rPr>
          <w:rFonts w:eastAsia="Times New Roman"/>
        </w:rPr>
      </w:pPr>
      <w:r>
        <w:rPr>
          <w:rFonts w:eastAsia="Times New Roman"/>
          <w:sz w:val="20"/>
          <w:szCs w:val="20"/>
        </w:rPr>
        <w:t>unexpected changes in tariffs, trade barriers and regulatory requirements</w:t>
      </w:r>
      <w:r>
        <w:rPr>
          <w:rFonts w:eastAsia="Times New Roman"/>
          <w:sz w:val="20"/>
          <w:szCs w:val="20"/>
        </w:rPr>
        <w:t>;</w:t>
      </w:r>
    </w:p>
    <w:p w:rsidR="00000000" w:rsidRDefault="00F83A7A">
      <w:pPr>
        <w:jc w:val="both"/>
        <w:divId w:val="1846894533"/>
        <w:rPr>
          <w:rFonts w:eastAsia="Times New Roman"/>
        </w:rPr>
      </w:pPr>
      <w:r>
        <w:rPr>
          <w:rFonts w:eastAsia="Times New Roman"/>
          <w:sz w:val="20"/>
          <w:szCs w:val="20"/>
        </w:rPr>
        <w:t>•</w:t>
      </w:r>
    </w:p>
    <w:p w:rsidR="00000000" w:rsidRDefault="00F83A7A">
      <w:pPr>
        <w:jc w:val="both"/>
        <w:divId w:val="774904336"/>
        <w:rPr>
          <w:rFonts w:eastAsia="Times New Roman"/>
        </w:rPr>
      </w:pPr>
      <w:r>
        <w:rPr>
          <w:rFonts w:eastAsia="Times New Roman"/>
          <w:sz w:val="20"/>
          <w:szCs w:val="20"/>
        </w:rPr>
        <w:t>economic weakness, including infl</w:t>
      </w:r>
      <w:r>
        <w:rPr>
          <w:rFonts w:eastAsia="Times New Roman"/>
          <w:sz w:val="20"/>
          <w:szCs w:val="20"/>
        </w:rPr>
        <w:t>ation, or political instability in particular foreign economies and markets</w:t>
      </w:r>
      <w:r>
        <w:rPr>
          <w:rFonts w:eastAsia="Times New Roman"/>
          <w:sz w:val="20"/>
          <w:szCs w:val="20"/>
        </w:rPr>
        <w:t>;</w:t>
      </w:r>
    </w:p>
    <w:p w:rsidR="00000000" w:rsidRDefault="00F83A7A">
      <w:pPr>
        <w:jc w:val="both"/>
        <w:divId w:val="1437562252"/>
        <w:rPr>
          <w:rFonts w:eastAsia="Times New Roman"/>
        </w:rPr>
      </w:pPr>
      <w:r>
        <w:rPr>
          <w:rFonts w:eastAsia="Times New Roman"/>
          <w:sz w:val="20"/>
          <w:szCs w:val="20"/>
        </w:rPr>
        <w:t>•</w:t>
      </w:r>
    </w:p>
    <w:p w:rsidR="00000000" w:rsidRDefault="00F83A7A">
      <w:pPr>
        <w:jc w:val="both"/>
        <w:divId w:val="682784418"/>
        <w:rPr>
          <w:rFonts w:eastAsia="Times New Roman"/>
        </w:rPr>
      </w:pPr>
      <w:r>
        <w:rPr>
          <w:rFonts w:eastAsia="Times New Roman"/>
          <w:sz w:val="20"/>
          <w:szCs w:val="20"/>
        </w:rPr>
        <w:t>compliance with tax, employment, immigration and labor laws for employees living or traveling abroad</w:t>
      </w:r>
      <w:r>
        <w:rPr>
          <w:rFonts w:eastAsia="Times New Roman"/>
          <w:sz w:val="20"/>
          <w:szCs w:val="20"/>
        </w:rPr>
        <w:t>;</w:t>
      </w:r>
    </w:p>
    <w:p w:rsidR="00000000" w:rsidRDefault="00F83A7A">
      <w:pPr>
        <w:jc w:val="both"/>
        <w:divId w:val="1054616849"/>
        <w:rPr>
          <w:rFonts w:eastAsia="Times New Roman"/>
        </w:rPr>
      </w:pPr>
      <w:r>
        <w:rPr>
          <w:rFonts w:eastAsia="Times New Roman"/>
          <w:sz w:val="20"/>
          <w:szCs w:val="20"/>
        </w:rPr>
        <w:t>•</w:t>
      </w:r>
    </w:p>
    <w:p w:rsidR="00000000" w:rsidRDefault="00F83A7A">
      <w:pPr>
        <w:jc w:val="both"/>
        <w:divId w:val="923221662"/>
        <w:rPr>
          <w:rFonts w:eastAsia="Times New Roman"/>
        </w:rPr>
      </w:pPr>
      <w:r>
        <w:rPr>
          <w:rFonts w:eastAsia="Times New Roman"/>
          <w:sz w:val="20"/>
          <w:szCs w:val="20"/>
        </w:rPr>
        <w:t xml:space="preserve">foreign currency fluctuations, which could result in increased operating </w:t>
      </w:r>
      <w:r>
        <w:rPr>
          <w:rFonts w:eastAsia="Times New Roman"/>
          <w:sz w:val="20"/>
          <w:szCs w:val="20"/>
        </w:rPr>
        <w:t>expenses and reduced revenues, and other obligations incident to doing business in another country</w:t>
      </w:r>
      <w:r>
        <w:rPr>
          <w:rFonts w:eastAsia="Times New Roman"/>
          <w:sz w:val="20"/>
          <w:szCs w:val="20"/>
        </w:rPr>
        <w:t>;</w:t>
      </w:r>
    </w:p>
    <w:p w:rsidR="00000000" w:rsidRDefault="00F83A7A">
      <w:pPr>
        <w:jc w:val="both"/>
        <w:divId w:val="1771777860"/>
        <w:rPr>
          <w:rFonts w:eastAsia="Times New Roman"/>
        </w:rPr>
      </w:pPr>
      <w:r>
        <w:rPr>
          <w:rFonts w:eastAsia="Times New Roman"/>
          <w:sz w:val="20"/>
          <w:szCs w:val="20"/>
        </w:rPr>
        <w:t>•</w:t>
      </w:r>
    </w:p>
    <w:p w:rsidR="00000000" w:rsidRDefault="00F83A7A">
      <w:pPr>
        <w:jc w:val="both"/>
        <w:divId w:val="184682416"/>
        <w:rPr>
          <w:rFonts w:eastAsia="Times New Roman"/>
        </w:rPr>
      </w:pPr>
      <w:r>
        <w:rPr>
          <w:rFonts w:eastAsia="Times New Roman"/>
          <w:sz w:val="20"/>
          <w:szCs w:val="20"/>
        </w:rPr>
        <w:t>foreign reimbursement, pricing and insurance regimes</w:t>
      </w:r>
      <w:r>
        <w:rPr>
          <w:rFonts w:eastAsia="Times New Roman"/>
          <w:sz w:val="20"/>
          <w:szCs w:val="20"/>
        </w:rPr>
        <w:t>;</w:t>
      </w:r>
    </w:p>
    <w:p w:rsidR="00000000" w:rsidRDefault="00F83A7A">
      <w:pPr>
        <w:jc w:val="both"/>
        <w:divId w:val="1041787616"/>
        <w:rPr>
          <w:rFonts w:eastAsia="Times New Roman"/>
        </w:rPr>
      </w:pPr>
      <w:r>
        <w:rPr>
          <w:rFonts w:eastAsia="Times New Roman"/>
          <w:sz w:val="20"/>
          <w:szCs w:val="20"/>
        </w:rPr>
        <w:t>•</w:t>
      </w:r>
    </w:p>
    <w:p w:rsidR="00000000" w:rsidRDefault="00F83A7A">
      <w:pPr>
        <w:jc w:val="both"/>
        <w:divId w:val="1550729185"/>
        <w:rPr>
          <w:rFonts w:eastAsia="Times New Roman"/>
        </w:rPr>
      </w:pPr>
      <w:r>
        <w:rPr>
          <w:rFonts w:eastAsia="Times New Roman"/>
          <w:sz w:val="20"/>
          <w:szCs w:val="20"/>
        </w:rPr>
        <w:t>workforce uncertainty in countries where labor unrest is more common than in the United States</w:t>
      </w:r>
      <w:r>
        <w:rPr>
          <w:rFonts w:eastAsia="Times New Roman"/>
          <w:sz w:val="20"/>
          <w:szCs w:val="20"/>
        </w:rPr>
        <w:t>;</w:t>
      </w:r>
    </w:p>
    <w:p w:rsidR="00000000" w:rsidRDefault="00F83A7A">
      <w:pPr>
        <w:jc w:val="both"/>
        <w:divId w:val="587467203"/>
        <w:rPr>
          <w:rFonts w:eastAsia="Times New Roman"/>
        </w:rPr>
      </w:pPr>
      <w:r>
        <w:rPr>
          <w:rFonts w:eastAsia="Times New Roman"/>
          <w:sz w:val="20"/>
          <w:szCs w:val="20"/>
        </w:rPr>
        <w:t>•</w:t>
      </w:r>
    </w:p>
    <w:p w:rsidR="00000000" w:rsidRDefault="00F83A7A">
      <w:pPr>
        <w:jc w:val="both"/>
        <w:divId w:val="819082234"/>
        <w:rPr>
          <w:rFonts w:eastAsia="Times New Roman"/>
        </w:rPr>
      </w:pPr>
      <w:r>
        <w:rPr>
          <w:rFonts w:eastAsia="Times New Roman"/>
          <w:sz w:val="20"/>
          <w:szCs w:val="20"/>
        </w:rPr>
        <w:t>production shortages resulting from any events affecting raw material supply or manufacturing capabilities abroad; an</w:t>
      </w:r>
      <w:r>
        <w:rPr>
          <w:rFonts w:eastAsia="Times New Roman"/>
          <w:sz w:val="20"/>
          <w:szCs w:val="20"/>
        </w:rPr>
        <w:t>d</w:t>
      </w:r>
    </w:p>
    <w:p w:rsidR="00000000" w:rsidRDefault="00F83A7A">
      <w:pPr>
        <w:jc w:val="both"/>
        <w:divId w:val="2105029011"/>
        <w:rPr>
          <w:rFonts w:eastAsia="Times New Roman"/>
        </w:rPr>
      </w:pPr>
      <w:r>
        <w:rPr>
          <w:rFonts w:eastAsia="Times New Roman"/>
          <w:sz w:val="20"/>
          <w:szCs w:val="20"/>
        </w:rPr>
        <w:t>•</w:t>
      </w:r>
    </w:p>
    <w:p w:rsidR="00000000" w:rsidRDefault="00F83A7A">
      <w:pPr>
        <w:jc w:val="both"/>
        <w:divId w:val="74403105"/>
        <w:rPr>
          <w:rFonts w:eastAsia="Times New Roman"/>
        </w:rPr>
      </w:pPr>
      <w:r>
        <w:rPr>
          <w:rFonts w:eastAsia="Times New Roman"/>
          <w:sz w:val="20"/>
          <w:szCs w:val="20"/>
        </w:rPr>
        <w:t>business interruptions resulting from geopolitical actions, including war (including the conflict in Ukraine) and terrorism, or natural</w:t>
      </w:r>
      <w:r>
        <w:rPr>
          <w:rFonts w:eastAsia="Times New Roman"/>
          <w:sz w:val="20"/>
          <w:szCs w:val="20"/>
        </w:rPr>
        <w:t xml:space="preserve"> disasters and public health pandemics, such as COVID-19</w:t>
      </w:r>
      <w:r>
        <w:rPr>
          <w:rFonts w:eastAsia="Times New Roman"/>
          <w:sz w:val="20"/>
          <w:szCs w:val="20"/>
        </w:rPr>
        <w:t>.</w:t>
      </w:r>
    </w:p>
    <w:p w:rsidR="00000000" w:rsidRDefault="00F83A7A">
      <w:pPr>
        <w:pStyle w:val="a3"/>
        <w:spacing w:before="240" w:beforeAutospacing="0" w:after="0" w:afterAutospacing="0"/>
        <w:jc w:val="center"/>
        <w:rPr>
          <w:sz w:val="20"/>
          <w:szCs w:val="20"/>
        </w:rPr>
      </w:pPr>
      <w:r>
        <w:rPr>
          <w:sz w:val="20"/>
          <w:szCs w:val="20"/>
        </w:rPr>
        <w:t>2</w:t>
      </w:r>
      <w:r>
        <w:rPr>
          <w:sz w:val="20"/>
          <w:szCs w:val="20"/>
        </w:rPr>
        <w:t>9</w:t>
      </w:r>
    </w:p>
    <w:p w:rsidR="00000000" w:rsidRDefault="00F83A7A">
      <w:pPr>
        <w:rPr>
          <w:rFonts w:eastAsia="Times New Roman"/>
        </w:rPr>
      </w:pPr>
      <w:r>
        <w:rPr>
          <w:rFonts w:eastAsia="Times New Roman"/>
        </w:rPr>
        <w:pict>
          <v:rect id="_x0000_i1056"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ind w:firstLine="620"/>
        <w:jc w:val="both"/>
        <w:rPr>
          <w:sz w:val="20"/>
          <w:szCs w:val="20"/>
        </w:rPr>
      </w:pPr>
      <w:r>
        <w:rPr>
          <w:sz w:val="20"/>
          <w:szCs w:val="20"/>
        </w:rPr>
        <w:t>We have no prior experience in these areas. In addition, there are complex regulatory, tax, labor and other legal requirements imposed by many of the indivi</w:t>
      </w:r>
      <w:r>
        <w:rPr>
          <w:sz w:val="20"/>
          <w:szCs w:val="20"/>
        </w:rPr>
        <w:t>dual countries in and outside of Europe with which we will need to comply. Many biopharmaceutical companies have found the process of marketing their own products in foreign countries to be very challenging</w:t>
      </w:r>
      <w:r>
        <w:rPr>
          <w:sz w:val="20"/>
          <w:szCs w:val="20"/>
        </w:rPr>
        <w:t>.</w:t>
      </w:r>
    </w:p>
    <w:p w:rsidR="00000000" w:rsidRDefault="00F83A7A">
      <w:pPr>
        <w:pStyle w:val="a3"/>
        <w:spacing w:before="200" w:beforeAutospacing="0" w:after="0" w:afterAutospacing="0"/>
        <w:rPr>
          <w:sz w:val="20"/>
          <w:szCs w:val="20"/>
        </w:rPr>
      </w:pPr>
      <w:r>
        <w:rPr>
          <w:b/>
          <w:bCs/>
          <w:i/>
          <w:iCs/>
          <w:sz w:val="20"/>
          <w:szCs w:val="20"/>
        </w:rPr>
        <w:t>Product liability lawsuits against us could caus</w:t>
      </w:r>
      <w:r>
        <w:rPr>
          <w:b/>
          <w:bCs/>
          <w:i/>
          <w:iCs/>
          <w:sz w:val="20"/>
          <w:szCs w:val="20"/>
        </w:rPr>
        <w:t>e us to incur substantial liabilities and could limit commercialization of any drug candidate that we may develop</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We face an inherent risk of product liability exposure related to the testing of our current and any future drug candidates in clinical trials and may face an even greater risk if we commercialize any drug candidate that we may develop. If we cannot succes</w:t>
      </w:r>
      <w:r>
        <w:rPr>
          <w:sz w:val="20"/>
          <w:szCs w:val="20"/>
        </w:rPr>
        <w:t>sfully defend ourselves against claims that any such drug candidates caused injuries, we could incur substantial liabilities. Regardless of merit or eventual outcome, liability claims may result in</w:t>
      </w:r>
      <w:r>
        <w:rPr>
          <w:sz w:val="20"/>
          <w:szCs w:val="20"/>
        </w:rPr>
        <w:t>:</w:t>
      </w:r>
    </w:p>
    <w:p w:rsidR="00000000" w:rsidRDefault="00F83A7A">
      <w:pPr>
        <w:jc w:val="both"/>
        <w:divId w:val="107045366"/>
        <w:rPr>
          <w:rFonts w:eastAsia="Times New Roman"/>
        </w:rPr>
      </w:pPr>
      <w:r>
        <w:rPr>
          <w:rFonts w:eastAsia="Times New Roman"/>
          <w:sz w:val="20"/>
          <w:szCs w:val="20"/>
        </w:rPr>
        <w:t>•</w:t>
      </w:r>
    </w:p>
    <w:p w:rsidR="00000000" w:rsidRDefault="00F83A7A">
      <w:pPr>
        <w:jc w:val="both"/>
        <w:divId w:val="2079090255"/>
        <w:rPr>
          <w:rFonts w:eastAsia="Times New Roman"/>
        </w:rPr>
      </w:pPr>
      <w:r>
        <w:rPr>
          <w:rFonts w:eastAsia="Times New Roman"/>
          <w:sz w:val="20"/>
          <w:szCs w:val="20"/>
        </w:rPr>
        <w:t>decreased demand for any drug candidate that we may dev</w:t>
      </w:r>
      <w:r>
        <w:rPr>
          <w:rFonts w:eastAsia="Times New Roman"/>
          <w:sz w:val="20"/>
          <w:szCs w:val="20"/>
        </w:rPr>
        <w:t>elop</w:t>
      </w:r>
      <w:r>
        <w:rPr>
          <w:rFonts w:eastAsia="Times New Roman"/>
          <w:sz w:val="20"/>
          <w:szCs w:val="20"/>
        </w:rPr>
        <w:t>;</w:t>
      </w:r>
    </w:p>
    <w:p w:rsidR="00000000" w:rsidRDefault="00F83A7A">
      <w:pPr>
        <w:jc w:val="both"/>
        <w:divId w:val="1366251093"/>
        <w:rPr>
          <w:rFonts w:eastAsia="Times New Roman"/>
        </w:rPr>
      </w:pPr>
      <w:r>
        <w:rPr>
          <w:rFonts w:eastAsia="Times New Roman"/>
          <w:sz w:val="20"/>
          <w:szCs w:val="20"/>
        </w:rPr>
        <w:t>•</w:t>
      </w:r>
    </w:p>
    <w:p w:rsidR="00000000" w:rsidRDefault="00F83A7A">
      <w:pPr>
        <w:jc w:val="both"/>
        <w:divId w:val="1149520736"/>
        <w:rPr>
          <w:rFonts w:eastAsia="Times New Roman"/>
        </w:rPr>
      </w:pPr>
      <w:r>
        <w:rPr>
          <w:rFonts w:eastAsia="Times New Roman"/>
          <w:sz w:val="20"/>
          <w:szCs w:val="20"/>
        </w:rPr>
        <w:t>loss of revenue</w:t>
      </w:r>
      <w:r>
        <w:rPr>
          <w:rFonts w:eastAsia="Times New Roman"/>
          <w:sz w:val="20"/>
          <w:szCs w:val="20"/>
        </w:rPr>
        <w:t>;</w:t>
      </w:r>
    </w:p>
    <w:p w:rsidR="00000000" w:rsidRDefault="00F83A7A">
      <w:pPr>
        <w:jc w:val="both"/>
        <w:divId w:val="630480175"/>
        <w:rPr>
          <w:rFonts w:eastAsia="Times New Roman"/>
        </w:rPr>
      </w:pPr>
      <w:r>
        <w:rPr>
          <w:rFonts w:eastAsia="Times New Roman"/>
          <w:sz w:val="20"/>
          <w:szCs w:val="20"/>
        </w:rPr>
        <w:t>•</w:t>
      </w:r>
    </w:p>
    <w:p w:rsidR="00000000" w:rsidRDefault="00F83A7A">
      <w:pPr>
        <w:jc w:val="both"/>
        <w:divId w:val="470750060"/>
        <w:rPr>
          <w:rFonts w:eastAsia="Times New Roman"/>
        </w:rPr>
      </w:pPr>
      <w:r>
        <w:rPr>
          <w:rFonts w:eastAsia="Times New Roman"/>
          <w:sz w:val="20"/>
          <w:szCs w:val="20"/>
        </w:rPr>
        <w:t>substantial monetary awards to trial participants or patients</w:t>
      </w:r>
      <w:r>
        <w:rPr>
          <w:rFonts w:eastAsia="Times New Roman"/>
          <w:sz w:val="20"/>
          <w:szCs w:val="20"/>
        </w:rPr>
        <w:t>;</w:t>
      </w:r>
    </w:p>
    <w:p w:rsidR="00000000" w:rsidRDefault="00F83A7A">
      <w:pPr>
        <w:jc w:val="both"/>
        <w:divId w:val="1684740034"/>
        <w:rPr>
          <w:rFonts w:eastAsia="Times New Roman"/>
        </w:rPr>
      </w:pPr>
      <w:r>
        <w:rPr>
          <w:rFonts w:eastAsia="Times New Roman"/>
          <w:sz w:val="20"/>
          <w:szCs w:val="20"/>
        </w:rPr>
        <w:t>•</w:t>
      </w:r>
    </w:p>
    <w:p w:rsidR="00000000" w:rsidRDefault="00F83A7A">
      <w:pPr>
        <w:jc w:val="both"/>
        <w:divId w:val="2076463079"/>
        <w:rPr>
          <w:rFonts w:eastAsia="Times New Roman"/>
        </w:rPr>
      </w:pPr>
      <w:r>
        <w:rPr>
          <w:rFonts w:eastAsia="Times New Roman"/>
          <w:sz w:val="20"/>
          <w:szCs w:val="20"/>
        </w:rPr>
        <w:t>significant time and costs to defend the related litigation</w:t>
      </w:r>
      <w:r>
        <w:rPr>
          <w:rFonts w:eastAsia="Times New Roman"/>
          <w:sz w:val="20"/>
          <w:szCs w:val="20"/>
        </w:rPr>
        <w:t>;</w:t>
      </w:r>
    </w:p>
    <w:p w:rsidR="00000000" w:rsidRDefault="00F83A7A">
      <w:pPr>
        <w:jc w:val="both"/>
        <w:divId w:val="1513454162"/>
        <w:rPr>
          <w:rFonts w:eastAsia="Times New Roman"/>
        </w:rPr>
      </w:pPr>
      <w:r>
        <w:rPr>
          <w:rFonts w:eastAsia="Times New Roman"/>
          <w:sz w:val="20"/>
          <w:szCs w:val="20"/>
        </w:rPr>
        <w:t>•</w:t>
      </w:r>
    </w:p>
    <w:p w:rsidR="00000000" w:rsidRDefault="00F83A7A">
      <w:pPr>
        <w:jc w:val="both"/>
        <w:divId w:val="1987735282"/>
        <w:rPr>
          <w:rFonts w:eastAsia="Times New Roman"/>
        </w:rPr>
      </w:pPr>
      <w:r>
        <w:rPr>
          <w:rFonts w:eastAsia="Times New Roman"/>
          <w:sz w:val="20"/>
          <w:szCs w:val="20"/>
        </w:rPr>
        <w:t>withdrawal of clinical trial participants</w:t>
      </w:r>
      <w:r>
        <w:rPr>
          <w:rFonts w:eastAsia="Times New Roman"/>
          <w:sz w:val="20"/>
          <w:szCs w:val="20"/>
        </w:rPr>
        <w:t>;</w:t>
      </w:r>
    </w:p>
    <w:p w:rsidR="00000000" w:rsidRDefault="00F83A7A">
      <w:pPr>
        <w:jc w:val="both"/>
        <w:divId w:val="1555895957"/>
        <w:rPr>
          <w:rFonts w:eastAsia="Times New Roman"/>
        </w:rPr>
      </w:pPr>
      <w:r>
        <w:rPr>
          <w:rFonts w:eastAsia="Times New Roman"/>
          <w:sz w:val="20"/>
          <w:szCs w:val="20"/>
        </w:rPr>
        <w:t>•</w:t>
      </w:r>
    </w:p>
    <w:p w:rsidR="00000000" w:rsidRDefault="00F83A7A">
      <w:pPr>
        <w:jc w:val="both"/>
        <w:divId w:val="1001933561"/>
        <w:rPr>
          <w:rFonts w:eastAsia="Times New Roman"/>
        </w:rPr>
      </w:pPr>
      <w:r>
        <w:rPr>
          <w:rFonts w:eastAsia="Times New Roman"/>
          <w:sz w:val="20"/>
          <w:szCs w:val="20"/>
        </w:rPr>
        <w:t>the inability to commercialize any drug candidate that w</w:t>
      </w:r>
      <w:r>
        <w:rPr>
          <w:rFonts w:eastAsia="Times New Roman"/>
          <w:sz w:val="20"/>
          <w:szCs w:val="20"/>
        </w:rPr>
        <w:t>e may develop; an</w:t>
      </w:r>
      <w:r>
        <w:rPr>
          <w:rFonts w:eastAsia="Times New Roman"/>
          <w:sz w:val="20"/>
          <w:szCs w:val="20"/>
        </w:rPr>
        <w:t>d</w:t>
      </w:r>
    </w:p>
    <w:p w:rsidR="00000000" w:rsidRDefault="00F83A7A">
      <w:pPr>
        <w:jc w:val="both"/>
        <w:divId w:val="1370570186"/>
        <w:rPr>
          <w:rFonts w:eastAsia="Times New Roman"/>
        </w:rPr>
      </w:pPr>
      <w:r>
        <w:rPr>
          <w:rFonts w:eastAsia="Times New Roman"/>
          <w:sz w:val="20"/>
          <w:szCs w:val="20"/>
        </w:rPr>
        <w:t>•</w:t>
      </w:r>
    </w:p>
    <w:p w:rsidR="00000000" w:rsidRDefault="00F83A7A">
      <w:pPr>
        <w:jc w:val="both"/>
        <w:divId w:val="1409226699"/>
        <w:rPr>
          <w:rFonts w:eastAsia="Times New Roman"/>
        </w:rPr>
      </w:pPr>
      <w:r>
        <w:rPr>
          <w:rFonts w:eastAsia="Times New Roman"/>
          <w:sz w:val="20"/>
          <w:szCs w:val="20"/>
        </w:rPr>
        <w:t>injury to our reputation and significant negative media attention</w:t>
      </w:r>
      <w:r>
        <w:rPr>
          <w:rFonts w:eastAsia="Times New Roman"/>
          <w:sz w:val="20"/>
          <w:szCs w:val="20"/>
        </w:rPr>
        <w:t>.</w:t>
      </w:r>
    </w:p>
    <w:p w:rsidR="00000000" w:rsidRDefault="00F83A7A">
      <w:pPr>
        <w:pStyle w:val="a3"/>
        <w:spacing w:before="240" w:beforeAutospacing="0" w:after="0" w:afterAutospacing="0"/>
        <w:ind w:firstLine="620"/>
        <w:jc w:val="both"/>
        <w:rPr>
          <w:sz w:val="20"/>
          <w:szCs w:val="20"/>
        </w:rPr>
      </w:pPr>
      <w:r>
        <w:rPr>
          <w:sz w:val="20"/>
          <w:szCs w:val="20"/>
        </w:rPr>
        <w:t>Although we maintain product liability insurance coverage, such insurance may not be adequate to cover all liabilities that we may incur. We anticipate that we will nee</w:t>
      </w:r>
      <w:r>
        <w:rPr>
          <w:sz w:val="20"/>
          <w:szCs w:val="20"/>
        </w:rPr>
        <w:t xml:space="preserve">d to increase our insurance coverage each time we commence a clinical trial and if we successfully commercialize any drug candidate. Insurance coverage is increasingly expensive. We may not be able to maintain insurance coverage at a reasonable cost or in </w:t>
      </w:r>
      <w:r>
        <w:rPr>
          <w:sz w:val="20"/>
          <w:szCs w:val="20"/>
        </w:rPr>
        <w:t>an amount adequate to satisfy any liability that may arise</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Risks Related to Licensing and Collaboration Arrangement</w:t>
      </w:r>
      <w:r>
        <w:rPr>
          <w:b/>
          <w:bCs/>
          <w:sz w:val="20"/>
          <w:szCs w:val="20"/>
        </w:rPr>
        <w:t>s</w:t>
      </w:r>
    </w:p>
    <w:p w:rsidR="00000000" w:rsidRDefault="00F83A7A">
      <w:pPr>
        <w:pStyle w:val="a3"/>
        <w:spacing w:before="200" w:beforeAutospacing="0" w:after="0" w:afterAutospacing="0"/>
        <w:jc w:val="both"/>
        <w:rPr>
          <w:sz w:val="20"/>
          <w:szCs w:val="20"/>
        </w:rPr>
      </w:pPr>
      <w:r>
        <w:rPr>
          <w:b/>
          <w:bCs/>
          <w:i/>
          <w:iCs/>
          <w:sz w:val="20"/>
          <w:szCs w:val="20"/>
        </w:rPr>
        <w:t>Under the Takeda License and Termination Agreement, we are entitled to receive royalty and milestone payments in connection with the development and commercialization of soticlestat. If Takeda fails to progress or discontinues the development of soticlesta</w:t>
      </w:r>
      <w:r>
        <w:rPr>
          <w:b/>
          <w:bCs/>
          <w:i/>
          <w:iCs/>
          <w:sz w:val="20"/>
          <w:szCs w:val="20"/>
        </w:rPr>
        <w:t>t, we may not receive some or all of such payments, which would materially harm our business</w:t>
      </w:r>
      <w:r>
        <w:rPr>
          <w:b/>
          <w:bCs/>
          <w:i/>
          <w:iCs/>
          <w:sz w:val="20"/>
          <w:szCs w:val="20"/>
        </w:rPr>
        <w:t>.</w:t>
      </w:r>
    </w:p>
    <w:p w:rsidR="00000000" w:rsidRDefault="00F83A7A">
      <w:pPr>
        <w:pStyle w:val="a3"/>
        <w:spacing w:before="240" w:beforeAutospacing="0" w:after="0" w:afterAutospacing="0"/>
        <w:ind w:firstLine="555"/>
        <w:jc w:val="both"/>
        <w:rPr>
          <w:sz w:val="20"/>
          <w:szCs w:val="20"/>
        </w:rPr>
      </w:pPr>
      <w:r>
        <w:rPr>
          <w:sz w:val="20"/>
          <w:szCs w:val="20"/>
        </w:rPr>
        <w:t>In March 2021, we entered into the Takeda License and Termination Agreement, pursuant to which Takeda secured rights to our 50% global share in soticlestat, which</w:t>
      </w:r>
      <w:r>
        <w:rPr>
          <w:sz w:val="20"/>
          <w:szCs w:val="20"/>
        </w:rPr>
        <w:t xml:space="preserve"> we had originally licensed from Takeda, and we granted to Takeda an exclusive worldwide license under our relevant intellectual property rights to develop and commercialize the investigational medicine soticlestat for the treatment of developmental and ep</w:t>
      </w:r>
      <w:r>
        <w:rPr>
          <w:sz w:val="20"/>
          <w:szCs w:val="20"/>
        </w:rPr>
        <w:t>ileptic encephalopathies, including Dravet syndrome and Lennox-Gastaut syndrome. All rights in soticlestat are now owned by Takeda or exclusively licensed to Takeda by us. Following the closing date of the Takeda License and Termination Agreement, Takeda a</w:t>
      </w:r>
      <w:r>
        <w:rPr>
          <w:sz w:val="20"/>
          <w:szCs w:val="20"/>
        </w:rPr>
        <w:t>ssumed all responsibility for, and costs of, both development and commercialization of soticlestat, and we will no longer have any financial obligation to Takeda under the original collaboration agreement, including for milestone payments or any future dev</w:t>
      </w:r>
      <w:r>
        <w:rPr>
          <w:sz w:val="20"/>
          <w:szCs w:val="20"/>
        </w:rPr>
        <w:t xml:space="preserve">elopment and commercialization costs. Upon closing of the Takeda License and Termination Agreement, we received a one-time, upfront payment of $196.0 million and, if soticlestat is successfully developed, we will be eligible to receive up to an additional </w:t>
      </w:r>
      <w:r>
        <w:rPr>
          <w:sz w:val="20"/>
          <w:szCs w:val="20"/>
        </w:rPr>
        <w:t xml:space="preserve">$660.0 million upon Takeda achieving specified regulatory and sales milestones. In addition, if soticlestat achieves regulatory approval, we will be entitled to receive tiered royalties at percentages ranging from the low double-digits, up to 20% on sales </w:t>
      </w:r>
      <w:r>
        <w:rPr>
          <w:sz w:val="20"/>
          <w:szCs w:val="20"/>
        </w:rPr>
        <w:t>of soticlestat. Royalties will be payable on a country-by-country and product-by-product basis during the period beginning on the date of the first commercial sale of such product in such country and ending on the later to occur of the expiration of patent</w:t>
      </w:r>
      <w:r>
        <w:rPr>
          <w:sz w:val="20"/>
          <w:szCs w:val="20"/>
        </w:rPr>
        <w:t xml:space="preserve"> rights covering the product in such country and a specified anniversary of such first commercial sale</w:t>
      </w:r>
      <w:r>
        <w:rPr>
          <w:sz w:val="20"/>
          <w:szCs w:val="20"/>
        </w:rPr>
        <w:t>.</w:t>
      </w:r>
    </w:p>
    <w:p w:rsidR="00000000" w:rsidRDefault="00F83A7A">
      <w:pPr>
        <w:pStyle w:val="a3"/>
        <w:spacing w:before="240" w:beforeAutospacing="0" w:after="0" w:afterAutospacing="0"/>
        <w:ind w:firstLine="555"/>
        <w:jc w:val="both"/>
        <w:rPr>
          <w:sz w:val="20"/>
          <w:szCs w:val="20"/>
        </w:rPr>
      </w:pPr>
      <w:r>
        <w:rPr>
          <w:sz w:val="20"/>
          <w:szCs w:val="20"/>
        </w:rPr>
        <w:t>Under the terms of the Takeda License and Termination Agreement, Takeda now has sole discretion over the conduct of the development and commercializatio</w:t>
      </w:r>
      <w:r>
        <w:rPr>
          <w:sz w:val="20"/>
          <w:szCs w:val="20"/>
        </w:rPr>
        <w:t>n of soticlestat. If for any reason, Takeda fails to progress, or elects to terminate the development of soticlestat as contemplated by the Takeda License and Termination Agreement, or if the development or commercialization of soticlestat is delayed or de</w:t>
      </w:r>
      <w:r>
        <w:rPr>
          <w:sz w:val="20"/>
          <w:szCs w:val="20"/>
        </w:rPr>
        <w:t>prioritized by Takeda, we may not receive some or all of the royalty and milestone payments under such agreement. We are dependent upon Takeda’s progression of such development and the resulting payments to fund the regulatory development of our current an</w:t>
      </w:r>
      <w:r>
        <w:rPr>
          <w:sz w:val="20"/>
          <w:szCs w:val="20"/>
        </w:rPr>
        <w:t>d future drug candidates. If we are unable to find alternative sources of revenue, our inability to receive royalty or milestone payments under the Takeda License and Termination Agreement would negatively impact our business and results of operations</w:t>
      </w:r>
      <w:r>
        <w:rPr>
          <w:sz w:val="20"/>
          <w:szCs w:val="20"/>
        </w:rPr>
        <w:t>.</w:t>
      </w:r>
    </w:p>
    <w:p w:rsidR="00000000" w:rsidRDefault="00F83A7A">
      <w:pPr>
        <w:pStyle w:val="a3"/>
        <w:spacing w:before="240" w:beforeAutospacing="0" w:after="0" w:afterAutospacing="0"/>
        <w:jc w:val="center"/>
        <w:rPr>
          <w:sz w:val="20"/>
          <w:szCs w:val="20"/>
        </w:rPr>
      </w:pPr>
      <w:r>
        <w:rPr>
          <w:sz w:val="20"/>
          <w:szCs w:val="20"/>
        </w:rPr>
        <w:t>3</w:t>
      </w:r>
      <w:r>
        <w:rPr>
          <w:sz w:val="20"/>
          <w:szCs w:val="20"/>
        </w:rPr>
        <w:t>0</w:t>
      </w:r>
    </w:p>
    <w:p w:rsidR="00000000" w:rsidRDefault="00F83A7A">
      <w:pPr>
        <w:rPr>
          <w:rFonts w:eastAsia="Times New Roman"/>
        </w:rPr>
      </w:pPr>
      <w:r>
        <w:rPr>
          <w:rFonts w:eastAsia="Times New Roman"/>
        </w:rPr>
        <w:pict>
          <v:rect id="_x0000_i1057"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120" w:beforeAutospacing="0" w:after="120" w:afterAutospacing="0"/>
        <w:jc w:val="both"/>
        <w:rPr>
          <w:sz w:val="20"/>
          <w:szCs w:val="20"/>
        </w:rPr>
      </w:pPr>
      <w:r>
        <w:rPr>
          <w:b/>
          <w:bCs/>
          <w:i/>
          <w:iCs/>
          <w:sz w:val="20"/>
          <w:szCs w:val="20"/>
        </w:rPr>
        <w:t>Risks associated with the in-licensing or acquisition of drug candidates could cause substantial delays in the preclinical and clinical development of our drug candidates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We have previously acquired and we may acquire</w:t>
      </w:r>
      <w:r>
        <w:rPr>
          <w:sz w:val="20"/>
          <w:szCs w:val="20"/>
        </w:rPr>
        <w:t xml:space="preserve"> or in-license drug candidates for preclinical or clinical development in the future as we continue to build our pipeline. Such arrangements with third parties may impose, diligence, development and commercialization obligations, milestone payments, royalt</w:t>
      </w:r>
      <w:r>
        <w:rPr>
          <w:sz w:val="20"/>
          <w:szCs w:val="20"/>
        </w:rPr>
        <w:t>y payments, indemnification and other obligations on us. Our obligations to pay milestone, royalty and other payments to our licensors may be substantial, and the amount and timing of such payments may impact our ability to progress the development and com</w:t>
      </w:r>
      <w:r>
        <w:rPr>
          <w:sz w:val="20"/>
          <w:szCs w:val="20"/>
        </w:rPr>
        <w:t>mercialization of our drug candidates. Our rights to use any licensed intellectual property may be subject to the continuation of and our compliance with the terms of any such agreements. Additionally, disputes may arise regarding our rights to intellectua</w:t>
      </w:r>
      <w:r>
        <w:rPr>
          <w:sz w:val="20"/>
          <w:szCs w:val="20"/>
        </w:rPr>
        <w:t>l property licensed to us or acquired by us from a third party, including but not limited to</w:t>
      </w:r>
      <w:r>
        <w:rPr>
          <w:sz w:val="20"/>
          <w:szCs w:val="20"/>
        </w:rPr>
        <w:t>:</w:t>
      </w:r>
    </w:p>
    <w:p w:rsidR="00000000" w:rsidRDefault="00F83A7A">
      <w:pPr>
        <w:jc w:val="both"/>
        <w:divId w:val="514926898"/>
        <w:rPr>
          <w:rFonts w:eastAsia="Times New Roman"/>
        </w:rPr>
      </w:pPr>
      <w:r>
        <w:rPr>
          <w:rFonts w:eastAsia="Times New Roman"/>
          <w:sz w:val="20"/>
          <w:szCs w:val="20"/>
        </w:rPr>
        <w:t>•</w:t>
      </w:r>
    </w:p>
    <w:p w:rsidR="00000000" w:rsidRDefault="00F83A7A">
      <w:pPr>
        <w:jc w:val="both"/>
        <w:divId w:val="404298348"/>
        <w:rPr>
          <w:rFonts w:eastAsia="Times New Roman"/>
        </w:rPr>
      </w:pPr>
      <w:r>
        <w:rPr>
          <w:rFonts w:eastAsia="Times New Roman"/>
          <w:sz w:val="20"/>
          <w:szCs w:val="20"/>
        </w:rPr>
        <w:t>the scope of intellectual property rights included in, and rights granted under, any license or other agreement</w:t>
      </w:r>
      <w:r>
        <w:rPr>
          <w:rFonts w:eastAsia="Times New Roman"/>
          <w:sz w:val="20"/>
          <w:szCs w:val="20"/>
        </w:rPr>
        <w:t>;</w:t>
      </w:r>
    </w:p>
    <w:p w:rsidR="00000000" w:rsidRDefault="00F83A7A">
      <w:pPr>
        <w:jc w:val="both"/>
        <w:divId w:val="208423981"/>
        <w:rPr>
          <w:rFonts w:eastAsia="Times New Roman"/>
        </w:rPr>
      </w:pPr>
      <w:r>
        <w:rPr>
          <w:rFonts w:eastAsia="Times New Roman"/>
          <w:sz w:val="20"/>
          <w:szCs w:val="20"/>
        </w:rPr>
        <w:t>•</w:t>
      </w:r>
    </w:p>
    <w:p w:rsidR="00000000" w:rsidRDefault="00F83A7A">
      <w:pPr>
        <w:jc w:val="both"/>
        <w:divId w:val="1702895371"/>
        <w:rPr>
          <w:rFonts w:eastAsia="Times New Roman"/>
        </w:rPr>
      </w:pPr>
      <w:r>
        <w:rPr>
          <w:rFonts w:eastAsia="Times New Roman"/>
          <w:sz w:val="20"/>
          <w:szCs w:val="20"/>
        </w:rPr>
        <w:t>the sublicensing of patent and other rights u</w:t>
      </w:r>
      <w:r>
        <w:rPr>
          <w:rFonts w:eastAsia="Times New Roman"/>
          <w:sz w:val="20"/>
          <w:szCs w:val="20"/>
        </w:rPr>
        <w:t>nder such agreements</w:t>
      </w:r>
      <w:r>
        <w:rPr>
          <w:rFonts w:eastAsia="Times New Roman"/>
          <w:sz w:val="20"/>
          <w:szCs w:val="20"/>
        </w:rPr>
        <w:t>;</w:t>
      </w:r>
    </w:p>
    <w:p w:rsidR="00000000" w:rsidRDefault="00F83A7A">
      <w:pPr>
        <w:jc w:val="both"/>
        <w:divId w:val="137919515"/>
        <w:rPr>
          <w:rFonts w:eastAsia="Times New Roman"/>
        </w:rPr>
      </w:pPr>
      <w:r>
        <w:rPr>
          <w:rFonts w:eastAsia="Times New Roman"/>
          <w:sz w:val="20"/>
          <w:szCs w:val="20"/>
        </w:rPr>
        <w:t>•</w:t>
      </w:r>
    </w:p>
    <w:p w:rsidR="00000000" w:rsidRDefault="00F83A7A">
      <w:pPr>
        <w:jc w:val="both"/>
        <w:divId w:val="1969044030"/>
        <w:rPr>
          <w:rFonts w:eastAsia="Times New Roman"/>
        </w:rPr>
      </w:pPr>
      <w:r>
        <w:rPr>
          <w:rFonts w:eastAsia="Times New Roman"/>
          <w:sz w:val="20"/>
          <w:szCs w:val="20"/>
        </w:rPr>
        <w:t>our compliance with our diligence obligations under any license agreement</w:t>
      </w:r>
      <w:r>
        <w:rPr>
          <w:rFonts w:eastAsia="Times New Roman"/>
          <w:sz w:val="20"/>
          <w:szCs w:val="20"/>
        </w:rPr>
        <w:t>;</w:t>
      </w:r>
    </w:p>
    <w:p w:rsidR="00000000" w:rsidRDefault="00F83A7A">
      <w:pPr>
        <w:jc w:val="both"/>
        <w:divId w:val="233976601"/>
        <w:rPr>
          <w:rFonts w:eastAsia="Times New Roman"/>
        </w:rPr>
      </w:pPr>
      <w:r>
        <w:rPr>
          <w:rFonts w:eastAsia="Times New Roman"/>
          <w:sz w:val="20"/>
          <w:szCs w:val="20"/>
        </w:rPr>
        <w:t>•</w:t>
      </w:r>
    </w:p>
    <w:p w:rsidR="00000000" w:rsidRDefault="00F83A7A">
      <w:pPr>
        <w:jc w:val="both"/>
        <w:divId w:val="991637094"/>
        <w:rPr>
          <w:rFonts w:eastAsia="Times New Roman"/>
        </w:rPr>
      </w:pPr>
      <w:r>
        <w:rPr>
          <w:rFonts w:eastAsia="Times New Roman"/>
          <w:sz w:val="20"/>
          <w:szCs w:val="20"/>
        </w:rPr>
        <w:t>the ownership of inventions and know-how resulting from the creation or use of intellectual property by us, alone or with our licensors and collaborators</w:t>
      </w:r>
      <w:r>
        <w:rPr>
          <w:rFonts w:eastAsia="Times New Roman"/>
          <w:sz w:val="20"/>
          <w:szCs w:val="20"/>
        </w:rPr>
        <w:t>;</w:t>
      </w:r>
    </w:p>
    <w:p w:rsidR="00000000" w:rsidRDefault="00F83A7A">
      <w:pPr>
        <w:jc w:val="both"/>
        <w:divId w:val="1764061599"/>
        <w:rPr>
          <w:rFonts w:eastAsia="Times New Roman"/>
        </w:rPr>
      </w:pPr>
      <w:r>
        <w:rPr>
          <w:rFonts w:eastAsia="Times New Roman"/>
          <w:sz w:val="20"/>
          <w:szCs w:val="20"/>
        </w:rPr>
        <w:t>•</w:t>
      </w:r>
    </w:p>
    <w:p w:rsidR="00000000" w:rsidRDefault="00F83A7A">
      <w:pPr>
        <w:jc w:val="both"/>
        <w:divId w:val="1816528946"/>
        <w:rPr>
          <w:rFonts w:eastAsia="Times New Roman"/>
        </w:rPr>
      </w:pPr>
      <w:r>
        <w:rPr>
          <w:rFonts w:eastAsia="Times New Roman"/>
          <w:sz w:val="20"/>
          <w:szCs w:val="20"/>
        </w:rPr>
        <w:t>the scope and duration of our payment obligations, and our ability to make such payments when they are owed</w:t>
      </w:r>
      <w:r>
        <w:rPr>
          <w:rFonts w:eastAsia="Times New Roman"/>
          <w:sz w:val="20"/>
          <w:szCs w:val="20"/>
        </w:rPr>
        <w:t>;</w:t>
      </w:r>
    </w:p>
    <w:p w:rsidR="00000000" w:rsidRDefault="00F83A7A">
      <w:pPr>
        <w:jc w:val="both"/>
        <w:divId w:val="1603565600"/>
        <w:rPr>
          <w:rFonts w:eastAsia="Times New Roman"/>
        </w:rPr>
      </w:pPr>
      <w:r>
        <w:rPr>
          <w:rFonts w:eastAsia="Times New Roman"/>
          <w:sz w:val="20"/>
          <w:szCs w:val="20"/>
        </w:rPr>
        <w:t>•</w:t>
      </w:r>
    </w:p>
    <w:p w:rsidR="00000000" w:rsidRDefault="00F83A7A">
      <w:pPr>
        <w:jc w:val="both"/>
        <w:divId w:val="399867805"/>
        <w:rPr>
          <w:rFonts w:eastAsia="Times New Roman"/>
        </w:rPr>
      </w:pPr>
      <w:r>
        <w:rPr>
          <w:rFonts w:eastAsia="Times New Roman"/>
          <w:sz w:val="20"/>
          <w:szCs w:val="20"/>
        </w:rPr>
        <w:t>our need to acquire additional intellectual property rights from third parties that may impact payments due under such agreements</w:t>
      </w:r>
      <w:r>
        <w:rPr>
          <w:rFonts w:eastAsia="Times New Roman"/>
          <w:sz w:val="20"/>
          <w:szCs w:val="20"/>
        </w:rPr>
        <w:t>;</w:t>
      </w:r>
    </w:p>
    <w:p w:rsidR="00000000" w:rsidRDefault="00F83A7A">
      <w:pPr>
        <w:jc w:val="both"/>
        <w:divId w:val="104816468"/>
        <w:rPr>
          <w:rFonts w:eastAsia="Times New Roman"/>
        </w:rPr>
      </w:pPr>
      <w:r>
        <w:rPr>
          <w:rFonts w:eastAsia="Times New Roman"/>
          <w:sz w:val="20"/>
          <w:szCs w:val="20"/>
        </w:rPr>
        <w:t>•</w:t>
      </w:r>
    </w:p>
    <w:p w:rsidR="00000000" w:rsidRDefault="00F83A7A">
      <w:pPr>
        <w:jc w:val="both"/>
        <w:divId w:val="6565191"/>
        <w:rPr>
          <w:rFonts w:eastAsia="Times New Roman"/>
        </w:rPr>
      </w:pPr>
      <w:r>
        <w:rPr>
          <w:rFonts w:eastAsia="Times New Roman"/>
          <w:sz w:val="20"/>
          <w:szCs w:val="20"/>
        </w:rPr>
        <w:t>the rights</w:t>
      </w:r>
      <w:r>
        <w:rPr>
          <w:rFonts w:eastAsia="Times New Roman"/>
          <w:sz w:val="20"/>
          <w:szCs w:val="20"/>
        </w:rPr>
        <w:t xml:space="preserve"> of our licensors to terminate any such agreement</w:t>
      </w:r>
      <w:r>
        <w:rPr>
          <w:rFonts w:eastAsia="Times New Roman"/>
          <w:sz w:val="20"/>
          <w:szCs w:val="20"/>
        </w:rPr>
        <w:t>;</w:t>
      </w:r>
    </w:p>
    <w:p w:rsidR="00000000" w:rsidRDefault="00F83A7A">
      <w:pPr>
        <w:jc w:val="both"/>
        <w:divId w:val="2134667230"/>
        <w:rPr>
          <w:rFonts w:eastAsia="Times New Roman"/>
        </w:rPr>
      </w:pPr>
      <w:r>
        <w:rPr>
          <w:rFonts w:eastAsia="Times New Roman"/>
          <w:sz w:val="20"/>
          <w:szCs w:val="20"/>
        </w:rPr>
        <w:t>•</w:t>
      </w:r>
    </w:p>
    <w:p w:rsidR="00000000" w:rsidRDefault="00F83A7A">
      <w:pPr>
        <w:jc w:val="both"/>
        <w:divId w:val="1345671604"/>
        <w:rPr>
          <w:rFonts w:eastAsia="Times New Roman"/>
        </w:rPr>
      </w:pPr>
      <w:r>
        <w:rPr>
          <w:rFonts w:eastAsia="Times New Roman"/>
          <w:sz w:val="20"/>
          <w:szCs w:val="20"/>
        </w:rPr>
        <w:t>our rights and obligations upon termination of such agreement; an</w:t>
      </w:r>
      <w:r>
        <w:rPr>
          <w:rFonts w:eastAsia="Times New Roman"/>
          <w:sz w:val="20"/>
          <w:szCs w:val="20"/>
        </w:rPr>
        <w:t>d</w:t>
      </w:r>
    </w:p>
    <w:p w:rsidR="00000000" w:rsidRDefault="00F83A7A">
      <w:pPr>
        <w:jc w:val="both"/>
        <w:divId w:val="868951911"/>
        <w:rPr>
          <w:rFonts w:eastAsia="Times New Roman"/>
        </w:rPr>
      </w:pPr>
      <w:r>
        <w:rPr>
          <w:rFonts w:eastAsia="Times New Roman"/>
          <w:sz w:val="20"/>
          <w:szCs w:val="20"/>
        </w:rPr>
        <w:t>•</w:t>
      </w:r>
    </w:p>
    <w:p w:rsidR="00000000" w:rsidRDefault="00F83A7A">
      <w:pPr>
        <w:jc w:val="both"/>
        <w:divId w:val="905146867"/>
        <w:rPr>
          <w:rFonts w:eastAsia="Times New Roman"/>
        </w:rPr>
      </w:pPr>
      <w:r>
        <w:rPr>
          <w:rFonts w:eastAsia="Times New Roman"/>
          <w:sz w:val="20"/>
          <w:szCs w:val="20"/>
        </w:rPr>
        <w:t>the scope and duration of exclusivity obligations of each party to the agreement</w:t>
      </w:r>
      <w:r>
        <w:rPr>
          <w:rFonts w:eastAsia="Times New Roman"/>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Disputes over intellectual property and other rights that we have licensed or acquired, or may license or acquire in the future, from third parties could prevent or impair our ability to maintain any such arrangements on acceptable terms, result in delays </w:t>
      </w:r>
      <w:r>
        <w:rPr>
          <w:sz w:val="20"/>
          <w:szCs w:val="20"/>
        </w:rPr>
        <w:t>in the commencement or completion of our preclinical studies and clinical trials and impact our ability to successfully develop and commercialize the affected drug candidates. If we fail to comply with our obligations under any future licensing agreements,</w:t>
      </w:r>
      <w:r>
        <w:rPr>
          <w:sz w:val="20"/>
          <w:szCs w:val="20"/>
        </w:rPr>
        <w:t xml:space="preserve"> these agreements may be terminated or the scope of our rights under them may be reduced and we might be unable to develop, manufacture or market any product that is licensed under these agreements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 xml:space="preserve">We may be required to relinquish important rights to and </w:t>
      </w:r>
      <w:r>
        <w:rPr>
          <w:b/>
          <w:bCs/>
          <w:i/>
          <w:iCs/>
          <w:sz w:val="20"/>
          <w:szCs w:val="20"/>
        </w:rPr>
        <w:t>control over the development and commercialization of our drug candidates to any future collaborators</w:t>
      </w:r>
      <w:r>
        <w:rPr>
          <w:b/>
          <w:bCs/>
          <w:i/>
          <w:iCs/>
          <w:sz w:val="20"/>
          <w:szCs w:val="20"/>
        </w:rPr>
        <w:t>.</w:t>
      </w:r>
    </w:p>
    <w:p w:rsidR="00000000" w:rsidRDefault="00F83A7A">
      <w:pPr>
        <w:pStyle w:val="a3"/>
        <w:spacing w:before="240" w:beforeAutospacing="0" w:after="0" w:afterAutospacing="0"/>
        <w:ind w:firstLine="620"/>
        <w:rPr>
          <w:sz w:val="20"/>
          <w:szCs w:val="20"/>
        </w:rPr>
      </w:pPr>
      <w:r>
        <w:rPr>
          <w:sz w:val="20"/>
          <w:szCs w:val="20"/>
        </w:rPr>
        <w:t>Our current and future collaborations could subject us to a number of risks, including</w:t>
      </w:r>
      <w:r>
        <w:rPr>
          <w:sz w:val="20"/>
          <w:szCs w:val="20"/>
        </w:rPr>
        <w:t>:</w:t>
      </w:r>
    </w:p>
    <w:p w:rsidR="00000000" w:rsidRDefault="00F83A7A">
      <w:pPr>
        <w:jc w:val="both"/>
        <w:divId w:val="356928582"/>
        <w:rPr>
          <w:rFonts w:eastAsia="Times New Roman"/>
        </w:rPr>
      </w:pPr>
      <w:r>
        <w:rPr>
          <w:rFonts w:eastAsia="Times New Roman"/>
          <w:sz w:val="20"/>
          <w:szCs w:val="20"/>
        </w:rPr>
        <w:t>•</w:t>
      </w:r>
    </w:p>
    <w:p w:rsidR="00000000" w:rsidRDefault="00F83A7A">
      <w:pPr>
        <w:jc w:val="both"/>
        <w:divId w:val="1047605035"/>
        <w:rPr>
          <w:rFonts w:eastAsia="Times New Roman"/>
        </w:rPr>
      </w:pPr>
      <w:r>
        <w:rPr>
          <w:rFonts w:eastAsia="Times New Roman"/>
          <w:sz w:val="20"/>
          <w:szCs w:val="20"/>
        </w:rPr>
        <w:t xml:space="preserve">we may be required to undertake the expenditure of substantial </w:t>
      </w:r>
      <w:r>
        <w:rPr>
          <w:rFonts w:eastAsia="Times New Roman"/>
          <w:sz w:val="20"/>
          <w:szCs w:val="20"/>
        </w:rPr>
        <w:t>operational, financial and management resources</w:t>
      </w:r>
      <w:r>
        <w:rPr>
          <w:rFonts w:eastAsia="Times New Roman"/>
          <w:sz w:val="20"/>
          <w:szCs w:val="20"/>
        </w:rPr>
        <w:t>;</w:t>
      </w:r>
    </w:p>
    <w:p w:rsidR="00000000" w:rsidRDefault="00F83A7A">
      <w:pPr>
        <w:jc w:val="both"/>
        <w:divId w:val="1322929235"/>
        <w:rPr>
          <w:rFonts w:eastAsia="Times New Roman"/>
        </w:rPr>
      </w:pPr>
      <w:r>
        <w:rPr>
          <w:rFonts w:eastAsia="Times New Roman"/>
          <w:sz w:val="20"/>
          <w:szCs w:val="20"/>
        </w:rPr>
        <w:t>•</w:t>
      </w:r>
    </w:p>
    <w:p w:rsidR="00000000" w:rsidRDefault="00F83A7A">
      <w:pPr>
        <w:jc w:val="both"/>
        <w:divId w:val="1036085017"/>
        <w:rPr>
          <w:rFonts w:eastAsia="Times New Roman"/>
        </w:rPr>
      </w:pPr>
      <w:r>
        <w:rPr>
          <w:rFonts w:eastAsia="Times New Roman"/>
          <w:sz w:val="20"/>
          <w:szCs w:val="20"/>
        </w:rPr>
        <w:t>we may be required to issue equity securities that would dilute our stockholders’ percentage of ownership</w:t>
      </w:r>
      <w:r>
        <w:rPr>
          <w:rFonts w:eastAsia="Times New Roman"/>
          <w:sz w:val="20"/>
          <w:szCs w:val="20"/>
        </w:rPr>
        <w:t>;</w:t>
      </w:r>
    </w:p>
    <w:p w:rsidR="00000000" w:rsidRDefault="00F83A7A">
      <w:pPr>
        <w:jc w:val="both"/>
        <w:divId w:val="1523322787"/>
        <w:rPr>
          <w:rFonts w:eastAsia="Times New Roman"/>
        </w:rPr>
      </w:pPr>
      <w:r>
        <w:rPr>
          <w:rFonts w:eastAsia="Times New Roman"/>
          <w:sz w:val="20"/>
          <w:szCs w:val="20"/>
        </w:rPr>
        <w:t>•</w:t>
      </w:r>
    </w:p>
    <w:p w:rsidR="00000000" w:rsidRDefault="00F83A7A">
      <w:pPr>
        <w:jc w:val="both"/>
        <w:divId w:val="1010639576"/>
        <w:rPr>
          <w:rFonts w:eastAsia="Times New Roman"/>
        </w:rPr>
      </w:pPr>
      <w:r>
        <w:rPr>
          <w:rFonts w:eastAsia="Times New Roman"/>
          <w:sz w:val="20"/>
          <w:szCs w:val="20"/>
        </w:rPr>
        <w:t>we may be required to assume substantial actual or contingent liabilities</w:t>
      </w:r>
      <w:r>
        <w:rPr>
          <w:rFonts w:eastAsia="Times New Roman"/>
          <w:sz w:val="20"/>
          <w:szCs w:val="20"/>
        </w:rPr>
        <w:t>;</w:t>
      </w:r>
    </w:p>
    <w:p w:rsidR="00000000" w:rsidRDefault="00F83A7A">
      <w:pPr>
        <w:jc w:val="both"/>
        <w:divId w:val="1104232903"/>
        <w:rPr>
          <w:rFonts w:eastAsia="Times New Roman"/>
        </w:rPr>
      </w:pPr>
      <w:r>
        <w:rPr>
          <w:rFonts w:eastAsia="Times New Roman"/>
          <w:sz w:val="20"/>
          <w:szCs w:val="20"/>
        </w:rPr>
        <w:t>•</w:t>
      </w:r>
    </w:p>
    <w:p w:rsidR="00000000" w:rsidRDefault="00F83A7A">
      <w:pPr>
        <w:jc w:val="both"/>
        <w:divId w:val="1924874366"/>
        <w:rPr>
          <w:rFonts w:eastAsia="Times New Roman"/>
        </w:rPr>
      </w:pPr>
      <w:r>
        <w:rPr>
          <w:rFonts w:eastAsia="Times New Roman"/>
          <w:sz w:val="20"/>
          <w:szCs w:val="20"/>
        </w:rPr>
        <w:t xml:space="preserve">we may not be able </w:t>
      </w:r>
      <w:r>
        <w:rPr>
          <w:rFonts w:eastAsia="Times New Roman"/>
          <w:sz w:val="20"/>
          <w:szCs w:val="20"/>
        </w:rPr>
        <w:t>to control the amount and timing of resources that our strategic collaborators devote to the development or commercialization of our drug candidates</w:t>
      </w:r>
      <w:r>
        <w:rPr>
          <w:rFonts w:eastAsia="Times New Roman"/>
          <w:sz w:val="20"/>
          <w:szCs w:val="20"/>
        </w:rPr>
        <w:t>;</w:t>
      </w:r>
    </w:p>
    <w:p w:rsidR="00000000" w:rsidRDefault="00F83A7A">
      <w:pPr>
        <w:jc w:val="both"/>
        <w:divId w:val="1635135878"/>
        <w:rPr>
          <w:rFonts w:eastAsia="Times New Roman"/>
        </w:rPr>
      </w:pPr>
      <w:r>
        <w:rPr>
          <w:rFonts w:eastAsia="Times New Roman"/>
          <w:sz w:val="20"/>
          <w:szCs w:val="20"/>
        </w:rPr>
        <w:t>•</w:t>
      </w:r>
    </w:p>
    <w:p w:rsidR="00000000" w:rsidRDefault="00F83A7A">
      <w:pPr>
        <w:jc w:val="both"/>
        <w:divId w:val="2018728712"/>
        <w:rPr>
          <w:rFonts w:eastAsia="Times New Roman"/>
        </w:rPr>
      </w:pPr>
      <w:r>
        <w:rPr>
          <w:rFonts w:eastAsia="Times New Roman"/>
          <w:sz w:val="20"/>
          <w:szCs w:val="20"/>
        </w:rPr>
        <w:t>strategic collaborators may delay clinical trials, provide insufficient funding, terminate a clinical tr</w:t>
      </w:r>
      <w:r>
        <w:rPr>
          <w:rFonts w:eastAsia="Times New Roman"/>
          <w:sz w:val="20"/>
          <w:szCs w:val="20"/>
        </w:rPr>
        <w:t>ial or abandon a drug candidate, repeat or conduct new clinical trials or require a new version of a drug candidate for clinical testing</w:t>
      </w:r>
      <w:r>
        <w:rPr>
          <w:rFonts w:eastAsia="Times New Roman"/>
          <w:sz w:val="20"/>
          <w:szCs w:val="20"/>
        </w:rPr>
        <w:t>;</w:t>
      </w:r>
    </w:p>
    <w:p w:rsidR="00000000" w:rsidRDefault="00F83A7A">
      <w:pPr>
        <w:jc w:val="both"/>
        <w:divId w:val="664820970"/>
        <w:rPr>
          <w:rFonts w:eastAsia="Times New Roman"/>
        </w:rPr>
      </w:pPr>
      <w:r>
        <w:rPr>
          <w:rFonts w:eastAsia="Times New Roman"/>
          <w:sz w:val="20"/>
          <w:szCs w:val="20"/>
        </w:rPr>
        <w:t>•</w:t>
      </w:r>
    </w:p>
    <w:p w:rsidR="00000000" w:rsidRDefault="00F83A7A">
      <w:pPr>
        <w:jc w:val="both"/>
        <w:divId w:val="24596707"/>
        <w:rPr>
          <w:rFonts w:eastAsia="Times New Roman"/>
        </w:rPr>
      </w:pPr>
      <w:r>
        <w:rPr>
          <w:rFonts w:eastAsia="Times New Roman"/>
          <w:sz w:val="20"/>
          <w:szCs w:val="20"/>
        </w:rPr>
        <w:t>strategic collaborators may not pursue further development and commercialization of products resulting from the stra</w:t>
      </w:r>
      <w:r>
        <w:rPr>
          <w:rFonts w:eastAsia="Times New Roman"/>
          <w:sz w:val="20"/>
          <w:szCs w:val="20"/>
        </w:rPr>
        <w:t>tegic collaboration arrangement or may elect to discontinue research and development programs</w:t>
      </w:r>
      <w:r>
        <w:rPr>
          <w:rFonts w:eastAsia="Times New Roman"/>
          <w:sz w:val="20"/>
          <w:szCs w:val="20"/>
        </w:rPr>
        <w:t>;</w:t>
      </w:r>
    </w:p>
    <w:p w:rsidR="00000000" w:rsidRDefault="00F83A7A">
      <w:pPr>
        <w:jc w:val="both"/>
        <w:divId w:val="2086799921"/>
        <w:rPr>
          <w:rFonts w:eastAsia="Times New Roman"/>
        </w:rPr>
      </w:pPr>
      <w:r>
        <w:rPr>
          <w:rFonts w:eastAsia="Times New Roman"/>
          <w:sz w:val="20"/>
          <w:szCs w:val="20"/>
        </w:rPr>
        <w:t>•</w:t>
      </w:r>
    </w:p>
    <w:p w:rsidR="00000000" w:rsidRDefault="00F83A7A">
      <w:pPr>
        <w:jc w:val="both"/>
        <w:divId w:val="323356265"/>
        <w:rPr>
          <w:rFonts w:eastAsia="Times New Roman"/>
        </w:rPr>
      </w:pPr>
      <w:r>
        <w:rPr>
          <w:rFonts w:eastAsia="Times New Roman"/>
          <w:sz w:val="20"/>
          <w:szCs w:val="20"/>
        </w:rPr>
        <w:t xml:space="preserve">strategic collaborators may not commit adequate resources to the marketing and distribution of our drug candidates, limiting our potential revenues from these </w:t>
      </w:r>
      <w:r>
        <w:rPr>
          <w:rFonts w:eastAsia="Times New Roman"/>
          <w:sz w:val="20"/>
          <w:szCs w:val="20"/>
        </w:rPr>
        <w:t>products</w:t>
      </w:r>
      <w:r>
        <w:rPr>
          <w:rFonts w:eastAsia="Times New Roman"/>
          <w:sz w:val="20"/>
          <w:szCs w:val="20"/>
        </w:rPr>
        <w:t>;</w:t>
      </w:r>
    </w:p>
    <w:p w:rsidR="00000000" w:rsidRDefault="00F83A7A">
      <w:pPr>
        <w:jc w:val="both"/>
        <w:divId w:val="44137021"/>
        <w:rPr>
          <w:rFonts w:eastAsia="Times New Roman"/>
        </w:rPr>
      </w:pPr>
      <w:r>
        <w:rPr>
          <w:rFonts w:eastAsia="Times New Roman"/>
          <w:sz w:val="20"/>
          <w:szCs w:val="20"/>
        </w:rPr>
        <w:t>•</w:t>
      </w:r>
    </w:p>
    <w:p w:rsidR="00000000" w:rsidRDefault="00F83A7A">
      <w:pPr>
        <w:jc w:val="both"/>
        <w:divId w:val="359166143"/>
        <w:rPr>
          <w:rFonts w:eastAsia="Times New Roman"/>
        </w:rPr>
      </w:pPr>
      <w:r>
        <w:rPr>
          <w:rFonts w:eastAsia="Times New Roman"/>
          <w:sz w:val="20"/>
          <w:szCs w:val="20"/>
        </w:rPr>
        <w:t>we rely on our current collaborators to manufacture drug substance and drug product and may do so with respect to future collaborators, which could result in disputes or delays</w:t>
      </w:r>
      <w:r>
        <w:rPr>
          <w:rFonts w:eastAsia="Times New Roman"/>
          <w:sz w:val="20"/>
          <w:szCs w:val="20"/>
        </w:rPr>
        <w:t>;</w:t>
      </w:r>
    </w:p>
    <w:p w:rsidR="00000000" w:rsidRDefault="00F83A7A">
      <w:pPr>
        <w:jc w:val="both"/>
        <w:divId w:val="1869444859"/>
        <w:rPr>
          <w:rFonts w:eastAsia="Times New Roman"/>
        </w:rPr>
      </w:pPr>
      <w:r>
        <w:rPr>
          <w:rFonts w:eastAsia="Times New Roman"/>
          <w:sz w:val="20"/>
          <w:szCs w:val="20"/>
        </w:rPr>
        <w:t>•</w:t>
      </w:r>
    </w:p>
    <w:p w:rsidR="00000000" w:rsidRDefault="00F83A7A">
      <w:pPr>
        <w:jc w:val="both"/>
        <w:divId w:val="650869735"/>
        <w:rPr>
          <w:rFonts w:eastAsia="Times New Roman"/>
        </w:rPr>
      </w:pPr>
      <w:r>
        <w:rPr>
          <w:rFonts w:eastAsia="Times New Roman"/>
          <w:sz w:val="20"/>
          <w:szCs w:val="20"/>
        </w:rPr>
        <w:t>disputes may arise between us and our strategic collaborators th</w:t>
      </w:r>
      <w:r>
        <w:rPr>
          <w:rFonts w:eastAsia="Times New Roman"/>
          <w:sz w:val="20"/>
          <w:szCs w:val="20"/>
        </w:rPr>
        <w:t>at result in the delay or termination of the research, development or commercialization of our drug candidates or that result in costly litigation or arbitration that diverts management’s attention and consumes resources</w:t>
      </w:r>
      <w:r>
        <w:rPr>
          <w:rFonts w:eastAsia="Times New Roman"/>
          <w:sz w:val="20"/>
          <w:szCs w:val="20"/>
        </w:rPr>
        <w:t>;</w:t>
      </w:r>
    </w:p>
    <w:p w:rsidR="00000000" w:rsidRDefault="00F83A7A">
      <w:pPr>
        <w:pStyle w:val="a3"/>
        <w:spacing w:before="240" w:beforeAutospacing="0" w:after="0" w:afterAutospacing="0"/>
        <w:jc w:val="center"/>
        <w:rPr>
          <w:sz w:val="20"/>
          <w:szCs w:val="20"/>
        </w:rPr>
      </w:pPr>
      <w:r>
        <w:rPr>
          <w:sz w:val="20"/>
          <w:szCs w:val="20"/>
        </w:rPr>
        <w:t>3</w:t>
      </w:r>
      <w:r>
        <w:rPr>
          <w:sz w:val="20"/>
          <w:szCs w:val="20"/>
        </w:rPr>
        <w:t>1</w:t>
      </w:r>
    </w:p>
    <w:p w:rsidR="00000000" w:rsidRDefault="00F83A7A">
      <w:pPr>
        <w:rPr>
          <w:rFonts w:eastAsia="Times New Roman"/>
        </w:rPr>
      </w:pPr>
      <w:r>
        <w:rPr>
          <w:rFonts w:eastAsia="Times New Roman"/>
        </w:rPr>
        <w:pict>
          <v:rect id="_x0000_i1058"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jc w:val="both"/>
        <w:divId w:val="19404033"/>
        <w:rPr>
          <w:rFonts w:eastAsia="Times New Roman"/>
        </w:rPr>
      </w:pPr>
      <w:r>
        <w:rPr>
          <w:rFonts w:eastAsia="Times New Roman"/>
          <w:sz w:val="20"/>
          <w:szCs w:val="20"/>
        </w:rPr>
        <w:t>•</w:t>
      </w:r>
    </w:p>
    <w:p w:rsidR="00000000" w:rsidRDefault="00F83A7A">
      <w:pPr>
        <w:jc w:val="both"/>
        <w:divId w:val="375547754"/>
        <w:rPr>
          <w:rFonts w:eastAsia="Times New Roman"/>
        </w:rPr>
      </w:pPr>
      <w:r>
        <w:rPr>
          <w:rFonts w:eastAsia="Times New Roman"/>
          <w:sz w:val="20"/>
          <w:szCs w:val="20"/>
        </w:rPr>
        <w:t>disputes may arise between us and our current or future collaborators regarding any termination of any collaboration, license, or other business development arrangement in which we may enter</w:t>
      </w:r>
      <w:r>
        <w:rPr>
          <w:rFonts w:eastAsia="Times New Roman"/>
          <w:sz w:val="20"/>
          <w:szCs w:val="20"/>
        </w:rPr>
        <w:t>;</w:t>
      </w:r>
    </w:p>
    <w:p w:rsidR="00000000" w:rsidRDefault="00F83A7A">
      <w:pPr>
        <w:jc w:val="both"/>
        <w:divId w:val="781072046"/>
        <w:rPr>
          <w:rFonts w:eastAsia="Times New Roman"/>
        </w:rPr>
      </w:pPr>
      <w:r>
        <w:rPr>
          <w:rFonts w:eastAsia="Times New Roman"/>
          <w:sz w:val="20"/>
          <w:szCs w:val="20"/>
        </w:rPr>
        <w:t>•</w:t>
      </w:r>
    </w:p>
    <w:p w:rsidR="00000000" w:rsidRDefault="00F83A7A">
      <w:pPr>
        <w:jc w:val="both"/>
        <w:divId w:val="1507359854"/>
        <w:rPr>
          <w:rFonts w:eastAsia="Times New Roman"/>
        </w:rPr>
      </w:pPr>
      <w:r>
        <w:rPr>
          <w:rFonts w:eastAsia="Times New Roman"/>
          <w:sz w:val="20"/>
          <w:szCs w:val="20"/>
        </w:rPr>
        <w:t>strategic collaborators may experience financial difficulties</w:t>
      </w:r>
      <w:r>
        <w:rPr>
          <w:rFonts w:eastAsia="Times New Roman"/>
          <w:sz w:val="20"/>
          <w:szCs w:val="20"/>
        </w:rPr>
        <w:t>;</w:t>
      </w:r>
    </w:p>
    <w:p w:rsidR="00000000" w:rsidRDefault="00F83A7A">
      <w:pPr>
        <w:jc w:val="both"/>
        <w:divId w:val="393821525"/>
        <w:rPr>
          <w:rFonts w:eastAsia="Times New Roman"/>
        </w:rPr>
      </w:pPr>
      <w:r>
        <w:rPr>
          <w:rFonts w:eastAsia="Times New Roman"/>
          <w:sz w:val="20"/>
          <w:szCs w:val="20"/>
        </w:rPr>
        <w:t>•</w:t>
      </w:r>
    </w:p>
    <w:p w:rsidR="00000000" w:rsidRDefault="00F83A7A">
      <w:pPr>
        <w:jc w:val="both"/>
        <w:divId w:val="1324891181"/>
        <w:rPr>
          <w:rFonts w:eastAsia="Times New Roman"/>
        </w:rPr>
      </w:pPr>
      <w:r>
        <w:rPr>
          <w:rFonts w:eastAsia="Times New Roman"/>
          <w:sz w:val="20"/>
          <w:szCs w:val="20"/>
        </w:rPr>
        <w:t>strategic collaborators may not properly maintain or defend our intellectual property rights or may use our proprietary information in a manner that could jeopardize or invalidate our proprietary information or expose us to potential litigation</w:t>
      </w:r>
      <w:r>
        <w:rPr>
          <w:rFonts w:eastAsia="Times New Roman"/>
          <w:sz w:val="20"/>
          <w:szCs w:val="20"/>
        </w:rPr>
        <w:t>;</w:t>
      </w:r>
    </w:p>
    <w:p w:rsidR="00000000" w:rsidRDefault="00F83A7A">
      <w:pPr>
        <w:jc w:val="both"/>
        <w:divId w:val="400297867"/>
        <w:rPr>
          <w:rFonts w:eastAsia="Times New Roman"/>
        </w:rPr>
      </w:pPr>
      <w:r>
        <w:rPr>
          <w:rFonts w:eastAsia="Times New Roman"/>
          <w:sz w:val="20"/>
          <w:szCs w:val="20"/>
        </w:rPr>
        <w:t>•</w:t>
      </w:r>
    </w:p>
    <w:p w:rsidR="00000000" w:rsidRDefault="00F83A7A">
      <w:pPr>
        <w:jc w:val="both"/>
        <w:divId w:val="1829664810"/>
        <w:rPr>
          <w:rFonts w:eastAsia="Times New Roman"/>
        </w:rPr>
      </w:pPr>
      <w:r>
        <w:rPr>
          <w:rFonts w:eastAsia="Times New Roman"/>
          <w:sz w:val="20"/>
          <w:szCs w:val="20"/>
        </w:rPr>
        <w:t>busin</w:t>
      </w:r>
      <w:r>
        <w:rPr>
          <w:rFonts w:eastAsia="Times New Roman"/>
          <w:sz w:val="20"/>
          <w:szCs w:val="20"/>
        </w:rPr>
        <w:t>ess combinations or significant changes in a strategic collaborator’s business strategy may also adversely affect a strategic collaborator’s willingness or ability to complete its obligations under any arrangement</w:t>
      </w:r>
      <w:r>
        <w:rPr>
          <w:rFonts w:eastAsia="Times New Roman"/>
          <w:sz w:val="20"/>
          <w:szCs w:val="20"/>
        </w:rPr>
        <w:t>;</w:t>
      </w:r>
    </w:p>
    <w:p w:rsidR="00000000" w:rsidRDefault="00F83A7A">
      <w:pPr>
        <w:jc w:val="both"/>
        <w:divId w:val="524753302"/>
        <w:rPr>
          <w:rFonts w:eastAsia="Times New Roman"/>
        </w:rPr>
      </w:pPr>
      <w:r>
        <w:rPr>
          <w:rFonts w:eastAsia="Times New Roman"/>
          <w:sz w:val="20"/>
          <w:szCs w:val="20"/>
        </w:rPr>
        <w:t>•</w:t>
      </w:r>
    </w:p>
    <w:p w:rsidR="00000000" w:rsidRDefault="00F83A7A">
      <w:pPr>
        <w:jc w:val="both"/>
        <w:divId w:val="1728842313"/>
        <w:rPr>
          <w:rFonts w:eastAsia="Times New Roman"/>
        </w:rPr>
      </w:pPr>
      <w:r>
        <w:rPr>
          <w:rFonts w:eastAsia="Times New Roman"/>
          <w:sz w:val="20"/>
          <w:szCs w:val="20"/>
        </w:rPr>
        <w:t>strategic collaborators could decide to</w:t>
      </w:r>
      <w:r>
        <w:rPr>
          <w:rFonts w:eastAsia="Times New Roman"/>
          <w:sz w:val="20"/>
          <w:szCs w:val="20"/>
        </w:rPr>
        <w:t xml:space="preserve"> move forward with a competing drug candidate developed either independently or in collaboration with others, including our competitors; an</w:t>
      </w:r>
      <w:r>
        <w:rPr>
          <w:rFonts w:eastAsia="Times New Roman"/>
          <w:sz w:val="20"/>
          <w:szCs w:val="20"/>
        </w:rPr>
        <w:t>d</w:t>
      </w:r>
    </w:p>
    <w:p w:rsidR="00000000" w:rsidRDefault="00F83A7A">
      <w:pPr>
        <w:jc w:val="both"/>
        <w:divId w:val="1059281628"/>
        <w:rPr>
          <w:rFonts w:eastAsia="Times New Roman"/>
        </w:rPr>
      </w:pPr>
      <w:r>
        <w:rPr>
          <w:rFonts w:eastAsia="Times New Roman"/>
          <w:sz w:val="20"/>
          <w:szCs w:val="20"/>
        </w:rPr>
        <w:t>•</w:t>
      </w:r>
    </w:p>
    <w:p w:rsidR="00000000" w:rsidRDefault="00F83A7A">
      <w:pPr>
        <w:jc w:val="both"/>
        <w:divId w:val="447699179"/>
        <w:rPr>
          <w:rFonts w:eastAsia="Times New Roman"/>
        </w:rPr>
      </w:pPr>
      <w:r>
        <w:rPr>
          <w:rFonts w:eastAsia="Times New Roman"/>
          <w:sz w:val="20"/>
          <w:szCs w:val="20"/>
        </w:rPr>
        <w:t xml:space="preserve">strategic collaborators could terminate the arrangement or allow it to expire, which would delay the development </w:t>
      </w:r>
      <w:r>
        <w:rPr>
          <w:rFonts w:eastAsia="Times New Roman"/>
          <w:sz w:val="20"/>
          <w:szCs w:val="20"/>
        </w:rPr>
        <w:t>and may increase the cost of developing our drug candidates</w:t>
      </w:r>
      <w:r>
        <w:rPr>
          <w:rFonts w:eastAsia="Times New Roman"/>
          <w:sz w:val="20"/>
          <w:szCs w:val="20"/>
        </w:rPr>
        <w:t>.</w:t>
      </w:r>
    </w:p>
    <w:p w:rsidR="00000000" w:rsidRDefault="00F83A7A">
      <w:pPr>
        <w:pStyle w:val="a3"/>
        <w:spacing w:before="200" w:beforeAutospacing="0" w:after="0" w:afterAutospacing="0"/>
        <w:jc w:val="both"/>
        <w:rPr>
          <w:sz w:val="20"/>
          <w:szCs w:val="20"/>
        </w:rPr>
      </w:pPr>
      <w:r>
        <w:rPr>
          <w:b/>
          <w:bCs/>
          <w:i/>
          <w:iCs/>
          <w:sz w:val="20"/>
          <w:szCs w:val="20"/>
        </w:rPr>
        <w:t>We may explore additional strategic collaborations that may never materialize or may fail</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Our business strategy is based on acquiring or in-licensing compounds directed at epilepsies, seizure-re</w:t>
      </w:r>
      <w:r>
        <w:rPr>
          <w:sz w:val="20"/>
          <w:szCs w:val="20"/>
        </w:rPr>
        <w:t>lated disorders, and rare neurological disorders. As a result, we intend to periodically explore a variety of possible additional strategic collaborations in an effort to gain access to additional drug candidates or resources. At the current time, we canno</w:t>
      </w:r>
      <w:r>
        <w:rPr>
          <w:sz w:val="20"/>
          <w:szCs w:val="20"/>
        </w:rPr>
        <w:t>t predict what form such a strategic collaboration might take. We are likely to face significant competition in seeking appropriate strategic collaborators, and strategic collaborations can be complicated and time consuming to negotiate and document. We ma</w:t>
      </w:r>
      <w:r>
        <w:rPr>
          <w:sz w:val="20"/>
          <w:szCs w:val="20"/>
        </w:rPr>
        <w:t>y not be able to negotiate strategic collaborations on acceptable terms, or at all. We are unable to predict when, if ever, we will enter into any additional strategic collaborations because of the numerous risks and uncertainties associated with establish</w:t>
      </w:r>
      <w:r>
        <w:rPr>
          <w:sz w:val="20"/>
          <w:szCs w:val="20"/>
        </w:rPr>
        <w:t>ing them. Further, our business development activities and research activities may present attractive opportunities outside of epilepsies and seizure related disorders and we may choose to pursue drug candidates in other areas of interest including other d</w:t>
      </w:r>
      <w:r>
        <w:rPr>
          <w:sz w:val="20"/>
          <w:szCs w:val="20"/>
        </w:rPr>
        <w:t>isorders and diseases that we believe would be in the best interest of the Company and our stockholders. We plan to continuously review our strategies and modify as necessary based on attractive areas of interest and assets that we choose to pursue</w:t>
      </w:r>
      <w:r>
        <w:rPr>
          <w:sz w:val="20"/>
          <w:szCs w:val="20"/>
        </w:rPr>
        <w:t>.</w:t>
      </w:r>
    </w:p>
    <w:p w:rsidR="00000000" w:rsidRDefault="00F83A7A">
      <w:pPr>
        <w:pStyle w:val="a3"/>
        <w:spacing w:before="120" w:beforeAutospacing="0" w:after="120" w:afterAutospacing="0"/>
        <w:jc w:val="both"/>
        <w:rPr>
          <w:sz w:val="20"/>
          <w:szCs w:val="20"/>
        </w:rPr>
      </w:pPr>
      <w:r>
        <w:rPr>
          <w:b/>
          <w:bCs/>
          <w:sz w:val="20"/>
          <w:szCs w:val="20"/>
        </w:rPr>
        <w:t xml:space="preserve">Risks </w:t>
      </w:r>
      <w:r>
        <w:rPr>
          <w:b/>
          <w:bCs/>
          <w:sz w:val="20"/>
          <w:szCs w:val="20"/>
        </w:rPr>
        <w:t>Related to Regulatory Complianc</w:t>
      </w:r>
      <w:r>
        <w:rPr>
          <w:b/>
          <w:bCs/>
          <w:sz w:val="20"/>
          <w:szCs w:val="20"/>
        </w:rPr>
        <w:t>e</w:t>
      </w:r>
    </w:p>
    <w:p w:rsidR="00000000" w:rsidRDefault="00F83A7A">
      <w:pPr>
        <w:pStyle w:val="a3"/>
        <w:spacing w:before="200" w:beforeAutospacing="0" w:after="0" w:afterAutospacing="0"/>
        <w:jc w:val="both"/>
        <w:rPr>
          <w:sz w:val="20"/>
          <w:szCs w:val="20"/>
        </w:rPr>
      </w:pPr>
      <w:r>
        <w:rPr>
          <w:b/>
          <w:bCs/>
          <w:i/>
          <w:iCs/>
          <w:sz w:val="20"/>
          <w:szCs w:val="20"/>
        </w:rPr>
        <w:t>Our relationships with customers, physicians, and third-party payors may be subject, directly or indirectly, to federal and state healthcare fraud and abuse laws, false claims laws, health information privacy and security l</w:t>
      </w:r>
      <w:r>
        <w:rPr>
          <w:b/>
          <w:bCs/>
          <w:i/>
          <w:iCs/>
          <w:sz w:val="20"/>
          <w:szCs w:val="20"/>
        </w:rPr>
        <w:t>aws, and other healthcare laws and regulations. If we are unable to comply, or have not fully complied, with such laws, we could face substantial penalties</w:t>
      </w:r>
      <w:r>
        <w:rPr>
          <w:b/>
          <w:bCs/>
          <w:i/>
          <w:iCs/>
          <w:sz w:val="20"/>
          <w:szCs w:val="20"/>
        </w:rPr>
        <w:t>.</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0" w:beforeAutospacing="0" w:after="0" w:afterAutospacing="0"/>
        <w:jc w:val="both"/>
        <w:rPr>
          <w:sz w:val="20"/>
          <w:szCs w:val="20"/>
        </w:rPr>
      </w:pPr>
      <w:r>
        <w:rPr>
          <w:sz w:val="20"/>
          <w:szCs w:val="20"/>
        </w:rPr>
        <w:t>Healthcare providers and third-party payors in the United States and elsewhere will play a primary role in the recommendation and prescription of any drug candidates for which we obtain marketing approval. Our current and future arrangements with healthcar</w:t>
      </w:r>
      <w:r>
        <w:rPr>
          <w:sz w:val="20"/>
          <w:szCs w:val="20"/>
        </w:rPr>
        <w:t>e professionals, principal investigators, consultants, customers and third-party payors may subject us to various federal and state fraud and abuse laws and other healthcare laws, including, without limitation, the federal Anti-Kickback Statute, the federa</w:t>
      </w:r>
      <w:r>
        <w:rPr>
          <w:sz w:val="20"/>
          <w:szCs w:val="20"/>
        </w:rPr>
        <w:t>l civil and criminal false claims laws and the law commonly referred to as the Physician Payments Sunshine Act and regulations. These laws will impact, among other things, our clinical research, proposed sales, marketing and educational programs. In additi</w:t>
      </w:r>
      <w:r>
        <w:rPr>
          <w:sz w:val="20"/>
          <w:szCs w:val="20"/>
        </w:rPr>
        <w:t>on, we may be subject to patient privacy laws by both the federal government and the states in which we conduct or may conduct our business. The laws that will affect our operations include, but are not limited to</w:t>
      </w:r>
      <w:r>
        <w:rPr>
          <w:sz w:val="20"/>
          <w:szCs w:val="20"/>
        </w:rPr>
        <w:t>:</w:t>
      </w:r>
    </w:p>
    <w:p w:rsidR="00000000" w:rsidRDefault="00F83A7A">
      <w:pPr>
        <w:jc w:val="both"/>
        <w:divId w:val="854536901"/>
        <w:rPr>
          <w:rFonts w:eastAsia="Times New Roman"/>
        </w:rPr>
      </w:pPr>
      <w:r>
        <w:rPr>
          <w:rFonts w:eastAsia="Times New Roman"/>
          <w:sz w:val="20"/>
          <w:szCs w:val="20"/>
        </w:rPr>
        <w:t>•</w:t>
      </w:r>
    </w:p>
    <w:p w:rsidR="00000000" w:rsidRDefault="00F83A7A">
      <w:pPr>
        <w:jc w:val="both"/>
        <w:divId w:val="1018390233"/>
        <w:rPr>
          <w:rFonts w:eastAsia="Times New Roman"/>
        </w:rPr>
      </w:pPr>
      <w:r>
        <w:rPr>
          <w:rFonts w:eastAsia="Times New Roman"/>
          <w:sz w:val="20"/>
          <w:szCs w:val="20"/>
        </w:rPr>
        <w:t>the federal Anti-Kickback Statute, whic</w:t>
      </w:r>
      <w:r>
        <w:rPr>
          <w:rFonts w:eastAsia="Times New Roman"/>
          <w:sz w:val="20"/>
          <w:szCs w:val="20"/>
        </w:rPr>
        <w:t>h prohibits, among other things, persons or entities from knowingly and willfully soliciting, receiving, offering or paying any remuneration (including any kickback, bribe or rebate), directly or indirectly, overtly or covertly, in cash or in kind, in retu</w:t>
      </w:r>
      <w:r>
        <w:rPr>
          <w:rFonts w:eastAsia="Times New Roman"/>
          <w:sz w:val="20"/>
          <w:szCs w:val="20"/>
        </w:rPr>
        <w:t xml:space="preserve">rn for the purchase, recommendation, leasing or furnishing of an item or service reimbursable under a federal healthcare program, such as the Medicare and Medicaid programs. This statute has been interpreted to apply to arrangements between pharmaceutical </w:t>
      </w:r>
      <w:r>
        <w:rPr>
          <w:rFonts w:eastAsia="Times New Roman"/>
          <w:sz w:val="20"/>
          <w:szCs w:val="20"/>
        </w:rPr>
        <w:t>manufacturers on the one hand, and prescribers, purchasers and formulary managers on the other. The Patient Protection and Affordable Care Act, as amended by the Health Care and Education Reconciliation Act (collectively, the “PPACA”), amended the intent r</w:t>
      </w:r>
      <w:r>
        <w:rPr>
          <w:rFonts w:eastAsia="Times New Roman"/>
          <w:sz w:val="20"/>
          <w:szCs w:val="20"/>
        </w:rPr>
        <w:t>equirement of the federal Anti-Kickback Statute. A person or entity no longer needs to have actual knowledge of this statute or specific intent to violate it in order to have committed a violation</w:t>
      </w:r>
      <w:r>
        <w:rPr>
          <w:rFonts w:eastAsia="Times New Roman"/>
          <w:sz w:val="20"/>
          <w:szCs w:val="20"/>
        </w:rPr>
        <w:t>;</w:t>
      </w:r>
    </w:p>
    <w:p w:rsidR="00000000" w:rsidRDefault="00F83A7A">
      <w:pPr>
        <w:jc w:val="both"/>
        <w:divId w:val="459342626"/>
        <w:rPr>
          <w:rFonts w:eastAsia="Times New Roman"/>
        </w:rPr>
      </w:pPr>
      <w:r>
        <w:rPr>
          <w:rFonts w:eastAsia="Times New Roman"/>
          <w:sz w:val="20"/>
          <w:szCs w:val="20"/>
        </w:rPr>
        <w:t>•</w:t>
      </w:r>
    </w:p>
    <w:p w:rsidR="00000000" w:rsidRDefault="00F83A7A">
      <w:pPr>
        <w:jc w:val="both"/>
        <w:divId w:val="1397238361"/>
        <w:rPr>
          <w:rFonts w:eastAsia="Times New Roman"/>
        </w:rPr>
      </w:pPr>
      <w:r>
        <w:rPr>
          <w:rFonts w:eastAsia="Times New Roman"/>
          <w:sz w:val="20"/>
          <w:szCs w:val="20"/>
        </w:rPr>
        <w:t>federal civil and criminal false claims laws, including,</w:t>
      </w:r>
      <w:r>
        <w:rPr>
          <w:rFonts w:eastAsia="Times New Roman"/>
          <w:sz w:val="20"/>
          <w:szCs w:val="20"/>
        </w:rPr>
        <w:t xml:space="preserve"> without limitation, the False Claims Act, and civil monetary penalty laws which prohibit, among other things, individuals or entities from knowingly presenting, or causing to be presented, claims for payment or approval from Medicare, Medicaid or other go</w:t>
      </w:r>
      <w:r>
        <w:rPr>
          <w:rFonts w:eastAsia="Times New Roman"/>
          <w:sz w:val="20"/>
          <w:szCs w:val="20"/>
        </w:rPr>
        <w:t>vernment payors that are false or fraudulent or making a false statement to avoid, decrease or conceal an obligation to pay money to the federal government. The PPACA provides, and recent government cases against pharmaceutical and medical device manufactu</w:t>
      </w:r>
      <w:r>
        <w:rPr>
          <w:rFonts w:eastAsia="Times New Roman"/>
          <w:sz w:val="20"/>
          <w:szCs w:val="20"/>
        </w:rPr>
        <w:t>rers support, the view that federal Anti-Kickback Statute violations and certain marketing practices, including off-label promotion, may implicate the False Claims Act</w:t>
      </w:r>
      <w:r>
        <w:rPr>
          <w:rFonts w:eastAsia="Times New Roman"/>
          <w:sz w:val="20"/>
          <w:szCs w:val="20"/>
        </w:rPr>
        <w:t>;</w:t>
      </w:r>
    </w:p>
    <w:p w:rsidR="00000000" w:rsidRDefault="00F83A7A">
      <w:pPr>
        <w:pStyle w:val="a3"/>
        <w:spacing w:before="240" w:beforeAutospacing="0" w:after="0" w:afterAutospacing="0"/>
        <w:jc w:val="center"/>
        <w:rPr>
          <w:sz w:val="20"/>
          <w:szCs w:val="20"/>
        </w:rPr>
      </w:pPr>
      <w:r>
        <w:rPr>
          <w:sz w:val="20"/>
          <w:szCs w:val="20"/>
        </w:rPr>
        <w:t>3</w:t>
      </w:r>
      <w:r>
        <w:rPr>
          <w:sz w:val="20"/>
          <w:szCs w:val="20"/>
        </w:rPr>
        <w:t>2</w:t>
      </w:r>
    </w:p>
    <w:p w:rsidR="00000000" w:rsidRDefault="00F83A7A">
      <w:pPr>
        <w:rPr>
          <w:rFonts w:eastAsia="Times New Roman"/>
        </w:rPr>
      </w:pPr>
      <w:r>
        <w:rPr>
          <w:rFonts w:eastAsia="Times New Roman"/>
        </w:rPr>
        <w:pict>
          <v:rect id="_x0000_i1059"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jc w:val="both"/>
        <w:divId w:val="346448774"/>
        <w:rPr>
          <w:rFonts w:eastAsia="Times New Roman"/>
        </w:rPr>
      </w:pPr>
      <w:r>
        <w:rPr>
          <w:rFonts w:eastAsia="Times New Roman"/>
          <w:sz w:val="20"/>
          <w:szCs w:val="20"/>
        </w:rPr>
        <w:t>•</w:t>
      </w:r>
    </w:p>
    <w:p w:rsidR="00000000" w:rsidRDefault="00F83A7A">
      <w:pPr>
        <w:jc w:val="both"/>
        <w:divId w:val="776095719"/>
        <w:rPr>
          <w:rFonts w:eastAsia="Times New Roman"/>
        </w:rPr>
      </w:pPr>
      <w:r>
        <w:rPr>
          <w:rFonts w:eastAsia="Times New Roman"/>
          <w:sz w:val="20"/>
          <w:szCs w:val="20"/>
        </w:rPr>
        <w:t>the federal Health Insurance Portability and</w:t>
      </w:r>
      <w:r>
        <w:rPr>
          <w:rFonts w:eastAsia="Times New Roman"/>
          <w:sz w:val="20"/>
          <w:szCs w:val="20"/>
        </w:rPr>
        <w:t xml:space="preserve"> Accountability Act of 1996 (“HIPAA”), which created additional federal criminal statutes that prohibit a person from knowingly and willfully executing a scheme or making false or fraudulent statements to defraud any healthcare benefit program, regardless </w:t>
      </w:r>
      <w:r>
        <w:rPr>
          <w:rFonts w:eastAsia="Times New Roman"/>
          <w:sz w:val="20"/>
          <w:szCs w:val="20"/>
        </w:rPr>
        <w:t>of the payor (e.g., public or private)</w:t>
      </w:r>
      <w:r>
        <w:rPr>
          <w:rFonts w:eastAsia="Times New Roman"/>
          <w:sz w:val="20"/>
          <w:szCs w:val="20"/>
        </w:rPr>
        <w:t>;</w:t>
      </w:r>
    </w:p>
    <w:p w:rsidR="00000000" w:rsidRDefault="00F83A7A">
      <w:pPr>
        <w:jc w:val="both"/>
        <w:divId w:val="465009492"/>
        <w:rPr>
          <w:rFonts w:eastAsia="Times New Roman"/>
        </w:rPr>
      </w:pPr>
      <w:r>
        <w:rPr>
          <w:rFonts w:eastAsia="Times New Roman"/>
          <w:sz w:val="20"/>
          <w:szCs w:val="20"/>
        </w:rPr>
        <w:t>•</w:t>
      </w:r>
    </w:p>
    <w:p w:rsidR="00000000" w:rsidRDefault="00F83A7A">
      <w:pPr>
        <w:jc w:val="both"/>
        <w:divId w:val="801388312"/>
        <w:rPr>
          <w:rFonts w:eastAsia="Times New Roman"/>
        </w:rPr>
      </w:pPr>
      <w:r>
        <w:rPr>
          <w:rFonts w:eastAsia="Times New Roman"/>
          <w:sz w:val="20"/>
          <w:szCs w:val="20"/>
        </w:rPr>
        <w:t>HIPAA, as amended by the Health Information Technology for Economic and Clinical Health Act (“HITECH”), and their implementing regulations, and as amended again by the final HIPAA omnibus rule, Modifications to the</w:t>
      </w:r>
      <w:r>
        <w:rPr>
          <w:rFonts w:eastAsia="Times New Roman"/>
          <w:sz w:val="20"/>
          <w:szCs w:val="20"/>
        </w:rPr>
        <w:t xml:space="preserve"> HIPAA Privacy, Security, Enforcement, and Breach Notification Rules Under HITECH and the Genetic Information Nondiscrimination Act; Other Modifications to HIPAA, published in January 2013, which imposes certain requirements relating to the privacy, securi</w:t>
      </w:r>
      <w:r>
        <w:rPr>
          <w:rFonts w:eastAsia="Times New Roman"/>
          <w:sz w:val="20"/>
          <w:szCs w:val="20"/>
        </w:rPr>
        <w:t>ty and transmission of individually identifiable health information without appropriate authorization by entities subject to the rule, such as health plans, healthcare clearinghouses and certain healthcare providers, known as covered entities, and their re</w:t>
      </w:r>
      <w:r>
        <w:rPr>
          <w:rFonts w:eastAsia="Times New Roman"/>
          <w:sz w:val="20"/>
          <w:szCs w:val="20"/>
        </w:rPr>
        <w:t>spective business associates, individuals or entities that perform certain services on behalf of a covered entity that involves the use or disclosure of individually identifiable health information and their subcontractors that use, disclose or otherwise p</w:t>
      </w:r>
      <w:r>
        <w:rPr>
          <w:rFonts w:eastAsia="Times New Roman"/>
          <w:sz w:val="20"/>
          <w:szCs w:val="20"/>
        </w:rPr>
        <w:t>rocess individually identifiable health information</w:t>
      </w:r>
      <w:r>
        <w:rPr>
          <w:rFonts w:eastAsia="Times New Roman"/>
          <w:sz w:val="20"/>
          <w:szCs w:val="20"/>
        </w:rPr>
        <w:t>;</w:t>
      </w:r>
    </w:p>
    <w:p w:rsidR="00000000" w:rsidRDefault="00F83A7A">
      <w:pPr>
        <w:jc w:val="both"/>
        <w:divId w:val="2117362469"/>
        <w:rPr>
          <w:rFonts w:eastAsia="Times New Roman"/>
        </w:rPr>
      </w:pPr>
      <w:r>
        <w:rPr>
          <w:rFonts w:eastAsia="Times New Roman"/>
          <w:sz w:val="20"/>
          <w:szCs w:val="20"/>
        </w:rPr>
        <w:t>•</w:t>
      </w:r>
    </w:p>
    <w:p w:rsidR="00000000" w:rsidRDefault="00F83A7A">
      <w:pPr>
        <w:jc w:val="both"/>
        <w:divId w:val="1692486144"/>
        <w:rPr>
          <w:rFonts w:eastAsia="Times New Roman"/>
        </w:rPr>
      </w:pPr>
      <w:r>
        <w:rPr>
          <w:rFonts w:eastAsia="Times New Roman"/>
          <w:sz w:val="20"/>
          <w:szCs w:val="20"/>
        </w:rPr>
        <w:t>Physician Payments Sunshine Act, which is part of the PPACA, that require certain manufacturers of drugs, devices, biologics and medical supplies for which payment is available under Medicare, Medicaid</w:t>
      </w:r>
      <w:r>
        <w:rPr>
          <w:rFonts w:eastAsia="Times New Roman"/>
          <w:sz w:val="20"/>
          <w:szCs w:val="20"/>
        </w:rPr>
        <w:t xml:space="preserve"> or the Children’s Health Insurance Program, with specific exceptions, to report annually to the Centers for Medicare &amp; Medicaid Services (“CMS”), information related to: (i) payments or other “transfers of value” made to physicians (defined to include doc</w:t>
      </w:r>
      <w:r>
        <w:rPr>
          <w:rFonts w:eastAsia="Times New Roman"/>
          <w:sz w:val="20"/>
          <w:szCs w:val="20"/>
        </w:rPr>
        <w:t>tors, dentists, optometrists, podiatrists and chiropractors), certain other healthcare professionals (such as physician assistants and nurse practitioners), and teaching hospitals; and (ii) ownership and investment interests held by physicians and their im</w:t>
      </w:r>
      <w:r>
        <w:rPr>
          <w:rFonts w:eastAsia="Times New Roman"/>
          <w:sz w:val="20"/>
          <w:szCs w:val="20"/>
        </w:rPr>
        <w:t>mediate family members</w:t>
      </w:r>
      <w:r>
        <w:rPr>
          <w:rFonts w:eastAsia="Times New Roman"/>
          <w:sz w:val="20"/>
          <w:szCs w:val="20"/>
        </w:rPr>
        <w:t>;</w:t>
      </w:r>
    </w:p>
    <w:p w:rsidR="00000000" w:rsidRDefault="00F83A7A">
      <w:pPr>
        <w:jc w:val="both"/>
        <w:divId w:val="1393230096"/>
        <w:rPr>
          <w:rFonts w:eastAsia="Times New Roman"/>
        </w:rPr>
      </w:pPr>
      <w:r>
        <w:rPr>
          <w:rFonts w:eastAsia="Times New Roman"/>
          <w:sz w:val="20"/>
          <w:szCs w:val="20"/>
        </w:rPr>
        <w:t>•</w:t>
      </w:r>
    </w:p>
    <w:p w:rsidR="00000000" w:rsidRDefault="00F83A7A">
      <w:pPr>
        <w:jc w:val="both"/>
        <w:divId w:val="871647539"/>
        <w:rPr>
          <w:rFonts w:eastAsia="Times New Roman"/>
        </w:rPr>
      </w:pPr>
      <w:r>
        <w:rPr>
          <w:rFonts w:eastAsia="Times New Roman"/>
          <w:sz w:val="20"/>
          <w:szCs w:val="20"/>
        </w:rPr>
        <w:t>state and foreign law equivalents of each of the above federal laws, state laws that require manufacturers to report information related to payments and other transfers of value to physicians and other healthcare providers or mark</w:t>
      </w:r>
      <w:r>
        <w:rPr>
          <w:rFonts w:eastAsia="Times New Roman"/>
          <w:sz w:val="20"/>
          <w:szCs w:val="20"/>
        </w:rPr>
        <w:t>eting expenditures and/or information regarding drug pricing, state laws that require pharmaceutical companies to comply with the pharmaceutical industry’s voluntary compliance guidelines and the relevant compliance guidance promulgated by the federal gove</w:t>
      </w:r>
      <w:r>
        <w:rPr>
          <w:rFonts w:eastAsia="Times New Roman"/>
          <w:sz w:val="20"/>
          <w:szCs w:val="20"/>
        </w:rPr>
        <w:t>rnment or to adopt compliance programs as prescribed by state laws and regulations, or that otherwise restrict payments that may be made to healthcare providers, state laws and regulations that require drug manufacturers to file reports relating to drug pr</w:t>
      </w:r>
      <w:r>
        <w:rPr>
          <w:rFonts w:eastAsia="Times New Roman"/>
          <w:sz w:val="20"/>
          <w:szCs w:val="20"/>
        </w:rPr>
        <w:t>icing and marketing information, and state and local laws that require the registration of pharmaceutical sales representatives; an</w:t>
      </w:r>
      <w:r>
        <w:rPr>
          <w:rFonts w:eastAsia="Times New Roman"/>
          <w:sz w:val="20"/>
          <w:szCs w:val="20"/>
        </w:rPr>
        <w:t>d</w:t>
      </w:r>
    </w:p>
    <w:p w:rsidR="00000000" w:rsidRDefault="00F83A7A">
      <w:pPr>
        <w:jc w:val="both"/>
        <w:divId w:val="383456456"/>
        <w:rPr>
          <w:rFonts w:eastAsia="Times New Roman"/>
        </w:rPr>
      </w:pPr>
      <w:r>
        <w:rPr>
          <w:rFonts w:eastAsia="Times New Roman"/>
          <w:sz w:val="20"/>
          <w:szCs w:val="20"/>
        </w:rPr>
        <w:t>•</w:t>
      </w:r>
    </w:p>
    <w:p w:rsidR="00000000" w:rsidRDefault="00F83A7A">
      <w:pPr>
        <w:jc w:val="both"/>
        <w:divId w:val="1012731715"/>
        <w:rPr>
          <w:rFonts w:eastAsia="Times New Roman"/>
        </w:rPr>
      </w:pPr>
      <w:r>
        <w:rPr>
          <w:rFonts w:eastAsia="Times New Roman"/>
          <w:sz w:val="20"/>
          <w:szCs w:val="20"/>
        </w:rPr>
        <w:t>state and foreign laws that govern the privacy and security of health information in some circumstances, many of which di</w:t>
      </w:r>
      <w:r>
        <w:rPr>
          <w:rFonts w:eastAsia="Times New Roman"/>
          <w:sz w:val="20"/>
          <w:szCs w:val="20"/>
        </w:rPr>
        <w:t>ffer from each other in significant ways and often are not preempted by HIPAA, thus complicating compliance efforts</w:t>
      </w:r>
      <w:r>
        <w:rPr>
          <w:rFonts w:eastAsia="Times New Roman"/>
          <w:sz w:val="20"/>
          <w:szCs w:val="20"/>
        </w:rPr>
        <w:t>.</w:t>
      </w:r>
    </w:p>
    <w:p w:rsidR="00000000" w:rsidRDefault="00F83A7A">
      <w:pPr>
        <w:pStyle w:val="a3"/>
        <w:spacing w:before="240" w:beforeAutospacing="0" w:after="0" w:afterAutospacing="0"/>
        <w:ind w:firstLine="620"/>
        <w:jc w:val="both"/>
        <w:rPr>
          <w:sz w:val="20"/>
          <w:szCs w:val="20"/>
        </w:rPr>
      </w:pPr>
      <w:r>
        <w:rPr>
          <w:sz w:val="20"/>
          <w:szCs w:val="20"/>
        </w:rPr>
        <w:t>Because of the breadth of these laws and the narrowness of the statutory exceptions and regulatory safe harbors available, it is possible t</w:t>
      </w:r>
      <w:r>
        <w:rPr>
          <w:sz w:val="20"/>
          <w:szCs w:val="20"/>
        </w:rPr>
        <w:t>hat some of our business activities could be subject to challenge under one or more of such laws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It is possible that governmental authorities will conclude that our business practices may not comply with current or future statutes, regulations or case law</w:t>
      </w:r>
      <w:r>
        <w:rPr>
          <w:sz w:val="20"/>
          <w:szCs w:val="20"/>
        </w:rPr>
        <w:t xml:space="preserve"> involving applicable fraud and abuse or other healthcare laws and regulations. If our operations are found to be in violation of any of these laws or any other governmental regulations that may apply to us, we may be subject to significant civil, criminal</w:t>
      </w:r>
      <w:r>
        <w:rPr>
          <w:sz w:val="20"/>
          <w:szCs w:val="20"/>
        </w:rPr>
        <w:t xml:space="preserve"> and administrative penalties, damages, fines, disgorgement, imprisonment, exclusion from participation in government funded healthcare programs, such as Medicare and Medicaid, additional reporting requirements and oversight if we become subject to a corpo</w:t>
      </w:r>
      <w:r>
        <w:rPr>
          <w:sz w:val="20"/>
          <w:szCs w:val="20"/>
        </w:rPr>
        <w:t>rate integrity agreement or similar agreement to resolve allegations of non-compliance with these laws and the curtailment or restructuring of our operations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The risk of our being found in violation of these laws is increased by the fact that many of them</w:t>
      </w:r>
      <w:r>
        <w:rPr>
          <w:sz w:val="20"/>
          <w:szCs w:val="20"/>
        </w:rPr>
        <w:t xml:space="preserve"> have not been fully interpreted by the regulatory authorities or the courts, and their provisions are open to a variety of interpretations. Efforts to ensure that our business arrangements with third parties will comply with applicable healthcare laws and</w:t>
      </w:r>
      <w:r>
        <w:rPr>
          <w:sz w:val="20"/>
          <w:szCs w:val="20"/>
        </w:rPr>
        <w:t xml:space="preserve"> regulations will involve substantial costs. Any action against us for violation of these laws, even if we successfully defend against it, could cause us to incur significant legal expenses and divert our management’s attention from the operation of our bu</w:t>
      </w:r>
      <w:r>
        <w:rPr>
          <w:sz w:val="20"/>
          <w:szCs w:val="20"/>
        </w:rPr>
        <w:t>siness. The shifting compliance environment and the need to build and maintain robust and expandable systems to comply with multiple jurisdictions with different compliance and/or reporting requirements increases the possibility that a healthcare company m</w:t>
      </w:r>
      <w:r>
        <w:rPr>
          <w:sz w:val="20"/>
          <w:szCs w:val="20"/>
        </w:rPr>
        <w:t>ay run afoul of one or more of the requirements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Coverage and adequate reimbursement may not be available for our current or any future drug candidates, which could make it difficult for us to sell profitably, if approved</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Mar</w:t>
      </w:r>
      <w:r>
        <w:rPr>
          <w:sz w:val="20"/>
          <w:szCs w:val="20"/>
        </w:rPr>
        <w:t>ket acceptance and sales of any drug candidates that we commercialize, if approved, will depend in part on the extent to which coverage and adequate reimbursement for these drugs and related treatments will be available from third-party payors, including g</w:t>
      </w:r>
      <w:r>
        <w:rPr>
          <w:sz w:val="20"/>
          <w:szCs w:val="20"/>
        </w:rPr>
        <w:t xml:space="preserve">overnment health administration authorities, managed care organizations and other private health insurers. Third-party payors decide which therapies they will pay for and establish reimbursement levels. Third-party payors often rely upon Medicare coverage </w:t>
      </w:r>
      <w:r>
        <w:rPr>
          <w:sz w:val="20"/>
          <w:szCs w:val="20"/>
        </w:rPr>
        <w:t>policy and payment limitations in setting their own coverage and reimbursement policies. However, decisions regarding the extent of coverage an</w:t>
      </w:r>
      <w:r>
        <w:rPr>
          <w:sz w:val="20"/>
          <w:szCs w:val="20"/>
        </w:rPr>
        <w:t>d</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3</w:t>
      </w:r>
      <w:r>
        <w:rPr>
          <w:sz w:val="20"/>
          <w:szCs w:val="20"/>
        </w:rPr>
        <w:t>3</w:t>
      </w:r>
    </w:p>
    <w:p w:rsidR="00000000" w:rsidRDefault="00F83A7A">
      <w:pPr>
        <w:rPr>
          <w:rFonts w:eastAsia="Times New Roman"/>
        </w:rPr>
      </w:pPr>
      <w:r>
        <w:rPr>
          <w:rFonts w:eastAsia="Times New Roman"/>
        </w:rPr>
        <w:pict>
          <v:rect id="_x0000_i1060"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jc w:val="both"/>
        <w:rPr>
          <w:sz w:val="20"/>
          <w:szCs w:val="20"/>
        </w:rPr>
      </w:pPr>
      <w:r>
        <w:rPr>
          <w:sz w:val="20"/>
          <w:szCs w:val="20"/>
        </w:rPr>
        <w:t xml:space="preserve">amount of reimbursement to be provided for any drug candidates that </w:t>
      </w:r>
      <w:r>
        <w:rPr>
          <w:sz w:val="20"/>
          <w:szCs w:val="20"/>
        </w:rPr>
        <w:t>we develop will be made on a payor-by-payor basis. One third-party payor’s determination to provide coverage for a drug does not assure that other payors will also provide coverage, and adequate reimbursement, for the drug. Additionally, a third-party payo</w:t>
      </w:r>
      <w:r>
        <w:rPr>
          <w:sz w:val="20"/>
          <w:szCs w:val="20"/>
        </w:rPr>
        <w:t>r’s decision to provide coverage for a therapy does not imply that an adequate reimbursement rate will be approved. Each third-party payor determines whether or not it will provide coverage for a therapy, what amount it will pay the manufacturer for the th</w:t>
      </w:r>
      <w:r>
        <w:rPr>
          <w:sz w:val="20"/>
          <w:szCs w:val="20"/>
        </w:rPr>
        <w:t>erapy, and on what tier of its formulary it will be placed. The position on a third-party payor’s list of covered drugs, or formulary, generally determines the co-payment that a patient will need to make to obtain the therapy and can strongly influence the</w:t>
      </w:r>
      <w:r>
        <w:rPr>
          <w:sz w:val="20"/>
          <w:szCs w:val="20"/>
        </w:rPr>
        <w:t xml:space="preserve"> adoption of such therapy by patients and physicians. Patients who are prescribed treatments for their conditions and providers prescribing such services generally rely on third-party payors to reimburse all or part of the associated healthcare costs. Pati</w:t>
      </w:r>
      <w:r>
        <w:rPr>
          <w:sz w:val="20"/>
          <w:szCs w:val="20"/>
        </w:rPr>
        <w:t>ents are unlikely to use our drugs unless coverage is provided and reimbursement is adequate to cover a significant portion of the cost of our drugs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A primary trend in the U.S. healthcare industry and elsewhere is cost containment. Third-party payors have</w:t>
      </w:r>
      <w:r>
        <w:rPr>
          <w:sz w:val="20"/>
          <w:szCs w:val="20"/>
        </w:rPr>
        <w:t xml:space="preserve"> attempted to control costs by limiting coverage and the amount of reimbursement for particular medications. We cannot be sure that coverage and reimbursement will be available for any drug that we commercialize and, if reimbursement is available, what the</w:t>
      </w:r>
      <w:r>
        <w:rPr>
          <w:sz w:val="20"/>
          <w:szCs w:val="20"/>
        </w:rPr>
        <w:t xml:space="preserve"> level of reimbursement will be. Inadequate coverage and reimbursement may impact the demand for, or the price of, any drug for which we obtain marketing approval. If coverage and adequate reimbursement are not available, or are available only to limited l</w:t>
      </w:r>
      <w:r>
        <w:rPr>
          <w:sz w:val="20"/>
          <w:szCs w:val="20"/>
        </w:rPr>
        <w:t>evels, we may not be able to successfully commercialize our current and any future drug candidates that we develop. Further, coverage policies and third-party payor reimbursement rates may change at any time. Even if favorable coverage and reimbursement st</w:t>
      </w:r>
      <w:r>
        <w:rPr>
          <w:sz w:val="20"/>
          <w:szCs w:val="20"/>
        </w:rPr>
        <w:t>atus is attained, less favorable coverage policies and reimbursement rates may be implemented in the future</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Healthcare legislative reform measures may have a negative impact on our business and results of operations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In the United States and some foreign </w:t>
      </w:r>
      <w:r>
        <w:rPr>
          <w:sz w:val="20"/>
          <w:szCs w:val="20"/>
        </w:rPr>
        <w:t>jurisdictions, there have been, and continue to be, several legislative and regulatory changes and proposed changes regarding the healthcare system that could prevent or delay marketing approval of drug candidates, restrict or regulate post-approval activi</w:t>
      </w:r>
      <w:r>
        <w:rPr>
          <w:sz w:val="20"/>
          <w:szCs w:val="20"/>
        </w:rPr>
        <w:t>ties, and affect our ability to profitably sell any drug candidates for which we obtain marketing approval</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Among policy makers and payors in the United States and elsewhere, there is significant interest in promoting changes in healthcare systems with the</w:t>
      </w:r>
      <w:r>
        <w:rPr>
          <w:sz w:val="20"/>
          <w:szCs w:val="20"/>
        </w:rPr>
        <w:t xml:space="preserve"> stated goals of containing healthcare costs, improving quality and/or expanding access. In the United States, the pharmaceutical industry has been a particular focus of these efforts and has been significantly affected by major legislative initiatives. In</w:t>
      </w:r>
      <w:r>
        <w:rPr>
          <w:sz w:val="20"/>
          <w:szCs w:val="20"/>
        </w:rPr>
        <w:t xml:space="preserve"> March 2010, the Patient Protection and Affordable Care Act, as amended by the Health Care and Education Reconciliation Act (collectively PPACA) was passed, which substantially changed the way healthcare is financed by both the government and private insur</w:t>
      </w:r>
      <w:r>
        <w:rPr>
          <w:sz w:val="20"/>
          <w:szCs w:val="20"/>
        </w:rPr>
        <w:t>ers, and significantly impacts the U.S. pharmaceutical industry</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There have been executive, judicial, Congressional and executive branch challenges to certain aspects of the PPACA. For example, President Trump signed Executive Orders and other directives d</w:t>
      </w:r>
      <w:r>
        <w:rPr>
          <w:sz w:val="20"/>
          <w:szCs w:val="20"/>
        </w:rPr>
        <w:t>esigned to delay the implementatio</w:t>
      </w:r>
      <w:r>
        <w:rPr>
          <w:sz w:val="20"/>
          <w:szCs w:val="20"/>
        </w:rPr>
        <w:t>n</w:t>
      </w:r>
      <w:r>
        <w:rPr>
          <w:sz w:val="16"/>
          <w:szCs w:val="16"/>
        </w:rPr>
        <w:t xml:space="preserve"> </w:t>
      </w:r>
      <w:r>
        <w:rPr>
          <w:sz w:val="20"/>
          <w:szCs w:val="20"/>
        </w:rPr>
        <w:t>of certain provisions of the PPACA or otherwise circumvent some of the requirements for health insurance mandated by the PPACA. Concurrently, Congress considered legislation to repeal or repeal and replace all or part of</w:t>
      </w:r>
      <w:r>
        <w:rPr>
          <w:sz w:val="20"/>
          <w:szCs w:val="20"/>
        </w:rPr>
        <w:t xml:space="preserve"> the PPACA. While Congress has not passed comprehensive repeal legislation, it has enacted laws that modify certain provisions of the PPACA such as removing penalties, effective January 1, 2019, for not complying with the PPACA’s individual mandate to carr</w:t>
      </w:r>
      <w:r>
        <w:rPr>
          <w:sz w:val="20"/>
          <w:szCs w:val="20"/>
        </w:rPr>
        <w:t>y health insurance, delaying the implementation of certain PPACA-mandated fees, and increasing the point-of-sale discount that is owed by pharmaceutical manufacturers who participate in Medicare Part D. On June 17, 2021 the U.S. Supreme Court dismissed a c</w:t>
      </w:r>
      <w:r>
        <w:rPr>
          <w:sz w:val="20"/>
          <w:szCs w:val="20"/>
        </w:rPr>
        <w:t xml:space="preserve">hallenge on procedural grounds that argued the PPACA is unconstitutional in its entirety because the “individual mandate” was repealed by Congress. Thus, the PPACA will remain in effect in its current form. Further, prior to the U.S. Supreme Court ruling, </w:t>
      </w:r>
      <w:r>
        <w:rPr>
          <w:sz w:val="20"/>
          <w:szCs w:val="20"/>
        </w:rPr>
        <w:t>on January 28, 2021, President Biden issued an executive order that initiated a special enrollment period for purposes of obtaining health insurance coverage through the PPACA marketplace. The executive order also instructed certain governmental agencies t</w:t>
      </w:r>
      <w:r>
        <w:rPr>
          <w:sz w:val="20"/>
          <w:szCs w:val="20"/>
        </w:rPr>
        <w:t>o review and reconsider their existing policies and rules that limit access to healthcare, including among others, reexamining Medicaid demonstration projects and waiver programs that include work requirements, and policies that create barriers to obtainin</w:t>
      </w:r>
      <w:r>
        <w:rPr>
          <w:sz w:val="20"/>
          <w:szCs w:val="20"/>
        </w:rPr>
        <w:t xml:space="preserve">g access to health insurance coverage through Medicaid or the PPACA. It is possible that the PPACA will be subject to judicial or Congressional challenges in the future. It is unclear how any such challenges and the healthcare reform measures of the Biden </w:t>
      </w:r>
      <w:r>
        <w:rPr>
          <w:sz w:val="20"/>
          <w:szCs w:val="20"/>
        </w:rPr>
        <w:t>administration will impact the PPACA and our business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Other legislative changes have been proposed and adopted since the PPACA was enacted. These changes include aggregate reductions to Medicare payments to providers of up to 2% per fiscal year pursuant t</w:t>
      </w:r>
      <w:r>
        <w:rPr>
          <w:sz w:val="20"/>
          <w:szCs w:val="20"/>
        </w:rPr>
        <w:t xml:space="preserve">o the Budget Control Act of 2011, which began in 2013, and due to subsequent legislative amendments to the statute, including the BBA, will remain in effect through 2031 unless additional Congressional action is taken. However, COVID-19 relief legislation </w:t>
      </w:r>
      <w:r>
        <w:rPr>
          <w:sz w:val="20"/>
          <w:szCs w:val="20"/>
        </w:rPr>
        <w:t>suspended the 2% Medicare sequester from May 1, 2020 through March 31, 2022. Under current legislation, the actual reduction in Medicare payments will vary from 1% in 2022 to up to 3% in the final fiscal year of this sequester. The American Taxpayer Relief</w:t>
      </w:r>
      <w:r>
        <w:rPr>
          <w:sz w:val="20"/>
          <w:szCs w:val="20"/>
        </w:rPr>
        <w:t xml:space="preserve"> Act of 2012, among other things, further reduced Medicare payments to several providers, including hospitals and cancer treatment centers, and increased the statute of limitations period for the government to recover overpayments to providers from three t</w:t>
      </w:r>
      <w:r>
        <w:rPr>
          <w:sz w:val="20"/>
          <w:szCs w:val="20"/>
        </w:rPr>
        <w:t>o five years. Congress is also considering additional health reform measures</w:t>
      </w:r>
      <w:r>
        <w:rPr>
          <w:sz w:val="20"/>
          <w:szCs w:val="20"/>
        </w:rPr>
        <w:t>.</w:t>
      </w:r>
    </w:p>
    <w:p w:rsidR="00000000" w:rsidRDefault="00F83A7A">
      <w:pPr>
        <w:pStyle w:val="a3"/>
        <w:spacing w:before="240" w:beforeAutospacing="0" w:after="0" w:afterAutospacing="0"/>
        <w:jc w:val="center"/>
        <w:rPr>
          <w:sz w:val="20"/>
          <w:szCs w:val="20"/>
        </w:rPr>
      </w:pPr>
      <w:r>
        <w:rPr>
          <w:sz w:val="20"/>
          <w:szCs w:val="20"/>
        </w:rPr>
        <w:t>3</w:t>
      </w:r>
      <w:r>
        <w:rPr>
          <w:sz w:val="20"/>
          <w:szCs w:val="20"/>
        </w:rPr>
        <w:t>4</w:t>
      </w:r>
    </w:p>
    <w:p w:rsidR="00000000" w:rsidRDefault="00F83A7A">
      <w:pPr>
        <w:rPr>
          <w:rFonts w:eastAsia="Times New Roman"/>
        </w:rPr>
      </w:pPr>
      <w:r>
        <w:rPr>
          <w:rFonts w:eastAsia="Times New Roman"/>
        </w:rPr>
        <w:pict>
          <v:rect id="_x0000_i1061"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ind w:firstLine="555"/>
        <w:rPr>
          <w:sz w:val="20"/>
          <w:szCs w:val="20"/>
        </w:rPr>
      </w:pPr>
      <w:r>
        <w:rPr>
          <w:sz w:val="20"/>
          <w:szCs w:val="20"/>
        </w:rPr>
        <w:t>Additional changes that may affect our business include the expansion of new programs such as Medicare payment for performance initiatives for physicians under the Medicare Access and CHIP Reauthorization Act of 2015 (“MACRA”), which ended the use of the s</w:t>
      </w:r>
      <w:r>
        <w:rPr>
          <w:sz w:val="20"/>
          <w:szCs w:val="20"/>
        </w:rPr>
        <w:t>tatutory formula and established a quality payment program, also referred to as the Quality Payment Program. In November 2019, CMS issued a final rule finalizing the changes to the Quality Payment Program. At this time, the full impact to overall physician</w:t>
      </w:r>
      <w:r>
        <w:rPr>
          <w:sz w:val="20"/>
          <w:szCs w:val="20"/>
        </w:rPr>
        <w:t xml:space="preserve"> reimbursement as a result of the introduction of the Quality Payment Program remains unclear</w:t>
      </w:r>
      <w:r>
        <w:rPr>
          <w:sz w:val="20"/>
          <w:szCs w:val="20"/>
        </w:rPr>
        <w:t>.</w:t>
      </w:r>
    </w:p>
    <w:p w:rsidR="00000000" w:rsidRDefault="00F83A7A">
      <w:pPr>
        <w:pStyle w:val="a3"/>
        <w:spacing w:before="240" w:beforeAutospacing="0" w:after="0" w:afterAutospacing="0"/>
        <w:ind w:firstLine="555"/>
        <w:rPr>
          <w:sz w:val="20"/>
          <w:szCs w:val="20"/>
        </w:rPr>
      </w:pPr>
      <w:r>
        <w:rPr>
          <w:sz w:val="20"/>
          <w:szCs w:val="20"/>
        </w:rPr>
        <w:t>Also, there has been heightened governmental scrutiny recently over the manner in which drug manufacturers set prices for their marketed products, which have res</w:t>
      </w:r>
      <w:r>
        <w:rPr>
          <w:sz w:val="20"/>
          <w:szCs w:val="20"/>
        </w:rPr>
        <w:t>ulted in several Presidential executive orders, Congressional inquiries and proposed and enacted federal and state legislation designed to, among other things, bring more transparency to product pricing, review the relationship between pricing and manufact</w:t>
      </w:r>
      <w:r>
        <w:rPr>
          <w:sz w:val="20"/>
          <w:szCs w:val="20"/>
        </w:rPr>
        <w:t>urer patient programs, and reform government program reimbursement methodologies for drug products. At the federal level, the Trump administration used several means to propose or implement drug pricing reform, including through federal budget proposals, e</w:t>
      </w:r>
      <w:r>
        <w:rPr>
          <w:sz w:val="20"/>
          <w:szCs w:val="20"/>
        </w:rPr>
        <w:t>xecutive orders and policy initiatives. For example, on July 24, 2020 and September 13, 2020, the Trump administration announced several executive orders related to prescription drug pricing that attempt to implement several of the administration’s proposa</w:t>
      </w:r>
      <w:r>
        <w:rPr>
          <w:sz w:val="20"/>
          <w:szCs w:val="20"/>
        </w:rPr>
        <w:t>ls. Additionally, in July 2021, the Biden administration released an executive order, “Promoting Competition in the American Economy,” with multiple provisions aimed at prescription drugs. In response to Biden’s executive order, on September 9, 2021, the U</w:t>
      </w:r>
      <w:r>
        <w:rPr>
          <w:sz w:val="20"/>
          <w:szCs w:val="20"/>
        </w:rPr>
        <w:t xml:space="preserve">.S. Department of Health and Human Services, or HHS, released a Comprehensive Plan for Addressing High Drug Prices that outlines principles for drug pricing reform and sets out a variety of potential legislative policies that Congress could pursue as well </w:t>
      </w:r>
      <w:r>
        <w:rPr>
          <w:sz w:val="20"/>
          <w:szCs w:val="20"/>
        </w:rPr>
        <w:t xml:space="preserve">as potential administrative actions HHS can take to advance these principles. No legislation or administrative actions have been finalized to implement these principles. At the state level, legislatures have increasingly passed and implemented regulations </w:t>
      </w:r>
      <w:r>
        <w:rPr>
          <w:sz w:val="20"/>
          <w:szCs w:val="20"/>
        </w:rPr>
        <w:t>designed to control pharmaceutical and biological product pricing, including pricing, including price or patient reimbursement constraints, discounts, restrictions on certain product access and marketing cost disclosure and transparency measures, and, in s</w:t>
      </w:r>
      <w:r>
        <w:rPr>
          <w:sz w:val="20"/>
          <w:szCs w:val="20"/>
        </w:rPr>
        <w:t>ome cases, designed to encourage importation from other countries and bulk purchasing. We expect that these and other healthcare reform measures that may be adopted in the future, may result in more rigorous coverage criteria and in additional downward pre</w:t>
      </w:r>
      <w:r>
        <w:rPr>
          <w:sz w:val="20"/>
          <w:szCs w:val="20"/>
        </w:rPr>
        <w:t>ssure on the price that we receive for any approved drug. For example, based on a recent executive order, the Biden administration expressed its intent to pursue certain policy initiatives to reduce drug prices. Any reduction in reimbursement from Medicare</w:t>
      </w:r>
      <w:r>
        <w:rPr>
          <w:sz w:val="20"/>
          <w:szCs w:val="20"/>
        </w:rPr>
        <w:t xml:space="preserve"> or other government programs may result in a similar reduction in payments from private payors. The implementation of cost containment measures or other healthcare reforms may prevent us from being able to generate revenue, attain profitability, or commer</w:t>
      </w:r>
      <w:r>
        <w:rPr>
          <w:sz w:val="20"/>
          <w:szCs w:val="20"/>
        </w:rPr>
        <w:t>cialize our drugs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It is possible that additional governmental action is taken in response to the ongoing COVID-19 pandemic</w:t>
      </w:r>
      <w:r>
        <w:rPr>
          <w:sz w:val="20"/>
          <w:szCs w:val="20"/>
        </w:rPr>
        <w:t>.</w:t>
      </w:r>
      <w:r>
        <w:rPr>
          <w:sz w:val="20"/>
          <w:szCs w:val="20"/>
        </w:rPr>
        <w:t xml:space="preserve"> </w:t>
      </w:r>
    </w:p>
    <w:p w:rsidR="00000000" w:rsidRDefault="00F83A7A">
      <w:pPr>
        <w:pStyle w:val="a3"/>
        <w:spacing w:before="200" w:beforeAutospacing="0" w:after="0" w:afterAutospacing="0"/>
        <w:jc w:val="both"/>
        <w:rPr>
          <w:sz w:val="20"/>
          <w:szCs w:val="20"/>
        </w:rPr>
      </w:pPr>
      <w:r>
        <w:rPr>
          <w:b/>
          <w:bCs/>
          <w:i/>
          <w:iCs/>
          <w:sz w:val="20"/>
          <w:szCs w:val="20"/>
        </w:rPr>
        <w:t>We may not be able to obtain or maintain orphan drug designations or exclusivity for our drug candidates, which could limit the po</w:t>
      </w:r>
      <w:r>
        <w:rPr>
          <w:b/>
          <w:bCs/>
          <w:i/>
          <w:iCs/>
          <w:sz w:val="20"/>
          <w:szCs w:val="20"/>
        </w:rPr>
        <w:t>tential profitability of our drug candidates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Regulatory authorities in some jurisdictions, including the United States, may designate drugs for relatively small patient populations as orphan drugs. Under the Orphan Drug Act of 1983, the FDA may designate </w:t>
      </w:r>
      <w:r>
        <w:rPr>
          <w:sz w:val="20"/>
          <w:szCs w:val="20"/>
        </w:rPr>
        <w:t>a drug as an orphan drug if it is a drug intended to treat a rare disease or condition, which is generally defined as a patient population of fewer than 200,000 individuals in the United States. Generally, if a drug with an orphan drug designation subseque</w:t>
      </w:r>
      <w:r>
        <w:rPr>
          <w:sz w:val="20"/>
          <w:szCs w:val="20"/>
        </w:rPr>
        <w:t>ntly receives the first marketing approval for an indication for which it receives the designation, then the drug is entitled to a period of marketing exclusivity that precludes the applicable regulatory authority from approving another marketing applicati</w:t>
      </w:r>
      <w:r>
        <w:rPr>
          <w:sz w:val="20"/>
          <w:szCs w:val="20"/>
        </w:rPr>
        <w:t>on for the same drug for the same indication for the exclusivity period except in limited situations. For purposes of small molecule drugs, the FDA defines “same drug” as a drug that contains the same active moiety and is intended for the same use as the d</w:t>
      </w:r>
      <w:r>
        <w:rPr>
          <w:sz w:val="20"/>
          <w:szCs w:val="20"/>
        </w:rPr>
        <w:t>rug in question. A designated orphan drug may not receive orphan drug exclusivity if it is approved for a use that is broader than the indication for which it received orphan designation</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Obtaining orphan drug designations is important to our business stra</w:t>
      </w:r>
      <w:r>
        <w:rPr>
          <w:sz w:val="20"/>
          <w:szCs w:val="20"/>
        </w:rPr>
        <w:t>tegy; however, obtaining an orphan drug designation can be difficult and we may not be successful in doing so. Even if we were to obtain orphan drug designation for a drug candidate, we may not obtain orphan exclusivity and that exclusivity may not effecti</w:t>
      </w:r>
      <w:r>
        <w:rPr>
          <w:sz w:val="20"/>
          <w:szCs w:val="20"/>
        </w:rPr>
        <w:t>vely protect the drug from the competition of different drugs for the same condition, which could be approved during the exclusivity period. Additionally, after an orphan drug is approved, the FDA could subsequently approve another application for the same</w:t>
      </w:r>
      <w:r>
        <w:rPr>
          <w:sz w:val="20"/>
          <w:szCs w:val="20"/>
        </w:rPr>
        <w:t xml:space="preserve"> drug for the same indication if the FDA concludes that the later drug is shown to be safer, more effective or makes a major contribution to patient care. Orphan drug exclusive marketing rights in the United States also may be lost if the FDA later determi</w:t>
      </w:r>
      <w:r>
        <w:rPr>
          <w:sz w:val="20"/>
          <w:szCs w:val="20"/>
        </w:rPr>
        <w:t xml:space="preserve">nes that the request for designation was materially defective or if the manufacturer is unable to assure sufficient quantity of the drug to meet the needs of patients with the rare disease or condition. The failure to obtain an orphan drug designation for </w:t>
      </w:r>
      <w:r>
        <w:rPr>
          <w:sz w:val="20"/>
          <w:szCs w:val="20"/>
        </w:rPr>
        <w:t>any drug candidates we may develop, the inability to maintain that designation for the duration of the applicable period, or the inability to obtain or maintain orphan drug exclusivity could reduce our ability to make sufficient sales of the applicable dru</w:t>
      </w:r>
      <w:r>
        <w:rPr>
          <w:sz w:val="20"/>
          <w:szCs w:val="20"/>
        </w:rPr>
        <w:t>g candidate to balance our expenses incurred to develop it, which would have a negative impact on our operational results and financial condition</w:t>
      </w:r>
      <w:r>
        <w:rPr>
          <w:sz w:val="20"/>
          <w:szCs w:val="20"/>
        </w:rPr>
        <w:t>.</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3</w:t>
      </w:r>
      <w:r>
        <w:rPr>
          <w:sz w:val="20"/>
          <w:szCs w:val="20"/>
        </w:rPr>
        <w:t>5</w:t>
      </w:r>
    </w:p>
    <w:p w:rsidR="00000000" w:rsidRDefault="00F83A7A">
      <w:pPr>
        <w:rPr>
          <w:rFonts w:eastAsia="Times New Roman"/>
        </w:rPr>
      </w:pPr>
      <w:r>
        <w:rPr>
          <w:rFonts w:eastAsia="Times New Roman"/>
        </w:rPr>
        <w:pict>
          <v:rect id="_x0000_i1062"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rPr>
          <w:sz w:val="20"/>
          <w:szCs w:val="20"/>
        </w:rPr>
      </w:pPr>
      <w:r>
        <w:rPr>
          <w:b/>
          <w:bCs/>
          <w:i/>
          <w:iCs/>
          <w:sz w:val="20"/>
          <w:szCs w:val="20"/>
        </w:rPr>
        <w:t>Even if we obtain regulatory approval for our current or future drug candidates, they will remain subject to ongoing regulatory oversight</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Even if we obtain any regulatory approval for our current or future drug candid</w:t>
      </w:r>
      <w:r>
        <w:rPr>
          <w:sz w:val="20"/>
          <w:szCs w:val="20"/>
        </w:rPr>
        <w:t>ates, such approvals will be subject to ongoing regulatory requirements for manufacturing, labeling, packaging, storage, advertising, promotion, sampling, record-keeping and submission of safety and other post-market information. Any regulatory approvals t</w:t>
      </w:r>
      <w:r>
        <w:rPr>
          <w:sz w:val="20"/>
          <w:szCs w:val="20"/>
        </w:rPr>
        <w:t>hat we receive for our current or future drug candidates may also be subject to a REMS, limitations on the approved indicated uses for which the drug may be marketed or to the conditions of approval, or contain requirements for potentially costly post-mark</w:t>
      </w:r>
      <w:r>
        <w:rPr>
          <w:sz w:val="20"/>
          <w:szCs w:val="20"/>
        </w:rPr>
        <w:t>eting testing, including Phase 4 trials, and surveillance to monitor the quality, safety and efficacy of the drug</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In addition, drug manufacturers and their facilities are subject to payment of user fees and continual review and periodic inspections by the</w:t>
      </w:r>
      <w:r>
        <w:rPr>
          <w:sz w:val="20"/>
          <w:szCs w:val="20"/>
        </w:rPr>
        <w:t xml:space="preserve"> FDA and other regulatory authorities for compliance with cGMP requirements and adherence to commitments made in the NDA, BLA or foreign marketing application. If we, or a regulatory authority, discover previously unknown problems with a drug, such as adve</w:t>
      </w:r>
      <w:r>
        <w:rPr>
          <w:sz w:val="20"/>
          <w:szCs w:val="20"/>
        </w:rPr>
        <w:t>rse events of unanticipated severity or frequency, or problems with the facility where the drug is manufactured or if a regulatory authority disagrees with the promotion, marketing or labeling of that drug, a regulatory authority may impose restrictions re</w:t>
      </w:r>
      <w:r>
        <w:rPr>
          <w:sz w:val="20"/>
          <w:szCs w:val="20"/>
        </w:rPr>
        <w:t>lative to that drug, the manufacturing facility or us, including requesting a recall or requiring withdrawal of the drug from the market or suspension of manufacturing</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If we fail to comply with applicable regulatory requirements following approval of our </w:t>
      </w:r>
      <w:r>
        <w:rPr>
          <w:sz w:val="20"/>
          <w:szCs w:val="20"/>
        </w:rPr>
        <w:t>current or future drug candidates, a regulatory authority may</w:t>
      </w:r>
      <w:r>
        <w:rPr>
          <w:sz w:val="20"/>
          <w:szCs w:val="20"/>
        </w:rPr>
        <w:t>:</w:t>
      </w:r>
    </w:p>
    <w:p w:rsidR="00000000" w:rsidRDefault="00F83A7A">
      <w:pPr>
        <w:jc w:val="both"/>
        <w:divId w:val="2071220788"/>
        <w:rPr>
          <w:rFonts w:eastAsia="Times New Roman"/>
        </w:rPr>
      </w:pPr>
      <w:r>
        <w:rPr>
          <w:rFonts w:eastAsia="Times New Roman"/>
          <w:sz w:val="20"/>
          <w:szCs w:val="20"/>
        </w:rPr>
        <w:t>•</w:t>
      </w:r>
    </w:p>
    <w:p w:rsidR="00000000" w:rsidRDefault="00F83A7A">
      <w:pPr>
        <w:jc w:val="both"/>
        <w:divId w:val="1089622145"/>
        <w:rPr>
          <w:rFonts w:eastAsia="Times New Roman"/>
        </w:rPr>
      </w:pPr>
      <w:r>
        <w:rPr>
          <w:rFonts w:eastAsia="Times New Roman"/>
          <w:sz w:val="20"/>
          <w:szCs w:val="20"/>
        </w:rPr>
        <w:t>issue an untitled letter or warning letter asserting that we are in violation of the law</w:t>
      </w:r>
      <w:r>
        <w:rPr>
          <w:rFonts w:eastAsia="Times New Roman"/>
          <w:sz w:val="20"/>
          <w:szCs w:val="20"/>
        </w:rPr>
        <w:t>;</w:t>
      </w:r>
    </w:p>
    <w:p w:rsidR="00000000" w:rsidRDefault="00F83A7A">
      <w:pPr>
        <w:jc w:val="both"/>
        <w:divId w:val="1773931802"/>
        <w:rPr>
          <w:rFonts w:eastAsia="Times New Roman"/>
        </w:rPr>
      </w:pPr>
      <w:r>
        <w:rPr>
          <w:rFonts w:eastAsia="Times New Roman"/>
          <w:sz w:val="20"/>
          <w:szCs w:val="20"/>
        </w:rPr>
        <w:t>•</w:t>
      </w:r>
    </w:p>
    <w:p w:rsidR="00000000" w:rsidRDefault="00F83A7A">
      <w:pPr>
        <w:jc w:val="both"/>
        <w:divId w:val="716977889"/>
        <w:rPr>
          <w:rFonts w:eastAsia="Times New Roman"/>
        </w:rPr>
      </w:pPr>
      <w:r>
        <w:rPr>
          <w:rFonts w:eastAsia="Times New Roman"/>
          <w:sz w:val="20"/>
          <w:szCs w:val="20"/>
        </w:rPr>
        <w:t>seek an injunction or impose administrative, civil or criminal penalties or monetary fines</w:t>
      </w:r>
      <w:r>
        <w:rPr>
          <w:rFonts w:eastAsia="Times New Roman"/>
          <w:sz w:val="20"/>
          <w:szCs w:val="20"/>
        </w:rPr>
        <w:t>;</w:t>
      </w:r>
    </w:p>
    <w:p w:rsidR="00000000" w:rsidRDefault="00F83A7A">
      <w:pPr>
        <w:jc w:val="both"/>
        <w:divId w:val="161286577"/>
        <w:rPr>
          <w:rFonts w:eastAsia="Times New Roman"/>
        </w:rPr>
      </w:pPr>
      <w:r>
        <w:rPr>
          <w:rFonts w:eastAsia="Times New Roman"/>
          <w:sz w:val="20"/>
          <w:szCs w:val="20"/>
        </w:rPr>
        <w:t>•</w:t>
      </w:r>
    </w:p>
    <w:p w:rsidR="00000000" w:rsidRDefault="00F83A7A">
      <w:pPr>
        <w:jc w:val="both"/>
        <w:divId w:val="666518770"/>
        <w:rPr>
          <w:rFonts w:eastAsia="Times New Roman"/>
        </w:rPr>
      </w:pPr>
      <w:r>
        <w:rPr>
          <w:rFonts w:eastAsia="Times New Roman"/>
          <w:sz w:val="20"/>
          <w:szCs w:val="20"/>
        </w:rPr>
        <w:t>suspe</w:t>
      </w:r>
      <w:r>
        <w:rPr>
          <w:rFonts w:eastAsia="Times New Roman"/>
          <w:sz w:val="20"/>
          <w:szCs w:val="20"/>
        </w:rPr>
        <w:t>nd or withdraw regulatory approval</w:t>
      </w:r>
      <w:r>
        <w:rPr>
          <w:rFonts w:eastAsia="Times New Roman"/>
          <w:sz w:val="20"/>
          <w:szCs w:val="20"/>
        </w:rPr>
        <w:t>;</w:t>
      </w:r>
    </w:p>
    <w:p w:rsidR="00000000" w:rsidRDefault="00F83A7A">
      <w:pPr>
        <w:jc w:val="both"/>
        <w:divId w:val="1349016292"/>
        <w:rPr>
          <w:rFonts w:eastAsia="Times New Roman"/>
        </w:rPr>
      </w:pPr>
      <w:r>
        <w:rPr>
          <w:rFonts w:eastAsia="Times New Roman"/>
          <w:sz w:val="20"/>
          <w:szCs w:val="20"/>
        </w:rPr>
        <w:t>•</w:t>
      </w:r>
    </w:p>
    <w:p w:rsidR="00000000" w:rsidRDefault="00F83A7A">
      <w:pPr>
        <w:jc w:val="both"/>
        <w:divId w:val="1613324327"/>
        <w:rPr>
          <w:rFonts w:eastAsia="Times New Roman"/>
        </w:rPr>
      </w:pPr>
      <w:r>
        <w:rPr>
          <w:rFonts w:eastAsia="Times New Roman"/>
          <w:sz w:val="20"/>
          <w:szCs w:val="20"/>
        </w:rPr>
        <w:t>suspend any ongoing clinical trials</w:t>
      </w:r>
      <w:r>
        <w:rPr>
          <w:rFonts w:eastAsia="Times New Roman"/>
          <w:sz w:val="20"/>
          <w:szCs w:val="20"/>
        </w:rPr>
        <w:t>;</w:t>
      </w:r>
    </w:p>
    <w:p w:rsidR="00000000" w:rsidRDefault="00F83A7A">
      <w:pPr>
        <w:jc w:val="both"/>
        <w:divId w:val="737047839"/>
        <w:rPr>
          <w:rFonts w:eastAsia="Times New Roman"/>
        </w:rPr>
      </w:pPr>
      <w:r>
        <w:rPr>
          <w:rFonts w:eastAsia="Times New Roman"/>
          <w:sz w:val="20"/>
          <w:szCs w:val="20"/>
        </w:rPr>
        <w:t>•</w:t>
      </w:r>
    </w:p>
    <w:p w:rsidR="00000000" w:rsidRDefault="00F83A7A">
      <w:pPr>
        <w:jc w:val="both"/>
        <w:divId w:val="125706637"/>
        <w:rPr>
          <w:rFonts w:eastAsia="Times New Roman"/>
        </w:rPr>
      </w:pPr>
      <w:r>
        <w:rPr>
          <w:rFonts w:eastAsia="Times New Roman"/>
          <w:sz w:val="20"/>
          <w:szCs w:val="20"/>
        </w:rPr>
        <w:t>refuse to approve a pending NDA or comparable foreign marketing application (or any supplements thereto) submitted by us or our strategic partners</w:t>
      </w:r>
      <w:r>
        <w:rPr>
          <w:rFonts w:eastAsia="Times New Roman"/>
          <w:sz w:val="20"/>
          <w:szCs w:val="20"/>
        </w:rPr>
        <w:t>;</w:t>
      </w:r>
    </w:p>
    <w:p w:rsidR="00000000" w:rsidRDefault="00F83A7A">
      <w:pPr>
        <w:jc w:val="both"/>
        <w:divId w:val="2093090067"/>
        <w:rPr>
          <w:rFonts w:eastAsia="Times New Roman"/>
        </w:rPr>
      </w:pPr>
      <w:r>
        <w:rPr>
          <w:rFonts w:eastAsia="Times New Roman"/>
          <w:sz w:val="20"/>
          <w:szCs w:val="20"/>
        </w:rPr>
        <w:t>•</w:t>
      </w:r>
    </w:p>
    <w:p w:rsidR="00000000" w:rsidRDefault="00F83A7A">
      <w:pPr>
        <w:jc w:val="both"/>
        <w:divId w:val="1491867366"/>
        <w:rPr>
          <w:rFonts w:eastAsia="Times New Roman"/>
        </w:rPr>
      </w:pPr>
      <w:r>
        <w:rPr>
          <w:rFonts w:eastAsia="Times New Roman"/>
          <w:sz w:val="20"/>
          <w:szCs w:val="20"/>
        </w:rPr>
        <w:t>restrict the marketing or man</w:t>
      </w:r>
      <w:r>
        <w:rPr>
          <w:rFonts w:eastAsia="Times New Roman"/>
          <w:sz w:val="20"/>
          <w:szCs w:val="20"/>
        </w:rPr>
        <w:t>ufacturing of the drug</w:t>
      </w:r>
      <w:r>
        <w:rPr>
          <w:rFonts w:eastAsia="Times New Roman"/>
          <w:sz w:val="20"/>
          <w:szCs w:val="20"/>
        </w:rPr>
        <w:t>;</w:t>
      </w:r>
    </w:p>
    <w:p w:rsidR="00000000" w:rsidRDefault="00F83A7A">
      <w:pPr>
        <w:jc w:val="both"/>
        <w:divId w:val="65298802"/>
        <w:rPr>
          <w:rFonts w:eastAsia="Times New Roman"/>
        </w:rPr>
      </w:pPr>
      <w:r>
        <w:rPr>
          <w:rFonts w:eastAsia="Times New Roman"/>
          <w:sz w:val="20"/>
          <w:szCs w:val="20"/>
        </w:rPr>
        <w:t>•</w:t>
      </w:r>
    </w:p>
    <w:p w:rsidR="00000000" w:rsidRDefault="00F83A7A">
      <w:pPr>
        <w:jc w:val="both"/>
        <w:divId w:val="913011340"/>
        <w:rPr>
          <w:rFonts w:eastAsia="Times New Roman"/>
        </w:rPr>
      </w:pPr>
      <w:r>
        <w:rPr>
          <w:rFonts w:eastAsia="Times New Roman"/>
          <w:sz w:val="20"/>
          <w:szCs w:val="20"/>
        </w:rPr>
        <w:t>seize or detain the drug or otherwise require the withdrawal of the drug from the market</w:t>
      </w:r>
      <w:r>
        <w:rPr>
          <w:rFonts w:eastAsia="Times New Roman"/>
          <w:sz w:val="20"/>
          <w:szCs w:val="20"/>
        </w:rPr>
        <w:t>;</w:t>
      </w:r>
    </w:p>
    <w:p w:rsidR="00000000" w:rsidRDefault="00F83A7A">
      <w:pPr>
        <w:jc w:val="both"/>
        <w:divId w:val="1257596011"/>
        <w:rPr>
          <w:rFonts w:eastAsia="Times New Roman"/>
        </w:rPr>
      </w:pPr>
      <w:r>
        <w:rPr>
          <w:rFonts w:eastAsia="Times New Roman"/>
          <w:sz w:val="20"/>
          <w:szCs w:val="20"/>
        </w:rPr>
        <w:t>•</w:t>
      </w:r>
    </w:p>
    <w:p w:rsidR="00000000" w:rsidRDefault="00F83A7A">
      <w:pPr>
        <w:jc w:val="both"/>
        <w:divId w:val="87042863"/>
        <w:rPr>
          <w:rFonts w:eastAsia="Times New Roman"/>
        </w:rPr>
      </w:pPr>
      <w:r>
        <w:rPr>
          <w:rFonts w:eastAsia="Times New Roman"/>
          <w:sz w:val="20"/>
          <w:szCs w:val="20"/>
        </w:rPr>
        <w:t>refuse to permit the import or export of drug candidates; o</w:t>
      </w:r>
      <w:r>
        <w:rPr>
          <w:rFonts w:eastAsia="Times New Roman"/>
          <w:sz w:val="20"/>
          <w:szCs w:val="20"/>
        </w:rPr>
        <w:t>r</w:t>
      </w:r>
    </w:p>
    <w:p w:rsidR="00000000" w:rsidRDefault="00F83A7A">
      <w:pPr>
        <w:jc w:val="both"/>
        <w:divId w:val="1157919260"/>
        <w:rPr>
          <w:rFonts w:eastAsia="Times New Roman"/>
        </w:rPr>
      </w:pPr>
      <w:r>
        <w:rPr>
          <w:rFonts w:eastAsia="Times New Roman"/>
          <w:sz w:val="20"/>
          <w:szCs w:val="20"/>
        </w:rPr>
        <w:t>•</w:t>
      </w:r>
    </w:p>
    <w:p w:rsidR="00000000" w:rsidRDefault="00F83A7A">
      <w:pPr>
        <w:jc w:val="both"/>
        <w:divId w:val="122502740"/>
        <w:rPr>
          <w:rFonts w:eastAsia="Times New Roman"/>
        </w:rPr>
      </w:pPr>
      <w:r>
        <w:rPr>
          <w:rFonts w:eastAsia="Times New Roman"/>
          <w:sz w:val="20"/>
          <w:szCs w:val="20"/>
        </w:rPr>
        <w:t>refuse to allow us to enter into supply contracts, including government contracts</w:t>
      </w:r>
      <w:r>
        <w:rPr>
          <w:rFonts w:eastAsia="Times New Roman"/>
          <w:sz w:val="20"/>
          <w:szCs w:val="20"/>
        </w:rPr>
        <w:t>.</w:t>
      </w:r>
    </w:p>
    <w:p w:rsidR="00000000" w:rsidRDefault="00F83A7A">
      <w:pPr>
        <w:pStyle w:val="a3"/>
        <w:spacing w:before="240" w:beforeAutospacing="0" w:after="0" w:afterAutospacing="0"/>
        <w:ind w:firstLine="620"/>
        <w:jc w:val="both"/>
        <w:rPr>
          <w:sz w:val="20"/>
          <w:szCs w:val="20"/>
        </w:rPr>
      </w:pPr>
      <w:r>
        <w:rPr>
          <w:sz w:val="20"/>
          <w:szCs w:val="20"/>
        </w:rPr>
        <w:t>Moreover, the FDA strictly regulates the promotional claims that may be made about drug products. In particular, a product may not be promoted for uses that are not approved</w:t>
      </w:r>
      <w:r>
        <w:rPr>
          <w:sz w:val="20"/>
          <w:szCs w:val="20"/>
        </w:rPr>
        <w:t xml:space="preserve"> by the FDA as reflected in the product’s approved labeling. The FDA and other agencies actively enforce the laws and regulations prohibiting the promotion of off-label uses, and a company that is found to have improperly promoted off-label uses may be sub</w:t>
      </w:r>
      <w:r>
        <w:rPr>
          <w:sz w:val="20"/>
          <w:szCs w:val="20"/>
        </w:rPr>
        <w:t>ject to significant civil, criminal and administrative penalties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Any government investigation of alleged violations of law could require us to expend significant time and resources in response and could generate negative publicity. The occurrence of any e</w:t>
      </w:r>
      <w:r>
        <w:rPr>
          <w:sz w:val="20"/>
          <w:szCs w:val="20"/>
        </w:rPr>
        <w:t>vent or penalty described above may inhibit our ability to commercialize our current or future drug candidates and harm our business, financial condition, results of operations and prospects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In addition, the FDA’s policies, and those of equivalent foreign</w:t>
      </w:r>
      <w:r>
        <w:rPr>
          <w:sz w:val="20"/>
          <w:szCs w:val="20"/>
        </w:rPr>
        <w:t xml:space="preserve"> regulatory agencies, may change and additional government regulations may be enacted that could cause changes to or delays in the drug review process, or suspend or restrict regulatory approval of our drug candidates. We cannot predict the likelihood, nat</w:t>
      </w:r>
      <w:r>
        <w:rPr>
          <w:sz w:val="20"/>
          <w:szCs w:val="20"/>
        </w:rPr>
        <w:t>ure or extent of government regulation that may arise from future legislation or administrative action, either in the United States or abroad. If we are slow or unable to adapt to changes in existing requirements or the adoption of new requirements or poli</w:t>
      </w:r>
      <w:r>
        <w:rPr>
          <w:sz w:val="20"/>
          <w:szCs w:val="20"/>
        </w:rPr>
        <w:t>cies, or if we are not able to maintain regulatory compliance, we may lose any marketing approval that we may have obtained and we may not achieve or sustain profitability, which would harm our business, financial condition, results of operations and prosp</w:t>
      </w:r>
      <w:r>
        <w:rPr>
          <w:sz w:val="20"/>
          <w:szCs w:val="20"/>
        </w:rPr>
        <w:t>ects</w:t>
      </w:r>
      <w:r>
        <w:rPr>
          <w:sz w:val="20"/>
          <w:szCs w:val="20"/>
        </w:rPr>
        <w:t>.</w:t>
      </w:r>
      <w:r>
        <w:rPr>
          <w:sz w:val="20"/>
          <w:szCs w:val="20"/>
        </w:rPr>
        <w:t xml:space="preserve"> </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3</w:t>
      </w:r>
      <w:r>
        <w:rPr>
          <w:sz w:val="20"/>
          <w:szCs w:val="20"/>
        </w:rPr>
        <w:t>6</w:t>
      </w:r>
    </w:p>
    <w:p w:rsidR="00000000" w:rsidRDefault="00F83A7A">
      <w:pPr>
        <w:rPr>
          <w:rFonts w:eastAsia="Times New Roman"/>
        </w:rPr>
      </w:pPr>
      <w:r>
        <w:rPr>
          <w:rFonts w:eastAsia="Times New Roman"/>
        </w:rPr>
        <w:pict>
          <v:rect id="_x0000_i1063"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120" w:beforeAutospacing="0" w:after="120" w:afterAutospacing="0"/>
        <w:jc w:val="both"/>
        <w:rPr>
          <w:sz w:val="20"/>
          <w:szCs w:val="20"/>
        </w:rPr>
      </w:pPr>
      <w:r>
        <w:rPr>
          <w:b/>
          <w:bCs/>
          <w:sz w:val="20"/>
          <w:szCs w:val="20"/>
        </w:rPr>
        <w:t>Risks Related to Our Intellectual Propert</w:t>
      </w:r>
      <w:r>
        <w:rPr>
          <w:b/>
          <w:bCs/>
          <w:sz w:val="20"/>
          <w:szCs w:val="20"/>
        </w:rPr>
        <w:t>y</w:t>
      </w:r>
    </w:p>
    <w:p w:rsidR="00000000" w:rsidRDefault="00F83A7A">
      <w:pPr>
        <w:pStyle w:val="a3"/>
        <w:spacing w:before="200" w:beforeAutospacing="0" w:after="0" w:afterAutospacing="0"/>
        <w:jc w:val="both"/>
        <w:rPr>
          <w:sz w:val="20"/>
          <w:szCs w:val="20"/>
        </w:rPr>
      </w:pPr>
      <w:r>
        <w:rPr>
          <w:b/>
          <w:bCs/>
          <w:i/>
          <w:iCs/>
          <w:sz w:val="20"/>
          <w:szCs w:val="20"/>
        </w:rPr>
        <w:t>If we are unable to obtain and maintain patent protection for our current or any future drug candidates, or if the scope of the patent protection obtained is not s</w:t>
      </w:r>
      <w:r>
        <w:rPr>
          <w:b/>
          <w:bCs/>
          <w:i/>
          <w:iCs/>
          <w:sz w:val="20"/>
          <w:szCs w:val="20"/>
        </w:rPr>
        <w:t>ufficiently broad, we may not be able to compete effectively in our markets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We rely upon a combination of patents, trade secret protection and confidentiality agreements to protect the intellectual property related to our development programs and drug can</w:t>
      </w:r>
      <w:r>
        <w:rPr>
          <w:sz w:val="20"/>
          <w:szCs w:val="20"/>
        </w:rPr>
        <w:t>didates. Our success depends in large part on our ability to obtain and maintain patent protection in the United States and other countries with respect to our current and any future drug candidates. We seek to protect our proprietary position by filing pa</w:t>
      </w:r>
      <w:r>
        <w:rPr>
          <w:sz w:val="20"/>
          <w:szCs w:val="20"/>
        </w:rPr>
        <w:t>tent applications in the United States and abroad related to our current and future development programs and drug candidates. The patent prosecution process is expensive and time-consuming, and we may not be able to file and prosecute all necessary or desi</w:t>
      </w:r>
      <w:r>
        <w:rPr>
          <w:sz w:val="20"/>
          <w:szCs w:val="20"/>
        </w:rPr>
        <w:t>rable patent applications at a reasonable cost or in a timely manner</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It is also possible that we will fail to identify patentable aspects of our research and development output before it is too late to obtain patent protection. The patent applications tha</w:t>
      </w:r>
      <w:r>
        <w:rPr>
          <w:sz w:val="20"/>
          <w:szCs w:val="20"/>
        </w:rPr>
        <w:t>t we own or in-license may fail to result in issued patents with claims that cover our current or any future drug candidates in the United States or in other foreign countries. There is no assurance that all of the potentially relevant prior art relating t</w:t>
      </w:r>
      <w:r>
        <w:rPr>
          <w:sz w:val="20"/>
          <w:szCs w:val="20"/>
        </w:rPr>
        <w:t>o our patents and patent applications has been found, which can invalidate a patent or prevent a patent from issuing from a pending patent application. Even if patents do successfully issue and even if such patents cover our current or any future drug cand</w:t>
      </w:r>
      <w:r>
        <w:rPr>
          <w:sz w:val="20"/>
          <w:szCs w:val="20"/>
        </w:rPr>
        <w:t>idates, third parties may challenge their validity, enforceability or scope, which may result in such patents being narrowed, invalidated, or held unenforceable. Any successful opposition to these patents or any other patents owned by or licensed to us cou</w:t>
      </w:r>
      <w:r>
        <w:rPr>
          <w:sz w:val="20"/>
          <w:szCs w:val="20"/>
        </w:rPr>
        <w:t>ld deprive us of rights necessary for the successful commercialization of any drug candidates or companion diagnostic that we may develop. Further, if we encounter delays in regulatory approvals, the period of time during which we could market a drug candi</w:t>
      </w:r>
      <w:r>
        <w:rPr>
          <w:sz w:val="20"/>
          <w:szCs w:val="20"/>
        </w:rPr>
        <w:t>date and companion diagnostic under patent protection could be reduced</w:t>
      </w:r>
      <w:r>
        <w:rPr>
          <w:sz w:val="20"/>
          <w:szCs w:val="20"/>
        </w:rPr>
        <w:t>.</w:t>
      </w:r>
      <w:r>
        <w:rPr>
          <w:sz w:val="20"/>
          <w:szCs w:val="20"/>
        </w:rPr>
        <w:t xml:space="preserve"> </w:t>
      </w:r>
    </w:p>
    <w:p w:rsidR="00000000" w:rsidRDefault="00F83A7A">
      <w:pPr>
        <w:pStyle w:val="a3"/>
        <w:spacing w:before="240" w:beforeAutospacing="0" w:after="0" w:afterAutospacing="0"/>
        <w:ind w:firstLine="620"/>
        <w:jc w:val="both"/>
        <w:rPr>
          <w:sz w:val="20"/>
          <w:szCs w:val="20"/>
        </w:rPr>
      </w:pPr>
      <w:r>
        <w:rPr>
          <w:sz w:val="20"/>
          <w:szCs w:val="20"/>
        </w:rPr>
        <w:t>If the patent applications we hold or have in-licensed with respect to our development programs and drug candidates fail to issue, if their breadth or strength of protection is threat</w:t>
      </w:r>
      <w:r>
        <w:rPr>
          <w:sz w:val="20"/>
          <w:szCs w:val="20"/>
        </w:rPr>
        <w:t>ened, or if they fail to provide meaningful exclusivity for our current or any future drug candidates, it could dissuade companies from collaborating with us to develop drug candidates, and threaten our ability to commercialize, future drugs. Any such outc</w:t>
      </w:r>
      <w:r>
        <w:rPr>
          <w:sz w:val="20"/>
          <w:szCs w:val="20"/>
        </w:rPr>
        <w:t>ome could have a negative effect on our business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The patent position of biotechnology and pharmaceutical companies generally is highly uncertain, involves complex legal and factual questions and has in recent years been the subject of much litigation. In </w:t>
      </w:r>
      <w:r>
        <w:rPr>
          <w:sz w:val="20"/>
          <w:szCs w:val="20"/>
        </w:rPr>
        <w:t>addition, the laws of foreign countries may not protect our rights to the same extent as the laws of the United States. For example, European patent law restricts the patentability of methods of treatment of the human body more than United States law does.</w:t>
      </w:r>
      <w:r>
        <w:rPr>
          <w:sz w:val="20"/>
          <w:szCs w:val="20"/>
        </w:rPr>
        <w:t xml:space="preserve"> Publications of discoveries in scientific literature often lag behind the actual discoveries, and patent applications in the United States and other jurisdictions are typically not published until 18 months after filing, or in some cases not at all. There</w:t>
      </w:r>
      <w:r>
        <w:rPr>
          <w:sz w:val="20"/>
          <w:szCs w:val="20"/>
        </w:rPr>
        <w:t>fore, we cannot know with certainty whether we were the first to make the inventions claimed in our owned or licensed patents or pending patent applications, or that we were the first to file for patent protection of such inventions. As a result, the issua</w:t>
      </w:r>
      <w:r>
        <w:rPr>
          <w:sz w:val="20"/>
          <w:szCs w:val="20"/>
        </w:rPr>
        <w:t>nce, scope, validity, enforceability and commercial value of our patent rights are highly uncertain. Our pending and future patent applications may not result in patents being issued which protect our technology or drugs, in whole or in part, or which effe</w:t>
      </w:r>
      <w:r>
        <w:rPr>
          <w:sz w:val="20"/>
          <w:szCs w:val="20"/>
        </w:rPr>
        <w:t>ctively prevent others from commercializing competitive technologies and drugs. Changes in either the patent laws or interpretation of the patent laws in the United States and other countries may diminish the value of our patents or narrow the scope of our</w:t>
      </w:r>
      <w:r>
        <w:rPr>
          <w:sz w:val="20"/>
          <w:szCs w:val="20"/>
        </w:rPr>
        <w:t xml:space="preserve"> patent protection</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Recent patent reform legislation could increase the uncertainties and costs surrounding the prosecution of our patent applications and the enforcement or defense of our issued patents. On December 16, 2011, the Leahy-Smith America Inven</w:t>
      </w:r>
      <w:r>
        <w:rPr>
          <w:sz w:val="20"/>
          <w:szCs w:val="20"/>
        </w:rPr>
        <w:t>ts Act (the “Leahy-Smith Act”) was signed into law. The Leahy-Smith Act includes a number of significant changes to United States patent law. These include provisions that affect the way patent applications are prosecuted and may also affect patent litigat</w:t>
      </w:r>
      <w:r>
        <w:rPr>
          <w:sz w:val="20"/>
          <w:szCs w:val="20"/>
        </w:rPr>
        <w:t>ion. The United States Patent Office recently developed new regulations and procedures to govern administration of the Leahy-Smith Act, and many of the substantive changes to patent law associated with the Leahy-Smith Act, and in particular, the first to f</w:t>
      </w:r>
      <w:r>
        <w:rPr>
          <w:sz w:val="20"/>
          <w:szCs w:val="20"/>
        </w:rPr>
        <w:t xml:space="preserve">ile provisions, only became effective on March 16, 2013. Accordingly, it is not clear what, if any, impact the Leahy-Smith Act will have on the operation of our business. However, the Leahy-Smith Act and its implementation could increase the uncertainties </w:t>
      </w:r>
      <w:r>
        <w:rPr>
          <w:sz w:val="20"/>
          <w:szCs w:val="20"/>
        </w:rPr>
        <w:t>and costs surrounding the prosecution of our patent applications and the enforcement or defense of our issued patents, all of which could harm our business and financial condition</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Moreover, we may be subject to a third-party pre-issuance submission of pri</w:t>
      </w:r>
      <w:r>
        <w:rPr>
          <w:sz w:val="20"/>
          <w:szCs w:val="20"/>
        </w:rPr>
        <w:t>or art to the U.S. Patent and Trademark Office (the “USPTO”) or become involved in opposition, derivation, reexamination, inter partes review, post-grant review or interference proceedings challenging our patent rights or the patent rights of others. An ad</w:t>
      </w:r>
      <w:r>
        <w:rPr>
          <w:sz w:val="20"/>
          <w:szCs w:val="20"/>
        </w:rPr>
        <w:t>verse determination in any such submission, proceeding or litigation could reduce the scope of, or invalidate, our patent rights, allow third parties to commercialize our technology or drugs and compete directly with us, without payment to us, or result in</w:t>
      </w:r>
      <w:r>
        <w:rPr>
          <w:sz w:val="20"/>
          <w:szCs w:val="20"/>
        </w:rPr>
        <w:t xml:space="preserve"> our inability to manufacture or commercialize drugs without infringing third-party patent rights. In addition, if the breadth or strength of protection provided by our patents and patent applications is threatened, it could dissuade companies from collabo</w:t>
      </w:r>
      <w:r>
        <w:rPr>
          <w:sz w:val="20"/>
          <w:szCs w:val="20"/>
        </w:rPr>
        <w:t>rating with us to license, develop or commercialize current or future drug candidates</w:t>
      </w:r>
      <w:r>
        <w:rPr>
          <w:sz w:val="20"/>
          <w:szCs w:val="20"/>
        </w:rPr>
        <w:t>.</w:t>
      </w:r>
    </w:p>
    <w:p w:rsidR="00000000" w:rsidRDefault="00F83A7A">
      <w:pPr>
        <w:pStyle w:val="a3"/>
        <w:spacing w:before="240" w:beforeAutospacing="0" w:after="0" w:afterAutospacing="0"/>
        <w:jc w:val="center"/>
        <w:rPr>
          <w:sz w:val="20"/>
          <w:szCs w:val="20"/>
        </w:rPr>
      </w:pPr>
      <w:r>
        <w:rPr>
          <w:sz w:val="20"/>
          <w:szCs w:val="20"/>
        </w:rPr>
        <w:t>3</w:t>
      </w:r>
      <w:r>
        <w:rPr>
          <w:sz w:val="20"/>
          <w:szCs w:val="20"/>
        </w:rPr>
        <w:t>7</w:t>
      </w:r>
    </w:p>
    <w:p w:rsidR="00000000" w:rsidRDefault="00F83A7A">
      <w:pPr>
        <w:rPr>
          <w:rFonts w:eastAsia="Times New Roman"/>
        </w:rPr>
      </w:pPr>
      <w:r>
        <w:rPr>
          <w:rFonts w:eastAsia="Times New Roman"/>
        </w:rPr>
        <w:pict>
          <v:rect id="_x0000_i1064"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ind w:firstLine="620"/>
        <w:jc w:val="both"/>
        <w:rPr>
          <w:sz w:val="20"/>
          <w:szCs w:val="20"/>
        </w:rPr>
      </w:pPr>
      <w:r>
        <w:rPr>
          <w:sz w:val="20"/>
          <w:szCs w:val="20"/>
        </w:rPr>
        <w:t>The issuance of a patent is not conclusive as to its inventorship, scope, validity or enforceability, and our owned and licensed patents may be challenged in the courts or patent offices in the United States and abroad</w:t>
      </w:r>
      <w:r>
        <w:rPr>
          <w:sz w:val="20"/>
          <w:szCs w:val="20"/>
        </w:rPr>
        <w:t>. An adverse determination in any such challenges may result in loss of exclusivity or in patent claims being narrowed, invalidated or held unenforceable, in whole or in part, which could limit our ability to stop others from using or commercializing simil</w:t>
      </w:r>
      <w:r>
        <w:rPr>
          <w:sz w:val="20"/>
          <w:szCs w:val="20"/>
        </w:rPr>
        <w:t>ar or identical technology and drugs, or limit the duration of the patent protection of our technology and drugs. Moreover, patents have a limited lifespan. In the United States, the natural expiration of a patent is generally 20 years from the earliest fi</w:t>
      </w:r>
      <w:r>
        <w:rPr>
          <w:sz w:val="20"/>
          <w:szCs w:val="20"/>
        </w:rPr>
        <w:t>ling date of a non-provisional patent application. Various extensions may be available; however, the life of a patent, and the protection it affords, is limited. Without patent protection for our current or future drug candidates, we may be open to competi</w:t>
      </w:r>
      <w:r>
        <w:rPr>
          <w:sz w:val="20"/>
          <w:szCs w:val="20"/>
        </w:rPr>
        <w:t>tion from generic versions of such drugs. Given the amount of time required for the development, testing and regulatory review of new drug candidates, patents protecting such candidates might expire before or shortly after such candidates are commercialize</w:t>
      </w:r>
      <w:r>
        <w:rPr>
          <w:sz w:val="20"/>
          <w:szCs w:val="20"/>
        </w:rPr>
        <w:t>d. As a result, our owned and licensed patent portfolio may not provide us with sufficient rights to exclude others from commercializing drugs similar or identical to ours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 xml:space="preserve">Obtaining and maintaining our patent protection depends on compliance with various </w:t>
      </w:r>
      <w:r>
        <w:rPr>
          <w:b/>
          <w:bCs/>
          <w:i/>
          <w:iCs/>
          <w:sz w:val="20"/>
          <w:szCs w:val="20"/>
        </w:rPr>
        <w:t>procedural, document submission, fee payment and other requirements imposed by government patent agencies, and our patent protection could be reduced or eliminated for non-compliance with these requirements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Periodic maintenance fees, renewal fees, annuity</w:t>
      </w:r>
      <w:r>
        <w:rPr>
          <w:sz w:val="20"/>
          <w:szCs w:val="20"/>
        </w:rPr>
        <w:t xml:space="preserve"> fees and various other government fees on patents and/or applications will be due to be paid to the USPTO and various government patent agencies outside of the United States over the lifetime of our owned and licensed patents and/or applications and any p</w:t>
      </w:r>
      <w:r>
        <w:rPr>
          <w:sz w:val="20"/>
          <w:szCs w:val="20"/>
        </w:rPr>
        <w:t>atent rights we may own or license in the future. We rely on our outside counsel or our licensing partners to pay these fees due to non-U.S. patent agencies. The USPTO and various non-U.S. government patent agencies require compliance with several procedur</w:t>
      </w:r>
      <w:r>
        <w:rPr>
          <w:sz w:val="20"/>
          <w:szCs w:val="20"/>
        </w:rPr>
        <w:t xml:space="preserve">al, documentary, fee payment and other similar provisions during the patent application process. We employ reputable law firms and other professionals to help us comply and we are also dependent on our licensors to take the necessary action to comply with </w:t>
      </w:r>
      <w:r>
        <w:rPr>
          <w:sz w:val="20"/>
          <w:szCs w:val="20"/>
        </w:rPr>
        <w:t>these requirements with respect to our licensed intellectual property. In many cases, an inadvertent lapse can be cured by payment of a late fee or by other means in accordance with the applicable rules. There are situations, however, in which non-complian</w:t>
      </w:r>
      <w:r>
        <w:rPr>
          <w:sz w:val="20"/>
          <w:szCs w:val="20"/>
        </w:rPr>
        <w:t xml:space="preserve">ce can result in abandonment or lapse of the patent or patent application, resulting in partial or complete loss of patent rights in the relevant jurisdiction. In such an event, potential competitors might be able to enter the market and this circumstance </w:t>
      </w:r>
      <w:r>
        <w:rPr>
          <w:sz w:val="20"/>
          <w:szCs w:val="20"/>
        </w:rPr>
        <w:t>could harm our business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Patent terms may be inadequate to protect our competitive position on our drug candidates for an adequate amount of time</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Given the amount of time required for the development, testing and regulatory review of new drug candidates, </w:t>
      </w:r>
      <w:r>
        <w:rPr>
          <w:sz w:val="20"/>
          <w:szCs w:val="20"/>
        </w:rPr>
        <w:t>patents protecting such candidates might expire before or shortly after such candidates are commercialized. We expect to seek extensions of patent terms in the United States and, if available, in other countries where we are prosecuting patents. In the Uni</w:t>
      </w:r>
      <w:r>
        <w:rPr>
          <w:sz w:val="20"/>
          <w:szCs w:val="20"/>
        </w:rPr>
        <w:t>ted States, the Drug Price Competition and Patent Term Restoration Act of 1984 permits a patent term extension of up to five years beyond the normal expiration of the patent, which is limited to the approved indication (or any additional indications approv</w:t>
      </w:r>
      <w:r>
        <w:rPr>
          <w:sz w:val="20"/>
          <w:szCs w:val="20"/>
        </w:rPr>
        <w:t>ed during the period of extension). However, the applicable authorities, including the FDA and the USPTO in the United States, and any equivalent regulatory authority in other countries, may not agree with our assessment of whether such extensions are avai</w:t>
      </w:r>
      <w:r>
        <w:rPr>
          <w:sz w:val="20"/>
          <w:szCs w:val="20"/>
        </w:rPr>
        <w:t>lable, and may refuse to grant extensions to our patents, or may grant more limited extensions than we request. If this occurs, our competitors may be able to take advantage of our investment in development and clinical trials by referencing our clinical a</w:t>
      </w:r>
      <w:r>
        <w:rPr>
          <w:sz w:val="20"/>
          <w:szCs w:val="20"/>
        </w:rPr>
        <w:t>nd preclinical data and launch their drug earlier than might otherwise be the case</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Intellectual property rights do not necessarily address all potential threats to our business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The degree of future protection afforded by our intellectual property rights </w:t>
      </w:r>
      <w:r>
        <w:rPr>
          <w:sz w:val="20"/>
          <w:szCs w:val="20"/>
        </w:rPr>
        <w:t>is uncertain because intellectual property rights have limitations, and may not adequately protect our business. The following examples are illustrative</w:t>
      </w:r>
      <w:r>
        <w:rPr>
          <w:sz w:val="20"/>
          <w:szCs w:val="20"/>
        </w:rPr>
        <w:t>:</w:t>
      </w:r>
    </w:p>
    <w:p w:rsidR="00000000" w:rsidRDefault="00F83A7A">
      <w:pPr>
        <w:jc w:val="both"/>
        <w:divId w:val="1678455703"/>
        <w:rPr>
          <w:rFonts w:eastAsia="Times New Roman"/>
        </w:rPr>
      </w:pPr>
      <w:r>
        <w:rPr>
          <w:rFonts w:eastAsia="Times New Roman"/>
          <w:sz w:val="20"/>
          <w:szCs w:val="20"/>
        </w:rPr>
        <w:t>•</w:t>
      </w:r>
    </w:p>
    <w:p w:rsidR="00000000" w:rsidRDefault="00F83A7A">
      <w:pPr>
        <w:jc w:val="both"/>
        <w:divId w:val="1170413429"/>
        <w:rPr>
          <w:rFonts w:eastAsia="Times New Roman"/>
        </w:rPr>
      </w:pPr>
      <w:r>
        <w:rPr>
          <w:rFonts w:eastAsia="Times New Roman"/>
          <w:sz w:val="20"/>
          <w:szCs w:val="20"/>
        </w:rPr>
        <w:t>others may be able to make compounds or formulations that are similar to our drug candidates but tha</w:t>
      </w:r>
      <w:r>
        <w:rPr>
          <w:rFonts w:eastAsia="Times New Roman"/>
          <w:sz w:val="20"/>
          <w:szCs w:val="20"/>
        </w:rPr>
        <w:t>t are not covered by the claims of any patents, should they issue, that we own or control</w:t>
      </w:r>
      <w:r>
        <w:rPr>
          <w:rFonts w:eastAsia="Times New Roman"/>
          <w:sz w:val="20"/>
          <w:szCs w:val="20"/>
        </w:rPr>
        <w:t>;</w:t>
      </w:r>
    </w:p>
    <w:p w:rsidR="00000000" w:rsidRDefault="00F83A7A">
      <w:pPr>
        <w:jc w:val="both"/>
        <w:divId w:val="521474011"/>
        <w:rPr>
          <w:rFonts w:eastAsia="Times New Roman"/>
        </w:rPr>
      </w:pPr>
      <w:r>
        <w:rPr>
          <w:rFonts w:eastAsia="Times New Roman"/>
          <w:sz w:val="20"/>
          <w:szCs w:val="20"/>
        </w:rPr>
        <w:t>•</w:t>
      </w:r>
    </w:p>
    <w:p w:rsidR="00000000" w:rsidRDefault="00F83A7A">
      <w:pPr>
        <w:jc w:val="both"/>
        <w:divId w:val="1247231765"/>
        <w:rPr>
          <w:rFonts w:eastAsia="Times New Roman"/>
        </w:rPr>
      </w:pPr>
      <w:r>
        <w:rPr>
          <w:rFonts w:eastAsia="Times New Roman"/>
          <w:sz w:val="20"/>
          <w:szCs w:val="20"/>
        </w:rPr>
        <w:t>we or any strategic partners might not have been the first to make the inventions covered by the issued patents or pending patent applications that we own or contr</w:t>
      </w:r>
      <w:r>
        <w:rPr>
          <w:rFonts w:eastAsia="Times New Roman"/>
          <w:sz w:val="20"/>
          <w:szCs w:val="20"/>
        </w:rPr>
        <w:t>ol</w:t>
      </w:r>
      <w:r>
        <w:rPr>
          <w:rFonts w:eastAsia="Times New Roman"/>
          <w:sz w:val="20"/>
          <w:szCs w:val="20"/>
        </w:rPr>
        <w:t>;</w:t>
      </w:r>
    </w:p>
    <w:p w:rsidR="00000000" w:rsidRDefault="00F83A7A">
      <w:pPr>
        <w:jc w:val="both"/>
        <w:divId w:val="1303385975"/>
        <w:rPr>
          <w:rFonts w:eastAsia="Times New Roman"/>
        </w:rPr>
      </w:pPr>
      <w:r>
        <w:rPr>
          <w:rFonts w:eastAsia="Times New Roman"/>
          <w:sz w:val="20"/>
          <w:szCs w:val="20"/>
        </w:rPr>
        <w:t>•</w:t>
      </w:r>
    </w:p>
    <w:p w:rsidR="00000000" w:rsidRDefault="00F83A7A">
      <w:pPr>
        <w:jc w:val="both"/>
        <w:divId w:val="1402293969"/>
        <w:rPr>
          <w:rFonts w:eastAsia="Times New Roman"/>
        </w:rPr>
      </w:pPr>
      <w:r>
        <w:rPr>
          <w:rFonts w:eastAsia="Times New Roman"/>
          <w:sz w:val="20"/>
          <w:szCs w:val="20"/>
        </w:rPr>
        <w:t>we might not have been the first to file patent applications covering certain of our inventions</w:t>
      </w:r>
      <w:r>
        <w:rPr>
          <w:rFonts w:eastAsia="Times New Roman"/>
          <w:sz w:val="20"/>
          <w:szCs w:val="20"/>
        </w:rPr>
        <w:t>;</w:t>
      </w:r>
    </w:p>
    <w:p w:rsidR="00000000" w:rsidRDefault="00F83A7A">
      <w:pPr>
        <w:jc w:val="both"/>
        <w:divId w:val="940916944"/>
        <w:rPr>
          <w:rFonts w:eastAsia="Times New Roman"/>
        </w:rPr>
      </w:pPr>
      <w:r>
        <w:rPr>
          <w:rFonts w:eastAsia="Times New Roman"/>
          <w:sz w:val="20"/>
          <w:szCs w:val="20"/>
        </w:rPr>
        <w:t>•</w:t>
      </w:r>
    </w:p>
    <w:p w:rsidR="00000000" w:rsidRDefault="00F83A7A">
      <w:pPr>
        <w:jc w:val="both"/>
        <w:divId w:val="1238901377"/>
        <w:rPr>
          <w:rFonts w:eastAsia="Times New Roman"/>
        </w:rPr>
      </w:pPr>
      <w:r>
        <w:rPr>
          <w:rFonts w:eastAsia="Times New Roman"/>
          <w:sz w:val="20"/>
          <w:szCs w:val="20"/>
        </w:rPr>
        <w:t>others may independently develop similar or alternative technologies or duplicate any of our technologies without infringing our intellectual property rights</w:t>
      </w:r>
      <w:r>
        <w:rPr>
          <w:rFonts w:eastAsia="Times New Roman"/>
          <w:sz w:val="20"/>
          <w:szCs w:val="20"/>
        </w:rPr>
        <w:t>;</w:t>
      </w:r>
    </w:p>
    <w:p w:rsidR="00000000" w:rsidRDefault="00F83A7A">
      <w:pPr>
        <w:jc w:val="both"/>
        <w:divId w:val="1104350206"/>
        <w:rPr>
          <w:rFonts w:eastAsia="Times New Roman"/>
        </w:rPr>
      </w:pPr>
      <w:r>
        <w:rPr>
          <w:rFonts w:eastAsia="Times New Roman"/>
          <w:sz w:val="20"/>
          <w:szCs w:val="20"/>
        </w:rPr>
        <w:t>•</w:t>
      </w:r>
    </w:p>
    <w:p w:rsidR="00000000" w:rsidRDefault="00F83A7A">
      <w:pPr>
        <w:jc w:val="both"/>
        <w:divId w:val="175852267"/>
        <w:rPr>
          <w:rFonts w:eastAsia="Times New Roman"/>
        </w:rPr>
      </w:pPr>
      <w:r>
        <w:rPr>
          <w:rFonts w:eastAsia="Times New Roman"/>
          <w:sz w:val="20"/>
          <w:szCs w:val="20"/>
        </w:rPr>
        <w:t>it is possible that our pending patent applications will not lead to issued patents</w:t>
      </w:r>
      <w:r>
        <w:rPr>
          <w:rFonts w:eastAsia="Times New Roman"/>
          <w:sz w:val="20"/>
          <w:szCs w:val="20"/>
        </w:rPr>
        <w:t>;</w:t>
      </w:r>
    </w:p>
    <w:p w:rsidR="00000000" w:rsidRDefault="00F83A7A">
      <w:pPr>
        <w:jc w:val="both"/>
        <w:divId w:val="1784573228"/>
        <w:rPr>
          <w:rFonts w:eastAsia="Times New Roman"/>
        </w:rPr>
      </w:pPr>
      <w:r>
        <w:rPr>
          <w:rFonts w:eastAsia="Times New Roman"/>
          <w:sz w:val="20"/>
          <w:szCs w:val="20"/>
        </w:rPr>
        <w:t>•</w:t>
      </w:r>
    </w:p>
    <w:p w:rsidR="00000000" w:rsidRDefault="00F83A7A">
      <w:pPr>
        <w:jc w:val="both"/>
        <w:divId w:val="678191721"/>
        <w:rPr>
          <w:rFonts w:eastAsia="Times New Roman"/>
        </w:rPr>
      </w:pPr>
      <w:r>
        <w:rPr>
          <w:rFonts w:eastAsia="Times New Roman"/>
          <w:sz w:val="20"/>
          <w:szCs w:val="20"/>
        </w:rPr>
        <w:t>issued p</w:t>
      </w:r>
      <w:r>
        <w:rPr>
          <w:rFonts w:eastAsia="Times New Roman"/>
          <w:sz w:val="20"/>
          <w:szCs w:val="20"/>
        </w:rPr>
        <w:t>atents that we own or control may not provide us with any competitive advantages, or may be held invalid or unenforceable because of legal challenges</w:t>
      </w:r>
      <w:r>
        <w:rPr>
          <w:rFonts w:eastAsia="Times New Roman"/>
          <w:sz w:val="20"/>
          <w:szCs w:val="20"/>
        </w:rPr>
        <w:t>;</w:t>
      </w:r>
    </w:p>
    <w:p w:rsidR="00000000" w:rsidRDefault="00F83A7A">
      <w:pPr>
        <w:pStyle w:val="a3"/>
        <w:spacing w:before="240" w:beforeAutospacing="0" w:after="0" w:afterAutospacing="0"/>
        <w:jc w:val="center"/>
        <w:rPr>
          <w:sz w:val="20"/>
          <w:szCs w:val="20"/>
        </w:rPr>
      </w:pPr>
      <w:r>
        <w:rPr>
          <w:sz w:val="20"/>
          <w:szCs w:val="20"/>
        </w:rPr>
        <w:t>3</w:t>
      </w:r>
      <w:r>
        <w:rPr>
          <w:sz w:val="20"/>
          <w:szCs w:val="20"/>
        </w:rPr>
        <w:t>8</w:t>
      </w:r>
    </w:p>
    <w:p w:rsidR="00000000" w:rsidRDefault="00F83A7A">
      <w:pPr>
        <w:rPr>
          <w:rFonts w:eastAsia="Times New Roman"/>
        </w:rPr>
      </w:pPr>
      <w:r>
        <w:rPr>
          <w:rFonts w:eastAsia="Times New Roman"/>
        </w:rPr>
        <w:pict>
          <v:rect id="_x0000_i1065"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jc w:val="both"/>
        <w:divId w:val="649988361"/>
        <w:rPr>
          <w:rFonts w:eastAsia="Times New Roman"/>
        </w:rPr>
      </w:pPr>
      <w:r>
        <w:rPr>
          <w:rFonts w:eastAsia="Times New Roman"/>
          <w:sz w:val="20"/>
          <w:szCs w:val="20"/>
        </w:rPr>
        <w:t>•</w:t>
      </w:r>
    </w:p>
    <w:p w:rsidR="00000000" w:rsidRDefault="00F83A7A">
      <w:pPr>
        <w:jc w:val="both"/>
        <w:divId w:val="1384673192"/>
        <w:rPr>
          <w:rFonts w:eastAsia="Times New Roman"/>
        </w:rPr>
      </w:pPr>
      <w:r>
        <w:rPr>
          <w:rFonts w:eastAsia="Times New Roman"/>
          <w:sz w:val="20"/>
          <w:szCs w:val="20"/>
        </w:rPr>
        <w:t>our competitors might conduct research and development activities in the United States and other countries that provide a safe harbor from patent infringement claims for certain research and development activities, a</w:t>
      </w:r>
      <w:r>
        <w:rPr>
          <w:rFonts w:eastAsia="Times New Roman"/>
          <w:sz w:val="20"/>
          <w:szCs w:val="20"/>
        </w:rPr>
        <w:t>s well as in countries where we do not have patent rights and then use the information learned from such activities to develop competitive drugs for sale in our major commercial markets</w:t>
      </w:r>
      <w:r>
        <w:rPr>
          <w:rFonts w:eastAsia="Times New Roman"/>
          <w:sz w:val="20"/>
          <w:szCs w:val="20"/>
        </w:rPr>
        <w:t>;</w:t>
      </w:r>
    </w:p>
    <w:p w:rsidR="00000000" w:rsidRDefault="00F83A7A">
      <w:pPr>
        <w:jc w:val="both"/>
        <w:divId w:val="1159539418"/>
        <w:rPr>
          <w:rFonts w:eastAsia="Times New Roman"/>
        </w:rPr>
      </w:pPr>
      <w:r>
        <w:rPr>
          <w:rFonts w:eastAsia="Times New Roman"/>
          <w:sz w:val="20"/>
          <w:szCs w:val="20"/>
        </w:rPr>
        <w:t>•</w:t>
      </w:r>
    </w:p>
    <w:p w:rsidR="00000000" w:rsidRDefault="00F83A7A">
      <w:pPr>
        <w:jc w:val="both"/>
        <w:divId w:val="568811455"/>
        <w:rPr>
          <w:rFonts w:eastAsia="Times New Roman"/>
        </w:rPr>
      </w:pPr>
      <w:r>
        <w:rPr>
          <w:rFonts w:eastAsia="Times New Roman"/>
          <w:sz w:val="20"/>
          <w:szCs w:val="20"/>
        </w:rPr>
        <w:t>we may not develop additional proprietary technologies that are pat</w:t>
      </w:r>
      <w:r>
        <w:rPr>
          <w:rFonts w:eastAsia="Times New Roman"/>
          <w:sz w:val="20"/>
          <w:szCs w:val="20"/>
        </w:rPr>
        <w:t>entable; an</w:t>
      </w:r>
      <w:r>
        <w:rPr>
          <w:rFonts w:eastAsia="Times New Roman"/>
          <w:sz w:val="20"/>
          <w:szCs w:val="20"/>
        </w:rPr>
        <w:t>d</w:t>
      </w:r>
    </w:p>
    <w:p w:rsidR="00000000" w:rsidRDefault="00F83A7A">
      <w:pPr>
        <w:jc w:val="both"/>
        <w:divId w:val="1441677741"/>
        <w:rPr>
          <w:rFonts w:eastAsia="Times New Roman"/>
        </w:rPr>
      </w:pPr>
      <w:r>
        <w:rPr>
          <w:rFonts w:eastAsia="Times New Roman"/>
          <w:sz w:val="20"/>
          <w:szCs w:val="20"/>
        </w:rPr>
        <w:t>•</w:t>
      </w:r>
    </w:p>
    <w:p w:rsidR="00000000" w:rsidRDefault="00F83A7A">
      <w:pPr>
        <w:jc w:val="both"/>
        <w:divId w:val="257714292"/>
        <w:rPr>
          <w:rFonts w:eastAsia="Times New Roman"/>
        </w:rPr>
      </w:pPr>
      <w:r>
        <w:rPr>
          <w:rFonts w:eastAsia="Times New Roman"/>
          <w:sz w:val="20"/>
          <w:szCs w:val="20"/>
        </w:rPr>
        <w:t>the patents of others may have an adverse effect on our business</w:t>
      </w:r>
      <w:r>
        <w:rPr>
          <w:rFonts w:eastAsia="Times New Roman"/>
          <w:sz w:val="20"/>
          <w:szCs w:val="20"/>
        </w:rPr>
        <w:t>.</w:t>
      </w:r>
    </w:p>
    <w:p w:rsidR="00000000" w:rsidRDefault="00F83A7A">
      <w:pPr>
        <w:pStyle w:val="a3"/>
        <w:spacing w:before="240" w:beforeAutospacing="0" w:after="0" w:afterAutospacing="0"/>
        <w:ind w:firstLine="620"/>
        <w:jc w:val="both"/>
        <w:rPr>
          <w:sz w:val="20"/>
          <w:szCs w:val="20"/>
        </w:rPr>
      </w:pPr>
      <w:r>
        <w:rPr>
          <w:sz w:val="20"/>
          <w:szCs w:val="20"/>
        </w:rPr>
        <w:t>The proprietary map of disease-relevant biological pathways underlying orphan disorders of the brain that we developed would not be appropriate for patent protection and, as a</w:t>
      </w:r>
      <w:r>
        <w:rPr>
          <w:sz w:val="20"/>
          <w:szCs w:val="20"/>
        </w:rPr>
        <w:t xml:space="preserve"> result, we rely on trade secrets to protect this aspect of our business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Third parties may initiate legal proceedings alleging that we are infringing their intellectual property rights, the outcome of which would be uncertain and could have a negative imp</w:t>
      </w:r>
      <w:r>
        <w:rPr>
          <w:b/>
          <w:bCs/>
          <w:i/>
          <w:iCs/>
          <w:sz w:val="20"/>
          <w:szCs w:val="20"/>
        </w:rPr>
        <w:t>act on the success of our business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Our commercial success depends, in part, upon our ability and the ability of our current or future collaborators to develop, manufacture, market and sell our current and any future drug candidates and use our proprietary</w:t>
      </w:r>
      <w:r>
        <w:rPr>
          <w:sz w:val="20"/>
          <w:szCs w:val="20"/>
        </w:rPr>
        <w:t xml:space="preserve"> technologies without infringing the proprietary rights and intellectual property of third parties. The biotechnology and pharmaceutical industries are characterized by extensive and complex litigation regarding patents and other intellectual property righ</w:t>
      </w:r>
      <w:r>
        <w:rPr>
          <w:sz w:val="20"/>
          <w:szCs w:val="20"/>
        </w:rPr>
        <w:t>ts. We may in the future become party to, or be threatened with, adversarial proceedings or litigation regarding intellectual property rights with respect to our current and any future drug candidates and technology, including interference proceedings, pos</w:t>
      </w:r>
      <w:r>
        <w:rPr>
          <w:sz w:val="20"/>
          <w:szCs w:val="20"/>
        </w:rPr>
        <w:t>t grant review and inter partes review before the USPTO. Third parties may assert infringement claims against us based on existing patents or patents that may be granted in the future, regardless of their merit. There is a risk that third parties may choos</w:t>
      </w:r>
      <w:r>
        <w:rPr>
          <w:sz w:val="20"/>
          <w:szCs w:val="20"/>
        </w:rPr>
        <w:t>e to engage in litigation with us to enforce or to otherwise assert their patent rights against us. Even if we believe such claims are without merit, a court of competent jurisdiction could hold that these third-party patents are valid, enforceable and inf</w:t>
      </w:r>
      <w:r>
        <w:rPr>
          <w:sz w:val="20"/>
          <w:szCs w:val="20"/>
        </w:rPr>
        <w:t>ringed, which could have a negative impact on our ability to commercialize our current and any future drug candidates. In order to successfully challenge the validity of any such U.S. patent in federal court, we would need to overcome a presumption of vali</w:t>
      </w:r>
      <w:r>
        <w:rPr>
          <w:sz w:val="20"/>
          <w:szCs w:val="20"/>
        </w:rPr>
        <w:t>dity. As this burden is a high one requiring us to present clear and convincing evidence as to the invalidity of any such U.S. patent claim, there is no assurance that a court of competent jurisdiction would invalidate the claims of any such U.S. patent. I</w:t>
      </w:r>
      <w:r>
        <w:rPr>
          <w:sz w:val="20"/>
          <w:szCs w:val="20"/>
        </w:rPr>
        <w:t>f we are found to infringe a third party’s valid and enforceable intellectual property rights, we could be required to obtain a license from such third party to continue developing, manufacturing and marketing our drug candidate(s) and technology. However,</w:t>
      </w:r>
      <w:r>
        <w:rPr>
          <w:sz w:val="20"/>
          <w:szCs w:val="20"/>
        </w:rPr>
        <w:t xml:space="preserve"> we may not be able to obtain any required license on commercially reasonable terms or at all. Even if we were able to obtain a license, it could be non-exclusive, thereby giving our competitors and other third parties access to the same technologies licen</w:t>
      </w:r>
      <w:r>
        <w:rPr>
          <w:sz w:val="20"/>
          <w:szCs w:val="20"/>
        </w:rPr>
        <w:t>sed to us, and it could require us to make substantial licensing and royalty payments. We could be forced, including by court order, to cease developing, manufacturing and commercializing the infringing technology or drug candidate. In addition, we could b</w:t>
      </w:r>
      <w:r>
        <w:rPr>
          <w:sz w:val="20"/>
          <w:szCs w:val="20"/>
        </w:rPr>
        <w:t xml:space="preserve">e found liable for monetary damages, including treble damages and attorneys’ fees, if we are found to have willfully infringed a patent or other intellectual property right. A finding of infringement could prevent us from manufacturing and commercializing </w:t>
      </w:r>
      <w:r>
        <w:rPr>
          <w:sz w:val="20"/>
          <w:szCs w:val="20"/>
        </w:rPr>
        <w:t>our current or any future drug candidates or force us to cease some or all of our business operations, which could materially harm our business. Claims that we have misappropriated the confidential information or trade secrets of third parties could have a</w:t>
      </w:r>
      <w:r>
        <w:rPr>
          <w:sz w:val="20"/>
          <w:szCs w:val="20"/>
        </w:rPr>
        <w:t xml:space="preserve"> similar negative impact on our business, financial condition, results of operations and prospects. See the section herein titled “Legal Proceedings” for additional information</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We may be subject to claims asserting that our employees, consultants or advis</w:t>
      </w:r>
      <w:r>
        <w:rPr>
          <w:b/>
          <w:bCs/>
          <w:i/>
          <w:iCs/>
          <w:sz w:val="20"/>
          <w:szCs w:val="20"/>
        </w:rPr>
        <w:t>ors have wrongfully used or disclosed alleged trade secrets of their current or former employers or claims asserting ownership of what we regard as our own intellectual property</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Certain of our employees, consultants or advisors are currently, or were prev</w:t>
      </w:r>
      <w:r>
        <w:rPr>
          <w:sz w:val="20"/>
          <w:szCs w:val="20"/>
        </w:rPr>
        <w:t>iously, employed at universities or other biotechnology or pharmaceutical companies, including our competitors or potential competitors. Although we try to ensure that our employees, consultants and advisors do not use the proprietary information or know-h</w:t>
      </w:r>
      <w:r>
        <w:rPr>
          <w:sz w:val="20"/>
          <w:szCs w:val="20"/>
        </w:rPr>
        <w:t>ow of others in their work for us, we may be subject to claims that these individuals or we have used or disclosed intellectual property, including trade secrets or other proprietary information, of any such individual’s current or former employer. Litigat</w:t>
      </w:r>
      <w:r>
        <w:rPr>
          <w:sz w:val="20"/>
          <w:szCs w:val="20"/>
        </w:rPr>
        <w:t>ion may be necessary to defend against these claims. If we fail in defending any such claims, in addition to paying monetary damages, we may lose valuable intellectual property rights or personnel. Even if we are successful in defending against such claims</w:t>
      </w:r>
      <w:r>
        <w:rPr>
          <w:sz w:val="20"/>
          <w:szCs w:val="20"/>
        </w:rPr>
        <w:t>, litigation could result in substantial costs and be a distraction to management</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In addition, while it is our policy to require our employees and contractors who may be involved in the conception or development of intellectual property to execute agreeme</w:t>
      </w:r>
      <w:r>
        <w:rPr>
          <w:sz w:val="20"/>
          <w:szCs w:val="20"/>
        </w:rPr>
        <w:t>nts assigning such intellectual property to us, we may be unsuccessful in executing such an agreement with each party who, in fact, conceives or develops intellectual property that we regard as our own. The assignment of intellectual property rights may no</w:t>
      </w:r>
      <w:r>
        <w:rPr>
          <w:sz w:val="20"/>
          <w:szCs w:val="20"/>
        </w:rPr>
        <w:t>t be self-executing or the assignment agreements may be breached, and we may be forced to bring claims against third parties, or defend claims that they may bring against us, to determine the ownership of what we regard as our intellectual property</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We may</w:t>
      </w:r>
      <w:r>
        <w:rPr>
          <w:b/>
          <w:bCs/>
          <w:i/>
          <w:iCs/>
          <w:sz w:val="20"/>
          <w:szCs w:val="20"/>
        </w:rPr>
        <w:t xml:space="preserve"> be involved in lawsuits to protect or enforce our patents, the patents of our licensors or our other intellectual property rights, which could be expensive, time consuming and unsuccessful</w:t>
      </w:r>
      <w:r>
        <w:rPr>
          <w:b/>
          <w:bCs/>
          <w:i/>
          <w:iCs/>
          <w:sz w:val="20"/>
          <w:szCs w:val="20"/>
        </w:rPr>
        <w:t>.</w:t>
      </w:r>
    </w:p>
    <w:p w:rsidR="00000000" w:rsidRDefault="00F83A7A">
      <w:pPr>
        <w:pStyle w:val="a3"/>
        <w:spacing w:before="240" w:beforeAutospacing="0" w:after="0" w:afterAutospacing="0"/>
        <w:jc w:val="center"/>
        <w:rPr>
          <w:sz w:val="20"/>
          <w:szCs w:val="20"/>
        </w:rPr>
      </w:pPr>
      <w:r>
        <w:rPr>
          <w:sz w:val="20"/>
          <w:szCs w:val="20"/>
        </w:rPr>
        <w:t>3</w:t>
      </w:r>
      <w:r>
        <w:rPr>
          <w:sz w:val="20"/>
          <w:szCs w:val="20"/>
        </w:rPr>
        <w:t>9</w:t>
      </w:r>
    </w:p>
    <w:p w:rsidR="00000000" w:rsidRDefault="00F83A7A">
      <w:pPr>
        <w:rPr>
          <w:rFonts w:eastAsia="Times New Roman"/>
        </w:rPr>
      </w:pPr>
      <w:r>
        <w:rPr>
          <w:rFonts w:eastAsia="Times New Roman"/>
        </w:rPr>
        <w:pict>
          <v:rect id="_x0000_i1066"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ind w:firstLine="620"/>
        <w:jc w:val="both"/>
        <w:rPr>
          <w:sz w:val="20"/>
          <w:szCs w:val="20"/>
        </w:rPr>
      </w:pPr>
      <w:r>
        <w:rPr>
          <w:sz w:val="20"/>
          <w:szCs w:val="20"/>
        </w:rPr>
        <w:t>Competitors may infringe</w:t>
      </w:r>
      <w:r>
        <w:rPr>
          <w:sz w:val="20"/>
          <w:szCs w:val="20"/>
        </w:rPr>
        <w:t xml:space="preserve"> or otherwise violate our patents, the patents of our licensors or our other intellectual property rights. To counter infringement or unauthorized use, we may be required to file legal claims, which can be expensive and time-consuming. In addition, in an i</w:t>
      </w:r>
      <w:r>
        <w:rPr>
          <w:sz w:val="20"/>
          <w:szCs w:val="20"/>
        </w:rPr>
        <w:t>nfringement proceeding, a court may decide that a patent of ours or our licensors is not valid or is unenforceable, or may refuse to stop the other party from using the technology at issue on the grounds that our patents do not cover the technology in ques</w:t>
      </w:r>
      <w:r>
        <w:rPr>
          <w:sz w:val="20"/>
          <w:szCs w:val="20"/>
        </w:rPr>
        <w:t>tion. An adverse result in any litigation or defense proceedings could put one or more of our patents at risk of being invalidated or interpreted narrowly and could put our patent applications at risk of not issuing. The initiation of a claim against a thi</w:t>
      </w:r>
      <w:r>
        <w:rPr>
          <w:sz w:val="20"/>
          <w:szCs w:val="20"/>
        </w:rPr>
        <w:t>rd party may also cause the third party to bring counter claims against us such as claims asserting that our patents are invalid or unenforceable. In patent litigation in the United States, defendant counterclaims alleging invalidity or unenforceability ar</w:t>
      </w:r>
      <w:r>
        <w:rPr>
          <w:sz w:val="20"/>
          <w:szCs w:val="20"/>
        </w:rPr>
        <w:t>e commonplace. Grounds for a validity challenge could be an alleged failure to meet any of several statutory requirements, including lack of novelty, obviousness, non-enablement or lack of statutory subject matter. Grounds for an unenforceability assertion</w:t>
      </w:r>
      <w:r>
        <w:rPr>
          <w:sz w:val="20"/>
          <w:szCs w:val="20"/>
        </w:rPr>
        <w:t xml:space="preserve"> could be an allegation that someone connected with prosecution of the patent withheld relevant material information from the USPTO, or made a materially misleading statement, during prosecution. Third parties may also raise similar validity claims before </w:t>
      </w:r>
      <w:r>
        <w:rPr>
          <w:sz w:val="20"/>
          <w:szCs w:val="20"/>
        </w:rPr>
        <w:t>the USPTO in post-grant proceedings such as ex parte reexaminations, inter partes review, or post-grant review, or oppositions or similar proceedings outside the United States, in parallel with litigation or even outside the context of litigation. The outc</w:t>
      </w:r>
      <w:r>
        <w:rPr>
          <w:sz w:val="20"/>
          <w:szCs w:val="20"/>
        </w:rPr>
        <w:t>ome following legal assertions of invalidity and unenforceability is unpredictable. We cannot be certain that there is no invalidating prior art, of which we and the patent examiner were unaware during prosecution. For the patents and patent applications t</w:t>
      </w:r>
      <w:r>
        <w:rPr>
          <w:sz w:val="20"/>
          <w:szCs w:val="20"/>
        </w:rPr>
        <w:t>hat we have licensed, we may have limited or no right to participate in the defense of any licensed patents against challenge by a third party. If a defendant were to prevail on a legal assertion of invalidity or unenforceability, we would lose at least pa</w:t>
      </w:r>
      <w:r>
        <w:rPr>
          <w:sz w:val="20"/>
          <w:szCs w:val="20"/>
        </w:rPr>
        <w:t>rt, and perhaps all, of any future patent protection on our current or future drug candidates. Such a loss of patent protection could harm our business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We may not be able to prevent, alone or with our licensors, misappropriation of our intellectual proper</w:t>
      </w:r>
      <w:r>
        <w:rPr>
          <w:sz w:val="20"/>
          <w:szCs w:val="20"/>
        </w:rPr>
        <w:t>ty rights, particularly in countries where the laws may not protect those rights as fully as in the United States. Our business could be harmed if in litigation the prevailing party does not offer us a license on commercially reasonable terms. Any litigati</w:t>
      </w:r>
      <w:r>
        <w:rPr>
          <w:sz w:val="20"/>
          <w:szCs w:val="20"/>
        </w:rPr>
        <w:t>on or other proceedings to enforce our intellectual property rights may fail, and even if successful, may result in substantial costs and distract our management and other employees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Furthermore, because of the substantial amount of discovery required in c</w:t>
      </w:r>
      <w:r>
        <w:rPr>
          <w:sz w:val="20"/>
          <w:szCs w:val="20"/>
        </w:rPr>
        <w:t>onnection with intellectual property litigation, there is a risk that some of our confidential information could be compromised by disclosure during this type of litigation. There could also be public announcements of the results of hearings, motions or ot</w:t>
      </w:r>
      <w:r>
        <w:rPr>
          <w:sz w:val="20"/>
          <w:szCs w:val="20"/>
        </w:rPr>
        <w:t>her interim proceedings or developments. If securities analysts or investors perceive these results to be negative, it could have an adverse effect on the price of our common stock</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Changes in U.S. patent law or the patent law of other countries or jurisdictions could diminish the value of patents in general, thereby impairing our ability to protect our current and any future drug candidates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The United States has recently enacted and</w:t>
      </w:r>
      <w:r>
        <w:rPr>
          <w:sz w:val="20"/>
          <w:szCs w:val="20"/>
        </w:rPr>
        <w:t xml:space="preserve"> implemented wide-ranging patent reform legislation. The U.S. Supreme Court has ruled on several patent cases in recent years, either narrowing the scope of patent protection available in certain circumstances or weakening the rights of patent owners in ce</w:t>
      </w:r>
      <w:r>
        <w:rPr>
          <w:sz w:val="20"/>
          <w:szCs w:val="20"/>
        </w:rPr>
        <w:t>rtain situations. In addition to increasing uncertainty with regard to our ability to obtain patents in the future, this combination of events has created uncertainty with respect to the value of patents, once obtained. Depending on actions by the U.S. Con</w:t>
      </w:r>
      <w:r>
        <w:rPr>
          <w:sz w:val="20"/>
          <w:szCs w:val="20"/>
        </w:rPr>
        <w:t>gress, the federal courts, and the USPTO, the laws and regulations governing patents could change in unpredictable ways that would weaken our ability to obtain new patents or to enforce patents that we have licensed or that we might obtain in the future. S</w:t>
      </w:r>
      <w:r>
        <w:rPr>
          <w:sz w:val="20"/>
          <w:szCs w:val="20"/>
        </w:rPr>
        <w:t xml:space="preserve">imilarly, changes in patent law and regulations in other countries or jurisdictions or changes in the governmental bodies that enforce them or changes in how the relevant governmental authority enforces patent laws or regulations may weaken our ability to </w:t>
      </w:r>
      <w:r>
        <w:rPr>
          <w:sz w:val="20"/>
          <w:szCs w:val="20"/>
        </w:rPr>
        <w:t>obtain new patents or to enforce patents that we have licensed or that we may obtain in the future</w:t>
      </w:r>
      <w:r>
        <w:rPr>
          <w:sz w:val="20"/>
          <w:szCs w:val="20"/>
        </w:rPr>
        <w:t>.</w:t>
      </w:r>
      <w:r>
        <w:rPr>
          <w:sz w:val="20"/>
          <w:szCs w:val="20"/>
        </w:rPr>
        <w:t xml:space="preserve"> </w:t>
      </w:r>
    </w:p>
    <w:p w:rsidR="00000000" w:rsidRDefault="00F83A7A">
      <w:pPr>
        <w:pStyle w:val="a3"/>
        <w:spacing w:before="200" w:beforeAutospacing="0" w:after="0" w:afterAutospacing="0"/>
        <w:jc w:val="both"/>
        <w:rPr>
          <w:sz w:val="20"/>
          <w:szCs w:val="20"/>
        </w:rPr>
      </w:pPr>
      <w:r>
        <w:rPr>
          <w:b/>
          <w:bCs/>
          <w:i/>
          <w:iCs/>
          <w:sz w:val="20"/>
          <w:szCs w:val="20"/>
        </w:rPr>
        <w:t>We may not be able to protect our intellectual property rights throughout the world, which could negatively impact our business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Filing, prosecuting and de</w:t>
      </w:r>
      <w:r>
        <w:rPr>
          <w:sz w:val="20"/>
          <w:szCs w:val="20"/>
        </w:rPr>
        <w:t>fending patents covering our current and any future drug candidates throughout the world would be prohibitively expensive. Competitors may use our technologies in jurisdictions where we have not obtained patent protection to develop their own drugs and, fu</w:t>
      </w:r>
      <w:r>
        <w:rPr>
          <w:sz w:val="20"/>
          <w:szCs w:val="20"/>
        </w:rPr>
        <w:t xml:space="preserve">rther, may export otherwise infringing drugs to territories where we may obtain patent protection, but where patent enforcement is not as strong as that in the United States. These drugs may compete with our drugs in jurisdictions where we do not have any </w:t>
      </w:r>
      <w:r>
        <w:rPr>
          <w:sz w:val="20"/>
          <w:szCs w:val="20"/>
        </w:rPr>
        <w:t>issued or licensed patents and any future patent claims or other intellectual property rights may not be effective or sufficient to prevent them from so competing</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Reliance on third parties requires us to share our trade secrets, which increases the possib</w:t>
      </w:r>
      <w:r>
        <w:rPr>
          <w:b/>
          <w:bCs/>
          <w:i/>
          <w:iCs/>
          <w:sz w:val="20"/>
          <w:szCs w:val="20"/>
        </w:rPr>
        <w:t>ility that a competitor will discover them or that our trade secrets will be misappropriated or disclosed</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If we rely on third parties to manufacture or commercialize our current or any future drug candidates, or if we collaborate with additional third par</w:t>
      </w:r>
      <w:r>
        <w:rPr>
          <w:sz w:val="20"/>
          <w:szCs w:val="20"/>
        </w:rPr>
        <w:t>ties for the development of our current or any future drug candidates, we must, at times, share trade secrets with them. We may also conduct joint research and development programs that may require us to share trade secrets under the terms of ou</w:t>
      </w:r>
      <w:r>
        <w:rPr>
          <w:sz w:val="20"/>
          <w:szCs w:val="20"/>
        </w:rPr>
        <w:t>r</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4</w:t>
      </w:r>
      <w:r>
        <w:rPr>
          <w:sz w:val="20"/>
          <w:szCs w:val="20"/>
        </w:rPr>
        <w:t>0</w:t>
      </w:r>
    </w:p>
    <w:p w:rsidR="00000000" w:rsidRDefault="00F83A7A">
      <w:pPr>
        <w:rPr>
          <w:rFonts w:eastAsia="Times New Roman"/>
        </w:rPr>
      </w:pPr>
      <w:r>
        <w:rPr>
          <w:rFonts w:eastAsia="Times New Roman"/>
        </w:rPr>
        <w:pict>
          <v:rect id="_x0000_i1067"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jc w:val="both"/>
        <w:rPr>
          <w:sz w:val="20"/>
          <w:szCs w:val="20"/>
        </w:rPr>
      </w:pPr>
      <w:r>
        <w:rPr>
          <w:sz w:val="20"/>
          <w:szCs w:val="20"/>
        </w:rPr>
        <w:t>research and development partnerships or similar agreements. We seek to protect our proprietary technology in part by entering into confidentiality agreements and, if applicable, material transfer agreements, consulting ag</w:t>
      </w:r>
      <w:r>
        <w:rPr>
          <w:sz w:val="20"/>
          <w:szCs w:val="20"/>
        </w:rPr>
        <w:t>reements or other similar agreements with our advisors, employees, third-party contractors and consultants prior to beginning research or disclosing proprietary information. These agreements typically limit the rights of the third parties to use or disclos</w:t>
      </w:r>
      <w:r>
        <w:rPr>
          <w:sz w:val="20"/>
          <w:szCs w:val="20"/>
        </w:rPr>
        <w:t>e our confidential information, including our trade secrets. Despite the contractual provisions employed when working with third parties, the need to share trade secrets and other confidential information increases the risk that such trade secrets become k</w:t>
      </w:r>
      <w:r>
        <w:rPr>
          <w:sz w:val="20"/>
          <w:szCs w:val="20"/>
        </w:rPr>
        <w:t>nown by our competitors, are inadvertently incorporated into the technology of others, or are disclosed or used in violation of these agreements. Given that our proprietary position is based, in part, on our know-how and trade secrets, a competitor’s disco</w:t>
      </w:r>
      <w:r>
        <w:rPr>
          <w:sz w:val="20"/>
          <w:szCs w:val="20"/>
        </w:rPr>
        <w:t>very of our trade secrets or other unauthorized use or disclosure could have an adverse effect on our business and results of operations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In addition, these agreements typically restrict the ability of our advisors, employees, third-party contractors and c</w:t>
      </w:r>
      <w:r>
        <w:rPr>
          <w:sz w:val="20"/>
          <w:szCs w:val="20"/>
        </w:rPr>
        <w:t>onsultants to publish data potentially relating to our trade secrets. Despite our efforts to protect our trade secrets, our competitors may discover our trade secrets, either through breach of our agreements with third parties, independent development or p</w:t>
      </w:r>
      <w:r>
        <w:rPr>
          <w:sz w:val="20"/>
          <w:szCs w:val="20"/>
        </w:rPr>
        <w:t>ublication of information by any third-party collaborators. A competitor’s discovery of our trade secrets would harm our business</w:t>
      </w:r>
      <w:r>
        <w:rPr>
          <w:sz w:val="20"/>
          <w:szCs w:val="20"/>
        </w:rPr>
        <w:t>.</w:t>
      </w:r>
    </w:p>
    <w:p w:rsidR="00000000" w:rsidRDefault="00F83A7A">
      <w:pPr>
        <w:pStyle w:val="a3"/>
        <w:spacing w:before="120" w:beforeAutospacing="0" w:after="120" w:afterAutospacing="0"/>
        <w:jc w:val="both"/>
        <w:rPr>
          <w:sz w:val="20"/>
          <w:szCs w:val="20"/>
        </w:rPr>
      </w:pPr>
      <w:r>
        <w:rPr>
          <w:b/>
          <w:bCs/>
          <w:sz w:val="20"/>
          <w:szCs w:val="20"/>
        </w:rPr>
        <w:t>Risks Related to Our Dependence on Third Partie</w:t>
      </w:r>
      <w:r>
        <w:rPr>
          <w:b/>
          <w:bCs/>
          <w:sz w:val="20"/>
          <w:szCs w:val="20"/>
        </w:rPr>
        <w:t>s</w:t>
      </w:r>
    </w:p>
    <w:p w:rsidR="00000000" w:rsidRDefault="00F83A7A">
      <w:pPr>
        <w:pStyle w:val="a3"/>
        <w:spacing w:before="200" w:beforeAutospacing="0" w:after="0" w:afterAutospacing="0"/>
        <w:jc w:val="both"/>
        <w:rPr>
          <w:sz w:val="20"/>
          <w:szCs w:val="20"/>
        </w:rPr>
      </w:pPr>
      <w:r>
        <w:rPr>
          <w:b/>
          <w:bCs/>
          <w:i/>
          <w:iCs/>
          <w:sz w:val="20"/>
          <w:szCs w:val="20"/>
        </w:rPr>
        <w:t>We do not have our own manufacturing capabilities and will rely on third par</w:t>
      </w:r>
      <w:r>
        <w:rPr>
          <w:b/>
          <w:bCs/>
          <w:i/>
          <w:iCs/>
          <w:sz w:val="20"/>
          <w:szCs w:val="20"/>
        </w:rPr>
        <w:t>ties to produce clinical and commercial supplies of our current and any future drug candidates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We do not own or operate, and we do not expect to own or operate, facilities for drug manufacturing, drug formulation, storage and distribution, or testing. We </w:t>
      </w:r>
      <w:r>
        <w:rPr>
          <w:sz w:val="20"/>
          <w:szCs w:val="20"/>
        </w:rPr>
        <w:t>have been in the past, and will continue to be, dependent on third parties to manufacture the clinical supplies of our drug candidates</w:t>
      </w:r>
      <w:r>
        <w:rPr>
          <w:sz w:val="20"/>
          <w:szCs w:val="20"/>
        </w:rPr>
        <w:t>.</w:t>
      </w:r>
      <w:r>
        <w:rPr>
          <w:sz w:val="20"/>
          <w:szCs w:val="20"/>
        </w:rPr>
        <w:t xml:space="preserve"> </w:t>
      </w:r>
    </w:p>
    <w:p w:rsidR="00000000" w:rsidRDefault="00F83A7A">
      <w:pPr>
        <w:pStyle w:val="a3"/>
        <w:spacing w:before="240" w:beforeAutospacing="0" w:after="0" w:afterAutospacing="0"/>
        <w:ind w:firstLine="620"/>
        <w:jc w:val="both"/>
        <w:rPr>
          <w:sz w:val="20"/>
          <w:szCs w:val="20"/>
        </w:rPr>
      </w:pPr>
      <w:r>
        <w:rPr>
          <w:sz w:val="20"/>
          <w:szCs w:val="20"/>
        </w:rPr>
        <w:t xml:space="preserve">Further, we also will rely on third-party manufacturers to supply us with sufficient quantities of our drug candidates </w:t>
      </w:r>
      <w:r>
        <w:rPr>
          <w:sz w:val="20"/>
          <w:szCs w:val="20"/>
        </w:rPr>
        <w:t>to be used, if approved, for commercialization. Any significant delay in the supply of a drug candidate, or the raw material components thereof, for an ongoing clinical trial due to the need to replace a third-party manufacturer could considerably delay co</w:t>
      </w:r>
      <w:r>
        <w:rPr>
          <w:sz w:val="20"/>
          <w:szCs w:val="20"/>
        </w:rPr>
        <w:t>mpletion of our clinical trials, product testing and potential regulatory approval of our drug candidates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Further, our reliance on third-party manufacturers entails risks to which we would not be subject if we manufactured drug candidates ourselves includ</w:t>
      </w:r>
      <w:r>
        <w:rPr>
          <w:sz w:val="20"/>
          <w:szCs w:val="20"/>
        </w:rPr>
        <w:t>ing</w:t>
      </w:r>
      <w:r>
        <w:rPr>
          <w:sz w:val="20"/>
          <w:szCs w:val="20"/>
        </w:rPr>
        <w:t>:</w:t>
      </w:r>
    </w:p>
    <w:p w:rsidR="00000000" w:rsidRDefault="00F83A7A">
      <w:pPr>
        <w:jc w:val="both"/>
        <w:divId w:val="1936205972"/>
        <w:rPr>
          <w:rFonts w:eastAsia="Times New Roman"/>
        </w:rPr>
      </w:pPr>
      <w:r>
        <w:rPr>
          <w:rFonts w:eastAsia="Times New Roman"/>
          <w:sz w:val="20"/>
          <w:szCs w:val="20"/>
        </w:rPr>
        <w:t>•</w:t>
      </w:r>
    </w:p>
    <w:p w:rsidR="00000000" w:rsidRDefault="00F83A7A">
      <w:pPr>
        <w:jc w:val="both"/>
        <w:divId w:val="539127909"/>
        <w:rPr>
          <w:rFonts w:eastAsia="Times New Roman"/>
        </w:rPr>
      </w:pPr>
      <w:r>
        <w:rPr>
          <w:rFonts w:eastAsia="Times New Roman"/>
          <w:sz w:val="20"/>
          <w:szCs w:val="20"/>
        </w:rPr>
        <w:t>inability to meet our drug specifications and quality requirements consistently</w:t>
      </w:r>
      <w:r>
        <w:rPr>
          <w:rFonts w:eastAsia="Times New Roman"/>
          <w:sz w:val="20"/>
          <w:szCs w:val="20"/>
        </w:rPr>
        <w:t>;</w:t>
      </w:r>
    </w:p>
    <w:p w:rsidR="00000000" w:rsidRDefault="00F83A7A">
      <w:pPr>
        <w:jc w:val="both"/>
        <w:divId w:val="1939367739"/>
        <w:rPr>
          <w:rFonts w:eastAsia="Times New Roman"/>
        </w:rPr>
      </w:pPr>
      <w:r>
        <w:rPr>
          <w:rFonts w:eastAsia="Times New Roman"/>
          <w:sz w:val="20"/>
          <w:szCs w:val="20"/>
        </w:rPr>
        <w:t>•</w:t>
      </w:r>
    </w:p>
    <w:p w:rsidR="00000000" w:rsidRDefault="00F83A7A">
      <w:pPr>
        <w:jc w:val="both"/>
        <w:divId w:val="1099444397"/>
        <w:rPr>
          <w:rFonts w:eastAsia="Times New Roman"/>
        </w:rPr>
      </w:pPr>
      <w:r>
        <w:rPr>
          <w:rFonts w:eastAsia="Times New Roman"/>
          <w:sz w:val="20"/>
          <w:szCs w:val="20"/>
        </w:rPr>
        <w:t>delay or inability to procure or expand sufficient manufacturing capacity</w:t>
      </w:r>
      <w:r>
        <w:rPr>
          <w:rFonts w:eastAsia="Times New Roman"/>
          <w:sz w:val="20"/>
          <w:szCs w:val="20"/>
        </w:rPr>
        <w:t>;</w:t>
      </w:r>
    </w:p>
    <w:p w:rsidR="00000000" w:rsidRDefault="00F83A7A">
      <w:pPr>
        <w:jc w:val="both"/>
        <w:divId w:val="108161466"/>
        <w:rPr>
          <w:rFonts w:eastAsia="Times New Roman"/>
        </w:rPr>
      </w:pPr>
      <w:r>
        <w:rPr>
          <w:rFonts w:eastAsia="Times New Roman"/>
          <w:sz w:val="20"/>
          <w:szCs w:val="20"/>
        </w:rPr>
        <w:t>•</w:t>
      </w:r>
    </w:p>
    <w:p w:rsidR="00000000" w:rsidRDefault="00F83A7A">
      <w:pPr>
        <w:jc w:val="both"/>
        <w:divId w:val="1646859522"/>
        <w:rPr>
          <w:rFonts w:eastAsia="Times New Roman"/>
        </w:rPr>
      </w:pPr>
      <w:r>
        <w:rPr>
          <w:rFonts w:eastAsia="Times New Roman"/>
          <w:sz w:val="20"/>
          <w:szCs w:val="20"/>
        </w:rPr>
        <w:t>issues related to scale-up of manufacturing</w:t>
      </w:r>
      <w:r>
        <w:rPr>
          <w:rFonts w:eastAsia="Times New Roman"/>
          <w:sz w:val="20"/>
          <w:szCs w:val="20"/>
        </w:rPr>
        <w:t>;</w:t>
      </w:r>
    </w:p>
    <w:p w:rsidR="00000000" w:rsidRDefault="00F83A7A">
      <w:pPr>
        <w:jc w:val="both"/>
        <w:divId w:val="450829626"/>
        <w:rPr>
          <w:rFonts w:eastAsia="Times New Roman"/>
        </w:rPr>
      </w:pPr>
      <w:r>
        <w:rPr>
          <w:rFonts w:eastAsia="Times New Roman"/>
          <w:sz w:val="20"/>
          <w:szCs w:val="20"/>
        </w:rPr>
        <w:t>•</w:t>
      </w:r>
    </w:p>
    <w:p w:rsidR="00000000" w:rsidRDefault="00F83A7A">
      <w:pPr>
        <w:jc w:val="both"/>
        <w:divId w:val="707754517"/>
        <w:rPr>
          <w:rFonts w:eastAsia="Times New Roman"/>
        </w:rPr>
      </w:pPr>
      <w:r>
        <w:rPr>
          <w:rFonts w:eastAsia="Times New Roman"/>
          <w:sz w:val="20"/>
          <w:szCs w:val="20"/>
        </w:rPr>
        <w:t>costs and validation of new equipment and facilities required for scale-up</w:t>
      </w:r>
      <w:r>
        <w:rPr>
          <w:rFonts w:eastAsia="Times New Roman"/>
          <w:sz w:val="20"/>
          <w:szCs w:val="20"/>
        </w:rPr>
        <w:t>;</w:t>
      </w:r>
    </w:p>
    <w:p w:rsidR="00000000" w:rsidRDefault="00F83A7A">
      <w:pPr>
        <w:jc w:val="both"/>
        <w:divId w:val="1253733300"/>
        <w:rPr>
          <w:rFonts w:eastAsia="Times New Roman"/>
        </w:rPr>
      </w:pPr>
      <w:r>
        <w:rPr>
          <w:rFonts w:eastAsia="Times New Roman"/>
          <w:sz w:val="20"/>
          <w:szCs w:val="20"/>
        </w:rPr>
        <w:t>•</w:t>
      </w:r>
    </w:p>
    <w:p w:rsidR="00000000" w:rsidRDefault="00F83A7A">
      <w:pPr>
        <w:jc w:val="both"/>
        <w:divId w:val="1285841562"/>
        <w:rPr>
          <w:rFonts w:eastAsia="Times New Roman"/>
        </w:rPr>
      </w:pPr>
      <w:r>
        <w:rPr>
          <w:rFonts w:eastAsia="Times New Roman"/>
          <w:sz w:val="20"/>
          <w:szCs w:val="20"/>
        </w:rPr>
        <w:t>failure to comply with cGMP and similar foreign standards</w:t>
      </w:r>
      <w:r>
        <w:rPr>
          <w:rFonts w:eastAsia="Times New Roman"/>
          <w:sz w:val="20"/>
          <w:szCs w:val="20"/>
        </w:rPr>
        <w:t>;</w:t>
      </w:r>
    </w:p>
    <w:p w:rsidR="00000000" w:rsidRDefault="00F83A7A">
      <w:pPr>
        <w:jc w:val="both"/>
        <w:divId w:val="120156900"/>
        <w:rPr>
          <w:rFonts w:eastAsia="Times New Roman"/>
        </w:rPr>
      </w:pPr>
      <w:r>
        <w:rPr>
          <w:rFonts w:eastAsia="Times New Roman"/>
          <w:sz w:val="20"/>
          <w:szCs w:val="20"/>
        </w:rPr>
        <w:t>•</w:t>
      </w:r>
    </w:p>
    <w:p w:rsidR="00000000" w:rsidRDefault="00F83A7A">
      <w:pPr>
        <w:jc w:val="both"/>
        <w:divId w:val="1587835852"/>
        <w:rPr>
          <w:rFonts w:eastAsia="Times New Roman"/>
        </w:rPr>
      </w:pPr>
      <w:r>
        <w:rPr>
          <w:rFonts w:eastAsia="Times New Roman"/>
          <w:sz w:val="20"/>
          <w:szCs w:val="20"/>
        </w:rPr>
        <w:t>inability to negotiate manufacturing agreements with third parties under commercially reasonable terms, if at all</w:t>
      </w:r>
      <w:r>
        <w:rPr>
          <w:rFonts w:eastAsia="Times New Roman"/>
          <w:sz w:val="20"/>
          <w:szCs w:val="20"/>
        </w:rPr>
        <w:t>;</w:t>
      </w:r>
    </w:p>
    <w:p w:rsidR="00000000" w:rsidRDefault="00F83A7A">
      <w:pPr>
        <w:jc w:val="both"/>
        <w:divId w:val="1827432955"/>
        <w:rPr>
          <w:rFonts w:eastAsia="Times New Roman"/>
        </w:rPr>
      </w:pPr>
      <w:r>
        <w:rPr>
          <w:rFonts w:eastAsia="Times New Roman"/>
          <w:sz w:val="20"/>
          <w:szCs w:val="20"/>
        </w:rPr>
        <w:t>•</w:t>
      </w:r>
    </w:p>
    <w:p w:rsidR="00000000" w:rsidRDefault="00F83A7A">
      <w:pPr>
        <w:jc w:val="both"/>
        <w:divId w:val="932008868"/>
        <w:rPr>
          <w:rFonts w:eastAsia="Times New Roman"/>
        </w:rPr>
      </w:pPr>
      <w:r>
        <w:rPr>
          <w:rFonts w:eastAsia="Times New Roman"/>
          <w:sz w:val="20"/>
          <w:szCs w:val="20"/>
        </w:rPr>
        <w:t>termination or nonrenewal of manufacturing agreements with third parties in a manner or at a time that is costly or damaging to us</w:t>
      </w:r>
      <w:r>
        <w:rPr>
          <w:rFonts w:eastAsia="Times New Roman"/>
          <w:sz w:val="20"/>
          <w:szCs w:val="20"/>
        </w:rPr>
        <w:t>;</w:t>
      </w:r>
    </w:p>
    <w:p w:rsidR="00000000" w:rsidRDefault="00F83A7A">
      <w:pPr>
        <w:jc w:val="both"/>
        <w:divId w:val="836531954"/>
        <w:rPr>
          <w:rFonts w:eastAsia="Times New Roman"/>
        </w:rPr>
      </w:pPr>
      <w:r>
        <w:rPr>
          <w:rFonts w:eastAsia="Times New Roman"/>
          <w:sz w:val="20"/>
          <w:szCs w:val="20"/>
        </w:rPr>
        <w:t>•</w:t>
      </w:r>
    </w:p>
    <w:p w:rsidR="00000000" w:rsidRDefault="00F83A7A">
      <w:pPr>
        <w:jc w:val="both"/>
        <w:divId w:val="2036807855"/>
        <w:rPr>
          <w:rFonts w:eastAsia="Times New Roman"/>
        </w:rPr>
      </w:pPr>
      <w:r>
        <w:rPr>
          <w:rFonts w:eastAsia="Times New Roman"/>
          <w:sz w:val="20"/>
          <w:szCs w:val="20"/>
        </w:rPr>
        <w:t>reliance on single sources for drug components</w:t>
      </w:r>
      <w:r>
        <w:rPr>
          <w:rFonts w:eastAsia="Times New Roman"/>
          <w:sz w:val="20"/>
          <w:szCs w:val="20"/>
        </w:rPr>
        <w:t>;</w:t>
      </w:r>
    </w:p>
    <w:p w:rsidR="00000000" w:rsidRDefault="00F83A7A">
      <w:pPr>
        <w:jc w:val="both"/>
        <w:divId w:val="329020882"/>
        <w:rPr>
          <w:rFonts w:eastAsia="Times New Roman"/>
        </w:rPr>
      </w:pPr>
      <w:r>
        <w:rPr>
          <w:rFonts w:eastAsia="Times New Roman"/>
          <w:sz w:val="20"/>
          <w:szCs w:val="20"/>
        </w:rPr>
        <w:t>•</w:t>
      </w:r>
    </w:p>
    <w:p w:rsidR="00000000" w:rsidRDefault="00F83A7A">
      <w:pPr>
        <w:jc w:val="both"/>
        <w:divId w:val="1502548650"/>
        <w:rPr>
          <w:rFonts w:eastAsia="Times New Roman"/>
        </w:rPr>
      </w:pPr>
      <w:r>
        <w:rPr>
          <w:rFonts w:eastAsia="Times New Roman"/>
          <w:sz w:val="20"/>
          <w:szCs w:val="20"/>
        </w:rPr>
        <w:t>lack of qualified backup suppliers for those components that are currently purchased from a sole or single source supplier</w:t>
      </w:r>
      <w:r>
        <w:rPr>
          <w:rFonts w:eastAsia="Times New Roman"/>
          <w:sz w:val="20"/>
          <w:szCs w:val="20"/>
        </w:rPr>
        <w:t>;</w:t>
      </w:r>
    </w:p>
    <w:p w:rsidR="00000000" w:rsidRDefault="00F83A7A">
      <w:pPr>
        <w:jc w:val="both"/>
        <w:divId w:val="986936625"/>
        <w:rPr>
          <w:rFonts w:eastAsia="Times New Roman"/>
        </w:rPr>
      </w:pPr>
      <w:r>
        <w:rPr>
          <w:rFonts w:eastAsia="Times New Roman"/>
          <w:sz w:val="20"/>
          <w:szCs w:val="20"/>
        </w:rPr>
        <w:t>•</w:t>
      </w:r>
    </w:p>
    <w:p w:rsidR="00000000" w:rsidRDefault="00F83A7A">
      <w:pPr>
        <w:jc w:val="both"/>
        <w:divId w:val="378021258"/>
        <w:rPr>
          <w:rFonts w:eastAsia="Times New Roman"/>
        </w:rPr>
      </w:pPr>
      <w:r>
        <w:rPr>
          <w:rFonts w:eastAsia="Times New Roman"/>
          <w:sz w:val="20"/>
          <w:szCs w:val="20"/>
        </w:rPr>
        <w:t>operations of our third-party manufacturers or suppliers could be disrupted by conditions unrelated to our business or operations,</w:t>
      </w:r>
      <w:r>
        <w:rPr>
          <w:rFonts w:eastAsia="Times New Roman"/>
          <w:sz w:val="20"/>
          <w:szCs w:val="20"/>
        </w:rPr>
        <w:t xml:space="preserve"> including the bankruptcy of the manufacturer or supplier; an</w:t>
      </w:r>
      <w:r>
        <w:rPr>
          <w:rFonts w:eastAsia="Times New Roman"/>
          <w:sz w:val="20"/>
          <w:szCs w:val="20"/>
        </w:rPr>
        <w:t>d</w:t>
      </w:r>
    </w:p>
    <w:p w:rsidR="00000000" w:rsidRDefault="00F83A7A">
      <w:pPr>
        <w:jc w:val="both"/>
        <w:divId w:val="1596547814"/>
        <w:rPr>
          <w:rFonts w:eastAsia="Times New Roman"/>
        </w:rPr>
      </w:pPr>
      <w:r>
        <w:rPr>
          <w:rFonts w:eastAsia="Times New Roman"/>
          <w:sz w:val="20"/>
          <w:szCs w:val="20"/>
        </w:rPr>
        <w:t>•</w:t>
      </w:r>
    </w:p>
    <w:p w:rsidR="00000000" w:rsidRDefault="00F83A7A">
      <w:pPr>
        <w:jc w:val="both"/>
        <w:divId w:val="316153167"/>
        <w:rPr>
          <w:rFonts w:eastAsia="Times New Roman"/>
        </w:rPr>
      </w:pPr>
      <w:r>
        <w:rPr>
          <w:rFonts w:eastAsia="Times New Roman"/>
          <w:sz w:val="20"/>
          <w:szCs w:val="20"/>
        </w:rPr>
        <w:t>carrier disruptions or increased costs that are beyond our control</w:t>
      </w:r>
      <w:r>
        <w:rPr>
          <w:rFonts w:eastAsia="Times New Roman"/>
          <w:sz w:val="20"/>
          <w:szCs w:val="20"/>
        </w:rPr>
        <w:t>.</w:t>
      </w:r>
    </w:p>
    <w:p w:rsidR="00000000" w:rsidRDefault="00F83A7A">
      <w:pPr>
        <w:pStyle w:val="a3"/>
        <w:spacing w:before="240" w:beforeAutospacing="0" w:after="0" w:afterAutospacing="0"/>
        <w:ind w:firstLine="620"/>
        <w:jc w:val="both"/>
        <w:rPr>
          <w:sz w:val="20"/>
          <w:szCs w:val="20"/>
        </w:rPr>
      </w:pPr>
      <w:r>
        <w:rPr>
          <w:sz w:val="20"/>
          <w:szCs w:val="20"/>
        </w:rPr>
        <w:t>Any of these events could lead to clinical trial delays, failure to obtain regulatory approval or impact our ability to suc</w:t>
      </w:r>
      <w:r>
        <w:rPr>
          <w:sz w:val="20"/>
          <w:szCs w:val="20"/>
        </w:rPr>
        <w:t>cessfully commercialize our current or any future drug candidates once approved. Some of these events could be the basis for FDA action, including injunction, request for recall, seizure, or total or partial suspension of production</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We intend to rely on t</w:t>
      </w:r>
      <w:r>
        <w:rPr>
          <w:b/>
          <w:bCs/>
          <w:i/>
          <w:iCs/>
          <w:sz w:val="20"/>
          <w:szCs w:val="20"/>
        </w:rPr>
        <w:t>hird parties to conduct, supervise and monitor our preclinical studies and clinical trials, and if those third parties perform in an unsatisfactory manner, it may harm our business</w:t>
      </w:r>
      <w:r>
        <w:rPr>
          <w:b/>
          <w:bCs/>
          <w:i/>
          <w:iCs/>
          <w:sz w:val="20"/>
          <w:szCs w:val="20"/>
        </w:rPr>
        <w:t>.</w:t>
      </w:r>
    </w:p>
    <w:p w:rsidR="00000000" w:rsidRDefault="00F83A7A">
      <w:pPr>
        <w:pStyle w:val="a3"/>
        <w:spacing w:before="240" w:beforeAutospacing="0" w:after="0" w:afterAutospacing="0"/>
        <w:jc w:val="center"/>
        <w:rPr>
          <w:sz w:val="20"/>
          <w:szCs w:val="20"/>
        </w:rPr>
      </w:pPr>
      <w:r>
        <w:rPr>
          <w:sz w:val="20"/>
          <w:szCs w:val="20"/>
        </w:rPr>
        <w:t>4</w:t>
      </w:r>
      <w:r>
        <w:rPr>
          <w:sz w:val="20"/>
          <w:szCs w:val="20"/>
        </w:rPr>
        <w:t>1</w:t>
      </w:r>
    </w:p>
    <w:p w:rsidR="00000000" w:rsidRDefault="00F83A7A">
      <w:pPr>
        <w:rPr>
          <w:rFonts w:eastAsia="Times New Roman"/>
        </w:rPr>
      </w:pPr>
      <w:r>
        <w:rPr>
          <w:rFonts w:eastAsia="Times New Roman"/>
        </w:rPr>
        <w:pict>
          <v:rect id="_x0000_i1068"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ind w:firstLine="620"/>
        <w:jc w:val="both"/>
        <w:rPr>
          <w:sz w:val="20"/>
          <w:szCs w:val="20"/>
        </w:rPr>
      </w:pPr>
      <w:r>
        <w:rPr>
          <w:sz w:val="20"/>
          <w:szCs w:val="20"/>
        </w:rPr>
        <w:t>We do not currently have the ability to independently conduct any preclinical studies or clinical trials. We intend to rely on CROs and clinical trial sites to ensure the proper and timely conduct of our preclinical studies and clinical trials, and we expe</w:t>
      </w:r>
      <w:r>
        <w:rPr>
          <w:sz w:val="20"/>
          <w:szCs w:val="20"/>
        </w:rPr>
        <w:t>ct to have limited influence over their actual performance. We intend to rely upon CROs to monitor and manage data for our clinical programs, as well as the execution of future preclinical studies. We expect to control only certain aspects of our CROs’ act</w:t>
      </w:r>
      <w:r>
        <w:rPr>
          <w:sz w:val="20"/>
          <w:szCs w:val="20"/>
        </w:rPr>
        <w:t>ivities. Nevertheless, we will be responsible for ensuring that each of our preclinical studies or clinical trials are conducted in accordance with the applicable protocol, legal, regulatory and scientific standards and our reliance on the CROs does not re</w:t>
      </w:r>
      <w:r>
        <w:rPr>
          <w:sz w:val="20"/>
          <w:szCs w:val="20"/>
        </w:rPr>
        <w:t>lieve us of our regulatory responsibilities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We and our CROs will be required to comply with good laboratory practices (“GLPs”) and GCPs, which are regulations and guidelines enforced by the FDA and are also required by the Competent Authorities of the Mem</w:t>
      </w:r>
      <w:r>
        <w:rPr>
          <w:sz w:val="20"/>
          <w:szCs w:val="20"/>
        </w:rPr>
        <w:t>ber States of the European Economic Area and comparable foreign regulatory authorities in the form of International Council for Harmonization guidelines for any of our drug candidates that are in preclinical and clinical development. The regulatory authori</w:t>
      </w:r>
      <w:r>
        <w:rPr>
          <w:sz w:val="20"/>
          <w:szCs w:val="20"/>
        </w:rPr>
        <w:t xml:space="preserve">ties enforce GCPs through periodic inspections of trial sponsors, principal investigators and clinical trial sites. Although we will rely on CROs to conduct GCP-compliant clinical trials, we remain responsible for ensuring that each of our GLP preclinical </w:t>
      </w:r>
      <w:r>
        <w:rPr>
          <w:sz w:val="20"/>
          <w:szCs w:val="20"/>
        </w:rPr>
        <w:t>studies and clinical trials is conducted in accordance with its investigational plan and protocol and applicable laws and regulations, and our reliance on the CROs does not relieve us of our regulatory responsibilities. If we or our CROs fail to comply wit</w:t>
      </w:r>
      <w:r>
        <w:rPr>
          <w:sz w:val="20"/>
          <w:szCs w:val="20"/>
        </w:rPr>
        <w:t>h GCPs, the clinical data generated in our clinical trials may be deemed unreliable and the FDA or comparable foreign regulatory authorities may require us to perform additional clinical trials before approving our marketing applications. Accordingly, if o</w:t>
      </w:r>
      <w:r>
        <w:rPr>
          <w:sz w:val="20"/>
          <w:szCs w:val="20"/>
        </w:rPr>
        <w:t>ur CROs fail to comply with these regulations or fail to recruit a sufficient number of subjects, we may be required to repeat clinical trials, which would delay the regulatory approval process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While we will have agreements governing their activities, our</w:t>
      </w:r>
      <w:r>
        <w:rPr>
          <w:sz w:val="20"/>
          <w:szCs w:val="20"/>
        </w:rPr>
        <w:t xml:space="preserve"> CROs will not be our employees, and we will not control whether or not they devote sufficient time and resources to our future clinical and preclinical programs. These CROs may also have relationships with other commercial entities, including our competit</w:t>
      </w:r>
      <w:r>
        <w:rPr>
          <w:sz w:val="20"/>
          <w:szCs w:val="20"/>
        </w:rPr>
        <w:t xml:space="preserve">ors, for whom they may also be conducting clinical trials, or other drug development activities which could harm our business. We face the risk of potential unauthorized disclosure or misappropriation of our intellectual property by CROs, which may reduce </w:t>
      </w:r>
      <w:r>
        <w:rPr>
          <w:sz w:val="20"/>
          <w:szCs w:val="20"/>
        </w:rPr>
        <w:t>our trade secret protection and allow our potential competitors to access and exploit our proprietary technology. If our CROs do not successfully carry out their contractual duties or obligations, fail to meet expected deadlines, or if the quality or accur</w:t>
      </w:r>
      <w:r>
        <w:rPr>
          <w:sz w:val="20"/>
          <w:szCs w:val="20"/>
        </w:rPr>
        <w:t>acy of the clinical data they obtain is compromised due to the failure to adhere to our clinical protocols or regulatory requirements or for any other reasons, our clinical trials may be extended, delayed or terminated, and we may not be able to obtain reg</w:t>
      </w:r>
      <w:r>
        <w:rPr>
          <w:sz w:val="20"/>
          <w:szCs w:val="20"/>
        </w:rPr>
        <w:t>ulatory approval for, or successfully commercialize any drug candidate that we develop. As a result, our financial results and the commercial prospects for any drug candidate that we develop would be harmed, our costs could increase, and our ability to gen</w:t>
      </w:r>
      <w:r>
        <w:rPr>
          <w:sz w:val="20"/>
          <w:szCs w:val="20"/>
        </w:rPr>
        <w:t>erate revenue could be delayed</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In addition, principal investigators for our clinical trials may serve as scientific advisors or consultants to us from time to time and receive compensation in connection with such services. Under certain circumstances, we </w:t>
      </w:r>
      <w:r>
        <w:rPr>
          <w:sz w:val="20"/>
          <w:szCs w:val="20"/>
        </w:rPr>
        <w:t>may be required to report some of these relationships to the FDA. The FDA may conclude that a financial relationship between us and a principal investigator has created a conflict of interest or otherwise affected interpretation of the trial. The FDA may t</w:t>
      </w:r>
      <w:r>
        <w:rPr>
          <w:sz w:val="20"/>
          <w:szCs w:val="20"/>
        </w:rPr>
        <w:t>herefore question the integrity of the data generated at the applicable clinical trial site and the utility of the clinical trial itself may be jeopardized. This could result in a delay in approval, or rejection, of our marketing applications by the FDA an</w:t>
      </w:r>
      <w:r>
        <w:rPr>
          <w:sz w:val="20"/>
          <w:szCs w:val="20"/>
        </w:rPr>
        <w:t>d may ultimately lead to the denial of marketing approval of our current and future drug candidates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If our relationship with these CROs terminates, we may not be able to enter into arrangements with alternative CROs or do so on commercially reasonable ter</w:t>
      </w:r>
      <w:r>
        <w:rPr>
          <w:sz w:val="20"/>
          <w:szCs w:val="20"/>
        </w:rPr>
        <w:t>ms. Switching or adding additional CROs involves substantial cost and requires management time and focus. In addition, there is a natural transition period when a new CRO commences work. As a result, delays occur, which can negatively impact our ability to</w:t>
      </w:r>
      <w:r>
        <w:rPr>
          <w:sz w:val="20"/>
          <w:szCs w:val="20"/>
        </w:rPr>
        <w:t xml:space="preserve"> meet our desired clinical development timelines. Though we intend to carefully manage our relationships with our CROs, there can be no assurance that we will not encounter challenges or delays in the future or that these delays or challenges will not have</w:t>
      </w:r>
      <w:r>
        <w:rPr>
          <w:sz w:val="20"/>
          <w:szCs w:val="20"/>
        </w:rPr>
        <w:t xml:space="preserve"> a negative impact on our business, financial condition and prospects</w:t>
      </w:r>
      <w:r>
        <w:rPr>
          <w:sz w:val="20"/>
          <w:szCs w:val="20"/>
        </w:rPr>
        <w:t>.</w:t>
      </w:r>
    </w:p>
    <w:p w:rsidR="00000000" w:rsidRDefault="00F83A7A">
      <w:pPr>
        <w:pStyle w:val="a3"/>
        <w:spacing w:before="120" w:beforeAutospacing="0" w:after="120" w:afterAutospacing="0"/>
        <w:jc w:val="both"/>
        <w:rPr>
          <w:sz w:val="20"/>
          <w:szCs w:val="20"/>
        </w:rPr>
      </w:pPr>
      <w:r>
        <w:rPr>
          <w:b/>
          <w:bCs/>
          <w:sz w:val="20"/>
          <w:szCs w:val="20"/>
        </w:rPr>
        <w:t>Risks Related to Our Business Operations, Employee Matters and Managing Growt</w:t>
      </w:r>
      <w:r>
        <w:rPr>
          <w:b/>
          <w:bCs/>
          <w:sz w:val="20"/>
          <w:szCs w:val="20"/>
        </w:rPr>
        <w:t>h</w:t>
      </w:r>
    </w:p>
    <w:p w:rsidR="00000000" w:rsidRDefault="00F83A7A">
      <w:pPr>
        <w:pStyle w:val="a3"/>
        <w:spacing w:before="200" w:beforeAutospacing="0" w:after="0" w:afterAutospacing="0"/>
        <w:jc w:val="both"/>
        <w:rPr>
          <w:sz w:val="20"/>
          <w:szCs w:val="20"/>
        </w:rPr>
      </w:pPr>
      <w:r>
        <w:rPr>
          <w:b/>
          <w:bCs/>
          <w:i/>
          <w:iCs/>
          <w:sz w:val="20"/>
          <w:szCs w:val="20"/>
        </w:rPr>
        <w:t>COVID-19 could adversely impact our business, including our preclinical studies, clinical trials and acces</w:t>
      </w:r>
      <w:r>
        <w:rPr>
          <w:b/>
          <w:bCs/>
          <w:i/>
          <w:iCs/>
          <w:sz w:val="20"/>
          <w:szCs w:val="20"/>
        </w:rPr>
        <w:t>s to capital</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The ongoing COVID-19 pandemic has resulted in travel and other restrictions in order to reduce the spread of the disease. In response to initial state and local orders across the country directing individuals to shelter at their places of res</w:t>
      </w:r>
      <w:r>
        <w:rPr>
          <w:sz w:val="20"/>
          <w:szCs w:val="20"/>
        </w:rPr>
        <w:t>idence, directing businesses and governmental agencies to cease non-essential operations at physical locations, prohibiting certain non-essential gatherings, and ordering cessation of non-essential travel, in March 2020 we implemented work-from-home polici</w:t>
      </w:r>
      <w:r>
        <w:rPr>
          <w:sz w:val="20"/>
          <w:szCs w:val="20"/>
        </w:rPr>
        <w:t>es for all employees. Our current plans to return to the office remain fluid as the pandemic persists and federal, state and local guidelines, rules and regulations regarding the conduct of in-person business operations continue to evolve. The effects of o</w:t>
      </w:r>
      <w:r>
        <w:rPr>
          <w:sz w:val="20"/>
          <w:szCs w:val="20"/>
        </w:rPr>
        <w:t xml:space="preserve">ur work-from-home policies may negatively impact productivity, disrupt our business and delay our clinical programs and timelines, the magnitude of which will depend, in part, on the length and severity of any applicable restrictions and other limitations </w:t>
      </w:r>
      <w:r>
        <w:rPr>
          <w:sz w:val="20"/>
          <w:szCs w:val="20"/>
        </w:rPr>
        <w:t>on our ability to conduct our business in the ordinary course. These and similar, and perhaps more severe, disruptions in our operations could negatively impact our business, operating results and financial condition</w:t>
      </w:r>
      <w:r>
        <w:rPr>
          <w:sz w:val="20"/>
          <w:szCs w:val="20"/>
        </w:rPr>
        <w:t>.</w:t>
      </w:r>
    </w:p>
    <w:p w:rsidR="00000000" w:rsidRDefault="00F83A7A">
      <w:pPr>
        <w:pStyle w:val="a3"/>
        <w:spacing w:before="240" w:beforeAutospacing="0" w:after="0" w:afterAutospacing="0"/>
        <w:jc w:val="center"/>
        <w:rPr>
          <w:sz w:val="20"/>
          <w:szCs w:val="20"/>
        </w:rPr>
      </w:pPr>
      <w:r>
        <w:rPr>
          <w:sz w:val="20"/>
          <w:szCs w:val="20"/>
        </w:rPr>
        <w:t>4</w:t>
      </w:r>
      <w:r>
        <w:rPr>
          <w:sz w:val="20"/>
          <w:szCs w:val="20"/>
        </w:rPr>
        <w:t>2</w:t>
      </w:r>
    </w:p>
    <w:p w:rsidR="00000000" w:rsidRDefault="00F83A7A">
      <w:pPr>
        <w:rPr>
          <w:rFonts w:eastAsia="Times New Roman"/>
        </w:rPr>
      </w:pPr>
      <w:r>
        <w:rPr>
          <w:rFonts w:eastAsia="Times New Roman"/>
        </w:rPr>
        <w:pict>
          <v:rect id="_x0000_i1069"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ind w:firstLine="620"/>
        <w:jc w:val="both"/>
        <w:rPr>
          <w:sz w:val="20"/>
          <w:szCs w:val="20"/>
        </w:rPr>
      </w:pPr>
      <w:r>
        <w:rPr>
          <w:sz w:val="20"/>
          <w:szCs w:val="20"/>
        </w:rPr>
        <w:t>Any new imposition of quarantines, shelter-in-place and similar government orders related to COVID-19 may adversely impact our business operations and the business operations of our CROs conducting our preclinical studies and clinical trials and our th</w:t>
      </w:r>
      <w:r>
        <w:rPr>
          <w:sz w:val="20"/>
          <w:szCs w:val="20"/>
        </w:rPr>
        <w:t>ird-party manufacturing facilities in the United States and other countries. In particular, some of our third-party manufacturers which we use for the supply of materials for drug candidates or other materials necessary to manufacture product to conduct pr</w:t>
      </w:r>
      <w:r>
        <w:rPr>
          <w:sz w:val="20"/>
          <w:szCs w:val="20"/>
        </w:rPr>
        <w:t>eclinical studies and clinical trials are located in countries affected by COVID-19, and should they experience disruptions, such as temporary closures or suspension of services, we would likely experience delays in advancing these tests and trials. Curren</w:t>
      </w:r>
      <w:r>
        <w:rPr>
          <w:sz w:val="20"/>
          <w:szCs w:val="20"/>
        </w:rPr>
        <w:t>tly, we expect no material impact on the clinical supply of any of our drug candidates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In addition, our previous clinical trials were, and our future clinical trials may be, affected by the COVID-19 pandemic. Clinical site initiation and patient enrollmen</w:t>
      </w:r>
      <w:r>
        <w:rPr>
          <w:sz w:val="20"/>
          <w:szCs w:val="20"/>
        </w:rPr>
        <w:t xml:space="preserve">t may be delayed due to prioritization of hospital resources toward the COVID-19 pandemic. Some patients may not be willing or able to comply with clinical trial protocols if quarantines impede patient movement or interrupt healthcare services. Similarly, </w:t>
      </w:r>
      <w:r>
        <w:rPr>
          <w:sz w:val="20"/>
          <w:szCs w:val="20"/>
        </w:rPr>
        <w:t>our ability to recruit and retain patients and principal investigators and site staff who, as healthcare providers, may have heightened exposure to COVID-19 and adversely impact our clinical trial operations. As a result of the COVID-19 pandemic, we have f</w:t>
      </w:r>
      <w:r>
        <w:rPr>
          <w:sz w:val="20"/>
          <w:szCs w:val="20"/>
        </w:rPr>
        <w:t>aced and may continue to face delays in meeting our anticipated timelines for our previous and planned clinical trials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The spread of COVID-19, which has caused a broad impact globally, may materially affect us economically. While the potential economic im</w:t>
      </w:r>
      <w:r>
        <w:rPr>
          <w:sz w:val="20"/>
          <w:szCs w:val="20"/>
        </w:rPr>
        <w:t>pact brought by, and the duration of, COVID-19 may be difficult to assess or predict, a sustained, widespread pandemic could result in significant disruption of global financial markets, reducing our ability to access capital, which could in the future neg</w:t>
      </w:r>
      <w:r>
        <w:rPr>
          <w:sz w:val="20"/>
          <w:szCs w:val="20"/>
        </w:rPr>
        <w:t>atively affect our liquidity. In addition, a recession or market correction resulting from the spread of COVID-19 could materially affect our business and the value of our common stock</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The global COVID-19 pandemic continues to evolve. The extent to which </w:t>
      </w:r>
      <w:r>
        <w:rPr>
          <w:sz w:val="20"/>
          <w:szCs w:val="20"/>
        </w:rPr>
        <w:t>the COVID-19 pandemic impacts our business, our clinical development and regulatory efforts will depend on future developments that are highly uncertain and cannot be predicted with confidence, such as the ultimate duration of the outbreak, the extent of s</w:t>
      </w:r>
      <w:r>
        <w:rPr>
          <w:sz w:val="20"/>
          <w:szCs w:val="20"/>
        </w:rPr>
        <w:t>ustained or new travel restrictions, social distancing requirements and business closures in the United States, Europe and other countries, and the effectiveness of actions taken in the United States, Europe and other countries to contain and treat the dis</w:t>
      </w:r>
      <w:r>
        <w:rPr>
          <w:sz w:val="20"/>
          <w:szCs w:val="20"/>
        </w:rPr>
        <w:t>ease, including vaccination efforts. Accordingly, we do not yet know the full extent of potential delays or impacts on our business, our clinical and regulatory activities, healthcare systems or the global economy as a whole. However, these impacts could a</w:t>
      </w:r>
      <w:r>
        <w:rPr>
          <w:sz w:val="20"/>
          <w:szCs w:val="20"/>
        </w:rPr>
        <w:t>dversely affect our business, financial condition, results of operations and growth prospects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In addition, to the extent the ongoing COVID-19 pandemic adversely affects our business and results of operations, it may also have the effect of heightening man</w:t>
      </w:r>
      <w:r>
        <w:rPr>
          <w:sz w:val="20"/>
          <w:szCs w:val="20"/>
        </w:rPr>
        <w:t>y of the other risks and uncertainties described in this ‘‘Risk Factors’’ section</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We are highly dependent on the services of our senior management team, including our Chairman and Chief Executive Officer, Dr. Jeremy Levin, and if we are not able to retain</w:t>
      </w:r>
      <w:r>
        <w:rPr>
          <w:b/>
          <w:bCs/>
          <w:i/>
          <w:iCs/>
          <w:sz w:val="20"/>
          <w:szCs w:val="20"/>
        </w:rPr>
        <w:t xml:space="preserve"> these members of our management team or recruit and retain additional management, clinical and scientific personnel, our business will be harmed</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We are highly dependent on our senior management team, including our Chairman and Chief Executive Officer, Dr</w:t>
      </w:r>
      <w:r>
        <w:rPr>
          <w:sz w:val="20"/>
          <w:szCs w:val="20"/>
        </w:rPr>
        <w:t>. Levin. The employment agreements we have with these officers do not prevent such persons from terminating their employment with us at any time. The loss of the services of any of these persons could impede the achievement of our research, development, op</w:t>
      </w:r>
      <w:r>
        <w:rPr>
          <w:sz w:val="20"/>
          <w:szCs w:val="20"/>
        </w:rPr>
        <w:t>erational, financial and commercialization objectives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In addition, we are dependent on our continued ability to attract, retain and motivate highly qualified additional management, clinical and scientific personnel. If we are not able to retain our manage</w:t>
      </w:r>
      <w:r>
        <w:rPr>
          <w:sz w:val="20"/>
          <w:szCs w:val="20"/>
        </w:rPr>
        <w:t>ment and to attract, on acceptable terms, additional qualified personnel necessary for the continued development of our business, we may not be able to sustain our operations or grow. This risk may be further amplified given the particularly competitive hi</w:t>
      </w:r>
      <w:r>
        <w:rPr>
          <w:sz w:val="20"/>
          <w:szCs w:val="20"/>
        </w:rPr>
        <w:t>ring market in New York City, the location of our corporate headquarters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We may not be able to attract or retain qualified personnel in the future due to the intense competition for qualified personnel among biotechnology, pharmaceutical and other busines</w:t>
      </w:r>
      <w:r>
        <w:rPr>
          <w:sz w:val="20"/>
          <w:szCs w:val="20"/>
        </w:rPr>
        <w:t xml:space="preserve">ses. Many of the other pharmaceutical companies that we compete against for qualified personnel and consultants have greater financial and other resources, different risk profiles and a longer history in the industry than we do. They also may provide more </w:t>
      </w:r>
      <w:r>
        <w:rPr>
          <w:sz w:val="20"/>
          <w:szCs w:val="20"/>
        </w:rPr>
        <w:t>diverse opportunities and better chances for career advancement. Some of these characteristics may be more appealing to high-quality candidates and consultants than what we have to offer. If we are unable to continue to attract, retain and motivate high-qu</w:t>
      </w:r>
      <w:r>
        <w:rPr>
          <w:sz w:val="20"/>
          <w:szCs w:val="20"/>
        </w:rPr>
        <w:t>ality personnel and consultants to accomplish our business objectives, the rate and success at which we can discover and develop drug candidates and our business will be limited and we may experience constraints on our development objectives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Our future pe</w:t>
      </w:r>
      <w:r>
        <w:rPr>
          <w:sz w:val="20"/>
          <w:szCs w:val="20"/>
        </w:rPr>
        <w:t>rformance will also depend, in part, on our ability to successfully integrate newly hired executive officers into our management team and our ability to develop an effective working relationship among senior management. Our failure to integrate these indiv</w:t>
      </w:r>
      <w:r>
        <w:rPr>
          <w:sz w:val="20"/>
          <w:szCs w:val="20"/>
        </w:rPr>
        <w:t>iduals and create effective working relationships among them and other members of management could result in inefficiencies in the development and commercialization of our drug candidates, harming future regulatory approvals, sales of our drug candidates a</w:t>
      </w:r>
      <w:r>
        <w:rPr>
          <w:sz w:val="20"/>
          <w:szCs w:val="20"/>
        </w:rPr>
        <w:t>n</w:t>
      </w:r>
      <w:r>
        <w:rPr>
          <w:sz w:val="20"/>
          <w:szCs w:val="20"/>
        </w:rPr>
        <w:t>d</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4</w:t>
      </w:r>
      <w:r>
        <w:rPr>
          <w:sz w:val="20"/>
          <w:szCs w:val="20"/>
        </w:rPr>
        <w:t>3</w:t>
      </w:r>
    </w:p>
    <w:p w:rsidR="00000000" w:rsidRDefault="00F83A7A">
      <w:pPr>
        <w:rPr>
          <w:rFonts w:eastAsia="Times New Roman"/>
        </w:rPr>
      </w:pPr>
      <w:r>
        <w:rPr>
          <w:rFonts w:eastAsia="Times New Roman"/>
        </w:rPr>
        <w:pict>
          <v:rect id="_x0000_i1070"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jc w:val="both"/>
        <w:rPr>
          <w:sz w:val="20"/>
          <w:szCs w:val="20"/>
        </w:rPr>
      </w:pPr>
      <w:r>
        <w:rPr>
          <w:sz w:val="20"/>
          <w:szCs w:val="20"/>
        </w:rPr>
        <w:t>our results of operations. Additionally, we do not currently maintain “key person” life insurance on the lives of our executives or any of our employees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We may need to expand our organization, and we may experience di</w:t>
      </w:r>
      <w:r>
        <w:rPr>
          <w:b/>
          <w:bCs/>
          <w:i/>
          <w:iCs/>
          <w:sz w:val="20"/>
          <w:szCs w:val="20"/>
        </w:rPr>
        <w:t>fficulties in managing this growth, which could disrupt our operations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As of December 31, 2021, we had 57 full-time employees. As our development and commercialization plans and strategies for our current pipeline of product candidates develop, we expect </w:t>
      </w:r>
      <w:r>
        <w:rPr>
          <w:sz w:val="20"/>
          <w:szCs w:val="20"/>
        </w:rPr>
        <w:t xml:space="preserve">to need additional managerial, operational, sales, marketing, financial, legal and other resources. Our management may need to divert a disproportionate amount of its attention away from our day-to-day operations and devote a substantial amount of time to </w:t>
      </w:r>
      <w:r>
        <w:rPr>
          <w:sz w:val="20"/>
          <w:szCs w:val="20"/>
        </w:rPr>
        <w:t>managing these growth activities. We may not be able to effectively manage the expansion of our operations, which may result in weaknesses in our infrastructure, operational inefficiencies, loss of business opportunities, loss of employees and reduced prod</w:t>
      </w:r>
      <w:r>
        <w:rPr>
          <w:sz w:val="20"/>
          <w:szCs w:val="20"/>
        </w:rPr>
        <w:t>uctivity among remaining employees. Our expected growth could require significant capital expenditures and may divert financial resources from other projects, such as the development of our current and potential future drug candidates. If our management is</w:t>
      </w:r>
      <w:r>
        <w:rPr>
          <w:sz w:val="20"/>
          <w:szCs w:val="20"/>
        </w:rPr>
        <w:t xml:space="preserve"> unable to effectively manage our growth, our expenses may increase more than expected, our ability to generate and grow revenue could be reduced and we may not be able to implement our business strategy. Our future financial performance, our ability to co</w:t>
      </w:r>
      <w:r>
        <w:rPr>
          <w:sz w:val="20"/>
          <w:szCs w:val="20"/>
        </w:rPr>
        <w:t>mmercialize drug candidates, develop a scalable infrastructure and compete effectively will depend, in part, on our ability to effectively manage any future growth</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Our employees, principal investigators, consultants and commercial partners may engage in m</w:t>
      </w:r>
      <w:r>
        <w:rPr>
          <w:b/>
          <w:bCs/>
          <w:i/>
          <w:iCs/>
          <w:sz w:val="20"/>
          <w:szCs w:val="20"/>
        </w:rPr>
        <w:t>isconduct or other improper activities, including non-compliance with regulatory standards and requirements and insider trading</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We are exposed to the risk that our employees, consultants, distributors, and collaborators may engage in fraudulent or illegal</w:t>
      </w:r>
      <w:r>
        <w:rPr>
          <w:sz w:val="20"/>
          <w:szCs w:val="20"/>
        </w:rPr>
        <w:t xml:space="preserve"> activity. Misconduct by these parties could include intentional, reckless or negligent conduct or disclosure of unauthorized activities to us that violates the regulations of the FDA and non-U.S. regulators, including those laws requiring the reporting of</w:t>
      </w:r>
      <w:r>
        <w:rPr>
          <w:sz w:val="20"/>
          <w:szCs w:val="20"/>
        </w:rPr>
        <w:t xml:space="preserve"> true, complete and accurate information to such regulators, manufacturing standards, healthcare fraud and abuse laws and regulations in the United States and abroad or laws that require the true, complete and accurate reporting of financial information or</w:t>
      </w:r>
      <w:r>
        <w:rPr>
          <w:sz w:val="20"/>
          <w:szCs w:val="20"/>
        </w:rPr>
        <w:t xml:space="preserve"> data. In particular, sales, marketing and business arrangements in the healthcare industry, including the sale of pharmaceuticals, are subject to extensive laws and regulations intended to prevent fraud, misconduct, kickbacks, self-dealing and other abusi</w:t>
      </w:r>
      <w:r>
        <w:rPr>
          <w:sz w:val="20"/>
          <w:szCs w:val="20"/>
        </w:rPr>
        <w:t xml:space="preserve">ve practices. These laws and regulations may restrict or prohibit a wide range of pricing, discounting, marketing and promotion, sales commission, customer incentive programs and other business arrangements. It is not always possible to identify and deter </w:t>
      </w:r>
      <w:r>
        <w:rPr>
          <w:sz w:val="20"/>
          <w:szCs w:val="20"/>
        </w:rPr>
        <w:t>misconduct by our employees and other third parties, and the precautions we take to detect and prevent this activity may not be effective in controlling unknown or unmanaged risks or losses or in protecting us from governmental investigations or other acti</w:t>
      </w:r>
      <w:r>
        <w:rPr>
          <w:sz w:val="20"/>
          <w:szCs w:val="20"/>
        </w:rPr>
        <w:t>ons or lawsuits stemming from a failure to comply with these laws or regulations. Further, because of the work from home policies we implemented due to COVID-19, information that is normally protected, including company confidential information, may be les</w:t>
      </w:r>
      <w:r>
        <w:rPr>
          <w:sz w:val="20"/>
          <w:szCs w:val="20"/>
        </w:rPr>
        <w:t>s secure. If actions are instituted against us and we are not successful in defending ourselves or asserting our rights, those actions could result in the imposition of significant fines or other sanctions, including the imposition of civil, criminal and a</w:t>
      </w:r>
      <w:r>
        <w:rPr>
          <w:sz w:val="20"/>
          <w:szCs w:val="20"/>
        </w:rPr>
        <w:t xml:space="preserve">dministrative penalties, damages, monetary fines, imprisonment, possible exclusion from participation in Medicare, Medicaid and other federal healthcare programs, additional reporting obligations and oversight if we become subject to a corporate integrity </w:t>
      </w:r>
      <w:r>
        <w:rPr>
          <w:sz w:val="20"/>
          <w:szCs w:val="20"/>
        </w:rPr>
        <w:t xml:space="preserve">agreement or other agreement to resolve allegations of non-compliance with these laws, contractual damages, reputational harm, diminished profits and future earnings and curtailment of operations, any of which could adversely affect our ability to operate </w:t>
      </w:r>
      <w:r>
        <w:rPr>
          <w:sz w:val="20"/>
          <w:szCs w:val="20"/>
        </w:rPr>
        <w:t xml:space="preserve">our business and our results of operations. Whether or not we are successful in defending against such actions or investigations, we could incur substantial costs, including legal fees, and divert the attention of management in defending ourselves against </w:t>
      </w:r>
      <w:r>
        <w:rPr>
          <w:sz w:val="20"/>
          <w:szCs w:val="20"/>
        </w:rPr>
        <w:t>any of these claims or investigations</w:t>
      </w:r>
      <w:r>
        <w:rPr>
          <w:sz w:val="20"/>
          <w:szCs w:val="20"/>
        </w:rPr>
        <w:t>.</w:t>
      </w:r>
    </w:p>
    <w:p w:rsidR="00000000" w:rsidRDefault="00F83A7A">
      <w:pPr>
        <w:pStyle w:val="a3"/>
        <w:spacing w:before="200" w:beforeAutospacing="0" w:after="0" w:afterAutospacing="0"/>
        <w:rPr>
          <w:sz w:val="20"/>
          <w:szCs w:val="20"/>
        </w:rPr>
      </w:pPr>
      <w:r>
        <w:rPr>
          <w:b/>
          <w:bCs/>
          <w:i/>
          <w:iCs/>
          <w:sz w:val="20"/>
          <w:szCs w:val="20"/>
        </w:rPr>
        <w:t>Significant disruptions of our information technology systems or data security incidents could result in significant financial, legal, regulatory, business and reputational harm to us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We are increasingly dependent on</w:t>
      </w:r>
      <w:r>
        <w:rPr>
          <w:sz w:val="20"/>
          <w:szCs w:val="20"/>
        </w:rPr>
        <w:t xml:space="preserve"> information technology systems and infrastructure, including mobile technologies, to operate our business. In the ordinary course of our business, we collect, store, process and transmit large amounts of sensitive information, including intellectual prope</w:t>
      </w:r>
      <w:r>
        <w:rPr>
          <w:sz w:val="20"/>
          <w:szCs w:val="20"/>
        </w:rPr>
        <w:t>rty, proprietary business information, personal information and other confidential information. It is critical that we do so in a secure manner to maintain the confidentiality, integrity and availability of such sensitive information. We have also outsourc</w:t>
      </w:r>
      <w:r>
        <w:rPr>
          <w:sz w:val="20"/>
          <w:szCs w:val="20"/>
        </w:rPr>
        <w:t>ed elements of our operations (including elements of our information technology infrastructure) to third parties, and as a result, we manage a number of third-party vendors who may or could have access to our computer networks or our confidential informati</w:t>
      </w:r>
      <w:r>
        <w:rPr>
          <w:sz w:val="20"/>
          <w:szCs w:val="20"/>
        </w:rPr>
        <w:t>on. In addition, many of those third parties in turn subcontract or outsource some of their responsibilities to third parties. While all information technology operations are inherently vulnerable to inadvertent or intentional security breaches, incidents,</w:t>
      </w:r>
      <w:r>
        <w:rPr>
          <w:sz w:val="20"/>
          <w:szCs w:val="20"/>
        </w:rPr>
        <w:t xml:space="preserve"> attacks and exposures, the accessibility and distributed nature of our information technology systems, and the sensitive information stored on those systems, make such systems potentially vulnerable to unintentional or malicious, internal and external att</w:t>
      </w:r>
      <w:r>
        <w:rPr>
          <w:sz w:val="20"/>
          <w:szCs w:val="20"/>
        </w:rPr>
        <w:t xml:space="preserve">acks on our technology environment. In addition, due to the ongoing COVID-19 pandemic, we have enabled all of our employees to work remotely, which may make us more vulnerable to cyberattacks. Potential vulnerabilities can be exploited from inadvertent or </w:t>
      </w:r>
      <w:r>
        <w:rPr>
          <w:sz w:val="20"/>
          <w:szCs w:val="20"/>
        </w:rPr>
        <w:t>intentional actions of our employees, third-party vendors, business partners, or by malicious third parties. Attacks of this nature are increasing in their frequency</w:t>
      </w:r>
      <w:r>
        <w:rPr>
          <w:sz w:val="20"/>
          <w:szCs w:val="20"/>
        </w:rPr>
        <w:t>,</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4</w:t>
      </w:r>
      <w:r>
        <w:rPr>
          <w:sz w:val="20"/>
          <w:szCs w:val="20"/>
        </w:rPr>
        <w:t>4</w:t>
      </w:r>
    </w:p>
    <w:p w:rsidR="00000000" w:rsidRDefault="00F83A7A">
      <w:pPr>
        <w:rPr>
          <w:rFonts w:eastAsia="Times New Roman"/>
        </w:rPr>
      </w:pPr>
      <w:r>
        <w:rPr>
          <w:rFonts w:eastAsia="Times New Roman"/>
        </w:rPr>
        <w:pict>
          <v:rect id="_x0000_i1071"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jc w:val="both"/>
        <w:rPr>
          <w:sz w:val="20"/>
          <w:szCs w:val="20"/>
        </w:rPr>
      </w:pPr>
      <w:r>
        <w:rPr>
          <w:sz w:val="20"/>
          <w:szCs w:val="20"/>
        </w:rPr>
        <w:t>levels of persistence, sophistication and inte</w:t>
      </w:r>
      <w:r>
        <w:rPr>
          <w:sz w:val="20"/>
          <w:szCs w:val="20"/>
        </w:rPr>
        <w:t>nsity, and are being conducted by sophisticated and organized groups and individuals with a wide range of motives (including, but not limited to, industrial espionage) and expertise, including organized criminal groups, “hacktivists,” nation states and oth</w:t>
      </w:r>
      <w:r>
        <w:rPr>
          <w:sz w:val="20"/>
          <w:szCs w:val="20"/>
        </w:rPr>
        <w:t>ers. In addition to the extraction of sensitive information, such attacks could include the deployment of harmful malware, ransomware, denial-of-service attacks, social engineering and other means to affect service reliability and threaten the confidential</w:t>
      </w:r>
      <w:r>
        <w:rPr>
          <w:sz w:val="20"/>
          <w:szCs w:val="20"/>
        </w:rPr>
        <w:t>ity, integrity and availability of information. In addition, the prevalent use of mobile devices increases the risk of data security incidents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Significant disruptions of our, our third-party vendors’ and/or business partners’ information technology system</w:t>
      </w:r>
      <w:r>
        <w:rPr>
          <w:sz w:val="20"/>
          <w:szCs w:val="20"/>
        </w:rPr>
        <w:t>s or other similar data security incidents could adversely affect our business operations and/or result in the loss, misappropriation, and/or unauthorized access, use or disclosure of, or the prevention of access to, sensitive information, which could resu</w:t>
      </w:r>
      <w:r>
        <w:rPr>
          <w:sz w:val="20"/>
          <w:szCs w:val="20"/>
        </w:rPr>
        <w:t>lt in financial, legal, regulatory, business and reputational harm to us. In addition, information technology system disruptions, whether from attacks on our technology environment or from computer viruses, natural disasters, terrorism, war and telecommuni</w:t>
      </w:r>
      <w:r>
        <w:rPr>
          <w:sz w:val="20"/>
          <w:szCs w:val="20"/>
        </w:rPr>
        <w:t>cation and electrical failures, could result in a material disruption of our development programs and our business operations. For example, the loss of clinical trial data from completed or future clinical trials could result in delays in our regulatory ap</w:t>
      </w:r>
      <w:r>
        <w:rPr>
          <w:sz w:val="20"/>
          <w:szCs w:val="20"/>
        </w:rPr>
        <w:t>proval efforts and significantly increase our costs to recover or reproduce the data</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There is no way of knowing with certainty whether we have experienced any data security incidents that have not been discovered. While we have no reason to believe this t</w:t>
      </w:r>
      <w:r>
        <w:rPr>
          <w:sz w:val="20"/>
          <w:szCs w:val="20"/>
        </w:rPr>
        <w:t>o be the case, attackers have become very sophisticated in the way they conceal access to systems, and many companies that have been attacked are not aware that they have been attacked. Any event that leads to unauthorized access, use or disclosure of pers</w:t>
      </w:r>
      <w:r>
        <w:rPr>
          <w:sz w:val="20"/>
          <w:szCs w:val="20"/>
        </w:rPr>
        <w:t>onal information, including but not limited to personal information regarding our patients or employees, could disrupt our business, harm our reputation, compel us to comply with applicable federal and/or state breach notification laws and foreign law equi</w:t>
      </w:r>
      <w:r>
        <w:rPr>
          <w:sz w:val="20"/>
          <w:szCs w:val="20"/>
        </w:rPr>
        <w:t>valents, subject us to time consuming, distracting and expensive litigation, regulatory investigation and oversight, mandatory corrective action, require us to verify the correctness of database contents, or otherwise subject us to liability under laws, re</w:t>
      </w:r>
      <w:r>
        <w:rPr>
          <w:sz w:val="20"/>
          <w:szCs w:val="20"/>
        </w:rPr>
        <w:t xml:space="preserve">gulations and contractual obligations, including those that protect the privacy and security of personal information. This could result in increased costs to us, and result in significant legal and financial exposure and/or reputational harm. In addition, </w:t>
      </w:r>
      <w:r>
        <w:rPr>
          <w:sz w:val="20"/>
          <w:szCs w:val="20"/>
        </w:rPr>
        <w:t>any failure or perceived failure by us or our vendors or business partners to comply with our privacy, confidentiality or data security-related legal or other obligations to third parties, or any further security incidents or other inappropriate access eve</w:t>
      </w:r>
      <w:r>
        <w:rPr>
          <w:sz w:val="20"/>
          <w:szCs w:val="20"/>
        </w:rPr>
        <w:t>nts that result in the unauthorized access, release or transfer of sensitive information, which could include personally identifiable information, may result in governmental investigations, enforcement actions, regulatory fines, litigation, or public state</w:t>
      </w:r>
      <w:r>
        <w:rPr>
          <w:sz w:val="20"/>
          <w:szCs w:val="20"/>
        </w:rPr>
        <w:t>ments against us by advocacy groups or others, and could cause third parties, including clinical sites, regulators or current and potential partners, to lose trust in us or we could be subject to claims by third parties that we have breached our privacy- o</w:t>
      </w:r>
      <w:r>
        <w:rPr>
          <w:sz w:val="20"/>
          <w:szCs w:val="20"/>
        </w:rPr>
        <w:t>r confidentiality-related obligations, which could materially and adversely affect our business and prospects. Moreover, data security incidents and other inappropriate access can be difficult to detect, and any delay in identifying them may lead to increa</w:t>
      </w:r>
      <w:r>
        <w:rPr>
          <w:sz w:val="20"/>
          <w:szCs w:val="20"/>
        </w:rPr>
        <w:t>sed harm of the type described above. While we have implemented security measures intended to protect our information technology systems and infrastructure, there can be no assurance that such measures will successfully prevent service interruptions or sec</w:t>
      </w:r>
      <w:r>
        <w:rPr>
          <w:sz w:val="20"/>
          <w:szCs w:val="20"/>
        </w:rPr>
        <w:t>urity incidents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We may be subject to numerous and varying privacy and security laws, and our failure to comply could result in penalties and reputational damage</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We are subject to laws and regulations covering data privacy and the protection of personal i</w:t>
      </w:r>
      <w:r>
        <w:rPr>
          <w:sz w:val="20"/>
          <w:szCs w:val="20"/>
        </w:rPr>
        <w:t xml:space="preserve">nformation including health information. The legislative and regulatory landscape for privacy and data protection continues to evolve, and there has been an increasing focus on privacy and data protection issues which may affect our business. In the U.S., </w:t>
      </w:r>
      <w:r>
        <w:rPr>
          <w:sz w:val="20"/>
          <w:szCs w:val="20"/>
        </w:rPr>
        <w:t>we may be subject to state security breach notification laws, state health information privacy laws and federal and state consumer protections laws which impose requirements for the collection, use, disclosure and transmission of personal information. Each</w:t>
      </w:r>
      <w:r>
        <w:rPr>
          <w:sz w:val="20"/>
          <w:szCs w:val="20"/>
        </w:rPr>
        <w:t xml:space="preserve"> of these laws is subject to varying interpretations by courts and government agencies, creating complex compliance issues for us. If we fail to comply with applicable laws and regulations we could be subject to penalties or sanctions, including criminal p</w:t>
      </w:r>
      <w:r>
        <w:rPr>
          <w:sz w:val="20"/>
          <w:szCs w:val="20"/>
        </w:rPr>
        <w:t>enalties if we knowingly obtain individually identifiable health information from a covered entity in a manner that is not authorized or permitted by HIPAA or for aiding and abetting the violation of HIPAA</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Numerous other countries have, or are developing,</w:t>
      </w:r>
      <w:r>
        <w:rPr>
          <w:sz w:val="20"/>
          <w:szCs w:val="20"/>
        </w:rPr>
        <w:t xml:space="preserve"> laws governing the collection, use and transmission of personal information as well. EU member states and other jurisdictions have adopted data protection laws and regulations, which impose significant compliance obligations. For example, in May 2016, the</w:t>
      </w:r>
      <w:r>
        <w:rPr>
          <w:sz w:val="20"/>
          <w:szCs w:val="20"/>
        </w:rPr>
        <w:t xml:space="preserve"> EU formally adopted the General Data Protection Regulation, or GDPR, which applies to all EU member states as of May 25, 2018 and replaces the former EU Data Protection Directive. The regulation introduces new data protection requirements in the EU and im</w:t>
      </w:r>
      <w:r>
        <w:rPr>
          <w:sz w:val="20"/>
          <w:szCs w:val="20"/>
        </w:rPr>
        <w:t>poses substantial fines for breaches of the data protection rules. The GDPR must be implemented into national laws by the EU member states imposes strict obligations and restrictions on the ability to collect, analyze, and transfer personal data, including</w:t>
      </w:r>
      <w:r>
        <w:rPr>
          <w:sz w:val="20"/>
          <w:szCs w:val="20"/>
        </w:rPr>
        <w:t xml:space="preserve"> health data from clinical trials and adverse event reporting. Data protection authorities from different EU member states have interpreted the privacy laws differently, which adds to the complexity of processing personal data in the EU, and guidance on im</w:t>
      </w:r>
      <w:r>
        <w:rPr>
          <w:sz w:val="20"/>
          <w:szCs w:val="20"/>
        </w:rPr>
        <w:t>plementation and compliance practices are often updated or otherwise revised. Any failure to comply with the rules arising from the GDPR and related national laws of EU member states could lead to government enforcement actions an</w:t>
      </w:r>
      <w:r>
        <w:rPr>
          <w:sz w:val="20"/>
          <w:szCs w:val="20"/>
        </w:rPr>
        <w:t>d</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4</w:t>
      </w:r>
      <w:r>
        <w:rPr>
          <w:sz w:val="20"/>
          <w:szCs w:val="20"/>
        </w:rPr>
        <w:t>5</w:t>
      </w:r>
    </w:p>
    <w:p w:rsidR="00000000" w:rsidRDefault="00F83A7A">
      <w:pPr>
        <w:rPr>
          <w:rFonts w:eastAsia="Times New Roman"/>
        </w:rPr>
      </w:pPr>
      <w:r>
        <w:rPr>
          <w:rFonts w:eastAsia="Times New Roman"/>
        </w:rPr>
        <w:pict>
          <v:rect id="_x0000_i1072"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jc w:val="both"/>
        <w:rPr>
          <w:sz w:val="20"/>
          <w:szCs w:val="20"/>
        </w:rPr>
      </w:pPr>
      <w:r>
        <w:rPr>
          <w:sz w:val="20"/>
          <w:szCs w:val="20"/>
        </w:rPr>
        <w:t xml:space="preserve">significant penalties against us, and adversely impact our operating results. The GDPR will increase our responsibility and liability in relation to personal data that we process and we may be required to put in place </w:t>
      </w:r>
      <w:r>
        <w:rPr>
          <w:sz w:val="20"/>
          <w:szCs w:val="20"/>
        </w:rPr>
        <w:t>additional mechanisms ensuring compliance with EU data protection rules</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Additionally, California enacted the California Consumer Privacy Act (the “CCPA”) legislation that has been dubbed the first “GDPR-like” law in the United States. The CCPA gives Calif</w:t>
      </w:r>
      <w:r>
        <w:rPr>
          <w:sz w:val="20"/>
          <w:szCs w:val="20"/>
        </w:rPr>
        <w:t>ornia residents expanded rights to access and delete their personal information, opt out of certain personal information sharing and receive detailed information about how their personal information is used by requiring covered companies to provide new dis</w:t>
      </w:r>
      <w:r>
        <w:rPr>
          <w:sz w:val="20"/>
          <w:szCs w:val="20"/>
        </w:rPr>
        <w:t xml:space="preserve">closures to California consumers (as that term is broadly defined) and provide such consumers new ways to opt-out of certain sales of personal information. The CCPA provides for civil penalties for violations, as well as a private right of action for data </w:t>
      </w:r>
      <w:r>
        <w:rPr>
          <w:sz w:val="20"/>
          <w:szCs w:val="20"/>
        </w:rPr>
        <w:t>breaches that is expected to increase data breach litigation. The CCPA may increase our compliance costs and potential liability</w:t>
      </w:r>
      <w:r>
        <w:rPr>
          <w:sz w:val="20"/>
          <w:szCs w:val="20"/>
        </w:rPr>
        <w:t>.</w:t>
      </w:r>
      <w:r>
        <w:rPr>
          <w:sz w:val="20"/>
          <w:szCs w:val="20"/>
        </w:rPr>
        <w:t xml:space="preserve"> </w:t>
      </w:r>
    </w:p>
    <w:p w:rsidR="00000000" w:rsidRDefault="00F83A7A">
      <w:pPr>
        <w:pStyle w:val="a3"/>
        <w:spacing w:before="120" w:beforeAutospacing="0" w:after="120" w:afterAutospacing="0"/>
        <w:jc w:val="both"/>
        <w:rPr>
          <w:sz w:val="20"/>
          <w:szCs w:val="20"/>
        </w:rPr>
      </w:pPr>
      <w:r>
        <w:rPr>
          <w:b/>
          <w:bCs/>
          <w:sz w:val="20"/>
          <w:szCs w:val="20"/>
        </w:rPr>
        <w:t>Risks Related to Being a Public Compan</w:t>
      </w:r>
      <w:r>
        <w:rPr>
          <w:b/>
          <w:bCs/>
          <w:sz w:val="20"/>
          <w:szCs w:val="20"/>
        </w:rPr>
        <w:t>y</w:t>
      </w:r>
    </w:p>
    <w:p w:rsidR="00000000" w:rsidRDefault="00F83A7A">
      <w:pPr>
        <w:pStyle w:val="a3"/>
        <w:spacing w:before="200" w:beforeAutospacing="0" w:after="0" w:afterAutospacing="0"/>
        <w:jc w:val="both"/>
        <w:rPr>
          <w:sz w:val="20"/>
          <w:szCs w:val="20"/>
        </w:rPr>
      </w:pPr>
      <w:r>
        <w:rPr>
          <w:b/>
          <w:bCs/>
          <w:i/>
          <w:iCs/>
          <w:sz w:val="20"/>
          <w:szCs w:val="20"/>
        </w:rPr>
        <w:t>We are an “emerging growth company” and a “smaller reporting company” and the reduced</w:t>
      </w:r>
      <w:r>
        <w:rPr>
          <w:b/>
          <w:bCs/>
          <w:i/>
          <w:iCs/>
          <w:sz w:val="20"/>
          <w:szCs w:val="20"/>
        </w:rPr>
        <w:t xml:space="preserve"> disclosure requirements applicable to such companies may make our common stock less attractive to investors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We are an emerging growth company (“EGC”), as defined in the Jumpstart Our Business Startups Act of 2012 (the “JOBS Act”). We will remain an EGC u</w:t>
      </w:r>
      <w:r>
        <w:rPr>
          <w:sz w:val="20"/>
          <w:szCs w:val="20"/>
        </w:rPr>
        <w:t>ntil the earlier of: (i) the last day of the fiscal year in which we have total annual gross revenues of $1.07 billion or more; (ii) December 31, 2022, the last day of the fiscal year following the fifth anniversary of the date of the completion of our IPO</w:t>
      </w:r>
      <w:r>
        <w:rPr>
          <w:sz w:val="20"/>
          <w:szCs w:val="20"/>
        </w:rPr>
        <w:t>; (iii) the date on which we have issued more than $1.0 billion in nonconvertible debt during the previous three years; or (iv) the date on which we are deemed to be a large accelerated filer under the rules of the Securities and Exchange Commission (“SEC”</w:t>
      </w:r>
      <w:r>
        <w:rPr>
          <w:sz w:val="20"/>
          <w:szCs w:val="20"/>
        </w:rPr>
        <w:t>). For so long as we remain an EGC, we are permitted and intend to rely on exemptions from certain disclosure requirements that are applicable to other public companies that are not emerging growth companies. These exemptions include</w:t>
      </w:r>
      <w:r>
        <w:rPr>
          <w:sz w:val="20"/>
          <w:szCs w:val="20"/>
        </w:rPr>
        <w:t>:</w:t>
      </w:r>
    </w:p>
    <w:p w:rsidR="00000000" w:rsidRDefault="00F83A7A">
      <w:pPr>
        <w:jc w:val="both"/>
        <w:divId w:val="1919634018"/>
        <w:rPr>
          <w:rFonts w:eastAsia="Times New Roman"/>
        </w:rPr>
      </w:pPr>
      <w:r>
        <w:rPr>
          <w:rFonts w:eastAsia="Times New Roman"/>
          <w:sz w:val="20"/>
          <w:szCs w:val="20"/>
        </w:rPr>
        <w:t>•</w:t>
      </w:r>
    </w:p>
    <w:p w:rsidR="00000000" w:rsidRDefault="00F83A7A">
      <w:pPr>
        <w:jc w:val="both"/>
        <w:divId w:val="1073429458"/>
        <w:rPr>
          <w:rFonts w:eastAsia="Times New Roman"/>
        </w:rPr>
      </w:pPr>
      <w:r>
        <w:rPr>
          <w:rFonts w:eastAsia="Times New Roman"/>
          <w:sz w:val="20"/>
          <w:szCs w:val="20"/>
        </w:rPr>
        <w:t xml:space="preserve">not being required </w:t>
      </w:r>
      <w:r>
        <w:rPr>
          <w:rFonts w:eastAsia="Times New Roman"/>
          <w:sz w:val="20"/>
          <w:szCs w:val="20"/>
        </w:rPr>
        <w:t>to comply with the auditor attestation requirements of Section 404 of the Sarbanes-Oxley Act of 2002 (“Section 404”)</w:t>
      </w:r>
      <w:r>
        <w:rPr>
          <w:rFonts w:eastAsia="Times New Roman"/>
          <w:sz w:val="20"/>
          <w:szCs w:val="20"/>
        </w:rPr>
        <w:t>;</w:t>
      </w:r>
    </w:p>
    <w:p w:rsidR="00000000" w:rsidRDefault="00F83A7A">
      <w:pPr>
        <w:jc w:val="both"/>
        <w:divId w:val="1182278036"/>
        <w:rPr>
          <w:rFonts w:eastAsia="Times New Roman"/>
        </w:rPr>
      </w:pPr>
      <w:r>
        <w:rPr>
          <w:rFonts w:eastAsia="Times New Roman"/>
          <w:sz w:val="20"/>
          <w:szCs w:val="20"/>
        </w:rPr>
        <w:t>•</w:t>
      </w:r>
    </w:p>
    <w:p w:rsidR="00000000" w:rsidRDefault="00F83A7A">
      <w:pPr>
        <w:jc w:val="both"/>
        <w:divId w:val="861474725"/>
        <w:rPr>
          <w:rFonts w:eastAsia="Times New Roman"/>
        </w:rPr>
      </w:pPr>
      <w:r>
        <w:rPr>
          <w:rFonts w:eastAsia="Times New Roman"/>
          <w:sz w:val="20"/>
          <w:szCs w:val="20"/>
        </w:rPr>
        <w:t>not being required to comply with any requirement that may be adopted by the Public Company Accounting Oversight Board regarding mandato</w:t>
      </w:r>
      <w:r>
        <w:rPr>
          <w:rFonts w:eastAsia="Times New Roman"/>
          <w:sz w:val="20"/>
          <w:szCs w:val="20"/>
        </w:rPr>
        <w:t>ry audit firm rotation or a supplement to the auditor’s report providing additional information about the audit and the financial statements</w:t>
      </w:r>
      <w:r>
        <w:rPr>
          <w:rFonts w:eastAsia="Times New Roman"/>
          <w:sz w:val="20"/>
          <w:szCs w:val="20"/>
        </w:rPr>
        <w:t>;</w:t>
      </w:r>
    </w:p>
    <w:p w:rsidR="00000000" w:rsidRDefault="00F83A7A">
      <w:pPr>
        <w:jc w:val="both"/>
        <w:divId w:val="727538498"/>
        <w:rPr>
          <w:rFonts w:eastAsia="Times New Roman"/>
        </w:rPr>
      </w:pPr>
      <w:r>
        <w:rPr>
          <w:rFonts w:eastAsia="Times New Roman"/>
          <w:sz w:val="20"/>
          <w:szCs w:val="20"/>
        </w:rPr>
        <w:t>•</w:t>
      </w:r>
    </w:p>
    <w:p w:rsidR="00000000" w:rsidRDefault="00F83A7A">
      <w:pPr>
        <w:jc w:val="both"/>
        <w:divId w:val="1138650000"/>
        <w:rPr>
          <w:rFonts w:eastAsia="Times New Roman"/>
        </w:rPr>
      </w:pPr>
      <w:r>
        <w:rPr>
          <w:rFonts w:eastAsia="Times New Roman"/>
          <w:sz w:val="20"/>
          <w:szCs w:val="20"/>
        </w:rPr>
        <w:t>being permitted to provide only two years of audited financial statements, in addition to any required unaudited</w:t>
      </w:r>
      <w:r>
        <w:rPr>
          <w:rFonts w:eastAsia="Times New Roman"/>
          <w:sz w:val="20"/>
          <w:szCs w:val="20"/>
        </w:rPr>
        <w:t xml:space="preserve"> interim financial statements, with correspondingly reduced “Management’s Discussion and Analysis of Financial Condition and Results of Operations” disclosure</w:t>
      </w:r>
      <w:r>
        <w:rPr>
          <w:rFonts w:eastAsia="Times New Roman"/>
          <w:sz w:val="20"/>
          <w:szCs w:val="20"/>
        </w:rPr>
        <w:t>;</w:t>
      </w:r>
    </w:p>
    <w:p w:rsidR="00000000" w:rsidRDefault="00F83A7A">
      <w:pPr>
        <w:jc w:val="both"/>
        <w:divId w:val="575625186"/>
        <w:rPr>
          <w:rFonts w:eastAsia="Times New Roman"/>
        </w:rPr>
      </w:pPr>
      <w:r>
        <w:rPr>
          <w:rFonts w:eastAsia="Times New Roman"/>
          <w:sz w:val="20"/>
          <w:szCs w:val="20"/>
        </w:rPr>
        <w:t>•</w:t>
      </w:r>
    </w:p>
    <w:p w:rsidR="00000000" w:rsidRDefault="00F83A7A">
      <w:pPr>
        <w:jc w:val="both"/>
        <w:divId w:val="621691703"/>
        <w:rPr>
          <w:rFonts w:eastAsia="Times New Roman"/>
        </w:rPr>
      </w:pPr>
      <w:r>
        <w:rPr>
          <w:rFonts w:eastAsia="Times New Roman"/>
          <w:sz w:val="20"/>
          <w:szCs w:val="20"/>
        </w:rPr>
        <w:t>reduced disclosure obligations regarding executive compensation arrangements; an</w:t>
      </w:r>
      <w:r>
        <w:rPr>
          <w:rFonts w:eastAsia="Times New Roman"/>
          <w:sz w:val="20"/>
          <w:szCs w:val="20"/>
        </w:rPr>
        <w:t>d</w:t>
      </w:r>
    </w:p>
    <w:p w:rsidR="00000000" w:rsidRDefault="00F83A7A">
      <w:pPr>
        <w:jc w:val="both"/>
        <w:divId w:val="1645770880"/>
        <w:rPr>
          <w:rFonts w:eastAsia="Times New Roman"/>
        </w:rPr>
      </w:pPr>
      <w:r>
        <w:rPr>
          <w:rFonts w:eastAsia="Times New Roman"/>
          <w:sz w:val="20"/>
          <w:szCs w:val="20"/>
        </w:rPr>
        <w:t>•</w:t>
      </w:r>
    </w:p>
    <w:p w:rsidR="00000000" w:rsidRDefault="00F83A7A">
      <w:pPr>
        <w:jc w:val="both"/>
        <w:divId w:val="572011986"/>
        <w:rPr>
          <w:rFonts w:eastAsia="Times New Roman"/>
        </w:rPr>
      </w:pPr>
      <w:r>
        <w:rPr>
          <w:rFonts w:eastAsia="Times New Roman"/>
          <w:sz w:val="20"/>
          <w:szCs w:val="20"/>
        </w:rPr>
        <w:t>exemptions</w:t>
      </w:r>
      <w:r>
        <w:rPr>
          <w:rFonts w:eastAsia="Times New Roman"/>
          <w:sz w:val="20"/>
          <w:szCs w:val="20"/>
        </w:rPr>
        <w:t xml:space="preserve"> from the requirements of holding a nonbinding advisory vote on executive compensation and stockholder approval of any golden parachute payments not previously approved</w:t>
      </w:r>
      <w:r>
        <w:rPr>
          <w:rFonts w:eastAsia="Times New Roman"/>
          <w:sz w:val="20"/>
          <w:szCs w:val="20"/>
        </w:rPr>
        <w:t>.</w:t>
      </w:r>
    </w:p>
    <w:p w:rsidR="00000000" w:rsidRDefault="00F83A7A">
      <w:pPr>
        <w:pStyle w:val="a3"/>
        <w:spacing w:before="240" w:beforeAutospacing="0" w:after="0" w:afterAutospacing="0"/>
        <w:ind w:firstLine="620"/>
        <w:jc w:val="both"/>
        <w:rPr>
          <w:sz w:val="20"/>
          <w:szCs w:val="20"/>
        </w:rPr>
      </w:pPr>
      <w:r>
        <w:rPr>
          <w:sz w:val="20"/>
          <w:szCs w:val="20"/>
        </w:rPr>
        <w:t>We currently take advantage of some, but not all, of the reduced regulatory and report</w:t>
      </w:r>
      <w:r>
        <w:rPr>
          <w:sz w:val="20"/>
          <w:szCs w:val="20"/>
        </w:rPr>
        <w:t>ing requirements that are available to us so long as we qualify as an EGC. We cannot predict if investors will find our common stock less attractive because we may rely on these exemptions. If some investors find our common stock less attractive as a resul</w:t>
      </w:r>
      <w:r>
        <w:rPr>
          <w:sz w:val="20"/>
          <w:szCs w:val="20"/>
        </w:rPr>
        <w:t>t, there may be a less active trading market for our common stock, and our stock price may be more volatile and may decline</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In addition, the JOBS Act provides that an EGC may take advantage of an extended transition period for complying with new or revise</w:t>
      </w:r>
      <w:r>
        <w:rPr>
          <w:sz w:val="20"/>
          <w:szCs w:val="20"/>
        </w:rPr>
        <w:t>d accounting standards. This allows an EGC to delay the adoption of certain accounting standards until those standards would otherwise apply to private companies. We have irrevocably elected not to avail ourselves of this exemption from new or revised acco</w:t>
      </w:r>
      <w:r>
        <w:rPr>
          <w:sz w:val="20"/>
          <w:szCs w:val="20"/>
        </w:rPr>
        <w:t>unting standards and, therefore, we will be subject to the same new or revised accounting standards as other public companies that are not an EGC</w:t>
      </w:r>
      <w:r>
        <w:rPr>
          <w:sz w:val="20"/>
          <w:szCs w:val="20"/>
        </w:rPr>
        <w:t>.</w:t>
      </w:r>
      <w:r>
        <w:rPr>
          <w:sz w:val="20"/>
          <w:szCs w:val="20"/>
        </w:rPr>
        <w:t xml:space="preserve"> </w:t>
      </w:r>
    </w:p>
    <w:p w:rsidR="00000000" w:rsidRDefault="00F83A7A">
      <w:pPr>
        <w:pStyle w:val="a3"/>
        <w:spacing w:before="240" w:beforeAutospacing="0" w:after="0" w:afterAutospacing="0"/>
        <w:ind w:firstLine="620"/>
        <w:jc w:val="both"/>
        <w:rPr>
          <w:sz w:val="20"/>
          <w:szCs w:val="20"/>
        </w:rPr>
      </w:pPr>
      <w:r>
        <w:rPr>
          <w:sz w:val="20"/>
          <w:szCs w:val="20"/>
        </w:rPr>
        <w:t>We are also a smaller reporting company as defined in the Exchange Act. We may continue to be a smaller reporting company even after we are no longer an emerging growth company. We may take advantage of certain of the scaled disclosures available to smalle</w:t>
      </w:r>
      <w:r>
        <w:rPr>
          <w:sz w:val="20"/>
          <w:szCs w:val="20"/>
        </w:rPr>
        <w:t xml:space="preserve">r reporting companies and will be able to take advantage of these scaled disclosures for so long as (i) our voting and non-voting common stock held by nonaffiliates is less than $250.0 million measured on the last business day of our second fiscal quarter </w:t>
      </w:r>
      <w:r>
        <w:rPr>
          <w:sz w:val="20"/>
          <w:szCs w:val="20"/>
        </w:rPr>
        <w:t>or (ii) our annual revenue is less than $100.0 million during the most recently completed fiscal year and our voting and non-voting common stock held by non-affiliates is less than $700.0 million measured on the last business day of our second fiscal quart</w:t>
      </w:r>
      <w:r>
        <w:rPr>
          <w:sz w:val="20"/>
          <w:szCs w:val="20"/>
        </w:rPr>
        <w:t>er</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We will continue to incur increased costs as a result of operating as a public company, and our management will devote substantial time to new compliance initiatives</w:t>
      </w:r>
      <w:r>
        <w:rPr>
          <w:b/>
          <w:bCs/>
          <w:i/>
          <w:iCs/>
          <w:sz w:val="20"/>
          <w:szCs w:val="20"/>
        </w:rPr>
        <w:t>.</w:t>
      </w:r>
    </w:p>
    <w:p w:rsidR="00000000" w:rsidRDefault="00F83A7A">
      <w:pPr>
        <w:pStyle w:val="a3"/>
        <w:spacing w:before="240" w:beforeAutospacing="0" w:after="0" w:afterAutospacing="0"/>
        <w:jc w:val="center"/>
        <w:rPr>
          <w:sz w:val="20"/>
          <w:szCs w:val="20"/>
        </w:rPr>
      </w:pPr>
      <w:r>
        <w:rPr>
          <w:sz w:val="20"/>
          <w:szCs w:val="20"/>
        </w:rPr>
        <w:t>4</w:t>
      </w:r>
      <w:r>
        <w:rPr>
          <w:sz w:val="20"/>
          <w:szCs w:val="20"/>
        </w:rPr>
        <w:t>6</w:t>
      </w:r>
    </w:p>
    <w:p w:rsidR="00000000" w:rsidRDefault="00F83A7A">
      <w:pPr>
        <w:rPr>
          <w:rFonts w:eastAsia="Times New Roman"/>
        </w:rPr>
      </w:pPr>
      <w:r>
        <w:rPr>
          <w:rFonts w:eastAsia="Times New Roman"/>
        </w:rPr>
        <w:pict>
          <v:rect id="_x0000_i1073"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ind w:firstLine="620"/>
        <w:jc w:val="both"/>
        <w:rPr>
          <w:sz w:val="20"/>
          <w:szCs w:val="20"/>
        </w:rPr>
      </w:pPr>
      <w:r>
        <w:rPr>
          <w:sz w:val="20"/>
          <w:szCs w:val="20"/>
        </w:rPr>
        <w:t>As a public company, and particularly after we are no longer an EGC, we will incur significant legal, accounting and other expenses that we did not incur as a private company. In addition, the Sarbanes-Oxley Act of 2002 and rules subsequently implemented b</w:t>
      </w:r>
      <w:r>
        <w:rPr>
          <w:sz w:val="20"/>
          <w:szCs w:val="20"/>
        </w:rPr>
        <w:t>y the SEC and The Nasdaq Stock Market LLC have imposed various requirements on public companies, including establishment and maintenance of effective disclosure and financial controls and corporate governance practices. Our management and other personnel d</w:t>
      </w:r>
      <w:r>
        <w:rPr>
          <w:sz w:val="20"/>
          <w:szCs w:val="20"/>
        </w:rPr>
        <w:t>evote a substantial amount of time to these and other compliance initiatives. Moreover, these rules and regulations will continue to increase our legal and financial compliance costs and will make some activities more time-consuming and costly</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 xml:space="preserve">If we fail </w:t>
      </w:r>
      <w:r>
        <w:rPr>
          <w:b/>
          <w:bCs/>
          <w:i/>
          <w:iCs/>
          <w:sz w:val="20"/>
          <w:szCs w:val="20"/>
        </w:rPr>
        <w:t>to maintain an effective system of internal control over financial reporting in the future, we may not be able to accurately report our financial condition, results of operations or cash flows, which may adversely affect investor confidence in us and, as a</w:t>
      </w:r>
      <w:r>
        <w:rPr>
          <w:b/>
          <w:bCs/>
          <w:i/>
          <w:iCs/>
          <w:sz w:val="20"/>
          <w:szCs w:val="20"/>
        </w:rPr>
        <w:t xml:space="preserve"> result, the value of our common stock</w:t>
      </w:r>
      <w:r>
        <w:rPr>
          <w:b/>
          <w:bCs/>
          <w:i/>
          <w:iCs/>
          <w:sz w:val="20"/>
          <w:szCs w:val="20"/>
        </w:rPr>
        <w:t>.</w:t>
      </w:r>
      <w:r>
        <w:rPr>
          <w:b/>
          <w:bCs/>
          <w:i/>
          <w:iCs/>
          <w:sz w:val="20"/>
          <w:szCs w:val="20"/>
        </w:rPr>
        <w:t xml:space="preserve"> </w:t>
      </w:r>
    </w:p>
    <w:p w:rsidR="00000000" w:rsidRDefault="00F83A7A">
      <w:pPr>
        <w:pStyle w:val="a3"/>
        <w:spacing w:before="240" w:beforeAutospacing="0" w:after="0" w:afterAutospacing="0"/>
        <w:ind w:firstLine="620"/>
        <w:jc w:val="both"/>
        <w:rPr>
          <w:sz w:val="20"/>
          <w:szCs w:val="20"/>
        </w:rPr>
      </w:pPr>
      <w:r>
        <w:rPr>
          <w:sz w:val="20"/>
          <w:szCs w:val="20"/>
        </w:rPr>
        <w:t>The Sarbanes-Oxley Act requires, among other things, that we maintain effective internal controls for financial reporting and disclosure controls and procedures. We are required, under Section 404, to furnish a repo</w:t>
      </w:r>
      <w:r>
        <w:rPr>
          <w:sz w:val="20"/>
          <w:szCs w:val="20"/>
        </w:rPr>
        <w:t>rt by management on, among other things, the effectiveness of our internal control over financial reporting. This assessment will need to include disclosure of any material weaknesses identified by our management in our internal control over financial repo</w:t>
      </w:r>
      <w:r>
        <w:rPr>
          <w:sz w:val="20"/>
          <w:szCs w:val="20"/>
        </w:rPr>
        <w:t>rting. A material weakness is a deficiency, or combination of deficiencies, in internal control over financial reporting that results in more than a reasonable possibility that a material misstatement of annual or interim financial statements will not be p</w:t>
      </w:r>
      <w:r>
        <w:rPr>
          <w:sz w:val="20"/>
          <w:szCs w:val="20"/>
        </w:rPr>
        <w:t>revented or detected on a timely basis. Section 404 also generally requires an attestation from our independent registered public accounting firm on the effectiveness of our internal control over financial reporting. However, for as long as we remain an em</w:t>
      </w:r>
      <w:r>
        <w:rPr>
          <w:sz w:val="20"/>
          <w:szCs w:val="20"/>
        </w:rPr>
        <w:t>erging growth company as defined in the JOBS Act, we intend to take advantage of the exemption permitting us not to comply with the independent registered public accounting firm attestation requirement</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Our compliance with Section 404 will require that we </w:t>
      </w:r>
      <w:r>
        <w:rPr>
          <w:sz w:val="20"/>
          <w:szCs w:val="20"/>
        </w:rPr>
        <w:t>incur substantial expense and expend significant management efforts. We currently do not have an internal audit group, and we will need to hire additional accounting and financial staff with appropriate public company experience and technical accounting kn</w:t>
      </w:r>
      <w:r>
        <w:rPr>
          <w:sz w:val="20"/>
          <w:szCs w:val="20"/>
        </w:rPr>
        <w:t>owledge and compile the system and process documentation necessary to perform the evaluation needed to comply with Section 404. We may not be able to complete our evaluation, testing and any required remediation in a timely fashion. During the evaluation a</w:t>
      </w:r>
      <w:r>
        <w:rPr>
          <w:sz w:val="20"/>
          <w:szCs w:val="20"/>
        </w:rPr>
        <w:t>nd testing process, if we identify one or more material weaknesses in our internal control over financial reporting, we will be unable to assert that our internal control over financial reporting is effective. We cannot assure you that there will not be ma</w:t>
      </w:r>
      <w:r>
        <w:rPr>
          <w:sz w:val="20"/>
          <w:szCs w:val="20"/>
        </w:rPr>
        <w:t>terial weaknesses or significant deficiencies in our internal control over financial reporting in the future. Any failure to maintain internal control over financial reporting could severely inhibit our ability to accurately report our financial condition,</w:t>
      </w:r>
      <w:r>
        <w:rPr>
          <w:sz w:val="20"/>
          <w:szCs w:val="20"/>
        </w:rPr>
        <w:t xml:space="preserve"> results of operations or cash flows. If we are unable to conclude that our internal control over financial reporting is effective, or if our independent registered public accounting firm determines we have a material weakness or significant deficiency in </w:t>
      </w:r>
      <w:r>
        <w:rPr>
          <w:sz w:val="20"/>
          <w:szCs w:val="20"/>
        </w:rPr>
        <w:t>our internal control over financial reporting once that firm begins its Section 404 reviews, we could lose investor confidence in the accuracy and completeness of our financial reports, the market price of our common stock could decline, and we could be su</w:t>
      </w:r>
      <w:r>
        <w:rPr>
          <w:sz w:val="20"/>
          <w:szCs w:val="20"/>
        </w:rPr>
        <w:t>bject to sanctions or investigations by The Nasdaq Stock Market LLC, the SEC or other regulatory authorities. Failure to remedy any material weakness in our internal control over financial reporting, or to implement or maintain other effective control syst</w:t>
      </w:r>
      <w:r>
        <w:rPr>
          <w:sz w:val="20"/>
          <w:szCs w:val="20"/>
        </w:rPr>
        <w:t>ems required of public companies, could also restrict our future access to the capital markets</w:t>
      </w:r>
      <w:r>
        <w:rPr>
          <w:sz w:val="20"/>
          <w:szCs w:val="20"/>
        </w:rPr>
        <w:t>.</w:t>
      </w:r>
    </w:p>
    <w:p w:rsidR="00000000" w:rsidRDefault="00F83A7A">
      <w:pPr>
        <w:pStyle w:val="a3"/>
        <w:spacing w:before="120" w:beforeAutospacing="0" w:after="120" w:afterAutospacing="0"/>
        <w:jc w:val="both"/>
        <w:rPr>
          <w:sz w:val="20"/>
          <w:szCs w:val="20"/>
        </w:rPr>
      </w:pPr>
      <w:r>
        <w:rPr>
          <w:b/>
          <w:bCs/>
          <w:sz w:val="20"/>
          <w:szCs w:val="20"/>
        </w:rPr>
        <w:t>Risks Related to the Ownership of Our Common Stock and Other General Matter</w:t>
      </w:r>
      <w:r>
        <w:rPr>
          <w:b/>
          <w:bCs/>
          <w:sz w:val="20"/>
          <w:szCs w:val="20"/>
        </w:rPr>
        <w:t>s</w:t>
      </w:r>
    </w:p>
    <w:p w:rsidR="00000000" w:rsidRDefault="00F83A7A">
      <w:pPr>
        <w:pStyle w:val="a3"/>
        <w:spacing w:before="200" w:beforeAutospacing="0" w:after="0" w:afterAutospacing="0"/>
        <w:jc w:val="both"/>
        <w:rPr>
          <w:sz w:val="20"/>
          <w:szCs w:val="20"/>
        </w:rPr>
      </w:pPr>
      <w:r>
        <w:rPr>
          <w:b/>
          <w:bCs/>
          <w:i/>
          <w:iCs/>
          <w:sz w:val="20"/>
          <w:szCs w:val="20"/>
        </w:rPr>
        <w:t>The market price of our common stock may be volatile and fluctuate substantially, w</w:t>
      </w:r>
      <w:r>
        <w:rPr>
          <w:b/>
          <w:bCs/>
          <w:i/>
          <w:iCs/>
          <w:sz w:val="20"/>
          <w:szCs w:val="20"/>
        </w:rPr>
        <w:t>hich could result in substantial losses for our common stoc</w:t>
      </w:r>
      <w:r>
        <w:rPr>
          <w:b/>
          <w:bCs/>
          <w:i/>
          <w:iCs/>
          <w:sz w:val="20"/>
          <w:szCs w:val="20"/>
        </w:rPr>
        <w:t>k</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The market price of our common stock has been and likely will remain volatile. The stock market in general and the market for biopharmaceutical or pharmaceutical companies in particular, has exp</w:t>
      </w:r>
      <w:r>
        <w:rPr>
          <w:sz w:val="20"/>
          <w:szCs w:val="20"/>
        </w:rPr>
        <w:t>erienced extreme volatility that has often been unrelated to the operating performance of particular companies, including very recently in connection with the ongoing COVID-19 pandemic, which has resulted in decreased stock prices for many companies notwit</w:t>
      </w:r>
      <w:r>
        <w:rPr>
          <w:sz w:val="20"/>
          <w:szCs w:val="20"/>
        </w:rPr>
        <w:t>hstanding the lack of a fundamental change in their underlying business models or prospects. Broad market and industry factors, including potentially worsening economic conditions and other adverse effects or developments relating to the ongoing COVID-19 p</w:t>
      </w:r>
      <w:r>
        <w:rPr>
          <w:sz w:val="20"/>
          <w:szCs w:val="20"/>
        </w:rPr>
        <w:t>andemic, may negatively affect the market price of our common stock, regardless of our actual operating performance. As a result of this volatility, you may lose all or part of your investment in our common stock since you might be unable to sell your shar</w:t>
      </w:r>
      <w:r>
        <w:rPr>
          <w:sz w:val="20"/>
          <w:szCs w:val="20"/>
        </w:rPr>
        <w:t>es at or above the price you paid for the shares. The market price for our common stock may be influenced by many factors, including</w:t>
      </w:r>
      <w:r>
        <w:rPr>
          <w:sz w:val="20"/>
          <w:szCs w:val="20"/>
        </w:rPr>
        <w:t>:</w:t>
      </w:r>
    </w:p>
    <w:p w:rsidR="00000000" w:rsidRDefault="00F83A7A">
      <w:pPr>
        <w:jc w:val="both"/>
        <w:divId w:val="1038815707"/>
        <w:rPr>
          <w:rFonts w:eastAsia="Times New Roman"/>
        </w:rPr>
      </w:pPr>
      <w:r>
        <w:rPr>
          <w:rFonts w:eastAsia="Times New Roman"/>
          <w:sz w:val="20"/>
          <w:szCs w:val="20"/>
        </w:rPr>
        <w:t>•</w:t>
      </w:r>
    </w:p>
    <w:p w:rsidR="00000000" w:rsidRDefault="00F83A7A">
      <w:pPr>
        <w:jc w:val="both"/>
        <w:divId w:val="27033440"/>
        <w:rPr>
          <w:rFonts w:eastAsia="Times New Roman"/>
        </w:rPr>
      </w:pPr>
      <w:r>
        <w:rPr>
          <w:rFonts w:eastAsia="Times New Roman"/>
          <w:sz w:val="20"/>
          <w:szCs w:val="20"/>
        </w:rPr>
        <w:t>results of clinical trials of our current and any future drug candidates or those of our competitors</w:t>
      </w:r>
      <w:r>
        <w:rPr>
          <w:rFonts w:eastAsia="Times New Roman"/>
          <w:sz w:val="20"/>
          <w:szCs w:val="20"/>
        </w:rPr>
        <w:t>;</w:t>
      </w:r>
    </w:p>
    <w:p w:rsidR="00000000" w:rsidRDefault="00F83A7A">
      <w:pPr>
        <w:jc w:val="both"/>
        <w:divId w:val="151022471"/>
        <w:rPr>
          <w:rFonts w:eastAsia="Times New Roman"/>
        </w:rPr>
      </w:pPr>
      <w:r>
        <w:rPr>
          <w:rFonts w:eastAsia="Times New Roman"/>
          <w:sz w:val="20"/>
          <w:szCs w:val="20"/>
        </w:rPr>
        <w:t>•</w:t>
      </w:r>
    </w:p>
    <w:p w:rsidR="00000000" w:rsidRDefault="00F83A7A">
      <w:pPr>
        <w:jc w:val="both"/>
        <w:divId w:val="388695954"/>
        <w:rPr>
          <w:rFonts w:eastAsia="Times New Roman"/>
        </w:rPr>
      </w:pPr>
      <w:r>
        <w:rPr>
          <w:rFonts w:eastAsia="Times New Roman"/>
          <w:sz w:val="20"/>
          <w:szCs w:val="20"/>
        </w:rPr>
        <w:t>the success of c</w:t>
      </w:r>
      <w:r>
        <w:rPr>
          <w:rFonts w:eastAsia="Times New Roman"/>
          <w:sz w:val="20"/>
          <w:szCs w:val="20"/>
        </w:rPr>
        <w:t>ompetitive drugs or therapies</w:t>
      </w:r>
      <w:r>
        <w:rPr>
          <w:rFonts w:eastAsia="Times New Roman"/>
          <w:sz w:val="20"/>
          <w:szCs w:val="20"/>
        </w:rPr>
        <w:t>;</w:t>
      </w:r>
    </w:p>
    <w:p w:rsidR="00000000" w:rsidRDefault="00F83A7A">
      <w:pPr>
        <w:jc w:val="both"/>
        <w:divId w:val="1528568602"/>
        <w:rPr>
          <w:rFonts w:eastAsia="Times New Roman"/>
        </w:rPr>
      </w:pPr>
      <w:r>
        <w:rPr>
          <w:rFonts w:eastAsia="Times New Roman"/>
          <w:sz w:val="20"/>
          <w:szCs w:val="20"/>
        </w:rPr>
        <w:t>•</w:t>
      </w:r>
    </w:p>
    <w:p w:rsidR="00000000" w:rsidRDefault="00F83A7A">
      <w:pPr>
        <w:jc w:val="both"/>
        <w:divId w:val="864902767"/>
        <w:rPr>
          <w:rFonts w:eastAsia="Times New Roman"/>
        </w:rPr>
      </w:pPr>
      <w:r>
        <w:rPr>
          <w:rFonts w:eastAsia="Times New Roman"/>
          <w:sz w:val="20"/>
          <w:szCs w:val="20"/>
        </w:rPr>
        <w:t>regulatory or legal developments in the United States and other countries</w:t>
      </w:r>
      <w:r>
        <w:rPr>
          <w:rFonts w:eastAsia="Times New Roman"/>
          <w:sz w:val="20"/>
          <w:szCs w:val="20"/>
        </w:rPr>
        <w:t>;</w:t>
      </w:r>
    </w:p>
    <w:p w:rsidR="00000000" w:rsidRDefault="00F83A7A">
      <w:pPr>
        <w:jc w:val="both"/>
        <w:divId w:val="1155535239"/>
        <w:rPr>
          <w:rFonts w:eastAsia="Times New Roman"/>
        </w:rPr>
      </w:pPr>
      <w:r>
        <w:rPr>
          <w:rFonts w:eastAsia="Times New Roman"/>
          <w:sz w:val="20"/>
          <w:szCs w:val="20"/>
        </w:rPr>
        <w:t>•</w:t>
      </w:r>
    </w:p>
    <w:p w:rsidR="00000000" w:rsidRDefault="00F83A7A">
      <w:pPr>
        <w:jc w:val="both"/>
        <w:divId w:val="1407652487"/>
        <w:rPr>
          <w:rFonts w:eastAsia="Times New Roman"/>
        </w:rPr>
      </w:pPr>
      <w:r>
        <w:rPr>
          <w:rFonts w:eastAsia="Times New Roman"/>
          <w:sz w:val="20"/>
          <w:szCs w:val="20"/>
        </w:rPr>
        <w:t>developments or disputes concerning patent applications, issued patents or other proprietary rights</w:t>
      </w:r>
      <w:r>
        <w:rPr>
          <w:rFonts w:eastAsia="Times New Roman"/>
          <w:sz w:val="20"/>
          <w:szCs w:val="20"/>
        </w:rPr>
        <w:t>;</w:t>
      </w:r>
    </w:p>
    <w:p w:rsidR="00000000" w:rsidRDefault="00F83A7A">
      <w:pPr>
        <w:jc w:val="both"/>
        <w:divId w:val="2112771545"/>
        <w:rPr>
          <w:rFonts w:eastAsia="Times New Roman"/>
        </w:rPr>
      </w:pPr>
      <w:r>
        <w:rPr>
          <w:rFonts w:eastAsia="Times New Roman"/>
          <w:sz w:val="20"/>
          <w:szCs w:val="20"/>
        </w:rPr>
        <w:t>•</w:t>
      </w:r>
    </w:p>
    <w:p w:rsidR="00000000" w:rsidRDefault="00F83A7A">
      <w:pPr>
        <w:jc w:val="both"/>
        <w:divId w:val="2047556031"/>
        <w:rPr>
          <w:rFonts w:eastAsia="Times New Roman"/>
        </w:rPr>
      </w:pPr>
      <w:r>
        <w:rPr>
          <w:rFonts w:eastAsia="Times New Roman"/>
          <w:sz w:val="20"/>
          <w:szCs w:val="20"/>
        </w:rPr>
        <w:t>the recruitment or departure of key personnel</w:t>
      </w:r>
      <w:r>
        <w:rPr>
          <w:rFonts w:eastAsia="Times New Roman"/>
          <w:sz w:val="20"/>
          <w:szCs w:val="20"/>
        </w:rPr>
        <w:t>;</w:t>
      </w:r>
    </w:p>
    <w:p w:rsidR="00000000" w:rsidRDefault="00F83A7A">
      <w:pPr>
        <w:pStyle w:val="a3"/>
        <w:spacing w:before="240" w:beforeAutospacing="0" w:after="0" w:afterAutospacing="0"/>
        <w:jc w:val="center"/>
        <w:rPr>
          <w:sz w:val="20"/>
          <w:szCs w:val="20"/>
        </w:rPr>
      </w:pPr>
      <w:r>
        <w:rPr>
          <w:sz w:val="20"/>
          <w:szCs w:val="20"/>
        </w:rPr>
        <w:t>4</w:t>
      </w:r>
      <w:r>
        <w:rPr>
          <w:sz w:val="20"/>
          <w:szCs w:val="20"/>
        </w:rPr>
        <w:t>7</w:t>
      </w:r>
    </w:p>
    <w:p w:rsidR="00000000" w:rsidRDefault="00F83A7A">
      <w:pPr>
        <w:rPr>
          <w:rFonts w:eastAsia="Times New Roman"/>
        </w:rPr>
      </w:pPr>
      <w:r>
        <w:rPr>
          <w:rFonts w:eastAsia="Times New Roman"/>
        </w:rPr>
        <w:pict>
          <v:rect id="_x0000_i1074"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jc w:val="both"/>
        <w:divId w:val="953050748"/>
        <w:rPr>
          <w:rFonts w:eastAsia="Times New Roman"/>
        </w:rPr>
      </w:pPr>
      <w:r>
        <w:rPr>
          <w:rFonts w:eastAsia="Times New Roman"/>
          <w:sz w:val="20"/>
          <w:szCs w:val="20"/>
        </w:rPr>
        <w:t>•</w:t>
      </w:r>
    </w:p>
    <w:p w:rsidR="00000000" w:rsidRDefault="00F83A7A">
      <w:pPr>
        <w:jc w:val="both"/>
        <w:divId w:val="272520009"/>
        <w:rPr>
          <w:rFonts w:eastAsia="Times New Roman"/>
        </w:rPr>
      </w:pPr>
      <w:r>
        <w:rPr>
          <w:rFonts w:eastAsia="Times New Roman"/>
          <w:sz w:val="20"/>
          <w:szCs w:val="20"/>
        </w:rPr>
        <w:t>the level of expenses related to our current and any future drug candidates or clinical development programs</w:t>
      </w:r>
      <w:r>
        <w:rPr>
          <w:rFonts w:eastAsia="Times New Roman"/>
          <w:sz w:val="20"/>
          <w:szCs w:val="20"/>
        </w:rPr>
        <w:t>;</w:t>
      </w:r>
    </w:p>
    <w:p w:rsidR="00000000" w:rsidRDefault="00F83A7A">
      <w:pPr>
        <w:jc w:val="both"/>
        <w:divId w:val="93283891"/>
        <w:rPr>
          <w:rFonts w:eastAsia="Times New Roman"/>
        </w:rPr>
      </w:pPr>
      <w:r>
        <w:rPr>
          <w:rFonts w:eastAsia="Times New Roman"/>
          <w:sz w:val="20"/>
          <w:szCs w:val="20"/>
        </w:rPr>
        <w:t>•</w:t>
      </w:r>
    </w:p>
    <w:p w:rsidR="00000000" w:rsidRDefault="00F83A7A">
      <w:pPr>
        <w:jc w:val="both"/>
        <w:divId w:val="1201164110"/>
        <w:rPr>
          <w:rFonts w:eastAsia="Times New Roman"/>
        </w:rPr>
      </w:pPr>
      <w:r>
        <w:rPr>
          <w:rFonts w:eastAsia="Times New Roman"/>
          <w:sz w:val="20"/>
          <w:szCs w:val="20"/>
        </w:rPr>
        <w:t>the results of our efforts to discover, develop, acqui</w:t>
      </w:r>
      <w:r>
        <w:rPr>
          <w:rFonts w:eastAsia="Times New Roman"/>
          <w:sz w:val="20"/>
          <w:szCs w:val="20"/>
        </w:rPr>
        <w:t>re or in-license additional drug candidates</w:t>
      </w:r>
      <w:r>
        <w:rPr>
          <w:rFonts w:eastAsia="Times New Roman"/>
          <w:sz w:val="20"/>
          <w:szCs w:val="20"/>
        </w:rPr>
        <w:t>;</w:t>
      </w:r>
    </w:p>
    <w:p w:rsidR="00000000" w:rsidRDefault="00F83A7A">
      <w:pPr>
        <w:jc w:val="both"/>
        <w:divId w:val="1961493862"/>
        <w:rPr>
          <w:rFonts w:eastAsia="Times New Roman"/>
        </w:rPr>
      </w:pPr>
      <w:r>
        <w:rPr>
          <w:rFonts w:eastAsia="Times New Roman"/>
          <w:sz w:val="20"/>
          <w:szCs w:val="20"/>
        </w:rPr>
        <w:t>•</w:t>
      </w:r>
    </w:p>
    <w:p w:rsidR="00000000" w:rsidRDefault="00F83A7A">
      <w:pPr>
        <w:jc w:val="both"/>
        <w:divId w:val="1228567463"/>
        <w:rPr>
          <w:rFonts w:eastAsia="Times New Roman"/>
        </w:rPr>
      </w:pPr>
      <w:r>
        <w:rPr>
          <w:rFonts w:eastAsia="Times New Roman"/>
          <w:sz w:val="20"/>
          <w:szCs w:val="20"/>
        </w:rPr>
        <w:t>actual or anticipated changes in estimates as to financial results, development timelines or recommendations by securities analysts</w:t>
      </w:r>
      <w:r>
        <w:rPr>
          <w:rFonts w:eastAsia="Times New Roman"/>
          <w:sz w:val="20"/>
          <w:szCs w:val="20"/>
        </w:rPr>
        <w:t>;</w:t>
      </w:r>
    </w:p>
    <w:p w:rsidR="00000000" w:rsidRDefault="00F83A7A">
      <w:pPr>
        <w:jc w:val="both"/>
        <w:divId w:val="309867322"/>
        <w:rPr>
          <w:rFonts w:eastAsia="Times New Roman"/>
        </w:rPr>
      </w:pPr>
      <w:r>
        <w:rPr>
          <w:rFonts w:eastAsia="Times New Roman"/>
          <w:sz w:val="20"/>
          <w:szCs w:val="20"/>
        </w:rPr>
        <w:t>•</w:t>
      </w:r>
    </w:p>
    <w:p w:rsidR="00000000" w:rsidRDefault="00F83A7A">
      <w:pPr>
        <w:jc w:val="both"/>
        <w:divId w:val="830413012"/>
        <w:rPr>
          <w:rFonts w:eastAsia="Times New Roman"/>
        </w:rPr>
      </w:pPr>
      <w:r>
        <w:rPr>
          <w:rFonts w:eastAsia="Times New Roman"/>
          <w:sz w:val="20"/>
          <w:szCs w:val="20"/>
        </w:rPr>
        <w:t>our inability to obtain or delays in obtaining adequate drug supply for an</w:t>
      </w:r>
      <w:r>
        <w:rPr>
          <w:rFonts w:eastAsia="Times New Roman"/>
          <w:sz w:val="20"/>
          <w:szCs w:val="20"/>
        </w:rPr>
        <w:t>y approved drug or inability to do so at acceptable prices</w:t>
      </w:r>
      <w:r>
        <w:rPr>
          <w:rFonts w:eastAsia="Times New Roman"/>
          <w:sz w:val="20"/>
          <w:szCs w:val="20"/>
        </w:rPr>
        <w:t>;</w:t>
      </w:r>
    </w:p>
    <w:p w:rsidR="00000000" w:rsidRDefault="00F83A7A">
      <w:pPr>
        <w:jc w:val="both"/>
        <w:divId w:val="967666920"/>
        <w:rPr>
          <w:rFonts w:eastAsia="Times New Roman"/>
        </w:rPr>
      </w:pPr>
      <w:r>
        <w:rPr>
          <w:rFonts w:eastAsia="Times New Roman"/>
          <w:sz w:val="20"/>
          <w:szCs w:val="20"/>
        </w:rPr>
        <w:t>•</w:t>
      </w:r>
    </w:p>
    <w:p w:rsidR="00000000" w:rsidRDefault="00F83A7A">
      <w:pPr>
        <w:jc w:val="both"/>
        <w:divId w:val="1476951514"/>
        <w:rPr>
          <w:rFonts w:eastAsia="Times New Roman"/>
        </w:rPr>
      </w:pPr>
      <w:r>
        <w:rPr>
          <w:rFonts w:eastAsia="Times New Roman"/>
          <w:sz w:val="20"/>
          <w:szCs w:val="20"/>
        </w:rPr>
        <w:t>disputes or other developments relating to proprietary rights, including patents, litigation matters and our ability to obtain patent protection for our technologies</w:t>
      </w:r>
      <w:r>
        <w:rPr>
          <w:rFonts w:eastAsia="Times New Roman"/>
          <w:sz w:val="20"/>
          <w:szCs w:val="20"/>
        </w:rPr>
        <w:t>;</w:t>
      </w:r>
    </w:p>
    <w:p w:rsidR="00000000" w:rsidRDefault="00F83A7A">
      <w:pPr>
        <w:jc w:val="both"/>
        <w:divId w:val="178206949"/>
        <w:rPr>
          <w:rFonts w:eastAsia="Times New Roman"/>
        </w:rPr>
      </w:pPr>
      <w:r>
        <w:rPr>
          <w:rFonts w:eastAsia="Times New Roman"/>
          <w:sz w:val="20"/>
          <w:szCs w:val="20"/>
        </w:rPr>
        <w:t>•</w:t>
      </w:r>
    </w:p>
    <w:p w:rsidR="00000000" w:rsidRDefault="00F83A7A">
      <w:pPr>
        <w:jc w:val="both"/>
        <w:divId w:val="809714429"/>
        <w:rPr>
          <w:rFonts w:eastAsia="Times New Roman"/>
        </w:rPr>
      </w:pPr>
      <w:r>
        <w:rPr>
          <w:rFonts w:eastAsia="Times New Roman"/>
          <w:sz w:val="20"/>
          <w:szCs w:val="20"/>
        </w:rPr>
        <w:t>significant lawsuits, inc</w:t>
      </w:r>
      <w:r>
        <w:rPr>
          <w:rFonts w:eastAsia="Times New Roman"/>
          <w:sz w:val="20"/>
          <w:szCs w:val="20"/>
        </w:rPr>
        <w:t>luding patent or stockholder litigation</w:t>
      </w:r>
      <w:r>
        <w:rPr>
          <w:rFonts w:eastAsia="Times New Roman"/>
          <w:sz w:val="20"/>
          <w:szCs w:val="20"/>
        </w:rPr>
        <w:t>;</w:t>
      </w:r>
    </w:p>
    <w:p w:rsidR="00000000" w:rsidRDefault="00F83A7A">
      <w:pPr>
        <w:jc w:val="both"/>
        <w:divId w:val="1728649432"/>
        <w:rPr>
          <w:rFonts w:eastAsia="Times New Roman"/>
        </w:rPr>
      </w:pPr>
      <w:r>
        <w:rPr>
          <w:rFonts w:eastAsia="Times New Roman"/>
          <w:sz w:val="20"/>
          <w:szCs w:val="20"/>
        </w:rPr>
        <w:t>•</w:t>
      </w:r>
    </w:p>
    <w:p w:rsidR="00000000" w:rsidRDefault="00F83A7A">
      <w:pPr>
        <w:jc w:val="both"/>
        <w:divId w:val="1040975975"/>
        <w:rPr>
          <w:rFonts w:eastAsia="Times New Roman"/>
        </w:rPr>
      </w:pPr>
      <w:r>
        <w:rPr>
          <w:rFonts w:eastAsia="Times New Roman"/>
          <w:sz w:val="20"/>
          <w:szCs w:val="20"/>
        </w:rPr>
        <w:t>variations in our financial results or those of companies that are perceived to be similar to us</w:t>
      </w:r>
      <w:r>
        <w:rPr>
          <w:rFonts w:eastAsia="Times New Roman"/>
          <w:sz w:val="20"/>
          <w:szCs w:val="20"/>
        </w:rPr>
        <w:t>;</w:t>
      </w:r>
    </w:p>
    <w:p w:rsidR="00000000" w:rsidRDefault="00F83A7A">
      <w:pPr>
        <w:jc w:val="both"/>
        <w:divId w:val="1821994924"/>
        <w:rPr>
          <w:rFonts w:eastAsia="Times New Roman"/>
        </w:rPr>
      </w:pPr>
      <w:r>
        <w:rPr>
          <w:rFonts w:eastAsia="Times New Roman"/>
          <w:sz w:val="20"/>
          <w:szCs w:val="20"/>
        </w:rPr>
        <w:t>•</w:t>
      </w:r>
    </w:p>
    <w:p w:rsidR="00000000" w:rsidRDefault="00F83A7A">
      <w:pPr>
        <w:jc w:val="both"/>
        <w:divId w:val="597910751"/>
        <w:rPr>
          <w:rFonts w:eastAsia="Times New Roman"/>
        </w:rPr>
      </w:pPr>
      <w:r>
        <w:rPr>
          <w:rFonts w:eastAsia="Times New Roman"/>
          <w:sz w:val="20"/>
          <w:szCs w:val="20"/>
        </w:rPr>
        <w:t>changes in the structure of healthcare payment systems</w:t>
      </w:r>
      <w:r>
        <w:rPr>
          <w:rFonts w:eastAsia="Times New Roman"/>
          <w:sz w:val="20"/>
          <w:szCs w:val="20"/>
        </w:rPr>
        <w:t>;</w:t>
      </w:r>
    </w:p>
    <w:p w:rsidR="00000000" w:rsidRDefault="00F83A7A">
      <w:pPr>
        <w:jc w:val="both"/>
        <w:divId w:val="645402791"/>
        <w:rPr>
          <w:rFonts w:eastAsia="Times New Roman"/>
        </w:rPr>
      </w:pPr>
      <w:r>
        <w:rPr>
          <w:rFonts w:eastAsia="Times New Roman"/>
          <w:sz w:val="20"/>
          <w:szCs w:val="20"/>
        </w:rPr>
        <w:t>•</w:t>
      </w:r>
    </w:p>
    <w:p w:rsidR="00000000" w:rsidRDefault="00F83A7A">
      <w:pPr>
        <w:jc w:val="both"/>
        <w:divId w:val="851606291"/>
        <w:rPr>
          <w:rFonts w:eastAsia="Times New Roman"/>
        </w:rPr>
      </w:pPr>
      <w:r>
        <w:rPr>
          <w:rFonts w:eastAsia="Times New Roman"/>
          <w:sz w:val="20"/>
          <w:szCs w:val="20"/>
        </w:rPr>
        <w:t>market conditions in the pharmaceutical and biotechnolo</w:t>
      </w:r>
      <w:r>
        <w:rPr>
          <w:rFonts w:eastAsia="Times New Roman"/>
          <w:sz w:val="20"/>
          <w:szCs w:val="20"/>
        </w:rPr>
        <w:t>gy sectors</w:t>
      </w:r>
      <w:r>
        <w:rPr>
          <w:rFonts w:eastAsia="Times New Roman"/>
          <w:sz w:val="20"/>
          <w:szCs w:val="20"/>
        </w:rPr>
        <w:t>;</w:t>
      </w:r>
    </w:p>
    <w:p w:rsidR="00000000" w:rsidRDefault="00F83A7A">
      <w:pPr>
        <w:jc w:val="both"/>
        <w:divId w:val="1337031700"/>
        <w:rPr>
          <w:rFonts w:eastAsia="Times New Roman"/>
        </w:rPr>
      </w:pPr>
      <w:r>
        <w:rPr>
          <w:rFonts w:eastAsia="Times New Roman"/>
          <w:sz w:val="20"/>
          <w:szCs w:val="20"/>
        </w:rPr>
        <w:t>•</w:t>
      </w:r>
    </w:p>
    <w:p w:rsidR="00000000" w:rsidRDefault="00F83A7A">
      <w:pPr>
        <w:jc w:val="both"/>
        <w:divId w:val="1979991687"/>
        <w:rPr>
          <w:rFonts w:eastAsia="Times New Roman"/>
        </w:rPr>
      </w:pPr>
      <w:r>
        <w:rPr>
          <w:rFonts w:eastAsia="Times New Roman"/>
          <w:sz w:val="20"/>
          <w:szCs w:val="20"/>
        </w:rPr>
        <w:t>general economic, industry and market conditions; an</w:t>
      </w:r>
      <w:r>
        <w:rPr>
          <w:rFonts w:eastAsia="Times New Roman"/>
          <w:sz w:val="20"/>
          <w:szCs w:val="20"/>
        </w:rPr>
        <w:t>d</w:t>
      </w:r>
    </w:p>
    <w:p w:rsidR="00000000" w:rsidRDefault="00F83A7A">
      <w:pPr>
        <w:jc w:val="both"/>
        <w:divId w:val="1382948459"/>
        <w:rPr>
          <w:rFonts w:eastAsia="Times New Roman"/>
        </w:rPr>
      </w:pPr>
      <w:r>
        <w:rPr>
          <w:rFonts w:eastAsia="Times New Roman"/>
          <w:sz w:val="20"/>
          <w:szCs w:val="20"/>
        </w:rPr>
        <w:t>•</w:t>
      </w:r>
    </w:p>
    <w:p w:rsidR="00000000" w:rsidRDefault="00F83A7A">
      <w:pPr>
        <w:jc w:val="both"/>
        <w:divId w:val="1025983989"/>
        <w:rPr>
          <w:rFonts w:eastAsia="Times New Roman"/>
        </w:rPr>
      </w:pPr>
      <w:r>
        <w:rPr>
          <w:rFonts w:eastAsia="Times New Roman"/>
          <w:sz w:val="20"/>
          <w:szCs w:val="20"/>
        </w:rPr>
        <w:t>the other factors described in this “Risk Factors” section</w:t>
      </w:r>
      <w:r>
        <w:rPr>
          <w:rFonts w:eastAsia="Times New Roman"/>
          <w:sz w:val="20"/>
          <w:szCs w:val="20"/>
        </w:rPr>
        <w:t>.</w:t>
      </w:r>
    </w:p>
    <w:p w:rsidR="00000000" w:rsidRDefault="00F83A7A">
      <w:pPr>
        <w:pStyle w:val="a3"/>
        <w:spacing w:before="240" w:beforeAutospacing="0" w:after="0" w:afterAutospacing="0"/>
        <w:ind w:firstLine="620"/>
        <w:jc w:val="both"/>
        <w:rPr>
          <w:sz w:val="20"/>
          <w:szCs w:val="20"/>
        </w:rPr>
      </w:pPr>
      <w:r>
        <w:rPr>
          <w:sz w:val="20"/>
          <w:szCs w:val="20"/>
        </w:rPr>
        <w:t>In addition, in the past, stockholders have initiated class action lawsuits against companies following periods of volatility in the market prices of these companies’ stock. Such litigation, if instituted against us, could cause us to incur substantial cos</w:t>
      </w:r>
      <w:r>
        <w:rPr>
          <w:sz w:val="20"/>
          <w:szCs w:val="20"/>
        </w:rPr>
        <w:t>ts and divert management’s attention and resources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Unstable market and economic conditions may have serious adverse consequences on our business, financial condition and share price</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The global economy, including credit and financial markets, has experien</w:t>
      </w:r>
      <w:r>
        <w:rPr>
          <w:sz w:val="20"/>
          <w:szCs w:val="20"/>
        </w:rPr>
        <w:t>ced extreme volatility and disruptions, including severely diminished liquidity and credit availability, declines in consumer confidence, declines in economic growth, increases in unemployment rates, increases in inflation rates and uncertainty about econo</w:t>
      </w:r>
      <w:r>
        <w:rPr>
          <w:sz w:val="20"/>
          <w:szCs w:val="20"/>
        </w:rPr>
        <w:t xml:space="preserve">mic stability. For example, the COVID-19 pandemic resulted in widespread unemployment, economic slowdown and extreme volatility in the capital markets. Similarly, the current conflict between Ukraine and Russia has created extreme volatility in the global </w:t>
      </w:r>
      <w:r>
        <w:rPr>
          <w:sz w:val="20"/>
          <w:szCs w:val="20"/>
        </w:rPr>
        <w:t>capital markets and is expected to have further global economic consequences, including disruptions of the global supply chain and energy markets. Any such volatility and disruptions may have adverse consequences on us or the third parties on whom we rely.</w:t>
      </w:r>
      <w:r>
        <w:rPr>
          <w:sz w:val="20"/>
          <w:szCs w:val="20"/>
        </w:rPr>
        <w:t xml:space="preserve"> If the equity and credit markets deteriorate, including as a result of political unrest or war, it may make any necessary debt or equity financing more difficult to obtain in a timely manner or on favorable terms, more costly or more dilutiv</w:t>
      </w:r>
      <w:r>
        <w:rPr>
          <w:sz w:val="20"/>
          <w:szCs w:val="20"/>
        </w:rPr>
        <w:t>e</w:t>
      </w:r>
    </w:p>
    <w:p w:rsidR="00000000" w:rsidRDefault="00F83A7A">
      <w:pPr>
        <w:pStyle w:val="a3"/>
        <w:spacing w:before="200" w:beforeAutospacing="0" w:after="0" w:afterAutospacing="0"/>
        <w:jc w:val="both"/>
        <w:rPr>
          <w:sz w:val="20"/>
          <w:szCs w:val="20"/>
        </w:rPr>
      </w:pPr>
      <w:r>
        <w:rPr>
          <w:b/>
          <w:bCs/>
          <w:i/>
          <w:iCs/>
          <w:sz w:val="20"/>
          <w:szCs w:val="20"/>
        </w:rPr>
        <w:t xml:space="preserve">There is no </w:t>
      </w:r>
      <w:r>
        <w:rPr>
          <w:b/>
          <w:bCs/>
          <w:i/>
          <w:iCs/>
          <w:sz w:val="20"/>
          <w:szCs w:val="20"/>
        </w:rPr>
        <w:t>public market for our Series A convertible preferred stoc</w:t>
      </w:r>
      <w:r>
        <w:rPr>
          <w:b/>
          <w:bCs/>
          <w:i/>
          <w:iCs/>
          <w:sz w:val="20"/>
          <w:szCs w:val="20"/>
        </w:rPr>
        <w:t>k</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There is no established public trading market for our Series A convertible preferred stock, and we do not expect a market to develop. In addition, we do not intend to apply for listing of the Seri</w:t>
      </w:r>
      <w:r>
        <w:rPr>
          <w:sz w:val="20"/>
          <w:szCs w:val="20"/>
        </w:rPr>
        <w:t>es A convertible preferred stock on any national securities exchange or other nationally recognized trading system. Without an active market, the liquidity of the Series A convertible preferred stock will be limited</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We may sell additional equity or debt s</w:t>
      </w:r>
      <w:r>
        <w:rPr>
          <w:b/>
          <w:bCs/>
          <w:i/>
          <w:iCs/>
          <w:sz w:val="20"/>
          <w:szCs w:val="20"/>
        </w:rPr>
        <w:t>ecurities or enter into other arrangements to fund our operations, which may result in dilution to our stockholders and impose restrictions or limitations on our business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Until we can generate a sufficient amount of revenue from our products, if ever, we expect to finance future cash needs through public or private equity or debt offerings. In November 2020, we filed a shelf registration statement on Form S-3 (Registration </w:t>
      </w:r>
      <w:r>
        <w:rPr>
          <w:sz w:val="20"/>
          <w:szCs w:val="20"/>
        </w:rPr>
        <w:t xml:space="preserve">No. 333-250054) that allows us to sell up to an aggregate of $250.0 million of our common stock, preferred stock, debt securities and/or warrants (the “S-3 Registration Statement”), which includes a prospectus covering the issuance and sale of up to $75.0 </w:t>
      </w:r>
      <w:r>
        <w:rPr>
          <w:sz w:val="20"/>
          <w:szCs w:val="20"/>
        </w:rPr>
        <w:t>million of common stock pursuant to an at-the-market (“ATM”) offering program. As of December 31, 2021, we had $250.0 million available under our S-3 Registration Statement, including $75.0 million available pursuant to our ATM program. Financing activitie</w:t>
      </w:r>
      <w:r>
        <w:rPr>
          <w:sz w:val="20"/>
          <w:szCs w:val="20"/>
        </w:rPr>
        <w:t>s may have an adverse impact on our stockholders’ rights as well as on our operations, and such additional funding may not be available on reasonable terms, if at all. If we raise additional funds through the issuance of additional debt or equity securitie</w:t>
      </w:r>
      <w:r>
        <w:rPr>
          <w:sz w:val="20"/>
          <w:szCs w:val="20"/>
        </w:rPr>
        <w:t>s, it may result in dilution to our existing stockholders and/or increased fixed payment obligations. Furthermore, these securities may have rights senior to those of our common stock and could contain covenants that would restrict our operations and poten</w:t>
      </w:r>
      <w:r>
        <w:rPr>
          <w:sz w:val="20"/>
          <w:szCs w:val="20"/>
        </w:rPr>
        <w:t>tially impair our competitiveness, such as redeeming our shares, making investments, issuing additional equity, limitations on our ability to incur additional debt, limitations on our ability to acquire, sell or license intellectual property rights and oth</w:t>
      </w:r>
      <w:r>
        <w:rPr>
          <w:sz w:val="20"/>
          <w:szCs w:val="20"/>
        </w:rPr>
        <w:t>er operating restrictions that could adversely impact our ability to conduct ou</w:t>
      </w:r>
      <w:r>
        <w:rPr>
          <w:sz w:val="20"/>
          <w:szCs w:val="20"/>
        </w:rPr>
        <w:t>r</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4</w:t>
      </w:r>
      <w:r>
        <w:rPr>
          <w:sz w:val="20"/>
          <w:szCs w:val="20"/>
        </w:rPr>
        <w:t>8</w:t>
      </w:r>
    </w:p>
    <w:p w:rsidR="00000000" w:rsidRDefault="00F83A7A">
      <w:pPr>
        <w:rPr>
          <w:rFonts w:eastAsia="Times New Roman"/>
        </w:rPr>
      </w:pPr>
      <w:r>
        <w:rPr>
          <w:rFonts w:eastAsia="Times New Roman"/>
        </w:rPr>
        <w:pict>
          <v:rect id="_x0000_i1075"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jc w:val="both"/>
        <w:rPr>
          <w:sz w:val="20"/>
          <w:szCs w:val="20"/>
        </w:rPr>
      </w:pPr>
      <w:r>
        <w:rPr>
          <w:sz w:val="20"/>
          <w:szCs w:val="20"/>
        </w:rPr>
        <w:t>business. Additionally, if we seek funds through arrangements with collaborative partners, these arrangements may require us to reli</w:t>
      </w:r>
      <w:r>
        <w:rPr>
          <w:sz w:val="20"/>
          <w:szCs w:val="20"/>
        </w:rPr>
        <w:t>nquish rights to some of our technologies or drug candidates or otherwise agree to terms unfavorable to us. Any of these events could significantly harm our business, financial condition and prospects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 xml:space="preserve">You will be diluted by any conversions of outstanding </w:t>
      </w:r>
      <w:r>
        <w:rPr>
          <w:b/>
          <w:bCs/>
          <w:i/>
          <w:iCs/>
          <w:sz w:val="20"/>
          <w:szCs w:val="20"/>
        </w:rPr>
        <w:t>Series A convertible preferred stock and exercises of outstanding options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As of December 31, 2021, we had outstanding options to purchase an aggregate of 10,776,758 shares of our common stock at a weighted average exercise price of $4.97 per share and 1,2</w:t>
      </w:r>
      <w:r>
        <w:rPr>
          <w:sz w:val="20"/>
          <w:szCs w:val="20"/>
        </w:rPr>
        <w:t>50,000 shares of common stock issuable upon conversion of outstanding Series A convertible preferred stock for no additional consideration. Such Series A convertible preferred stock is convertible any time at the option of the holder thereof subject to the</w:t>
      </w:r>
      <w:r>
        <w:rPr>
          <w:sz w:val="20"/>
          <w:szCs w:val="20"/>
        </w:rPr>
        <w:t xml:space="preserve"> beneficial ownership limitations described in Note 6 to the financial statements contained in this Annual Report on Form 10-K. The exercise of such options and conversion of the Series A convertible preferred stock for shares of our common stock will resu</w:t>
      </w:r>
      <w:r>
        <w:rPr>
          <w:sz w:val="20"/>
          <w:szCs w:val="20"/>
        </w:rPr>
        <w:t>lt in further dilution of your investment and could negatively affect the market price of our common stock. In addition, you may experience further dilution if we issue common stock, or securities convertible into common stock, in the future. As a result o</w:t>
      </w:r>
      <w:r>
        <w:rPr>
          <w:sz w:val="20"/>
          <w:szCs w:val="20"/>
        </w:rPr>
        <w:t>f this dilution, you may receive significantly less than the full purchase price you paid for the shares in the event of liquidation</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Concentration of ownership of our common stock among our executive officers, directors and principal stockholders may prev</w:t>
      </w:r>
      <w:r>
        <w:rPr>
          <w:b/>
          <w:bCs/>
          <w:i/>
          <w:iCs/>
          <w:sz w:val="20"/>
          <w:szCs w:val="20"/>
        </w:rPr>
        <w:t>ent new investors from influencing significant corporate decisions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Based upon shares of our common stock outstanding as of December 31, 2021, our executive officers, directors and stockholders who owned more than 5% of our outstanding common stock, in the</w:t>
      </w:r>
      <w:r>
        <w:rPr>
          <w:sz w:val="20"/>
          <w:szCs w:val="20"/>
        </w:rPr>
        <w:t xml:space="preserve"> aggregate, beneficially own shares representing approximately 44.4% of our outstanding common stock</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Takeda, a greater than 5% holder, has agreed to, among other things, (i) a standstill provision, (ii) restrictions on its ability to sell or otherwise tra</w:t>
      </w:r>
      <w:r>
        <w:rPr>
          <w:sz w:val="20"/>
          <w:szCs w:val="20"/>
        </w:rPr>
        <w:t>nsfer its shares of our stock, (iii) vote its shares on certain matters in accordance with the holders of a majority of shares of our common stock and (iv) restrictions on the percentage of our outstanding common stock it may own, in accordance with the te</w:t>
      </w:r>
      <w:r>
        <w:rPr>
          <w:sz w:val="20"/>
          <w:szCs w:val="20"/>
        </w:rPr>
        <w:t>rms of the Takeda License and Termination Agreement</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If our executive officers, directors and stockholders who owned more than 5% of our outstanding common stock acted together, they may be able to significantly influence all matters requiring stockholder </w:t>
      </w:r>
      <w:r>
        <w:rPr>
          <w:sz w:val="20"/>
          <w:szCs w:val="20"/>
        </w:rPr>
        <w:t>approval, including the election and removal of directors and approval of any merger, consolidation or sale of all or substantially all of our assets. The concentration of voting power, Takeda standstill provisions, voting obligations and transfer restrict</w:t>
      </w:r>
      <w:r>
        <w:rPr>
          <w:sz w:val="20"/>
          <w:szCs w:val="20"/>
        </w:rPr>
        <w:t>ions could delay or prevent an acquisition of our company on terms that other stockholders may desire or result in the management of our company in ways with which other stockholders disagree with</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 xml:space="preserve">If securities analysts do not publish research or reports </w:t>
      </w:r>
      <w:r>
        <w:rPr>
          <w:b/>
          <w:bCs/>
          <w:i/>
          <w:iCs/>
          <w:sz w:val="20"/>
          <w:szCs w:val="20"/>
        </w:rPr>
        <w:t>about our business or if they publish negative evaluations of our stock, the price of our stock could decline</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The trading market for our common stock relies, in part, on the research and reports that industry or financial analysts publish about us or our </w:t>
      </w:r>
      <w:r>
        <w:rPr>
          <w:sz w:val="20"/>
          <w:szCs w:val="20"/>
        </w:rPr>
        <w:t>business. We do currently have research coverage offered by several industry or financial analysts, although two analysts have withdrawn research coverage recently. We do not have any control over these analysts. If one or more of the analysts covering our</w:t>
      </w:r>
      <w:r>
        <w:rPr>
          <w:sz w:val="20"/>
          <w:szCs w:val="20"/>
        </w:rPr>
        <w:t xml:space="preserve"> business downgrade their evaluations of our stock, the price of our stock could decline. If additional analysts cease to cover our stock or fail to regularly publish reports, we could lose visibility in the market for our stock, which in turn could cause </w:t>
      </w:r>
      <w:r>
        <w:rPr>
          <w:sz w:val="20"/>
          <w:szCs w:val="20"/>
        </w:rPr>
        <w:t>our stock price to decline</w:t>
      </w:r>
      <w:r>
        <w:rPr>
          <w:sz w:val="20"/>
          <w:szCs w:val="20"/>
        </w:rPr>
        <w:t>.</w:t>
      </w:r>
      <w:r>
        <w:rPr>
          <w:sz w:val="20"/>
          <w:szCs w:val="20"/>
        </w:rPr>
        <w:t xml:space="preserve"> </w:t>
      </w:r>
    </w:p>
    <w:p w:rsidR="00000000" w:rsidRDefault="00F83A7A">
      <w:pPr>
        <w:pStyle w:val="a3"/>
        <w:spacing w:before="200" w:beforeAutospacing="0" w:after="0" w:afterAutospacing="0"/>
        <w:jc w:val="both"/>
        <w:rPr>
          <w:sz w:val="20"/>
          <w:szCs w:val="20"/>
        </w:rPr>
      </w:pPr>
      <w:r>
        <w:rPr>
          <w:b/>
          <w:bCs/>
          <w:i/>
          <w:iCs/>
          <w:sz w:val="20"/>
          <w:szCs w:val="20"/>
        </w:rPr>
        <w:t>Because we do not anticipate paying any cash dividends on our capital stock in the foreseeable future, capital appreciation, if any, will be your sole source of gain</w:t>
      </w:r>
      <w:r>
        <w:rPr>
          <w:b/>
          <w:bCs/>
          <w:i/>
          <w:iCs/>
          <w:sz w:val="20"/>
          <w:szCs w:val="20"/>
        </w:rPr>
        <w:t>.</w:t>
      </w:r>
    </w:p>
    <w:p w:rsidR="00000000" w:rsidRDefault="00F83A7A">
      <w:pPr>
        <w:pStyle w:val="a3"/>
        <w:spacing w:before="240" w:beforeAutospacing="0" w:after="0" w:afterAutospacing="0"/>
        <w:ind w:firstLine="555"/>
        <w:jc w:val="both"/>
        <w:rPr>
          <w:sz w:val="20"/>
          <w:szCs w:val="20"/>
        </w:rPr>
      </w:pPr>
      <w:r>
        <w:rPr>
          <w:sz w:val="20"/>
          <w:szCs w:val="20"/>
        </w:rPr>
        <w:t>We have never declared or paid cash dividends on our capital</w:t>
      </w:r>
      <w:r>
        <w:rPr>
          <w:sz w:val="20"/>
          <w:szCs w:val="20"/>
        </w:rPr>
        <w:t xml:space="preserve"> stock. We currently intend to retain all of our future earnings, if any, to finance the growth and development of our business. In addition, the terms of any future debt agreements may preclude us from paying dividends. As a result, capital appreciation, </w:t>
      </w:r>
      <w:r>
        <w:rPr>
          <w:sz w:val="20"/>
          <w:szCs w:val="20"/>
        </w:rPr>
        <w:t>if any, of our common stock will be your sole source of gain for the foreseeable future</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Provisions in our corporate charter documents and under Delaware law could make an acquisition of us, which may be beneficial to our stockholders, more difficult and may prevent attempts by our stockholders to replace or remove our current management</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Prov</w:t>
      </w:r>
      <w:r>
        <w:rPr>
          <w:sz w:val="20"/>
          <w:szCs w:val="20"/>
        </w:rPr>
        <w:t xml:space="preserve">isions in our corporate charter and our bylaws may discourage, delay or prevent a merger, acquisition or other change in control of us that stockholders may consider favorable, including transactions in which you might otherwise receive a premium for your </w:t>
      </w:r>
      <w:r>
        <w:rPr>
          <w:sz w:val="20"/>
          <w:szCs w:val="20"/>
        </w:rPr>
        <w:t>shares. These provisions also could limit the price that investors might be willing to pay in the future for shares of our common stock, thereby depressing the market price of our common stock. In addition, because our board of directors is responsible for</w:t>
      </w:r>
      <w:r>
        <w:rPr>
          <w:sz w:val="20"/>
          <w:szCs w:val="20"/>
        </w:rPr>
        <w:t xml:space="preserve"> appointing the members of our management team, these provisions may frustrate or prevent any attempts by our stockholders to replace or remove ou</w:t>
      </w:r>
      <w:r>
        <w:rPr>
          <w:sz w:val="20"/>
          <w:szCs w:val="20"/>
        </w:rPr>
        <w:t>r</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4</w:t>
      </w:r>
      <w:r>
        <w:rPr>
          <w:sz w:val="20"/>
          <w:szCs w:val="20"/>
        </w:rPr>
        <w:t>9</w:t>
      </w:r>
    </w:p>
    <w:p w:rsidR="00000000" w:rsidRDefault="00F83A7A">
      <w:pPr>
        <w:rPr>
          <w:rFonts w:eastAsia="Times New Roman"/>
        </w:rPr>
      </w:pPr>
      <w:r>
        <w:rPr>
          <w:rFonts w:eastAsia="Times New Roman"/>
        </w:rPr>
        <w:pict>
          <v:rect id="_x0000_i1076"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jc w:val="both"/>
        <w:rPr>
          <w:sz w:val="20"/>
          <w:szCs w:val="20"/>
        </w:rPr>
      </w:pPr>
      <w:r>
        <w:rPr>
          <w:sz w:val="20"/>
          <w:szCs w:val="20"/>
        </w:rPr>
        <w:t>current management by making it more difficult for stockholders to</w:t>
      </w:r>
      <w:r>
        <w:rPr>
          <w:sz w:val="20"/>
          <w:szCs w:val="20"/>
        </w:rPr>
        <w:t xml:space="preserve"> replace members of our board of directors. Among other things, these provisions</w:t>
      </w:r>
      <w:r>
        <w:rPr>
          <w:sz w:val="20"/>
          <w:szCs w:val="20"/>
        </w:rPr>
        <w:t>:</w:t>
      </w:r>
    </w:p>
    <w:p w:rsidR="00000000" w:rsidRDefault="00F83A7A">
      <w:pPr>
        <w:jc w:val="both"/>
        <w:divId w:val="2128236319"/>
        <w:rPr>
          <w:rFonts w:eastAsia="Times New Roman"/>
        </w:rPr>
      </w:pPr>
      <w:r>
        <w:rPr>
          <w:rFonts w:eastAsia="Times New Roman"/>
          <w:sz w:val="20"/>
          <w:szCs w:val="20"/>
        </w:rPr>
        <w:t>•</w:t>
      </w:r>
    </w:p>
    <w:p w:rsidR="00000000" w:rsidRDefault="00F83A7A">
      <w:pPr>
        <w:jc w:val="both"/>
        <w:divId w:val="44989712"/>
        <w:rPr>
          <w:rFonts w:eastAsia="Times New Roman"/>
        </w:rPr>
      </w:pPr>
      <w:r>
        <w:rPr>
          <w:rFonts w:eastAsia="Times New Roman"/>
          <w:sz w:val="20"/>
          <w:szCs w:val="20"/>
        </w:rPr>
        <w:t>establish a classified board of directors such that not all members of the board are elected at one time</w:t>
      </w:r>
      <w:r>
        <w:rPr>
          <w:rFonts w:eastAsia="Times New Roman"/>
          <w:sz w:val="20"/>
          <w:szCs w:val="20"/>
        </w:rPr>
        <w:t>;</w:t>
      </w:r>
    </w:p>
    <w:p w:rsidR="00000000" w:rsidRDefault="00F83A7A">
      <w:pPr>
        <w:jc w:val="both"/>
        <w:divId w:val="1882667182"/>
        <w:rPr>
          <w:rFonts w:eastAsia="Times New Roman"/>
        </w:rPr>
      </w:pPr>
      <w:r>
        <w:rPr>
          <w:rFonts w:eastAsia="Times New Roman"/>
          <w:sz w:val="20"/>
          <w:szCs w:val="20"/>
        </w:rPr>
        <w:t>•</w:t>
      </w:r>
    </w:p>
    <w:p w:rsidR="00000000" w:rsidRDefault="00F83A7A">
      <w:pPr>
        <w:jc w:val="both"/>
        <w:divId w:val="138771427"/>
        <w:rPr>
          <w:rFonts w:eastAsia="Times New Roman"/>
        </w:rPr>
      </w:pPr>
      <w:r>
        <w:rPr>
          <w:rFonts w:eastAsia="Times New Roman"/>
          <w:sz w:val="20"/>
          <w:szCs w:val="20"/>
        </w:rPr>
        <w:t xml:space="preserve">allow the authorized number of our directors to be changed only </w:t>
      </w:r>
      <w:r>
        <w:rPr>
          <w:rFonts w:eastAsia="Times New Roman"/>
          <w:sz w:val="20"/>
          <w:szCs w:val="20"/>
        </w:rPr>
        <w:t>by resolution of our board of directors</w:t>
      </w:r>
      <w:r>
        <w:rPr>
          <w:rFonts w:eastAsia="Times New Roman"/>
          <w:sz w:val="20"/>
          <w:szCs w:val="20"/>
        </w:rPr>
        <w:t>;</w:t>
      </w:r>
    </w:p>
    <w:p w:rsidR="00000000" w:rsidRDefault="00F83A7A">
      <w:pPr>
        <w:jc w:val="both"/>
        <w:divId w:val="25720364"/>
        <w:rPr>
          <w:rFonts w:eastAsia="Times New Roman"/>
        </w:rPr>
      </w:pPr>
      <w:r>
        <w:rPr>
          <w:rFonts w:eastAsia="Times New Roman"/>
          <w:sz w:val="20"/>
          <w:szCs w:val="20"/>
        </w:rPr>
        <w:t>•</w:t>
      </w:r>
    </w:p>
    <w:p w:rsidR="00000000" w:rsidRDefault="00F83A7A">
      <w:pPr>
        <w:jc w:val="both"/>
        <w:divId w:val="2128811423"/>
        <w:rPr>
          <w:rFonts w:eastAsia="Times New Roman"/>
        </w:rPr>
      </w:pPr>
      <w:r>
        <w:rPr>
          <w:rFonts w:eastAsia="Times New Roman"/>
          <w:sz w:val="20"/>
          <w:szCs w:val="20"/>
        </w:rPr>
        <w:t>limit the manner in which stockholders can remove directors from the board</w:t>
      </w:r>
      <w:r>
        <w:rPr>
          <w:rFonts w:eastAsia="Times New Roman"/>
          <w:sz w:val="20"/>
          <w:szCs w:val="20"/>
        </w:rPr>
        <w:t>;</w:t>
      </w:r>
    </w:p>
    <w:p w:rsidR="00000000" w:rsidRDefault="00F83A7A">
      <w:pPr>
        <w:jc w:val="both"/>
        <w:divId w:val="1136800333"/>
        <w:rPr>
          <w:rFonts w:eastAsia="Times New Roman"/>
        </w:rPr>
      </w:pPr>
      <w:r>
        <w:rPr>
          <w:rFonts w:eastAsia="Times New Roman"/>
          <w:sz w:val="20"/>
          <w:szCs w:val="20"/>
        </w:rPr>
        <w:t>•</w:t>
      </w:r>
    </w:p>
    <w:p w:rsidR="00000000" w:rsidRDefault="00F83A7A">
      <w:pPr>
        <w:jc w:val="both"/>
        <w:divId w:val="646084274"/>
        <w:rPr>
          <w:rFonts w:eastAsia="Times New Roman"/>
        </w:rPr>
      </w:pPr>
      <w:r>
        <w:rPr>
          <w:rFonts w:eastAsia="Times New Roman"/>
          <w:sz w:val="20"/>
          <w:szCs w:val="20"/>
        </w:rPr>
        <w:t>establish advance notice requirements for stockholder proposals that can be acted on at stockholder meetings and nominations to our boa</w:t>
      </w:r>
      <w:r>
        <w:rPr>
          <w:rFonts w:eastAsia="Times New Roman"/>
          <w:sz w:val="20"/>
          <w:szCs w:val="20"/>
        </w:rPr>
        <w:t>rd of directors</w:t>
      </w:r>
      <w:r>
        <w:rPr>
          <w:rFonts w:eastAsia="Times New Roman"/>
          <w:sz w:val="20"/>
          <w:szCs w:val="20"/>
        </w:rPr>
        <w:t>;</w:t>
      </w:r>
    </w:p>
    <w:p w:rsidR="00000000" w:rsidRDefault="00F83A7A">
      <w:pPr>
        <w:jc w:val="both"/>
        <w:divId w:val="1220172225"/>
        <w:rPr>
          <w:rFonts w:eastAsia="Times New Roman"/>
        </w:rPr>
      </w:pPr>
      <w:r>
        <w:rPr>
          <w:rFonts w:eastAsia="Times New Roman"/>
          <w:sz w:val="20"/>
          <w:szCs w:val="20"/>
        </w:rPr>
        <w:t>•</w:t>
      </w:r>
    </w:p>
    <w:p w:rsidR="00000000" w:rsidRDefault="00F83A7A">
      <w:pPr>
        <w:jc w:val="both"/>
        <w:divId w:val="1035615648"/>
        <w:rPr>
          <w:rFonts w:eastAsia="Times New Roman"/>
        </w:rPr>
      </w:pPr>
      <w:r>
        <w:rPr>
          <w:rFonts w:eastAsia="Times New Roman"/>
          <w:sz w:val="20"/>
          <w:szCs w:val="20"/>
        </w:rPr>
        <w:t>require that stockholder actions must be effected at a duly called stockholder meeting and prohibit actions by our stockholders by written consent</w:t>
      </w:r>
      <w:r>
        <w:rPr>
          <w:rFonts w:eastAsia="Times New Roman"/>
          <w:sz w:val="20"/>
          <w:szCs w:val="20"/>
        </w:rPr>
        <w:t>;</w:t>
      </w:r>
    </w:p>
    <w:p w:rsidR="00000000" w:rsidRDefault="00F83A7A">
      <w:pPr>
        <w:jc w:val="both"/>
        <w:divId w:val="920721906"/>
        <w:rPr>
          <w:rFonts w:eastAsia="Times New Roman"/>
        </w:rPr>
      </w:pPr>
      <w:r>
        <w:rPr>
          <w:rFonts w:eastAsia="Times New Roman"/>
          <w:sz w:val="20"/>
          <w:szCs w:val="20"/>
        </w:rPr>
        <w:t>•</w:t>
      </w:r>
    </w:p>
    <w:p w:rsidR="00000000" w:rsidRDefault="00F83A7A">
      <w:pPr>
        <w:jc w:val="both"/>
        <w:divId w:val="1606762622"/>
        <w:rPr>
          <w:rFonts w:eastAsia="Times New Roman"/>
        </w:rPr>
      </w:pPr>
      <w:r>
        <w:rPr>
          <w:rFonts w:eastAsia="Times New Roman"/>
          <w:sz w:val="20"/>
          <w:szCs w:val="20"/>
        </w:rPr>
        <w:t>limit who may call stockholder meetings</w:t>
      </w:r>
      <w:r>
        <w:rPr>
          <w:rFonts w:eastAsia="Times New Roman"/>
          <w:sz w:val="20"/>
          <w:szCs w:val="20"/>
        </w:rPr>
        <w:t>;</w:t>
      </w:r>
    </w:p>
    <w:p w:rsidR="00000000" w:rsidRDefault="00F83A7A">
      <w:pPr>
        <w:jc w:val="both"/>
        <w:divId w:val="1065565521"/>
        <w:rPr>
          <w:rFonts w:eastAsia="Times New Roman"/>
        </w:rPr>
      </w:pPr>
      <w:r>
        <w:rPr>
          <w:rFonts w:eastAsia="Times New Roman"/>
          <w:sz w:val="20"/>
          <w:szCs w:val="20"/>
        </w:rPr>
        <w:t>•</w:t>
      </w:r>
    </w:p>
    <w:p w:rsidR="00000000" w:rsidRDefault="00F83A7A">
      <w:pPr>
        <w:jc w:val="both"/>
        <w:divId w:val="2010525397"/>
        <w:rPr>
          <w:rFonts w:eastAsia="Times New Roman"/>
        </w:rPr>
      </w:pPr>
      <w:r>
        <w:rPr>
          <w:rFonts w:eastAsia="Times New Roman"/>
          <w:sz w:val="20"/>
          <w:szCs w:val="20"/>
        </w:rPr>
        <w:t>authorize our board of directors to issue preferred stock without stockholder approval, which could be used to institute a stockholder rights plan, or so-called “poison pill,” that would work to dilute the stock ownership of a potential hostile acquirer, e</w:t>
      </w:r>
      <w:r>
        <w:rPr>
          <w:rFonts w:eastAsia="Times New Roman"/>
          <w:sz w:val="20"/>
          <w:szCs w:val="20"/>
        </w:rPr>
        <w:t>ffectively preventing acquisitions that have not been approved by our board of directors; an</w:t>
      </w:r>
      <w:r>
        <w:rPr>
          <w:rFonts w:eastAsia="Times New Roman"/>
          <w:sz w:val="20"/>
          <w:szCs w:val="20"/>
        </w:rPr>
        <w:t>d</w:t>
      </w:r>
    </w:p>
    <w:p w:rsidR="00000000" w:rsidRDefault="00F83A7A">
      <w:pPr>
        <w:jc w:val="both"/>
        <w:divId w:val="1701736581"/>
        <w:rPr>
          <w:rFonts w:eastAsia="Times New Roman"/>
        </w:rPr>
      </w:pPr>
      <w:r>
        <w:rPr>
          <w:rFonts w:eastAsia="Times New Roman"/>
          <w:sz w:val="20"/>
          <w:szCs w:val="20"/>
        </w:rPr>
        <w:t>•</w:t>
      </w:r>
    </w:p>
    <w:p w:rsidR="00000000" w:rsidRDefault="00F83A7A">
      <w:pPr>
        <w:jc w:val="both"/>
        <w:divId w:val="1875921064"/>
        <w:rPr>
          <w:rFonts w:eastAsia="Times New Roman"/>
        </w:rPr>
      </w:pPr>
      <w:r>
        <w:rPr>
          <w:rFonts w:eastAsia="Times New Roman"/>
          <w:sz w:val="20"/>
          <w:szCs w:val="20"/>
        </w:rPr>
        <w:t>require the approval of the holders of at least 66 2/3% of the votes that all our stockholders would be entitled to cast to amend or repeal certain provisions o</w:t>
      </w:r>
      <w:r>
        <w:rPr>
          <w:rFonts w:eastAsia="Times New Roman"/>
          <w:sz w:val="20"/>
          <w:szCs w:val="20"/>
        </w:rPr>
        <w:t>f our charter or bylaws</w:t>
      </w:r>
      <w:r>
        <w:rPr>
          <w:rFonts w:eastAsia="Times New Roman"/>
          <w:sz w:val="20"/>
          <w:szCs w:val="20"/>
        </w:rPr>
        <w:t>.</w:t>
      </w:r>
    </w:p>
    <w:p w:rsidR="00000000" w:rsidRDefault="00F83A7A">
      <w:pPr>
        <w:pStyle w:val="a3"/>
        <w:spacing w:before="240" w:beforeAutospacing="0" w:after="0" w:afterAutospacing="0"/>
        <w:ind w:firstLine="620"/>
        <w:jc w:val="both"/>
        <w:rPr>
          <w:sz w:val="20"/>
          <w:szCs w:val="20"/>
        </w:rPr>
      </w:pPr>
      <w:r>
        <w:rPr>
          <w:sz w:val="20"/>
          <w:szCs w:val="20"/>
        </w:rPr>
        <w:t>Moreover, because we are incorporated in Delaware, we are governed by the provisions of Section 203 of the Delaware General Corporation Law, which prohibits a person who owns in excess of 15% of our outstanding voting stock from me</w:t>
      </w:r>
      <w:r>
        <w:rPr>
          <w:sz w:val="20"/>
          <w:szCs w:val="20"/>
        </w:rPr>
        <w:t>rging or combining with us for a period of three years after the date of the transaction in which the person acquired in excess of 15% of our outstanding voting stock, unless the merger or combination is approved in a prescribed manner</w:t>
      </w:r>
      <w:r>
        <w:rPr>
          <w:sz w:val="20"/>
          <w:szCs w:val="20"/>
        </w:rPr>
        <w:t>.</w:t>
      </w:r>
    </w:p>
    <w:p w:rsidR="00000000" w:rsidRDefault="00F83A7A">
      <w:pPr>
        <w:pStyle w:val="a3"/>
        <w:spacing w:before="240" w:beforeAutospacing="0" w:after="0" w:afterAutospacing="0"/>
        <w:ind w:firstLine="620"/>
        <w:jc w:val="both"/>
        <w:rPr>
          <w:sz w:val="20"/>
          <w:szCs w:val="20"/>
        </w:rPr>
      </w:pPr>
      <w:r>
        <w:rPr>
          <w:sz w:val="20"/>
          <w:szCs w:val="20"/>
        </w:rPr>
        <w:t>Additionally, the T</w:t>
      </w:r>
      <w:r>
        <w:rPr>
          <w:sz w:val="20"/>
          <w:szCs w:val="20"/>
        </w:rPr>
        <w:t xml:space="preserve">akeda standstill provisions and transfer restrictions in the Takeda License and Termination Agreement may delay or prevent a merger, acquisition or other change in control of us that stockholders may consider favorable, including transactions in which you </w:t>
      </w:r>
      <w:r>
        <w:rPr>
          <w:sz w:val="20"/>
          <w:szCs w:val="20"/>
        </w:rPr>
        <w:t>might otherwise receive a premium for your shares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We may be subject to securities litigation, which is expensive and could divert management attention</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The market price of our common stock may be volatile. In the past, companies that have experienced vola</w:t>
      </w:r>
      <w:r>
        <w:rPr>
          <w:sz w:val="20"/>
          <w:szCs w:val="20"/>
        </w:rPr>
        <w:t>tility in the market price of their stock have been subject to securities class action litigation. We may be the target of this type of litigation in the future. Securities litigation against us could result in substantial costs and divert our management’s</w:t>
      </w:r>
      <w:r>
        <w:rPr>
          <w:sz w:val="20"/>
          <w:szCs w:val="20"/>
        </w:rPr>
        <w:t xml:space="preserve"> attention from other business concerns, which could seriously harm our business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Some provisions of our charter documents and Delaware law may have anti-takeover effects that could discourage an acquisition of us by others, even if an acquisition would be</w:t>
      </w:r>
      <w:r>
        <w:rPr>
          <w:b/>
          <w:bCs/>
          <w:i/>
          <w:iCs/>
          <w:sz w:val="20"/>
          <w:szCs w:val="20"/>
        </w:rPr>
        <w:t>nefit our stockholders and may prevent attempts by our stockholders to replace or remove our current management</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Provisions in our amended and restated certificate of incorporation and amended and restated bylaws, as well as provisions of Delaware law, cou</w:t>
      </w:r>
      <w:r>
        <w:rPr>
          <w:sz w:val="20"/>
          <w:szCs w:val="20"/>
        </w:rPr>
        <w:t>ld make it more difficult for a third party to acquire us or increase the cost of acquiring us, even if doing so would benefit our stockholders, or remove our current management. These provisions include</w:t>
      </w:r>
      <w:r>
        <w:rPr>
          <w:sz w:val="20"/>
          <w:szCs w:val="20"/>
        </w:rPr>
        <w:t>:</w:t>
      </w:r>
    </w:p>
    <w:p w:rsidR="00000000" w:rsidRDefault="00F83A7A">
      <w:pPr>
        <w:jc w:val="both"/>
        <w:divId w:val="1132559625"/>
        <w:rPr>
          <w:rFonts w:eastAsia="Times New Roman"/>
        </w:rPr>
      </w:pPr>
      <w:r>
        <w:rPr>
          <w:rFonts w:eastAsia="Times New Roman"/>
          <w:sz w:val="20"/>
          <w:szCs w:val="20"/>
        </w:rPr>
        <w:t>•</w:t>
      </w:r>
    </w:p>
    <w:p w:rsidR="00000000" w:rsidRDefault="00F83A7A">
      <w:pPr>
        <w:jc w:val="both"/>
        <w:divId w:val="1335448880"/>
        <w:rPr>
          <w:rFonts w:eastAsia="Times New Roman"/>
        </w:rPr>
      </w:pPr>
      <w:r>
        <w:rPr>
          <w:rFonts w:eastAsia="Times New Roman"/>
          <w:sz w:val="20"/>
          <w:szCs w:val="20"/>
        </w:rPr>
        <w:t>authorizing the issuance of “blank check” preferr</w:t>
      </w:r>
      <w:r>
        <w:rPr>
          <w:rFonts w:eastAsia="Times New Roman"/>
          <w:sz w:val="20"/>
          <w:szCs w:val="20"/>
        </w:rPr>
        <w:t>ed stock, the terms of which we may establish and shares of which we may issue without stockholder approval</w:t>
      </w:r>
      <w:r>
        <w:rPr>
          <w:rFonts w:eastAsia="Times New Roman"/>
          <w:sz w:val="20"/>
          <w:szCs w:val="20"/>
        </w:rPr>
        <w:t>;</w:t>
      </w:r>
    </w:p>
    <w:p w:rsidR="00000000" w:rsidRDefault="00F83A7A">
      <w:pPr>
        <w:jc w:val="both"/>
        <w:divId w:val="649673090"/>
        <w:rPr>
          <w:rFonts w:eastAsia="Times New Roman"/>
        </w:rPr>
      </w:pPr>
      <w:r>
        <w:rPr>
          <w:rFonts w:eastAsia="Times New Roman"/>
          <w:sz w:val="20"/>
          <w:szCs w:val="20"/>
        </w:rPr>
        <w:t>•</w:t>
      </w:r>
    </w:p>
    <w:p w:rsidR="00000000" w:rsidRDefault="00F83A7A">
      <w:pPr>
        <w:jc w:val="both"/>
        <w:divId w:val="1786537495"/>
        <w:rPr>
          <w:rFonts w:eastAsia="Times New Roman"/>
        </w:rPr>
      </w:pPr>
      <w:r>
        <w:rPr>
          <w:rFonts w:eastAsia="Times New Roman"/>
          <w:sz w:val="20"/>
          <w:szCs w:val="20"/>
        </w:rPr>
        <w:t>prohibiting cumulative voting in the election of directors, which would otherwise allow for less than a majority of stockholders to elect directo</w:t>
      </w:r>
      <w:r>
        <w:rPr>
          <w:rFonts w:eastAsia="Times New Roman"/>
          <w:sz w:val="20"/>
          <w:szCs w:val="20"/>
        </w:rPr>
        <w:t>r candidates</w:t>
      </w:r>
      <w:r>
        <w:rPr>
          <w:rFonts w:eastAsia="Times New Roman"/>
          <w:sz w:val="20"/>
          <w:szCs w:val="20"/>
        </w:rPr>
        <w:t>;</w:t>
      </w:r>
    </w:p>
    <w:p w:rsidR="00000000" w:rsidRDefault="00F83A7A">
      <w:pPr>
        <w:jc w:val="both"/>
        <w:divId w:val="186722823"/>
        <w:rPr>
          <w:rFonts w:eastAsia="Times New Roman"/>
        </w:rPr>
      </w:pPr>
      <w:r>
        <w:rPr>
          <w:rFonts w:eastAsia="Times New Roman"/>
          <w:sz w:val="20"/>
          <w:szCs w:val="20"/>
        </w:rPr>
        <w:t>•</w:t>
      </w:r>
    </w:p>
    <w:p w:rsidR="00000000" w:rsidRDefault="00F83A7A">
      <w:pPr>
        <w:jc w:val="both"/>
        <w:divId w:val="930503960"/>
        <w:rPr>
          <w:rFonts w:eastAsia="Times New Roman"/>
        </w:rPr>
      </w:pPr>
      <w:r>
        <w:rPr>
          <w:rFonts w:eastAsia="Times New Roman"/>
          <w:sz w:val="20"/>
          <w:szCs w:val="20"/>
        </w:rPr>
        <w:t>prohibiting stockholder action by written consent, thereby requiring all stockholder actions to be taken at a meeting of our stockholders</w:t>
      </w:r>
      <w:r>
        <w:rPr>
          <w:rFonts w:eastAsia="Times New Roman"/>
          <w:sz w:val="20"/>
          <w:szCs w:val="20"/>
        </w:rPr>
        <w:t>;</w:t>
      </w:r>
    </w:p>
    <w:p w:rsidR="00000000" w:rsidRDefault="00F83A7A">
      <w:pPr>
        <w:jc w:val="both"/>
        <w:divId w:val="805973032"/>
        <w:rPr>
          <w:rFonts w:eastAsia="Times New Roman"/>
        </w:rPr>
      </w:pPr>
      <w:r>
        <w:rPr>
          <w:rFonts w:eastAsia="Times New Roman"/>
          <w:sz w:val="20"/>
          <w:szCs w:val="20"/>
        </w:rPr>
        <w:t>•</w:t>
      </w:r>
    </w:p>
    <w:p w:rsidR="00000000" w:rsidRDefault="00F83A7A">
      <w:pPr>
        <w:jc w:val="both"/>
        <w:divId w:val="1855074882"/>
        <w:rPr>
          <w:rFonts w:eastAsia="Times New Roman"/>
        </w:rPr>
      </w:pPr>
      <w:r>
        <w:rPr>
          <w:rFonts w:eastAsia="Times New Roman"/>
          <w:sz w:val="20"/>
          <w:szCs w:val="20"/>
        </w:rPr>
        <w:t>eliminating the ability of stockholders to call a special meeting of stockholders; an</w:t>
      </w:r>
      <w:r>
        <w:rPr>
          <w:rFonts w:eastAsia="Times New Roman"/>
          <w:sz w:val="20"/>
          <w:szCs w:val="20"/>
        </w:rPr>
        <w:t>d</w:t>
      </w:r>
    </w:p>
    <w:p w:rsidR="00000000" w:rsidRDefault="00F83A7A">
      <w:pPr>
        <w:jc w:val="both"/>
        <w:divId w:val="1617985450"/>
        <w:rPr>
          <w:rFonts w:eastAsia="Times New Roman"/>
        </w:rPr>
      </w:pPr>
      <w:r>
        <w:rPr>
          <w:rFonts w:eastAsia="Times New Roman"/>
          <w:sz w:val="20"/>
          <w:szCs w:val="20"/>
        </w:rPr>
        <w:t>•</w:t>
      </w:r>
    </w:p>
    <w:p w:rsidR="00000000" w:rsidRDefault="00F83A7A">
      <w:pPr>
        <w:jc w:val="both"/>
        <w:divId w:val="326902215"/>
        <w:rPr>
          <w:rFonts w:eastAsia="Times New Roman"/>
        </w:rPr>
      </w:pPr>
      <w:r>
        <w:rPr>
          <w:rFonts w:eastAsia="Times New Roman"/>
          <w:sz w:val="20"/>
          <w:szCs w:val="20"/>
        </w:rPr>
        <w:t>establishi</w:t>
      </w:r>
      <w:r>
        <w:rPr>
          <w:rFonts w:eastAsia="Times New Roman"/>
          <w:sz w:val="20"/>
          <w:szCs w:val="20"/>
        </w:rPr>
        <w:t>ng advance notice requirements for nominations for election to the board of directors or for proposing matters that can be acted upon at stockholder meetings</w:t>
      </w:r>
      <w:r>
        <w:rPr>
          <w:rFonts w:eastAsia="Times New Roman"/>
          <w:sz w:val="20"/>
          <w:szCs w:val="20"/>
        </w:rPr>
        <w:t>.</w:t>
      </w:r>
    </w:p>
    <w:p w:rsidR="00000000" w:rsidRDefault="00F83A7A">
      <w:pPr>
        <w:pStyle w:val="a3"/>
        <w:spacing w:before="240" w:beforeAutospacing="0" w:after="0" w:afterAutospacing="0"/>
        <w:ind w:firstLine="620"/>
        <w:jc w:val="both"/>
        <w:rPr>
          <w:sz w:val="20"/>
          <w:szCs w:val="20"/>
        </w:rPr>
      </w:pPr>
      <w:r>
        <w:rPr>
          <w:sz w:val="20"/>
          <w:szCs w:val="20"/>
        </w:rPr>
        <w:t>These provisions may frustrate or prevent any attempts by our stockholders to replace or remove o</w:t>
      </w:r>
      <w:r>
        <w:rPr>
          <w:sz w:val="20"/>
          <w:szCs w:val="20"/>
        </w:rPr>
        <w:t>ur current management by making it more difficult for stockholders to replace members of our board of directors, who are responsible for appointing the members of our management. Because we are incorporated in Delaware, we are governed by the provisions of</w:t>
      </w:r>
      <w:r>
        <w:rPr>
          <w:sz w:val="20"/>
          <w:szCs w:val="20"/>
        </w:rPr>
        <w:t xml:space="preserve"> Section 203 of the Delawar</w:t>
      </w:r>
      <w:r>
        <w:rPr>
          <w:sz w:val="20"/>
          <w:szCs w:val="20"/>
        </w:rPr>
        <w:t>e</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5</w:t>
      </w:r>
      <w:r>
        <w:rPr>
          <w:sz w:val="20"/>
          <w:szCs w:val="20"/>
        </w:rPr>
        <w:t>0</w:t>
      </w:r>
    </w:p>
    <w:p w:rsidR="00000000" w:rsidRDefault="00F83A7A">
      <w:pPr>
        <w:rPr>
          <w:rFonts w:eastAsia="Times New Roman"/>
        </w:rPr>
      </w:pPr>
      <w:r>
        <w:rPr>
          <w:rFonts w:eastAsia="Times New Roman"/>
        </w:rPr>
        <w:pict>
          <v:rect id="_x0000_i1077"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jc w:val="both"/>
        <w:rPr>
          <w:sz w:val="20"/>
          <w:szCs w:val="20"/>
        </w:rPr>
      </w:pPr>
      <w:r>
        <w:rPr>
          <w:sz w:val="20"/>
          <w:szCs w:val="20"/>
        </w:rPr>
        <w:t>General Corporation Law (the “DGCL”</w:t>
      </w:r>
      <w:r>
        <w:rPr>
          <w:sz w:val="20"/>
          <w:szCs w:val="20"/>
        </w:rPr>
        <w:t>), which may discourage, delay or prevent someone from acquiring us or merging with us whether or not it is desired by or beneficial to our stockholders. Under the DGCL, a corporation may not, in general, engage in a business combination with any holder of</w:t>
      </w:r>
      <w:r>
        <w:rPr>
          <w:sz w:val="20"/>
          <w:szCs w:val="20"/>
        </w:rPr>
        <w:t xml:space="preserve"> 15% or more of its capital stock unless the holder has held the stock for three years or, among other things, the board of directors has approved the transaction. Any provision of our amended and restated certificate of incorporation or amended and restat</w:t>
      </w:r>
      <w:r>
        <w:rPr>
          <w:sz w:val="20"/>
          <w:szCs w:val="20"/>
        </w:rPr>
        <w:t>ed bylaws or Delaware law that has the effect of delaying or deterring a change of control could limit the opportunity for our stockholders to receive a premium for their shares of our common stock and could also affect the price that some investors are wi</w:t>
      </w:r>
      <w:r>
        <w:rPr>
          <w:sz w:val="20"/>
          <w:szCs w:val="20"/>
        </w:rPr>
        <w:t>lling to pay for our common stock</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If we engage in future acquisitions or strategic partnerships, this may increase our capital requirements, dilute our stockholders, cause us to incur debt or assume contingent liabilities and subject us to other risks</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Ou</w:t>
      </w:r>
      <w:r>
        <w:rPr>
          <w:sz w:val="20"/>
          <w:szCs w:val="20"/>
        </w:rPr>
        <w:t xml:space="preserve">r business plan is to continue to evaluate various acquisitions and strategic partnerships, including licensing or acquiring complementary drugs, intellectual property rights, technologies, or businesses. Any potential acquisition or strategic partnership </w:t>
      </w:r>
      <w:r>
        <w:rPr>
          <w:sz w:val="20"/>
          <w:szCs w:val="20"/>
        </w:rPr>
        <w:t>may entail numerous risks, including</w:t>
      </w:r>
      <w:r>
        <w:rPr>
          <w:sz w:val="20"/>
          <w:szCs w:val="20"/>
        </w:rPr>
        <w:t>:</w:t>
      </w:r>
    </w:p>
    <w:p w:rsidR="00000000" w:rsidRDefault="00F83A7A">
      <w:pPr>
        <w:jc w:val="both"/>
        <w:divId w:val="15349428"/>
        <w:rPr>
          <w:rFonts w:eastAsia="Times New Roman"/>
        </w:rPr>
      </w:pPr>
      <w:r>
        <w:rPr>
          <w:rFonts w:eastAsia="Times New Roman"/>
          <w:sz w:val="20"/>
          <w:szCs w:val="20"/>
        </w:rPr>
        <w:t>•</w:t>
      </w:r>
    </w:p>
    <w:p w:rsidR="00000000" w:rsidRDefault="00F83A7A">
      <w:pPr>
        <w:jc w:val="both"/>
        <w:divId w:val="1284311691"/>
        <w:rPr>
          <w:rFonts w:eastAsia="Times New Roman"/>
        </w:rPr>
      </w:pPr>
      <w:r>
        <w:rPr>
          <w:rFonts w:eastAsia="Times New Roman"/>
          <w:sz w:val="20"/>
          <w:szCs w:val="20"/>
        </w:rPr>
        <w:t>increased operating expenses and cash requirements</w:t>
      </w:r>
      <w:r>
        <w:rPr>
          <w:rFonts w:eastAsia="Times New Roman"/>
          <w:sz w:val="20"/>
          <w:szCs w:val="20"/>
        </w:rPr>
        <w:t>;</w:t>
      </w:r>
    </w:p>
    <w:p w:rsidR="00000000" w:rsidRDefault="00F83A7A">
      <w:pPr>
        <w:jc w:val="both"/>
        <w:divId w:val="769737319"/>
        <w:rPr>
          <w:rFonts w:eastAsia="Times New Roman"/>
        </w:rPr>
      </w:pPr>
      <w:r>
        <w:rPr>
          <w:rFonts w:eastAsia="Times New Roman"/>
          <w:sz w:val="20"/>
          <w:szCs w:val="20"/>
        </w:rPr>
        <w:t>•</w:t>
      </w:r>
    </w:p>
    <w:p w:rsidR="00000000" w:rsidRDefault="00F83A7A">
      <w:pPr>
        <w:jc w:val="both"/>
        <w:divId w:val="715591402"/>
        <w:rPr>
          <w:rFonts w:eastAsia="Times New Roman"/>
        </w:rPr>
      </w:pPr>
      <w:r>
        <w:rPr>
          <w:rFonts w:eastAsia="Times New Roman"/>
          <w:sz w:val="20"/>
          <w:szCs w:val="20"/>
        </w:rPr>
        <w:t>the assumption of additional indebtedness or contingent liabilities</w:t>
      </w:r>
      <w:r>
        <w:rPr>
          <w:rFonts w:eastAsia="Times New Roman"/>
          <w:sz w:val="20"/>
          <w:szCs w:val="20"/>
        </w:rPr>
        <w:t>;</w:t>
      </w:r>
    </w:p>
    <w:p w:rsidR="00000000" w:rsidRDefault="00F83A7A">
      <w:pPr>
        <w:jc w:val="both"/>
        <w:divId w:val="1414818912"/>
        <w:rPr>
          <w:rFonts w:eastAsia="Times New Roman"/>
        </w:rPr>
      </w:pPr>
      <w:r>
        <w:rPr>
          <w:rFonts w:eastAsia="Times New Roman"/>
          <w:sz w:val="20"/>
          <w:szCs w:val="20"/>
        </w:rPr>
        <w:t>•</w:t>
      </w:r>
    </w:p>
    <w:p w:rsidR="00000000" w:rsidRDefault="00F83A7A">
      <w:pPr>
        <w:jc w:val="both"/>
        <w:divId w:val="291988069"/>
        <w:rPr>
          <w:rFonts w:eastAsia="Times New Roman"/>
        </w:rPr>
      </w:pPr>
      <w:r>
        <w:rPr>
          <w:rFonts w:eastAsia="Times New Roman"/>
          <w:sz w:val="20"/>
          <w:szCs w:val="20"/>
        </w:rPr>
        <w:t>assimilation of operations, intellectual property and drugs of an acquired company, including difficulties associated with integrating new personnel</w:t>
      </w:r>
      <w:r>
        <w:rPr>
          <w:rFonts w:eastAsia="Times New Roman"/>
          <w:sz w:val="20"/>
          <w:szCs w:val="20"/>
        </w:rPr>
        <w:t>;</w:t>
      </w:r>
    </w:p>
    <w:p w:rsidR="00000000" w:rsidRDefault="00F83A7A">
      <w:pPr>
        <w:jc w:val="both"/>
        <w:divId w:val="1999116449"/>
        <w:rPr>
          <w:rFonts w:eastAsia="Times New Roman"/>
        </w:rPr>
      </w:pPr>
      <w:r>
        <w:rPr>
          <w:rFonts w:eastAsia="Times New Roman"/>
          <w:sz w:val="20"/>
          <w:szCs w:val="20"/>
        </w:rPr>
        <w:t>•</w:t>
      </w:r>
    </w:p>
    <w:p w:rsidR="00000000" w:rsidRDefault="00F83A7A">
      <w:pPr>
        <w:jc w:val="both"/>
        <w:divId w:val="1240092884"/>
        <w:rPr>
          <w:rFonts w:eastAsia="Times New Roman"/>
        </w:rPr>
      </w:pPr>
      <w:r>
        <w:rPr>
          <w:rFonts w:eastAsia="Times New Roman"/>
          <w:sz w:val="20"/>
          <w:szCs w:val="20"/>
        </w:rPr>
        <w:t xml:space="preserve">the diversion of our management’s attention from our existing drug programs and initiatives in pursuing </w:t>
      </w:r>
      <w:r>
        <w:rPr>
          <w:rFonts w:eastAsia="Times New Roman"/>
          <w:sz w:val="20"/>
          <w:szCs w:val="20"/>
        </w:rPr>
        <w:t>such a strategic partnership, merger or acquisition</w:t>
      </w:r>
      <w:r>
        <w:rPr>
          <w:rFonts w:eastAsia="Times New Roman"/>
          <w:sz w:val="20"/>
          <w:szCs w:val="20"/>
        </w:rPr>
        <w:t>;</w:t>
      </w:r>
    </w:p>
    <w:p w:rsidR="00000000" w:rsidRDefault="00F83A7A">
      <w:pPr>
        <w:jc w:val="both"/>
        <w:divId w:val="1215194354"/>
        <w:rPr>
          <w:rFonts w:eastAsia="Times New Roman"/>
        </w:rPr>
      </w:pPr>
      <w:r>
        <w:rPr>
          <w:rFonts w:eastAsia="Times New Roman"/>
          <w:sz w:val="20"/>
          <w:szCs w:val="20"/>
        </w:rPr>
        <w:t>•</w:t>
      </w:r>
    </w:p>
    <w:p w:rsidR="00000000" w:rsidRDefault="00F83A7A">
      <w:pPr>
        <w:jc w:val="both"/>
        <w:divId w:val="1613321604"/>
        <w:rPr>
          <w:rFonts w:eastAsia="Times New Roman"/>
        </w:rPr>
      </w:pPr>
      <w:r>
        <w:rPr>
          <w:rFonts w:eastAsia="Times New Roman"/>
          <w:sz w:val="20"/>
          <w:szCs w:val="20"/>
        </w:rPr>
        <w:t>retention of key employees, the loss of key personnel, and uncertainties in our ability to maintain key business relationships</w:t>
      </w:r>
      <w:r>
        <w:rPr>
          <w:rFonts w:eastAsia="Times New Roman"/>
          <w:sz w:val="20"/>
          <w:szCs w:val="20"/>
        </w:rPr>
        <w:t>;</w:t>
      </w:r>
    </w:p>
    <w:p w:rsidR="00000000" w:rsidRDefault="00F83A7A">
      <w:pPr>
        <w:jc w:val="both"/>
        <w:divId w:val="452947214"/>
        <w:rPr>
          <w:rFonts w:eastAsia="Times New Roman"/>
        </w:rPr>
      </w:pPr>
      <w:r>
        <w:rPr>
          <w:rFonts w:eastAsia="Times New Roman"/>
          <w:sz w:val="20"/>
          <w:szCs w:val="20"/>
        </w:rPr>
        <w:t>•</w:t>
      </w:r>
    </w:p>
    <w:p w:rsidR="00000000" w:rsidRDefault="00F83A7A">
      <w:pPr>
        <w:jc w:val="both"/>
        <w:divId w:val="1082458733"/>
        <w:rPr>
          <w:rFonts w:eastAsia="Times New Roman"/>
        </w:rPr>
      </w:pPr>
      <w:r>
        <w:rPr>
          <w:rFonts w:eastAsia="Times New Roman"/>
          <w:sz w:val="20"/>
          <w:szCs w:val="20"/>
        </w:rPr>
        <w:t>risks and uncertainties associated with the other party to such a trans</w:t>
      </w:r>
      <w:r>
        <w:rPr>
          <w:rFonts w:eastAsia="Times New Roman"/>
          <w:sz w:val="20"/>
          <w:szCs w:val="20"/>
        </w:rPr>
        <w:t>action, including the prospects of that party and their existing drugs or drug candidates and regulatory approvals</w:t>
      </w:r>
      <w:r>
        <w:rPr>
          <w:rFonts w:eastAsia="Times New Roman"/>
          <w:sz w:val="20"/>
          <w:szCs w:val="20"/>
        </w:rPr>
        <w:t>;</w:t>
      </w:r>
    </w:p>
    <w:p w:rsidR="00000000" w:rsidRDefault="00F83A7A">
      <w:pPr>
        <w:jc w:val="both"/>
        <w:divId w:val="493110061"/>
        <w:rPr>
          <w:rFonts w:eastAsia="Times New Roman"/>
        </w:rPr>
      </w:pPr>
      <w:r>
        <w:rPr>
          <w:rFonts w:eastAsia="Times New Roman"/>
          <w:sz w:val="20"/>
          <w:szCs w:val="20"/>
        </w:rPr>
        <w:t>•</w:t>
      </w:r>
    </w:p>
    <w:p w:rsidR="00000000" w:rsidRDefault="00F83A7A">
      <w:pPr>
        <w:jc w:val="both"/>
        <w:divId w:val="1496798248"/>
        <w:rPr>
          <w:rFonts w:eastAsia="Times New Roman"/>
        </w:rPr>
      </w:pPr>
      <w:r>
        <w:rPr>
          <w:rFonts w:eastAsia="Times New Roman"/>
          <w:sz w:val="20"/>
          <w:szCs w:val="20"/>
        </w:rPr>
        <w:t>our inability to generate revenue from acquired technology and/or drugs sufficient to meet our objectives in undertaking the acquisition o</w:t>
      </w:r>
      <w:r>
        <w:rPr>
          <w:rFonts w:eastAsia="Times New Roman"/>
          <w:sz w:val="20"/>
          <w:szCs w:val="20"/>
        </w:rPr>
        <w:t>r even to offset the associated acquisition and maintenance costs</w:t>
      </w:r>
      <w:r>
        <w:rPr>
          <w:rFonts w:eastAsia="Times New Roman"/>
          <w:sz w:val="20"/>
          <w:szCs w:val="20"/>
        </w:rPr>
        <w:t>;</w:t>
      </w:r>
    </w:p>
    <w:p w:rsidR="00000000" w:rsidRDefault="00F83A7A">
      <w:pPr>
        <w:jc w:val="both"/>
        <w:divId w:val="1181775356"/>
        <w:rPr>
          <w:rFonts w:eastAsia="Times New Roman"/>
        </w:rPr>
      </w:pPr>
      <w:r>
        <w:rPr>
          <w:rFonts w:eastAsia="Times New Roman"/>
          <w:sz w:val="20"/>
          <w:szCs w:val="20"/>
        </w:rPr>
        <w:t>•</w:t>
      </w:r>
    </w:p>
    <w:p w:rsidR="00000000" w:rsidRDefault="00F83A7A">
      <w:pPr>
        <w:jc w:val="both"/>
        <w:divId w:val="970358631"/>
        <w:rPr>
          <w:rFonts w:eastAsia="Times New Roman"/>
        </w:rPr>
      </w:pPr>
      <w:r>
        <w:rPr>
          <w:rFonts w:eastAsia="Times New Roman"/>
          <w:sz w:val="20"/>
          <w:szCs w:val="20"/>
        </w:rPr>
        <w:t>challenges related to integrating acquired businesses or entering into or realizing the benefits of strategic transactions generally; an</w:t>
      </w:r>
      <w:r>
        <w:rPr>
          <w:rFonts w:eastAsia="Times New Roman"/>
          <w:sz w:val="20"/>
          <w:szCs w:val="20"/>
        </w:rPr>
        <w:t>d</w:t>
      </w:r>
    </w:p>
    <w:p w:rsidR="00000000" w:rsidRDefault="00F83A7A">
      <w:pPr>
        <w:jc w:val="both"/>
        <w:divId w:val="34041679"/>
        <w:rPr>
          <w:rFonts w:eastAsia="Times New Roman"/>
        </w:rPr>
      </w:pPr>
      <w:r>
        <w:rPr>
          <w:rFonts w:eastAsia="Times New Roman"/>
          <w:sz w:val="20"/>
          <w:szCs w:val="20"/>
        </w:rPr>
        <w:t>•</w:t>
      </w:r>
    </w:p>
    <w:p w:rsidR="00000000" w:rsidRDefault="00F83A7A">
      <w:pPr>
        <w:jc w:val="both"/>
        <w:divId w:val="1954938947"/>
        <w:rPr>
          <w:rFonts w:eastAsia="Times New Roman"/>
        </w:rPr>
      </w:pPr>
      <w:r>
        <w:rPr>
          <w:rFonts w:eastAsia="Times New Roman"/>
          <w:sz w:val="20"/>
          <w:szCs w:val="20"/>
        </w:rPr>
        <w:t>risks associated with potential international a</w:t>
      </w:r>
      <w:r>
        <w:rPr>
          <w:rFonts w:eastAsia="Times New Roman"/>
          <w:sz w:val="20"/>
          <w:szCs w:val="20"/>
        </w:rPr>
        <w:t>cquisition transactions, including in countries where we do not currently have a material presence</w:t>
      </w:r>
      <w:r>
        <w:rPr>
          <w:rFonts w:eastAsia="Times New Roman"/>
          <w:sz w:val="20"/>
          <w:szCs w:val="20"/>
        </w:rPr>
        <w:t>.</w:t>
      </w:r>
    </w:p>
    <w:p w:rsidR="00000000" w:rsidRDefault="00F83A7A">
      <w:pPr>
        <w:pStyle w:val="a3"/>
        <w:spacing w:before="240" w:beforeAutospacing="0" w:after="0" w:afterAutospacing="0"/>
        <w:ind w:firstLine="620"/>
        <w:jc w:val="both"/>
        <w:rPr>
          <w:sz w:val="20"/>
          <w:szCs w:val="20"/>
        </w:rPr>
      </w:pPr>
      <w:r>
        <w:rPr>
          <w:sz w:val="20"/>
          <w:szCs w:val="20"/>
        </w:rPr>
        <w:t xml:space="preserve">In addition, if we engage in future acquisitions or strategic partnerships, we may issue dilutive securities, assume or incur debt obligations, incur large </w:t>
      </w:r>
      <w:r>
        <w:rPr>
          <w:sz w:val="20"/>
          <w:szCs w:val="20"/>
        </w:rPr>
        <w:t xml:space="preserve">one-time expenses and acquire intangible assets that could result in significant future amortization expense. Moreover, we may not be able to locate suitable acquisition opportunities and this inability could impair our ability to grow or obtain access to </w:t>
      </w:r>
      <w:r>
        <w:rPr>
          <w:sz w:val="20"/>
          <w:szCs w:val="20"/>
        </w:rPr>
        <w:t>technology or drugs that may be important to the development of our business</w:t>
      </w:r>
      <w:r>
        <w:rPr>
          <w:sz w:val="20"/>
          <w:szCs w:val="20"/>
        </w:rPr>
        <w:t>.</w:t>
      </w:r>
    </w:p>
    <w:p w:rsidR="00000000" w:rsidRDefault="00F83A7A">
      <w:pPr>
        <w:pStyle w:val="a3"/>
        <w:spacing w:before="200" w:beforeAutospacing="0" w:after="0" w:afterAutospacing="0"/>
        <w:jc w:val="both"/>
        <w:rPr>
          <w:sz w:val="20"/>
          <w:szCs w:val="20"/>
        </w:rPr>
      </w:pPr>
      <w:r>
        <w:rPr>
          <w:b/>
          <w:bCs/>
          <w:i/>
          <w:iCs/>
          <w:sz w:val="20"/>
          <w:szCs w:val="20"/>
        </w:rPr>
        <w:t>Sales of a substantial number of shares of our common stock in the public market could cause the market price of our common stock to drop significantly</w:t>
      </w:r>
      <w:r>
        <w:rPr>
          <w:b/>
          <w:bCs/>
          <w:i/>
          <w:iCs/>
          <w:sz w:val="20"/>
          <w:szCs w:val="20"/>
        </w:rPr>
        <w:t>.</w:t>
      </w:r>
    </w:p>
    <w:p w:rsidR="00000000" w:rsidRDefault="00F83A7A">
      <w:pPr>
        <w:pStyle w:val="a3"/>
        <w:spacing w:before="240" w:beforeAutospacing="0" w:after="0" w:afterAutospacing="0"/>
        <w:ind w:firstLine="620"/>
        <w:jc w:val="both"/>
        <w:rPr>
          <w:sz w:val="20"/>
          <w:szCs w:val="20"/>
        </w:rPr>
      </w:pPr>
      <w:r>
        <w:rPr>
          <w:sz w:val="20"/>
          <w:szCs w:val="20"/>
        </w:rPr>
        <w:t>Sales of a substantial number of shares of our common stock in the public market could occur at any tim</w:t>
      </w:r>
      <w:r>
        <w:rPr>
          <w:sz w:val="20"/>
          <w:szCs w:val="20"/>
        </w:rPr>
        <w:t>e. These sales, or the perception in the market that the holders of a large number of shares intend to sell shares, could reduce the market price of our common stock. Some of the holders of our securities have rights, subject to certain conditions, to requ</w:t>
      </w:r>
      <w:r>
        <w:rPr>
          <w:sz w:val="20"/>
          <w:szCs w:val="20"/>
        </w:rPr>
        <w:t>ire us to file registration statements covering their shares or to include their shares in registration statements that we may file for ourselves or other stockholders. Registration of these shares would result in the shares becoming freely tradable withou</w:t>
      </w:r>
      <w:r>
        <w:rPr>
          <w:sz w:val="20"/>
          <w:szCs w:val="20"/>
        </w:rPr>
        <w:t>t restriction under the Securities Act except for shares held by our affiliates. Any sales of securities by these stockholders could have a material adverse effect on the trading price of our common stock</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Item 1B. Unresol</w:t>
      </w:r>
      <w:r>
        <w:rPr>
          <w:b/>
          <w:bCs/>
          <w:sz w:val="20"/>
          <w:szCs w:val="20"/>
        </w:rPr>
        <w:t>v</w:t>
      </w:r>
      <w:r>
        <w:rPr>
          <w:b/>
          <w:bCs/>
          <w:sz w:val="20"/>
          <w:szCs w:val="20"/>
        </w:rPr>
        <w:t>ed Staff Comment</w:t>
      </w:r>
      <w:r>
        <w:rPr>
          <w:b/>
          <w:b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None</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 xml:space="preserve">Item 2. </w:t>
      </w:r>
      <w:r>
        <w:rPr>
          <w:b/>
          <w:bCs/>
          <w:sz w:val="20"/>
          <w:szCs w:val="20"/>
        </w:rPr>
        <w:t>P</w:t>
      </w:r>
      <w:r>
        <w:rPr>
          <w:b/>
          <w:bCs/>
          <w:sz w:val="20"/>
          <w:szCs w:val="20"/>
        </w:rPr>
        <w:t>ropertie</w:t>
      </w:r>
      <w:r>
        <w:rPr>
          <w:b/>
          <w:b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We currently lease the space for our principal executive offices, which are located at 1460 Broadway, New York, New York, on a monthly basis. We have also entered a 10-year lease for office space at 441 Ninth Avenue, New York, New York, and antic</w:t>
      </w:r>
      <w:r>
        <w:rPr>
          <w:sz w:val="20"/>
          <w:szCs w:val="20"/>
        </w:rPr>
        <w:t>ipate moving into this space mid-year 2022. We believe our facilities are adequate to meet current needs</w:t>
      </w:r>
      <w:r>
        <w:rPr>
          <w:sz w:val="20"/>
          <w:szCs w:val="20"/>
        </w:rPr>
        <w:t>.</w:t>
      </w:r>
    </w:p>
    <w:p w:rsidR="00000000" w:rsidRDefault="00F83A7A">
      <w:pPr>
        <w:pStyle w:val="a3"/>
        <w:spacing w:before="240" w:beforeAutospacing="0" w:after="0" w:afterAutospacing="0"/>
        <w:jc w:val="center"/>
        <w:rPr>
          <w:sz w:val="20"/>
          <w:szCs w:val="20"/>
        </w:rPr>
      </w:pPr>
      <w:r>
        <w:rPr>
          <w:sz w:val="20"/>
          <w:szCs w:val="20"/>
        </w:rPr>
        <w:t>5</w:t>
      </w:r>
      <w:r>
        <w:rPr>
          <w:sz w:val="20"/>
          <w:szCs w:val="20"/>
        </w:rPr>
        <w:t>1</w:t>
      </w:r>
    </w:p>
    <w:p w:rsidR="00000000" w:rsidRDefault="00F83A7A">
      <w:pPr>
        <w:rPr>
          <w:rFonts w:eastAsia="Times New Roman"/>
        </w:rPr>
      </w:pPr>
      <w:r>
        <w:rPr>
          <w:rFonts w:eastAsia="Times New Roman"/>
        </w:rPr>
        <w:pict>
          <v:rect id="_x0000_i1078"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rPr>
          <w:sz w:val="20"/>
          <w:szCs w:val="20"/>
        </w:rPr>
      </w:pPr>
      <w:r>
        <w:rPr>
          <w:b/>
          <w:bCs/>
          <w:sz w:val="20"/>
          <w:szCs w:val="20"/>
        </w:rPr>
        <w:t>Item 3. Lega</w:t>
      </w:r>
      <w:r>
        <w:rPr>
          <w:b/>
          <w:bCs/>
          <w:sz w:val="20"/>
          <w:szCs w:val="20"/>
        </w:rPr>
        <w:t>l</w:t>
      </w:r>
      <w:r>
        <w:rPr>
          <w:b/>
          <w:bCs/>
          <w:sz w:val="20"/>
          <w:szCs w:val="20"/>
        </w:rPr>
        <w:t xml:space="preserve"> Proceeding</w:t>
      </w:r>
      <w:r>
        <w:rPr>
          <w:b/>
          <w:bCs/>
          <w:sz w:val="20"/>
          <w:szCs w:val="20"/>
        </w:rPr>
        <w:t>s</w:t>
      </w:r>
    </w:p>
    <w:p w:rsidR="00000000" w:rsidRDefault="00F83A7A">
      <w:pPr>
        <w:pStyle w:val="a3"/>
        <w:spacing w:before="120" w:beforeAutospacing="0" w:after="0" w:afterAutospacing="0"/>
        <w:ind w:firstLine="555"/>
        <w:jc w:val="both"/>
        <w:rPr>
          <w:sz w:val="20"/>
          <w:szCs w:val="20"/>
        </w:rPr>
      </w:pPr>
      <w:r>
        <w:rPr>
          <w:sz w:val="20"/>
          <w:szCs w:val="20"/>
        </w:rPr>
        <w:t>We are not currently subject to any material legal proceedings</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Item 4. Mine Sa</w:t>
      </w:r>
      <w:r>
        <w:rPr>
          <w:b/>
          <w:bCs/>
          <w:sz w:val="20"/>
          <w:szCs w:val="20"/>
        </w:rPr>
        <w:t>f</w:t>
      </w:r>
      <w:r>
        <w:rPr>
          <w:b/>
          <w:bCs/>
          <w:sz w:val="20"/>
          <w:szCs w:val="20"/>
        </w:rPr>
        <w:t>et</w:t>
      </w:r>
      <w:r>
        <w:rPr>
          <w:b/>
          <w:bCs/>
          <w:sz w:val="20"/>
          <w:szCs w:val="20"/>
        </w:rPr>
        <w:t>y Disclosure</w:t>
      </w:r>
      <w:r>
        <w:rPr>
          <w:b/>
          <w:b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Not applicable</w:t>
      </w:r>
      <w:r>
        <w:rPr>
          <w:sz w:val="20"/>
          <w:szCs w:val="20"/>
        </w:rPr>
        <w:t>.</w:t>
      </w:r>
    </w:p>
    <w:p w:rsidR="00000000" w:rsidRDefault="00F83A7A">
      <w:pPr>
        <w:pStyle w:val="a3"/>
        <w:spacing w:before="240" w:beforeAutospacing="0" w:after="0" w:afterAutospacing="0"/>
        <w:jc w:val="center"/>
        <w:rPr>
          <w:sz w:val="20"/>
          <w:szCs w:val="20"/>
        </w:rPr>
      </w:pPr>
      <w:r>
        <w:rPr>
          <w:sz w:val="20"/>
          <w:szCs w:val="20"/>
        </w:rPr>
        <w:t>5</w:t>
      </w:r>
      <w:r>
        <w:rPr>
          <w:sz w:val="20"/>
          <w:szCs w:val="20"/>
        </w:rPr>
        <w:t>2</w:t>
      </w:r>
    </w:p>
    <w:p w:rsidR="00000000" w:rsidRDefault="00F83A7A">
      <w:pPr>
        <w:rPr>
          <w:rFonts w:eastAsia="Times New Roman"/>
        </w:rPr>
      </w:pPr>
      <w:r>
        <w:rPr>
          <w:rFonts w:eastAsia="Times New Roman"/>
        </w:rPr>
        <w:pict>
          <v:rect id="_x0000_i1079"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both"/>
        <w:rPr>
          <w:sz w:val="20"/>
          <w:szCs w:val="20"/>
        </w:rPr>
      </w:pPr>
      <w:r>
        <w:rPr>
          <w:b/>
          <w:bCs/>
          <w:sz w:val="20"/>
          <w:szCs w:val="20"/>
        </w:rPr>
        <w:t>PAR</w:t>
      </w:r>
      <w:r>
        <w:rPr>
          <w:b/>
          <w:bCs/>
          <w:sz w:val="20"/>
          <w:szCs w:val="20"/>
        </w:rPr>
        <w:t>T</w:t>
      </w:r>
      <w:r>
        <w:rPr>
          <w:b/>
          <w:bCs/>
          <w:sz w:val="20"/>
          <w:szCs w:val="20"/>
        </w:rPr>
        <w:t xml:space="preserve"> I</w:t>
      </w:r>
      <w:r>
        <w:rPr>
          <w:b/>
          <w:bCs/>
          <w:sz w:val="20"/>
          <w:szCs w:val="20"/>
        </w:rPr>
        <w:t>I</w:t>
      </w:r>
    </w:p>
    <w:p w:rsidR="00000000" w:rsidRDefault="00F83A7A">
      <w:pPr>
        <w:pStyle w:val="a3"/>
        <w:spacing w:before="200" w:beforeAutospacing="0" w:after="0" w:afterAutospacing="0"/>
        <w:jc w:val="both"/>
        <w:rPr>
          <w:sz w:val="20"/>
          <w:szCs w:val="20"/>
        </w:rPr>
      </w:pPr>
      <w:r>
        <w:rPr>
          <w:b/>
          <w:bCs/>
          <w:sz w:val="20"/>
          <w:szCs w:val="20"/>
        </w:rPr>
        <w:t>Item 5. Market for Registrant’s Common Equity, Related St</w:t>
      </w:r>
      <w:r>
        <w:rPr>
          <w:b/>
          <w:bCs/>
          <w:sz w:val="20"/>
          <w:szCs w:val="20"/>
        </w:rPr>
        <w:t>o</w:t>
      </w:r>
      <w:r>
        <w:rPr>
          <w:b/>
          <w:bCs/>
          <w:sz w:val="20"/>
          <w:szCs w:val="20"/>
        </w:rPr>
        <w:t>ckholder Matters and Issuer Purchases of Equity Securitie</w:t>
      </w:r>
      <w:r>
        <w:rPr>
          <w:b/>
          <w:bCs/>
          <w:sz w:val="20"/>
          <w:szCs w:val="20"/>
        </w:rPr>
        <w:t>s</w:t>
      </w:r>
    </w:p>
    <w:p w:rsidR="00000000" w:rsidRDefault="00F83A7A">
      <w:pPr>
        <w:pStyle w:val="a3"/>
        <w:spacing w:before="200" w:beforeAutospacing="0" w:after="0" w:afterAutospacing="0"/>
        <w:jc w:val="both"/>
        <w:rPr>
          <w:sz w:val="20"/>
          <w:szCs w:val="20"/>
        </w:rPr>
      </w:pPr>
      <w:r>
        <w:rPr>
          <w:b/>
          <w:bCs/>
          <w:sz w:val="20"/>
          <w:szCs w:val="20"/>
        </w:rPr>
        <w:t>Market Informatio</w:t>
      </w:r>
      <w:r>
        <w:rPr>
          <w:b/>
          <w:bCs/>
          <w:sz w:val="20"/>
          <w:szCs w:val="20"/>
        </w:rPr>
        <w:t>n</w:t>
      </w:r>
    </w:p>
    <w:p w:rsidR="00000000" w:rsidRDefault="00F83A7A">
      <w:pPr>
        <w:pStyle w:val="a3"/>
        <w:spacing w:before="200" w:beforeAutospacing="0" w:after="0" w:afterAutospacing="0"/>
        <w:ind w:firstLine="555"/>
        <w:jc w:val="both"/>
        <w:rPr>
          <w:sz w:val="20"/>
          <w:szCs w:val="20"/>
        </w:rPr>
      </w:pPr>
      <w:r>
        <w:rPr>
          <w:sz w:val="20"/>
          <w:szCs w:val="20"/>
        </w:rPr>
        <w:t>Our common stock began trading on The Nasdaq Global Select Market on May 5, 2017, under the symbol “OVID.</w:t>
      </w:r>
      <w:r>
        <w:rPr>
          <w:sz w:val="20"/>
          <w:szCs w:val="20"/>
        </w:rPr>
        <w:t>”</w:t>
      </w:r>
      <w:r>
        <w:rPr>
          <w:sz w:val="20"/>
          <w:szCs w:val="20"/>
        </w:rPr>
        <w:t xml:space="preserve"> </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0" w:beforeAutospacing="0" w:after="0" w:afterAutospacing="0"/>
        <w:jc w:val="both"/>
        <w:rPr>
          <w:sz w:val="20"/>
          <w:szCs w:val="20"/>
        </w:rPr>
      </w:pPr>
      <w:r>
        <w:rPr>
          <w:b/>
          <w:bCs/>
          <w:sz w:val="20"/>
          <w:szCs w:val="20"/>
        </w:rPr>
        <w:t>Comparative Stock Performance Grap</w:t>
      </w:r>
      <w:r>
        <w:rPr>
          <w:b/>
          <w:bCs/>
          <w:sz w:val="20"/>
          <w:szCs w:val="20"/>
        </w:rPr>
        <w:t>h</w:t>
      </w:r>
    </w:p>
    <w:p w:rsidR="00000000" w:rsidRDefault="00F83A7A">
      <w:pPr>
        <w:pStyle w:val="a3"/>
        <w:spacing w:before="200" w:beforeAutospacing="0" w:after="0" w:afterAutospacing="0"/>
        <w:ind w:firstLine="555"/>
        <w:jc w:val="both"/>
        <w:rPr>
          <w:sz w:val="20"/>
          <w:szCs w:val="20"/>
        </w:rPr>
      </w:pPr>
      <w:r>
        <w:rPr>
          <w:sz w:val="20"/>
          <w:szCs w:val="20"/>
        </w:rPr>
        <w:t>The following performance graph and related information shall not be deemed “soliciting material” or to be “fi</w:t>
      </w:r>
      <w:r>
        <w:rPr>
          <w:sz w:val="20"/>
          <w:szCs w:val="20"/>
        </w:rPr>
        <w:t>led” with the SEC, nor shall such information be incorporated by reference into any future filing under the Securities Act or Exchange Act. The following graph shows a comparison from May 5, 2017 (the date our common stock commenced trading on the Nasdaq G</w:t>
      </w:r>
      <w:r>
        <w:rPr>
          <w:sz w:val="20"/>
          <w:szCs w:val="20"/>
        </w:rPr>
        <w:t>lobal Select Market) through December 31, 2021, of the cumulative total return for our common stock, the Nasdaq Composite Index, and the Nasdaq Biotechnology Index</w:t>
      </w:r>
      <w:r>
        <w:rPr>
          <w:sz w:val="20"/>
          <w:szCs w:val="20"/>
        </w:rPr>
        <w:t>.</w:t>
      </w:r>
    </w:p>
    <w:p w:rsidR="00000000" w:rsidRDefault="00F83A7A">
      <w:pPr>
        <w:pStyle w:val="a3"/>
        <w:spacing w:beforeAutospacing="0" w:after="0" w:afterAutospacing="0"/>
        <w:ind w:firstLine="555"/>
        <w:jc w:val="both"/>
        <w:rPr>
          <w:sz w:val="20"/>
          <w:szCs w:val="20"/>
        </w:rPr>
      </w:pPr>
      <w:r>
        <w:rPr>
          <w:noProof/>
          <w:sz w:val="20"/>
          <w:szCs w:val="20"/>
        </w:rPr>
        <w:drawing>
          <wp:inline distT="0" distB="0" distL="0" distR="0">
            <wp:extent cx="304800" cy="3048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F83A7A">
      <w:pPr>
        <w:pStyle w:val="a3"/>
        <w:spacing w:before="200" w:beforeAutospacing="0" w:after="0" w:afterAutospacing="0"/>
        <w:ind w:firstLine="555"/>
        <w:jc w:val="both"/>
        <w:rPr>
          <w:sz w:val="20"/>
          <w:szCs w:val="20"/>
        </w:rPr>
      </w:pPr>
      <w:r>
        <w:rPr>
          <w:sz w:val="20"/>
          <w:szCs w:val="20"/>
        </w:rPr>
        <w:t>The graph assumes an initial investment of $100 on May 5, 2017. The comparisons in the graph are not intended to forecast or be indicative of possible future performance of o</w:t>
      </w:r>
      <w:r>
        <w:rPr>
          <w:sz w:val="20"/>
          <w:szCs w:val="20"/>
        </w:rPr>
        <w:t>ur common stock</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Holders of Recor</w:t>
      </w:r>
      <w:r>
        <w:rPr>
          <w:b/>
          <w:bCs/>
          <w:sz w:val="20"/>
          <w:szCs w:val="20"/>
        </w:rPr>
        <w:t>d</w:t>
      </w:r>
    </w:p>
    <w:p w:rsidR="00000000" w:rsidRDefault="00F83A7A">
      <w:pPr>
        <w:pStyle w:val="a3"/>
        <w:spacing w:before="200" w:beforeAutospacing="0" w:after="0" w:afterAutospacing="0"/>
        <w:ind w:firstLine="555"/>
        <w:jc w:val="both"/>
        <w:rPr>
          <w:sz w:val="20"/>
          <w:szCs w:val="20"/>
        </w:rPr>
      </w:pPr>
      <w:r>
        <w:rPr>
          <w:sz w:val="20"/>
          <w:szCs w:val="20"/>
        </w:rPr>
        <w:t>As of March 10, 2022, we had approximately 11 holders of record of our common stock. Certain shares are held in “street” name and accordingly, the number of beneficial owners of such shares is not known or included in the</w:t>
      </w:r>
      <w:r>
        <w:rPr>
          <w:sz w:val="20"/>
          <w:szCs w:val="20"/>
        </w:rPr>
        <w:t xml:space="preserve"> foregoing number. This number of holders of record also does not include stockholders whose shares may be held in trust by other entities</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Dividend Polic</w:t>
      </w:r>
      <w:r>
        <w:rPr>
          <w:b/>
          <w:bCs/>
          <w:sz w:val="20"/>
          <w:szCs w:val="20"/>
        </w:rPr>
        <w:t>y</w:t>
      </w:r>
    </w:p>
    <w:p w:rsidR="00000000" w:rsidRDefault="00F83A7A">
      <w:pPr>
        <w:pStyle w:val="a3"/>
        <w:spacing w:before="200" w:beforeAutospacing="0" w:after="0" w:afterAutospacing="0"/>
        <w:ind w:firstLine="555"/>
        <w:jc w:val="both"/>
        <w:rPr>
          <w:sz w:val="20"/>
          <w:szCs w:val="20"/>
        </w:rPr>
      </w:pPr>
      <w:r>
        <w:rPr>
          <w:sz w:val="20"/>
          <w:szCs w:val="20"/>
        </w:rPr>
        <w:t>We have never declared or paid any cash dividends on our common stock. We currently intend to retain</w:t>
      </w:r>
      <w:r>
        <w:rPr>
          <w:sz w:val="20"/>
          <w:szCs w:val="20"/>
        </w:rPr>
        <w:t xml:space="preserve"> future earnings to fund the development and growth of our business. We do not expect to pay any cash dividends in the foreseeable future. Any future determination to pay dividends will be made at the discretion of our board of directors and will depend on</w:t>
      </w:r>
      <w:r>
        <w:rPr>
          <w:sz w:val="20"/>
          <w:szCs w:val="20"/>
        </w:rPr>
        <w:t xml:space="preserve"> then-existing conditions, including our financial conditions, operating results, contractual restrictions, capital requirements, business prospects and other factors our board of directors may deem relevant</w:t>
      </w:r>
      <w:r>
        <w:rPr>
          <w:sz w:val="20"/>
          <w:szCs w:val="20"/>
        </w:rPr>
        <w:t>.</w:t>
      </w:r>
    </w:p>
    <w:p w:rsidR="00000000" w:rsidRDefault="00F83A7A">
      <w:pPr>
        <w:pStyle w:val="a3"/>
        <w:spacing w:before="240" w:beforeAutospacing="0" w:after="0" w:afterAutospacing="0"/>
        <w:jc w:val="center"/>
        <w:rPr>
          <w:sz w:val="20"/>
          <w:szCs w:val="20"/>
        </w:rPr>
      </w:pPr>
      <w:r>
        <w:rPr>
          <w:sz w:val="20"/>
          <w:szCs w:val="20"/>
        </w:rPr>
        <w:t>5</w:t>
      </w:r>
      <w:r>
        <w:rPr>
          <w:sz w:val="20"/>
          <w:szCs w:val="20"/>
        </w:rPr>
        <w:t>3</w:t>
      </w:r>
    </w:p>
    <w:p w:rsidR="00000000" w:rsidRDefault="00F83A7A">
      <w:pPr>
        <w:rPr>
          <w:rFonts w:eastAsia="Times New Roman"/>
        </w:rPr>
      </w:pPr>
      <w:r>
        <w:rPr>
          <w:rFonts w:eastAsia="Times New Roman"/>
        </w:rPr>
        <w:pict>
          <v:rect id="_x0000_i1081"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rPr>
          <w:sz w:val="20"/>
          <w:szCs w:val="20"/>
        </w:rPr>
      </w:pPr>
      <w:r>
        <w:rPr>
          <w:b/>
          <w:bCs/>
          <w:sz w:val="20"/>
          <w:szCs w:val="20"/>
        </w:rPr>
        <w:t>Recent</w:t>
      </w:r>
      <w:r>
        <w:rPr>
          <w:b/>
          <w:bCs/>
          <w:sz w:val="20"/>
          <w:szCs w:val="20"/>
        </w:rPr>
        <w:t xml:space="preserve"> Sales of Unregistered Securitie</w:t>
      </w:r>
      <w:r>
        <w:rPr>
          <w:b/>
          <w:bCs/>
          <w:sz w:val="20"/>
          <w:szCs w:val="20"/>
        </w:rPr>
        <w:t>s</w:t>
      </w:r>
    </w:p>
    <w:p w:rsidR="00000000" w:rsidRDefault="00F83A7A">
      <w:pPr>
        <w:pStyle w:val="a3"/>
        <w:spacing w:before="200" w:beforeAutospacing="0" w:after="0" w:afterAutospacing="0"/>
        <w:ind w:firstLine="612"/>
        <w:jc w:val="both"/>
        <w:rPr>
          <w:sz w:val="20"/>
          <w:szCs w:val="20"/>
        </w:rPr>
      </w:pPr>
      <w:r>
        <w:rPr>
          <w:sz w:val="20"/>
          <w:szCs w:val="20"/>
        </w:rPr>
        <w:t>None</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 </w:t>
      </w:r>
    </w:p>
    <w:p w:rsidR="00000000" w:rsidRDefault="00F83A7A">
      <w:pPr>
        <w:pStyle w:val="a3"/>
        <w:spacing w:before="200" w:beforeAutospacing="0" w:after="0" w:afterAutospacing="0"/>
        <w:jc w:val="both"/>
        <w:rPr>
          <w:sz w:val="20"/>
          <w:szCs w:val="20"/>
        </w:rPr>
      </w:pPr>
      <w:r>
        <w:rPr>
          <w:b/>
          <w:bCs/>
          <w:sz w:val="20"/>
          <w:szCs w:val="20"/>
        </w:rPr>
        <w:t>Item 6. [Reserved</w:t>
      </w:r>
      <w:r>
        <w:rPr>
          <w:b/>
          <w:bCs/>
          <w:sz w:val="20"/>
          <w:szCs w:val="20"/>
        </w:rPr>
        <w:t>]</w:t>
      </w:r>
      <w:r>
        <w:rPr>
          <w:b/>
          <w:bCs/>
          <w:sz w:val="20"/>
          <w:szCs w:val="20"/>
        </w:rPr>
        <w:t xml:space="preserve"> </w:t>
      </w:r>
    </w:p>
    <w:p w:rsidR="00000000" w:rsidRDefault="00F83A7A">
      <w:pPr>
        <w:pStyle w:val="a3"/>
        <w:spacing w:before="240" w:beforeAutospacing="0" w:after="0" w:afterAutospacing="0"/>
        <w:jc w:val="center"/>
        <w:rPr>
          <w:sz w:val="20"/>
          <w:szCs w:val="20"/>
        </w:rPr>
      </w:pPr>
      <w:r>
        <w:rPr>
          <w:sz w:val="20"/>
          <w:szCs w:val="20"/>
        </w:rPr>
        <w:t>5</w:t>
      </w:r>
      <w:r>
        <w:rPr>
          <w:sz w:val="20"/>
          <w:szCs w:val="20"/>
        </w:rPr>
        <w:t>4</w:t>
      </w:r>
    </w:p>
    <w:p w:rsidR="00000000" w:rsidRDefault="00F83A7A">
      <w:pPr>
        <w:rPr>
          <w:rFonts w:eastAsia="Times New Roman"/>
        </w:rPr>
      </w:pPr>
      <w:r>
        <w:rPr>
          <w:rFonts w:eastAsia="Times New Roman"/>
        </w:rPr>
        <w:pict>
          <v:rect id="_x0000_i1082"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both"/>
        <w:rPr>
          <w:sz w:val="20"/>
          <w:szCs w:val="20"/>
        </w:rPr>
      </w:pPr>
      <w:r>
        <w:rPr>
          <w:b/>
          <w:bCs/>
          <w:sz w:val="20"/>
          <w:szCs w:val="20"/>
        </w:rPr>
        <w:t>Item 7. Management’s Discussion and Analysis of Financial Condition and Results of Operation</w:t>
      </w:r>
      <w:r>
        <w:rPr>
          <w:b/>
          <w:bCs/>
          <w:sz w:val="20"/>
          <w:szCs w:val="20"/>
        </w:rPr>
        <w:t>s</w:t>
      </w:r>
    </w:p>
    <w:p w:rsidR="00000000" w:rsidRDefault="00F83A7A">
      <w:pPr>
        <w:pStyle w:val="a3"/>
        <w:spacing w:before="200" w:beforeAutospacing="0" w:after="0" w:afterAutospacing="0"/>
        <w:ind w:firstLine="555"/>
        <w:jc w:val="both"/>
        <w:rPr>
          <w:sz w:val="20"/>
          <w:szCs w:val="20"/>
        </w:rPr>
      </w:pPr>
      <w:r>
        <w:rPr>
          <w:i/>
          <w:iCs/>
          <w:sz w:val="20"/>
          <w:szCs w:val="20"/>
        </w:rPr>
        <w:t>The following discussion and analysis should be read in conjunction with our financial statements and related notes included</w:t>
      </w:r>
      <w:r>
        <w:rPr>
          <w:i/>
          <w:iCs/>
          <w:sz w:val="20"/>
          <w:szCs w:val="20"/>
        </w:rPr>
        <w:t xml:space="preserve"> elsewhere in this Annual Report on Form 10-K. This discussion and analysis and other parts of this Annual Report on Form 10-K contain forward-looking statements based upon current beliefs, plans and expectations that involve risks, uncertainties and assum</w:t>
      </w:r>
      <w:r>
        <w:rPr>
          <w:i/>
          <w:iCs/>
          <w:sz w:val="20"/>
          <w:szCs w:val="20"/>
        </w:rPr>
        <w:t>ptions, such as statements regarding our plans, objectives, expectations, intentions and projections. Our actual results and the timing of selected events could differ materially from those anticipated in these forward-looking statements as a result of sev</w:t>
      </w:r>
      <w:r>
        <w:rPr>
          <w:i/>
          <w:iCs/>
          <w:sz w:val="20"/>
          <w:szCs w:val="20"/>
        </w:rPr>
        <w:t>eral factors, including those set forth under “Risk Factors” and elsewhere in this Annual Report on Form 10-K. You should carefully read the “Risk Factors” section of this Annual Report on Form 10-K to gain an understanding of the important factors that co</w:t>
      </w:r>
      <w:r>
        <w:rPr>
          <w:i/>
          <w:iCs/>
          <w:sz w:val="20"/>
          <w:szCs w:val="20"/>
        </w:rPr>
        <w:t>uld cause actual results to differ materially from our forward-looking statements. Please also see the section entitled “Special Note Regarding Forward-Looking Statements.</w:t>
      </w:r>
      <w:r>
        <w:rPr>
          <w:i/>
          <w:iCs/>
          <w:sz w:val="20"/>
          <w:szCs w:val="20"/>
        </w:rPr>
        <w:t>”</w:t>
      </w:r>
    </w:p>
    <w:p w:rsidR="00000000" w:rsidRDefault="00F83A7A">
      <w:pPr>
        <w:pStyle w:val="a3"/>
        <w:spacing w:before="200" w:beforeAutospacing="0" w:after="0" w:afterAutospacing="0"/>
        <w:jc w:val="both"/>
        <w:rPr>
          <w:sz w:val="20"/>
          <w:szCs w:val="20"/>
        </w:rPr>
      </w:pPr>
      <w:r>
        <w:rPr>
          <w:b/>
          <w:bCs/>
          <w:sz w:val="20"/>
          <w:szCs w:val="20"/>
        </w:rPr>
        <w:t>Overvie</w:t>
      </w:r>
      <w:r>
        <w:rPr>
          <w:b/>
          <w:bCs/>
          <w:sz w:val="20"/>
          <w:szCs w:val="20"/>
        </w:rPr>
        <w:t>w</w:t>
      </w:r>
    </w:p>
    <w:p w:rsidR="00000000" w:rsidRDefault="00F83A7A">
      <w:pPr>
        <w:pStyle w:val="a3"/>
        <w:spacing w:before="0" w:beforeAutospacing="0" w:after="0" w:afterAutospacing="0"/>
        <w:ind w:firstLine="555"/>
        <w:jc w:val="both"/>
        <w:rPr>
          <w:sz w:val="20"/>
          <w:szCs w:val="20"/>
        </w:rPr>
      </w:pPr>
      <w:r>
        <w:rPr>
          <w:sz w:val="20"/>
          <w:szCs w:val="20"/>
        </w:rPr>
        <w:t> </w:t>
      </w:r>
    </w:p>
    <w:p w:rsidR="00000000" w:rsidRDefault="00F83A7A">
      <w:pPr>
        <w:pStyle w:val="a3"/>
        <w:spacing w:before="0" w:beforeAutospacing="0" w:after="0" w:afterAutospacing="0"/>
        <w:ind w:firstLine="555"/>
        <w:jc w:val="both"/>
        <w:rPr>
          <w:sz w:val="20"/>
          <w:szCs w:val="20"/>
        </w:rPr>
      </w:pPr>
      <w:r>
        <w:rPr>
          <w:sz w:val="20"/>
          <w:szCs w:val="20"/>
        </w:rPr>
        <w:t>We are a biopharmaceutical company focused on drug discovery and develop</w:t>
      </w:r>
      <w:r>
        <w:rPr>
          <w:sz w:val="20"/>
          <w:szCs w:val="20"/>
        </w:rPr>
        <w:t>ment for epilepsies and rare CNS disorders in a manner that is scientifically driven, patient focused and is coupled with an integrated and discipled approach to research, clinical development and business development. Our team has significant experience a</w:t>
      </w:r>
      <w:r>
        <w:rPr>
          <w:sz w:val="20"/>
          <w:szCs w:val="20"/>
        </w:rPr>
        <w:t xml:space="preserve">nd understanding of rare epilepsy and neurological conditions, and we continue to build insight into the way the different molecular mechanisms and pathways underlying these disorders impact the symptoms patients suffer. Ovid has set out to be a leader in </w:t>
      </w:r>
      <w:r>
        <w:rPr>
          <w:sz w:val="20"/>
          <w:szCs w:val="20"/>
        </w:rPr>
        <w:t>the field, and has developed a differentiated pipeline containing three novel mechanisms of action to target different causes of epilepsies and seizures. Our knowledge of epilepsy disease biology and pathology, which was acquired through our small molecule</w:t>
      </w:r>
      <w:r>
        <w:rPr>
          <w:sz w:val="20"/>
          <w:szCs w:val="20"/>
        </w:rPr>
        <w:t xml:space="preserve"> development programs, now contributes to our pursuit of additional relevant genetic targets and molecular pathways that are the cause of seizures. Over time, we have built a scalable scientific platform and efficient development capabilities in epilepsies</w:t>
      </w:r>
      <w:r>
        <w:rPr>
          <w:sz w:val="20"/>
          <w:szCs w:val="20"/>
        </w:rPr>
        <w:t xml:space="preserve"> that focus on clear, clinical endpoints. We are initially pursuing therapeutic assets for rare disorders as they can leverage accelerated development programs. If successfully developed and marketed in rare conditions, we intend to explore these assets fo</w:t>
      </w:r>
      <w:r>
        <w:rPr>
          <w:sz w:val="20"/>
          <w:szCs w:val="20"/>
        </w:rPr>
        <w:t>r broader neurologic indications. Our cohesive focus in epilepsies and seizures reinforces our belief that we can develop and produce multiple novel medicines, scale our infrastructure, and thereby succeed in our mission</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Since our inception in April 2014,</w:t>
      </w:r>
      <w:r>
        <w:rPr>
          <w:sz w:val="20"/>
          <w:szCs w:val="20"/>
        </w:rPr>
        <w:t xml:space="preserve"> we have devoted substantially all of our efforts to organizing and planning our business, building our management and technical team, acquiring operating assets and raising capital</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During the year ended December 31, 2021, we generated $208.4 million of l</w:t>
      </w:r>
      <w:r>
        <w:rPr>
          <w:sz w:val="20"/>
          <w:szCs w:val="20"/>
        </w:rPr>
        <w:t>icense and other revenue primarily through the</w:t>
      </w:r>
      <w:r>
        <w:rPr>
          <w:sz w:val="20"/>
          <w:szCs w:val="20"/>
        </w:rPr>
        <w:t xml:space="preserve"> </w:t>
      </w:r>
      <w:r>
        <w:rPr>
          <w:sz w:val="20"/>
          <w:szCs w:val="20"/>
        </w:rPr>
        <w:t>license and collaboration agreement with Taked</w:t>
      </w:r>
      <w:r>
        <w:rPr>
          <w:sz w:val="20"/>
          <w:szCs w:val="20"/>
        </w:rPr>
        <w:t>a</w:t>
      </w:r>
      <w:r>
        <w:rPr>
          <w:sz w:val="20"/>
          <w:szCs w:val="20"/>
        </w:rPr>
        <w:t>, and have otherwise funded our business primarily through the sale of our capital stock. Through December 31, 2021, we have raised net proceeds of $275.4 million</w:t>
      </w:r>
      <w:r>
        <w:rPr>
          <w:sz w:val="20"/>
          <w:szCs w:val="20"/>
        </w:rPr>
        <w:t xml:space="preserve"> from the sale of our convertible preferred stock and our common stock. As of December 31, 2021, we had $187.8 million in cash and cash equivalents. We recorded net income of $122.8 million and net loss $81.0 million for the years ended December 31, 2021 a</w:t>
      </w:r>
      <w:r>
        <w:rPr>
          <w:sz w:val="20"/>
          <w:szCs w:val="20"/>
        </w:rPr>
        <w:t>nd 2020, respectively. As of December 31, 2021, we had an accumulated deficit of $171.4 million</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We expect to continue to incur significant expenses and increasing operating losses for at least the next several years. Our net losses may fluctuate significa</w:t>
      </w:r>
      <w:r>
        <w:rPr>
          <w:sz w:val="20"/>
          <w:szCs w:val="20"/>
        </w:rPr>
        <w:t>ntly from period to period, depending on the timing of our planned clinical trials and expenditures on our other research and development and commercial development activities. We expect our expenses will increase substantially over time as we</w:t>
      </w:r>
      <w:r>
        <w:rPr>
          <w:sz w:val="20"/>
          <w:szCs w:val="20"/>
        </w:rPr>
        <w:t>:</w:t>
      </w:r>
    </w:p>
    <w:p w:rsidR="00000000" w:rsidRDefault="00F83A7A">
      <w:pPr>
        <w:jc w:val="both"/>
        <w:divId w:val="2000377177"/>
        <w:rPr>
          <w:rFonts w:eastAsia="Times New Roman"/>
        </w:rPr>
      </w:pPr>
      <w:r>
        <w:rPr>
          <w:rFonts w:eastAsia="Times New Roman"/>
          <w:sz w:val="20"/>
          <w:szCs w:val="20"/>
        </w:rPr>
        <w:t>•</w:t>
      </w:r>
    </w:p>
    <w:p w:rsidR="00000000" w:rsidRDefault="00F83A7A">
      <w:pPr>
        <w:jc w:val="both"/>
        <w:divId w:val="1431008744"/>
        <w:rPr>
          <w:rFonts w:eastAsia="Times New Roman"/>
        </w:rPr>
      </w:pPr>
      <w:r>
        <w:rPr>
          <w:rFonts w:eastAsia="Times New Roman"/>
          <w:sz w:val="20"/>
          <w:szCs w:val="20"/>
        </w:rPr>
        <w:t xml:space="preserve">continue </w:t>
      </w:r>
      <w:r>
        <w:rPr>
          <w:rFonts w:eastAsia="Times New Roman"/>
          <w:sz w:val="20"/>
          <w:szCs w:val="20"/>
        </w:rPr>
        <w:t>the ongoing and planned preclinical and clinical development of our drug candidates</w:t>
      </w:r>
      <w:r>
        <w:rPr>
          <w:rFonts w:eastAsia="Times New Roman"/>
          <w:sz w:val="20"/>
          <w:szCs w:val="20"/>
        </w:rPr>
        <w:t>;</w:t>
      </w:r>
    </w:p>
    <w:p w:rsidR="00000000" w:rsidRDefault="00F83A7A">
      <w:pPr>
        <w:jc w:val="both"/>
        <w:divId w:val="8261325"/>
        <w:rPr>
          <w:rFonts w:eastAsia="Times New Roman"/>
        </w:rPr>
      </w:pPr>
      <w:r>
        <w:rPr>
          <w:rFonts w:eastAsia="Times New Roman"/>
          <w:sz w:val="20"/>
          <w:szCs w:val="20"/>
        </w:rPr>
        <w:t>•</w:t>
      </w:r>
    </w:p>
    <w:p w:rsidR="00000000" w:rsidRDefault="00F83A7A">
      <w:pPr>
        <w:jc w:val="both"/>
        <w:divId w:val="1807117790"/>
        <w:rPr>
          <w:rFonts w:eastAsia="Times New Roman"/>
        </w:rPr>
      </w:pPr>
      <w:r>
        <w:rPr>
          <w:rFonts w:eastAsia="Times New Roman"/>
          <w:sz w:val="20"/>
          <w:szCs w:val="20"/>
        </w:rPr>
        <w:t>build a portfolio of drug candidates through the development, acquisition or in-license of drugs, drug candidates or technologies</w:t>
      </w:r>
      <w:r>
        <w:rPr>
          <w:rFonts w:eastAsia="Times New Roman"/>
          <w:sz w:val="20"/>
          <w:szCs w:val="20"/>
        </w:rPr>
        <w:t>;</w:t>
      </w:r>
    </w:p>
    <w:p w:rsidR="00000000" w:rsidRDefault="00F83A7A">
      <w:pPr>
        <w:jc w:val="both"/>
        <w:divId w:val="1114402412"/>
        <w:rPr>
          <w:rFonts w:eastAsia="Times New Roman"/>
        </w:rPr>
      </w:pPr>
      <w:r>
        <w:rPr>
          <w:rFonts w:eastAsia="Times New Roman"/>
          <w:sz w:val="20"/>
          <w:szCs w:val="20"/>
        </w:rPr>
        <w:t>•</w:t>
      </w:r>
    </w:p>
    <w:p w:rsidR="00000000" w:rsidRDefault="00F83A7A">
      <w:pPr>
        <w:jc w:val="both"/>
        <w:divId w:val="1734086632"/>
        <w:rPr>
          <w:rFonts w:eastAsia="Times New Roman"/>
        </w:rPr>
      </w:pPr>
      <w:r>
        <w:rPr>
          <w:rFonts w:eastAsia="Times New Roman"/>
          <w:sz w:val="20"/>
          <w:szCs w:val="20"/>
        </w:rPr>
        <w:t>initiate preclinical studies and cli</w:t>
      </w:r>
      <w:r>
        <w:rPr>
          <w:rFonts w:eastAsia="Times New Roman"/>
          <w:sz w:val="20"/>
          <w:szCs w:val="20"/>
        </w:rPr>
        <w:t>nical trials for any additional drug candidates that we may pursue in the future</w:t>
      </w:r>
      <w:r>
        <w:rPr>
          <w:rFonts w:eastAsia="Times New Roman"/>
          <w:sz w:val="20"/>
          <w:szCs w:val="20"/>
        </w:rPr>
        <w:t>;</w:t>
      </w:r>
    </w:p>
    <w:p w:rsidR="00000000" w:rsidRDefault="00F83A7A">
      <w:pPr>
        <w:jc w:val="both"/>
        <w:divId w:val="2066174851"/>
        <w:rPr>
          <w:rFonts w:eastAsia="Times New Roman"/>
        </w:rPr>
      </w:pPr>
      <w:r>
        <w:rPr>
          <w:rFonts w:eastAsia="Times New Roman"/>
          <w:sz w:val="20"/>
          <w:szCs w:val="20"/>
        </w:rPr>
        <w:t>•</w:t>
      </w:r>
    </w:p>
    <w:p w:rsidR="00000000" w:rsidRDefault="00F83A7A">
      <w:pPr>
        <w:jc w:val="both"/>
        <w:divId w:val="1445926556"/>
        <w:rPr>
          <w:rFonts w:eastAsia="Times New Roman"/>
        </w:rPr>
      </w:pPr>
      <w:r>
        <w:rPr>
          <w:rFonts w:eastAsia="Times New Roman"/>
          <w:sz w:val="20"/>
          <w:szCs w:val="20"/>
        </w:rPr>
        <w:t>seek marketing approvals for our current and future drug candidates that successfully complete clinical trials</w:t>
      </w:r>
      <w:r>
        <w:rPr>
          <w:rFonts w:eastAsia="Times New Roman"/>
          <w:sz w:val="20"/>
          <w:szCs w:val="20"/>
        </w:rPr>
        <w:t>;</w:t>
      </w:r>
    </w:p>
    <w:p w:rsidR="00000000" w:rsidRDefault="00F83A7A">
      <w:pPr>
        <w:jc w:val="both"/>
        <w:divId w:val="1969819137"/>
        <w:rPr>
          <w:rFonts w:eastAsia="Times New Roman"/>
        </w:rPr>
      </w:pPr>
      <w:r>
        <w:rPr>
          <w:rFonts w:eastAsia="Times New Roman"/>
          <w:sz w:val="20"/>
          <w:szCs w:val="20"/>
        </w:rPr>
        <w:t>•</w:t>
      </w:r>
    </w:p>
    <w:p w:rsidR="00000000" w:rsidRDefault="00F83A7A">
      <w:pPr>
        <w:jc w:val="both"/>
        <w:divId w:val="1546747896"/>
        <w:rPr>
          <w:rFonts w:eastAsia="Times New Roman"/>
        </w:rPr>
      </w:pPr>
      <w:r>
        <w:rPr>
          <w:rFonts w:eastAsia="Times New Roman"/>
          <w:sz w:val="20"/>
          <w:szCs w:val="20"/>
        </w:rPr>
        <w:t>establish a sales, marketing and distribution infrastructure to commercialize any drug candidate for which we may obtain marketing approval</w:t>
      </w:r>
      <w:r>
        <w:rPr>
          <w:rFonts w:eastAsia="Times New Roman"/>
          <w:sz w:val="20"/>
          <w:szCs w:val="20"/>
        </w:rPr>
        <w:t>;</w:t>
      </w:r>
    </w:p>
    <w:p w:rsidR="00000000" w:rsidRDefault="00F83A7A">
      <w:pPr>
        <w:jc w:val="both"/>
        <w:divId w:val="214464539"/>
        <w:rPr>
          <w:rFonts w:eastAsia="Times New Roman"/>
        </w:rPr>
      </w:pPr>
      <w:r>
        <w:rPr>
          <w:rFonts w:eastAsia="Times New Roman"/>
          <w:sz w:val="20"/>
          <w:szCs w:val="20"/>
        </w:rPr>
        <w:t>•</w:t>
      </w:r>
    </w:p>
    <w:p w:rsidR="00000000" w:rsidRDefault="00F83A7A">
      <w:pPr>
        <w:jc w:val="both"/>
        <w:divId w:val="959536402"/>
        <w:rPr>
          <w:rFonts w:eastAsia="Times New Roman"/>
        </w:rPr>
      </w:pPr>
      <w:r>
        <w:rPr>
          <w:rFonts w:eastAsia="Times New Roman"/>
          <w:sz w:val="20"/>
          <w:szCs w:val="20"/>
        </w:rPr>
        <w:t>develop, maintain, expand and protect our intellectual property portfolio</w:t>
      </w:r>
      <w:r>
        <w:rPr>
          <w:rFonts w:eastAsia="Times New Roman"/>
          <w:sz w:val="20"/>
          <w:szCs w:val="20"/>
        </w:rPr>
        <w:t>;</w:t>
      </w:r>
    </w:p>
    <w:p w:rsidR="00000000" w:rsidRDefault="00F83A7A">
      <w:pPr>
        <w:jc w:val="both"/>
        <w:divId w:val="859201447"/>
        <w:rPr>
          <w:rFonts w:eastAsia="Times New Roman"/>
        </w:rPr>
      </w:pPr>
      <w:r>
        <w:rPr>
          <w:rFonts w:eastAsia="Times New Roman"/>
          <w:sz w:val="20"/>
          <w:szCs w:val="20"/>
        </w:rPr>
        <w:t>•</w:t>
      </w:r>
    </w:p>
    <w:p w:rsidR="00000000" w:rsidRDefault="00F83A7A">
      <w:pPr>
        <w:jc w:val="both"/>
        <w:divId w:val="1350134759"/>
        <w:rPr>
          <w:rFonts w:eastAsia="Times New Roman"/>
        </w:rPr>
      </w:pPr>
      <w:r>
        <w:rPr>
          <w:rFonts w:eastAsia="Times New Roman"/>
          <w:sz w:val="20"/>
          <w:szCs w:val="20"/>
        </w:rPr>
        <w:t>implement operational, financial and</w:t>
      </w:r>
      <w:r>
        <w:rPr>
          <w:rFonts w:eastAsia="Times New Roman"/>
          <w:sz w:val="20"/>
          <w:szCs w:val="20"/>
        </w:rPr>
        <w:t xml:space="preserve"> management systems; an</w:t>
      </w:r>
      <w:r>
        <w:rPr>
          <w:rFonts w:eastAsia="Times New Roman"/>
          <w:sz w:val="20"/>
          <w:szCs w:val="20"/>
        </w:rPr>
        <w:t>d</w:t>
      </w:r>
    </w:p>
    <w:p w:rsidR="00000000" w:rsidRDefault="00F83A7A">
      <w:pPr>
        <w:jc w:val="both"/>
        <w:divId w:val="815951011"/>
        <w:rPr>
          <w:rFonts w:eastAsia="Times New Roman"/>
        </w:rPr>
      </w:pPr>
      <w:r>
        <w:rPr>
          <w:rFonts w:eastAsia="Times New Roman"/>
          <w:sz w:val="20"/>
          <w:szCs w:val="20"/>
        </w:rPr>
        <w:t>•</w:t>
      </w:r>
    </w:p>
    <w:p w:rsidR="00000000" w:rsidRDefault="00F83A7A">
      <w:pPr>
        <w:jc w:val="both"/>
        <w:divId w:val="576213196"/>
        <w:rPr>
          <w:rFonts w:eastAsia="Times New Roman"/>
        </w:rPr>
      </w:pPr>
      <w:r>
        <w:rPr>
          <w:rFonts w:eastAsia="Times New Roman"/>
          <w:sz w:val="20"/>
          <w:szCs w:val="20"/>
        </w:rPr>
        <w:t>attract, hire and retain additional administrative, clinical, regulatory, manufacturing, commercial and scientific personnel</w:t>
      </w:r>
      <w:r>
        <w:rPr>
          <w:rFonts w:eastAsia="Times New Roman"/>
          <w:sz w:val="20"/>
          <w:szCs w:val="20"/>
        </w:rPr>
        <w:t>.</w:t>
      </w:r>
    </w:p>
    <w:p w:rsidR="00000000" w:rsidRDefault="00F83A7A">
      <w:pPr>
        <w:pStyle w:val="a3"/>
        <w:spacing w:before="240" w:beforeAutospacing="0" w:after="0" w:afterAutospacing="0"/>
        <w:jc w:val="center"/>
        <w:rPr>
          <w:sz w:val="20"/>
          <w:szCs w:val="20"/>
        </w:rPr>
      </w:pPr>
      <w:r>
        <w:rPr>
          <w:sz w:val="20"/>
          <w:szCs w:val="20"/>
        </w:rPr>
        <w:t>5</w:t>
      </w:r>
      <w:r>
        <w:rPr>
          <w:sz w:val="20"/>
          <w:szCs w:val="20"/>
        </w:rPr>
        <w:t>5</w:t>
      </w:r>
    </w:p>
    <w:p w:rsidR="00000000" w:rsidRDefault="00F83A7A">
      <w:pPr>
        <w:rPr>
          <w:rFonts w:eastAsia="Times New Roman"/>
        </w:rPr>
      </w:pPr>
      <w:r>
        <w:rPr>
          <w:rFonts w:eastAsia="Times New Roman"/>
        </w:rPr>
        <w:pict>
          <v:rect id="_x0000_i1083"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rPr>
          <w:sz w:val="20"/>
          <w:szCs w:val="20"/>
        </w:rPr>
      </w:pPr>
      <w:r>
        <w:rPr>
          <w:b/>
          <w:bCs/>
          <w:sz w:val="20"/>
          <w:szCs w:val="20"/>
        </w:rPr>
        <w:t>Recent Development</w:t>
      </w:r>
      <w:r>
        <w:rPr>
          <w:b/>
          <w:bCs/>
          <w:sz w:val="20"/>
          <w:szCs w:val="20"/>
        </w:rPr>
        <w:t>s</w:t>
      </w:r>
    </w:p>
    <w:p w:rsidR="00000000" w:rsidRDefault="00F83A7A">
      <w:pPr>
        <w:pStyle w:val="a3"/>
        <w:spacing w:before="200" w:beforeAutospacing="0" w:after="0" w:afterAutospacing="0"/>
        <w:jc w:val="both"/>
        <w:rPr>
          <w:sz w:val="20"/>
          <w:szCs w:val="20"/>
        </w:rPr>
      </w:pPr>
      <w:r>
        <w:rPr>
          <w:i/>
          <w:iCs/>
          <w:sz w:val="20"/>
          <w:szCs w:val="20"/>
        </w:rPr>
        <w:t>License Agreement with AstraZeneca A</w:t>
      </w:r>
      <w:r>
        <w:rPr>
          <w:i/>
          <w:iCs/>
          <w:sz w:val="20"/>
          <w:szCs w:val="20"/>
        </w:rPr>
        <w:t>B</w:t>
      </w:r>
    </w:p>
    <w:p w:rsidR="00000000" w:rsidRDefault="00F83A7A">
      <w:pPr>
        <w:pStyle w:val="a3"/>
        <w:spacing w:before="200" w:beforeAutospacing="0" w:after="0" w:afterAutospacing="0"/>
        <w:ind w:firstLine="555"/>
        <w:jc w:val="both"/>
        <w:rPr>
          <w:sz w:val="20"/>
          <w:szCs w:val="20"/>
        </w:rPr>
      </w:pPr>
      <w:r>
        <w:rPr>
          <w:sz w:val="20"/>
          <w:szCs w:val="20"/>
        </w:rPr>
        <w:t>On D</w:t>
      </w:r>
      <w:r>
        <w:rPr>
          <w:sz w:val="20"/>
          <w:szCs w:val="20"/>
        </w:rPr>
        <w:t>ecember 30, 2021, we entered into an exclusive license agreement with AstraZeneca AB, for a library of early-stage small molecules targeting the KCC2 transporter, including lead candidate OV350. Upon execution of the agreement, we owed an upfront cash paym</w:t>
      </w:r>
      <w:r>
        <w:rPr>
          <w:sz w:val="20"/>
          <w:szCs w:val="20"/>
        </w:rPr>
        <w:t xml:space="preserve">ent of $5.0 million and issued shares of our common stock in an amount that equaled $7.3 million based on the volume-weighted average price of shares of our common stock for the 30 business days immediately preceding the execution date of the transaction. </w:t>
      </w:r>
      <w:r>
        <w:rPr>
          <w:sz w:val="20"/>
          <w:szCs w:val="20"/>
        </w:rPr>
        <w:t>The cash payment of $5.0 million was paid in January 2022</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 xml:space="preserve">Pursuant to the AstraZeneca license agreement, we agreed to potential milestone payments of up to $203.0 million upon the achievement of certain developmental, regulatory and sales milestones. The </w:t>
      </w:r>
      <w:r>
        <w:rPr>
          <w:sz w:val="20"/>
          <w:szCs w:val="20"/>
        </w:rPr>
        <w:t>first payment of $3.0 million is due upon the successful completion of the first Phase 2 clinical study of a licensed product following a positive biomarker readout in a Phase 1 clinical study. In addition, if a licensed product achieves regulatory approva</w:t>
      </w:r>
      <w:r>
        <w:rPr>
          <w:sz w:val="20"/>
          <w:szCs w:val="20"/>
        </w:rPr>
        <w:t>l, AstraZeneca is entitled to tiere</w:t>
      </w:r>
      <w:r>
        <w:rPr>
          <w:sz w:val="20"/>
          <w:szCs w:val="20"/>
        </w:rPr>
        <w:t>d</w:t>
      </w:r>
      <w:r>
        <w:rPr>
          <w:sz w:val="20"/>
          <w:szCs w:val="20"/>
        </w:rPr>
        <w:t xml:space="preserve"> royalty payments ranging from the single digits up to 10 percent on net sale</w:t>
      </w:r>
      <w:r>
        <w:rPr>
          <w:sz w:val="20"/>
          <w:szCs w:val="20"/>
        </w:rPr>
        <w:t>s</w:t>
      </w:r>
      <w:r>
        <w:rPr>
          <w:sz w:val="20"/>
          <w:szCs w:val="20"/>
        </w:rPr>
        <w:t xml:space="preserve"> subject to standard reductions in certain circumstances</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COVID-19 Updat</w:t>
      </w:r>
      <w:r>
        <w:rPr>
          <w:b/>
          <w:bCs/>
          <w:sz w:val="20"/>
          <w:szCs w:val="20"/>
        </w:rPr>
        <w:t>e</w:t>
      </w:r>
    </w:p>
    <w:p w:rsidR="00000000" w:rsidRDefault="00F83A7A">
      <w:pPr>
        <w:pStyle w:val="a3"/>
        <w:spacing w:before="200" w:beforeAutospacing="0" w:after="0" w:afterAutospacing="0"/>
        <w:ind w:firstLine="555"/>
        <w:jc w:val="both"/>
        <w:rPr>
          <w:sz w:val="20"/>
          <w:szCs w:val="20"/>
        </w:rPr>
      </w:pPr>
      <w:r>
        <w:rPr>
          <w:sz w:val="20"/>
          <w:szCs w:val="20"/>
        </w:rPr>
        <w:t>We have implemented business continuity plans designed to address an</w:t>
      </w:r>
      <w:r>
        <w:rPr>
          <w:sz w:val="20"/>
          <w:szCs w:val="20"/>
        </w:rPr>
        <w:t>d mitigate the impact of the ongoing COVID-19 pandemic on our employees and our business. We continue to operate normally with the exception of enabling all of our employees to work productively at home and abiding by travel restrictions issued by federal,</w:t>
      </w:r>
      <w:r>
        <w:rPr>
          <w:sz w:val="20"/>
          <w:szCs w:val="20"/>
        </w:rPr>
        <w:t xml:space="preserve"> state and local governments. Our current plans to return to the office remain fluid as federal, state and local guidelines, rules and regulations continue to evolve</w:t>
      </w:r>
      <w:r>
        <w:rPr>
          <w:sz w:val="20"/>
          <w:szCs w:val="20"/>
        </w:rPr>
        <w:t>.</w:t>
      </w:r>
      <w:r>
        <w:rPr>
          <w:sz w:val="20"/>
          <w:szCs w:val="20"/>
        </w:rPr>
        <w:t xml:space="preserve"> </w:t>
      </w:r>
    </w:p>
    <w:p w:rsidR="00000000" w:rsidRDefault="00F83A7A">
      <w:pPr>
        <w:pStyle w:val="a3"/>
        <w:spacing w:before="200" w:beforeAutospacing="0" w:after="0" w:afterAutospacing="0"/>
        <w:jc w:val="both"/>
        <w:rPr>
          <w:sz w:val="20"/>
          <w:szCs w:val="20"/>
        </w:rPr>
      </w:pPr>
      <w:r>
        <w:rPr>
          <w:b/>
          <w:bCs/>
          <w:sz w:val="20"/>
          <w:szCs w:val="20"/>
        </w:rPr>
        <w:t>Financial Operations Overvie</w:t>
      </w:r>
      <w:r>
        <w:rPr>
          <w:b/>
          <w:bCs/>
          <w:sz w:val="20"/>
          <w:szCs w:val="20"/>
        </w:rPr>
        <w:t>w</w:t>
      </w:r>
    </w:p>
    <w:p w:rsidR="00000000" w:rsidRDefault="00F83A7A">
      <w:pPr>
        <w:pStyle w:val="a3"/>
        <w:spacing w:before="200" w:beforeAutospacing="0" w:after="0" w:afterAutospacing="0"/>
        <w:ind w:left="238"/>
        <w:jc w:val="both"/>
        <w:rPr>
          <w:sz w:val="20"/>
          <w:szCs w:val="20"/>
        </w:rPr>
      </w:pPr>
      <w:r>
        <w:rPr>
          <w:b/>
          <w:bCs/>
          <w:i/>
          <w:iCs/>
          <w:sz w:val="20"/>
          <w:szCs w:val="20"/>
        </w:rPr>
        <w:t>Revenu</w:t>
      </w:r>
      <w:r>
        <w:rPr>
          <w:b/>
          <w:bCs/>
          <w:i/>
          <w:iCs/>
          <w:sz w:val="20"/>
          <w:szCs w:val="20"/>
        </w:rPr>
        <w:t>e</w:t>
      </w:r>
    </w:p>
    <w:p w:rsidR="00000000" w:rsidRDefault="00F83A7A">
      <w:pPr>
        <w:pStyle w:val="a3"/>
        <w:spacing w:before="200" w:beforeAutospacing="0" w:after="0" w:afterAutospacing="0"/>
        <w:ind w:firstLine="555"/>
        <w:jc w:val="both"/>
        <w:rPr>
          <w:sz w:val="20"/>
          <w:szCs w:val="20"/>
        </w:rPr>
      </w:pPr>
      <w:r>
        <w:rPr>
          <w:sz w:val="20"/>
          <w:szCs w:val="20"/>
        </w:rPr>
        <w:t>We generated revenue under the Takeda License and Termination Agreement and under the Angelini License Agreement. We have not generated any revenue from commercial drug sales and we do not expect to generate any further revenue unless or until we obtain re</w:t>
      </w:r>
      <w:r>
        <w:rPr>
          <w:sz w:val="20"/>
          <w:szCs w:val="20"/>
        </w:rPr>
        <w:t>gulatory approval and commercialize one or more of our current or future drug candidates. In the future, we may also seek to generate revenue from a combination of research and development payments, license fees and other upfront or milestone payments</w:t>
      </w:r>
      <w:r>
        <w:rPr>
          <w:sz w:val="20"/>
          <w:szCs w:val="20"/>
        </w:rPr>
        <w:t>.</w:t>
      </w:r>
    </w:p>
    <w:p w:rsidR="00000000" w:rsidRDefault="00F83A7A">
      <w:pPr>
        <w:pStyle w:val="a3"/>
        <w:spacing w:before="200" w:beforeAutospacing="0" w:after="0" w:afterAutospacing="0"/>
        <w:ind w:left="238"/>
        <w:jc w:val="both"/>
        <w:rPr>
          <w:sz w:val="20"/>
          <w:szCs w:val="20"/>
        </w:rPr>
      </w:pPr>
      <w:r>
        <w:rPr>
          <w:b/>
          <w:bCs/>
          <w:i/>
          <w:iCs/>
          <w:sz w:val="20"/>
          <w:szCs w:val="20"/>
        </w:rPr>
        <w:t>Research and Development Expense</w:t>
      </w:r>
      <w:r>
        <w:rPr>
          <w:b/>
          <w:bCs/>
          <w:i/>
          <w:i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Research and development expenses consist primarily of costs incurred for our research activities, including our product discovery efforts and the development of our product candidates, which include, among other things</w:t>
      </w:r>
      <w:r>
        <w:rPr>
          <w:sz w:val="20"/>
          <w:szCs w:val="20"/>
        </w:rPr>
        <w:t>:</w:t>
      </w:r>
    </w:p>
    <w:p w:rsidR="00000000" w:rsidRDefault="00F83A7A">
      <w:pPr>
        <w:jc w:val="both"/>
        <w:divId w:val="1452243374"/>
        <w:rPr>
          <w:rFonts w:eastAsia="Times New Roman"/>
        </w:rPr>
      </w:pPr>
      <w:r>
        <w:rPr>
          <w:rFonts w:eastAsia="Times New Roman"/>
          <w:sz w:val="20"/>
          <w:szCs w:val="20"/>
        </w:rPr>
        <w:t>•</w:t>
      </w:r>
    </w:p>
    <w:p w:rsidR="00000000" w:rsidRDefault="00F83A7A">
      <w:pPr>
        <w:jc w:val="both"/>
        <w:divId w:val="1178738515"/>
        <w:rPr>
          <w:rFonts w:eastAsia="Times New Roman"/>
        </w:rPr>
      </w:pPr>
      <w:r>
        <w:rPr>
          <w:rFonts w:eastAsia="Times New Roman"/>
          <w:sz w:val="20"/>
          <w:szCs w:val="20"/>
        </w:rPr>
        <w:t>employee-related expenses, including salaries, benefits and stock-based compensation expense</w:t>
      </w:r>
      <w:r>
        <w:rPr>
          <w:rFonts w:eastAsia="Times New Roman"/>
          <w:sz w:val="20"/>
          <w:szCs w:val="20"/>
        </w:rPr>
        <w:t>;</w:t>
      </w:r>
    </w:p>
    <w:p w:rsidR="00000000" w:rsidRDefault="00F83A7A">
      <w:pPr>
        <w:jc w:val="both"/>
        <w:divId w:val="1501192745"/>
        <w:rPr>
          <w:rFonts w:eastAsia="Times New Roman"/>
        </w:rPr>
      </w:pPr>
      <w:r>
        <w:rPr>
          <w:rFonts w:eastAsia="Times New Roman"/>
          <w:sz w:val="20"/>
          <w:szCs w:val="20"/>
        </w:rPr>
        <w:t>•</w:t>
      </w:r>
    </w:p>
    <w:p w:rsidR="00000000" w:rsidRDefault="00F83A7A">
      <w:pPr>
        <w:jc w:val="both"/>
        <w:divId w:val="626132004"/>
        <w:rPr>
          <w:rFonts w:eastAsia="Times New Roman"/>
        </w:rPr>
      </w:pPr>
      <w:r>
        <w:rPr>
          <w:rFonts w:eastAsia="Times New Roman"/>
          <w:sz w:val="20"/>
          <w:szCs w:val="20"/>
        </w:rPr>
        <w:t>fees paid to consultants for services directly related to our drug development and regulatory effort</w:t>
      </w:r>
      <w:r>
        <w:rPr>
          <w:rFonts w:eastAsia="Times New Roman"/>
          <w:sz w:val="20"/>
          <w:szCs w:val="20"/>
        </w:rPr>
        <w:t>;</w:t>
      </w:r>
    </w:p>
    <w:p w:rsidR="00000000" w:rsidRDefault="00F83A7A">
      <w:pPr>
        <w:jc w:val="both"/>
        <w:divId w:val="279847070"/>
        <w:rPr>
          <w:rFonts w:eastAsia="Times New Roman"/>
        </w:rPr>
      </w:pPr>
      <w:r>
        <w:rPr>
          <w:rFonts w:eastAsia="Times New Roman"/>
          <w:sz w:val="20"/>
          <w:szCs w:val="20"/>
        </w:rPr>
        <w:t>•</w:t>
      </w:r>
    </w:p>
    <w:p w:rsidR="00000000" w:rsidRDefault="00F83A7A">
      <w:pPr>
        <w:jc w:val="both"/>
        <w:divId w:val="1717317656"/>
        <w:rPr>
          <w:rFonts w:eastAsia="Times New Roman"/>
        </w:rPr>
      </w:pPr>
      <w:r>
        <w:rPr>
          <w:rFonts w:eastAsia="Times New Roman"/>
          <w:sz w:val="20"/>
          <w:szCs w:val="20"/>
        </w:rPr>
        <w:t>expenses incurred under agreements with contract resear</w:t>
      </w:r>
      <w:r>
        <w:rPr>
          <w:rFonts w:eastAsia="Times New Roman"/>
          <w:sz w:val="20"/>
          <w:szCs w:val="20"/>
        </w:rPr>
        <w:t>ch organizations, as well as contract manufacturing organizations and consultants that conduct preclinical studies and clinical trials</w:t>
      </w:r>
      <w:r>
        <w:rPr>
          <w:rFonts w:eastAsia="Times New Roman"/>
          <w:sz w:val="20"/>
          <w:szCs w:val="20"/>
        </w:rPr>
        <w:t>;</w:t>
      </w:r>
    </w:p>
    <w:p w:rsidR="00000000" w:rsidRDefault="00F83A7A">
      <w:pPr>
        <w:jc w:val="both"/>
        <w:divId w:val="957250519"/>
        <w:rPr>
          <w:rFonts w:eastAsia="Times New Roman"/>
        </w:rPr>
      </w:pPr>
      <w:r>
        <w:rPr>
          <w:rFonts w:eastAsia="Times New Roman"/>
          <w:sz w:val="20"/>
          <w:szCs w:val="20"/>
        </w:rPr>
        <w:t>•</w:t>
      </w:r>
    </w:p>
    <w:p w:rsidR="00000000" w:rsidRDefault="00F83A7A">
      <w:pPr>
        <w:jc w:val="both"/>
        <w:divId w:val="1515069127"/>
        <w:rPr>
          <w:rFonts w:eastAsia="Times New Roman"/>
        </w:rPr>
      </w:pPr>
      <w:r>
        <w:rPr>
          <w:rFonts w:eastAsia="Times New Roman"/>
          <w:sz w:val="20"/>
          <w:szCs w:val="20"/>
        </w:rPr>
        <w:t>costs associated with preclinical activities and development activities</w:t>
      </w:r>
      <w:r>
        <w:rPr>
          <w:rFonts w:eastAsia="Times New Roman"/>
          <w:sz w:val="20"/>
          <w:szCs w:val="20"/>
        </w:rPr>
        <w:t>;</w:t>
      </w:r>
    </w:p>
    <w:p w:rsidR="00000000" w:rsidRDefault="00F83A7A">
      <w:pPr>
        <w:jc w:val="both"/>
        <w:divId w:val="604308163"/>
        <w:rPr>
          <w:rFonts w:eastAsia="Times New Roman"/>
        </w:rPr>
      </w:pPr>
      <w:r>
        <w:rPr>
          <w:rFonts w:eastAsia="Times New Roman"/>
          <w:sz w:val="20"/>
          <w:szCs w:val="20"/>
        </w:rPr>
        <w:t>•</w:t>
      </w:r>
    </w:p>
    <w:p w:rsidR="00000000" w:rsidRDefault="00F83A7A">
      <w:pPr>
        <w:jc w:val="both"/>
        <w:divId w:val="579868257"/>
        <w:rPr>
          <w:rFonts w:eastAsia="Times New Roman"/>
        </w:rPr>
      </w:pPr>
      <w:r>
        <w:rPr>
          <w:rFonts w:eastAsia="Times New Roman"/>
          <w:sz w:val="20"/>
          <w:szCs w:val="20"/>
        </w:rPr>
        <w:t>costs associated with technology and intell</w:t>
      </w:r>
      <w:r>
        <w:rPr>
          <w:rFonts w:eastAsia="Times New Roman"/>
          <w:sz w:val="20"/>
          <w:szCs w:val="20"/>
        </w:rPr>
        <w:t>ectual property licenses</w:t>
      </w:r>
      <w:r>
        <w:rPr>
          <w:rFonts w:eastAsia="Times New Roman"/>
          <w:sz w:val="20"/>
          <w:szCs w:val="20"/>
        </w:rPr>
        <w:t>;</w:t>
      </w:r>
    </w:p>
    <w:p w:rsidR="00000000" w:rsidRDefault="00F83A7A">
      <w:pPr>
        <w:jc w:val="both"/>
        <w:divId w:val="1073046355"/>
        <w:rPr>
          <w:rFonts w:eastAsia="Times New Roman"/>
        </w:rPr>
      </w:pPr>
      <w:r>
        <w:rPr>
          <w:rFonts w:eastAsia="Times New Roman"/>
          <w:sz w:val="20"/>
          <w:szCs w:val="20"/>
        </w:rPr>
        <w:t>•</w:t>
      </w:r>
    </w:p>
    <w:p w:rsidR="00000000" w:rsidRDefault="00F83A7A">
      <w:pPr>
        <w:jc w:val="both"/>
        <w:divId w:val="57287067"/>
        <w:rPr>
          <w:rFonts w:eastAsia="Times New Roman"/>
        </w:rPr>
      </w:pPr>
      <w:r>
        <w:rPr>
          <w:rFonts w:eastAsia="Times New Roman"/>
          <w:sz w:val="20"/>
          <w:szCs w:val="20"/>
        </w:rPr>
        <w:t>milestone payments and other costs under licensing agreements; an</w:t>
      </w:r>
      <w:r>
        <w:rPr>
          <w:rFonts w:eastAsia="Times New Roman"/>
          <w:sz w:val="20"/>
          <w:szCs w:val="20"/>
        </w:rPr>
        <w:t>d</w:t>
      </w:r>
    </w:p>
    <w:p w:rsidR="00000000" w:rsidRDefault="00F83A7A">
      <w:pPr>
        <w:jc w:val="both"/>
        <w:divId w:val="1761945093"/>
        <w:rPr>
          <w:rFonts w:eastAsia="Times New Roman"/>
        </w:rPr>
      </w:pPr>
      <w:r>
        <w:rPr>
          <w:rFonts w:eastAsia="Times New Roman"/>
          <w:sz w:val="20"/>
          <w:szCs w:val="20"/>
        </w:rPr>
        <w:t>•</w:t>
      </w:r>
    </w:p>
    <w:p w:rsidR="00000000" w:rsidRDefault="00F83A7A">
      <w:pPr>
        <w:jc w:val="both"/>
        <w:divId w:val="92167104"/>
        <w:rPr>
          <w:rFonts w:eastAsia="Times New Roman"/>
        </w:rPr>
      </w:pPr>
      <w:r>
        <w:rPr>
          <w:rFonts w:eastAsia="Times New Roman"/>
          <w:sz w:val="20"/>
          <w:szCs w:val="20"/>
        </w:rPr>
        <w:t>depreciation expense for assets used in research and development activities</w:t>
      </w:r>
      <w:r>
        <w:rPr>
          <w:rFonts w:eastAsia="Times New Roman"/>
          <w:sz w:val="20"/>
          <w:szCs w:val="20"/>
        </w:rPr>
        <w:t>.</w:t>
      </w:r>
    </w:p>
    <w:p w:rsidR="00000000" w:rsidRDefault="00F83A7A">
      <w:pPr>
        <w:pStyle w:val="a3"/>
        <w:spacing w:before="200" w:beforeAutospacing="0" w:after="0" w:afterAutospacing="0"/>
        <w:ind w:firstLine="555"/>
        <w:jc w:val="both"/>
        <w:rPr>
          <w:sz w:val="20"/>
          <w:szCs w:val="20"/>
        </w:rPr>
      </w:pPr>
      <w:r>
        <w:rPr>
          <w:sz w:val="20"/>
          <w:szCs w:val="20"/>
        </w:rPr>
        <w:t>Costs incurred in connection with research and development activities are expensed</w:t>
      </w:r>
      <w:r>
        <w:rPr>
          <w:sz w:val="20"/>
          <w:szCs w:val="20"/>
        </w:rPr>
        <w:t xml:space="preserve"> as incurred. Costs for certain development activities, such as clinical trials, are recognized based on an evaluation of the progress to completion of specific tasks using data such as patient enrollment, clinical site activations or other information pro</w:t>
      </w:r>
      <w:r>
        <w:rPr>
          <w:sz w:val="20"/>
          <w:szCs w:val="20"/>
        </w:rPr>
        <w:t>vided to us by our vendors</w:t>
      </w:r>
      <w:r>
        <w:rPr>
          <w:sz w:val="20"/>
          <w:szCs w:val="20"/>
        </w:rPr>
        <w:t>.</w:t>
      </w:r>
    </w:p>
    <w:p w:rsidR="00000000" w:rsidRDefault="00F83A7A">
      <w:pPr>
        <w:pStyle w:val="a3"/>
        <w:spacing w:before="240" w:beforeAutospacing="0" w:after="0" w:afterAutospacing="0"/>
        <w:jc w:val="center"/>
        <w:rPr>
          <w:sz w:val="20"/>
          <w:szCs w:val="20"/>
        </w:rPr>
      </w:pPr>
      <w:r>
        <w:rPr>
          <w:sz w:val="20"/>
          <w:szCs w:val="20"/>
        </w:rPr>
        <w:t>5</w:t>
      </w:r>
      <w:r>
        <w:rPr>
          <w:sz w:val="20"/>
          <w:szCs w:val="20"/>
        </w:rPr>
        <w:t>6</w:t>
      </w:r>
    </w:p>
    <w:p w:rsidR="00000000" w:rsidRDefault="00F83A7A">
      <w:pPr>
        <w:rPr>
          <w:rFonts w:eastAsia="Times New Roman"/>
        </w:rPr>
      </w:pPr>
      <w:r>
        <w:rPr>
          <w:rFonts w:eastAsia="Times New Roman"/>
        </w:rPr>
        <w:pict>
          <v:rect id="_x0000_i1084"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ind w:firstLine="555"/>
        <w:jc w:val="both"/>
        <w:rPr>
          <w:sz w:val="20"/>
          <w:szCs w:val="20"/>
        </w:rPr>
      </w:pPr>
      <w:r>
        <w:rPr>
          <w:sz w:val="20"/>
          <w:szCs w:val="20"/>
        </w:rPr>
        <w:t>Research and development activities are and will continue to be central to our business model. We expect our research and development expenses to increase for the foreseeable future as w</w:t>
      </w:r>
      <w:r>
        <w:rPr>
          <w:sz w:val="20"/>
          <w:szCs w:val="20"/>
        </w:rPr>
        <w:t>e advance our current and future drug candidates through preclinical studies and clinical trials. The process of conducting preclinical studies and clinical trials necessary to obtain regulatory approval is costly and time-consuming. It is difficult to det</w:t>
      </w:r>
      <w:r>
        <w:rPr>
          <w:sz w:val="20"/>
          <w:szCs w:val="20"/>
        </w:rPr>
        <w:t>ermine with certainty the duration and costs of any preclinical study or clinical trial that we may conduct. The duration, costs and timing of clinical trial programs and development of our current and future drug candidates will depend on a variety of fac</w:t>
      </w:r>
      <w:r>
        <w:rPr>
          <w:sz w:val="20"/>
          <w:szCs w:val="20"/>
        </w:rPr>
        <w:t>tors that include, but are not limited to, the following</w:t>
      </w:r>
      <w:r>
        <w:rPr>
          <w:sz w:val="20"/>
          <w:szCs w:val="20"/>
        </w:rPr>
        <w:t>:</w:t>
      </w:r>
    </w:p>
    <w:p w:rsidR="00000000" w:rsidRDefault="00F83A7A">
      <w:pPr>
        <w:jc w:val="both"/>
        <w:divId w:val="913857249"/>
        <w:rPr>
          <w:rFonts w:eastAsia="Times New Roman"/>
        </w:rPr>
      </w:pPr>
      <w:r>
        <w:rPr>
          <w:rFonts w:eastAsia="Times New Roman"/>
          <w:sz w:val="20"/>
          <w:szCs w:val="20"/>
        </w:rPr>
        <w:t>•</w:t>
      </w:r>
    </w:p>
    <w:p w:rsidR="00000000" w:rsidRDefault="00F83A7A">
      <w:pPr>
        <w:jc w:val="both"/>
        <w:divId w:val="749499979"/>
        <w:rPr>
          <w:rFonts w:eastAsia="Times New Roman"/>
        </w:rPr>
      </w:pPr>
      <w:r>
        <w:rPr>
          <w:rFonts w:eastAsia="Times New Roman"/>
          <w:sz w:val="20"/>
          <w:szCs w:val="20"/>
        </w:rPr>
        <w:t>number of clinical trials required for approval and any requirement for extension trials</w:t>
      </w:r>
      <w:r>
        <w:rPr>
          <w:rFonts w:eastAsia="Times New Roman"/>
          <w:sz w:val="20"/>
          <w:szCs w:val="20"/>
        </w:rPr>
        <w:t>;</w:t>
      </w:r>
    </w:p>
    <w:p w:rsidR="00000000" w:rsidRDefault="00F83A7A">
      <w:pPr>
        <w:jc w:val="both"/>
        <w:divId w:val="1934168871"/>
        <w:rPr>
          <w:rFonts w:eastAsia="Times New Roman"/>
        </w:rPr>
      </w:pPr>
      <w:r>
        <w:rPr>
          <w:rFonts w:eastAsia="Times New Roman"/>
          <w:sz w:val="20"/>
          <w:szCs w:val="20"/>
        </w:rPr>
        <w:t>•</w:t>
      </w:r>
    </w:p>
    <w:p w:rsidR="00000000" w:rsidRDefault="00F83A7A">
      <w:pPr>
        <w:jc w:val="both"/>
        <w:divId w:val="288781133"/>
        <w:rPr>
          <w:rFonts w:eastAsia="Times New Roman"/>
        </w:rPr>
      </w:pPr>
      <w:r>
        <w:rPr>
          <w:rFonts w:eastAsia="Times New Roman"/>
          <w:sz w:val="20"/>
          <w:szCs w:val="20"/>
        </w:rPr>
        <w:t>per patient trial costs;</w:t>
      </w:r>
      <w:r>
        <w:rPr>
          <w:rFonts w:eastAsia="Times New Roman"/>
          <w:sz w:val="20"/>
          <w:szCs w:val="20"/>
        </w:rPr>
        <w:t xml:space="preserve"> </w:t>
      </w:r>
    </w:p>
    <w:p w:rsidR="00000000" w:rsidRDefault="00F83A7A">
      <w:pPr>
        <w:jc w:val="both"/>
        <w:divId w:val="1664506448"/>
        <w:rPr>
          <w:rFonts w:eastAsia="Times New Roman"/>
        </w:rPr>
      </w:pPr>
      <w:r>
        <w:rPr>
          <w:rFonts w:eastAsia="Times New Roman"/>
          <w:sz w:val="20"/>
          <w:szCs w:val="20"/>
        </w:rPr>
        <w:t>•</w:t>
      </w:r>
    </w:p>
    <w:p w:rsidR="00000000" w:rsidRDefault="00F83A7A">
      <w:pPr>
        <w:jc w:val="both"/>
        <w:divId w:val="1485925549"/>
        <w:rPr>
          <w:rFonts w:eastAsia="Times New Roman"/>
        </w:rPr>
      </w:pPr>
      <w:r>
        <w:rPr>
          <w:rFonts w:eastAsia="Times New Roman"/>
          <w:sz w:val="20"/>
          <w:szCs w:val="20"/>
        </w:rPr>
        <w:t>number of patients who participate in the clinical trials</w:t>
      </w:r>
      <w:r>
        <w:rPr>
          <w:rFonts w:eastAsia="Times New Roman"/>
          <w:sz w:val="20"/>
          <w:szCs w:val="20"/>
        </w:rPr>
        <w:t>;</w:t>
      </w:r>
    </w:p>
    <w:p w:rsidR="00000000" w:rsidRDefault="00F83A7A">
      <w:pPr>
        <w:jc w:val="both"/>
        <w:divId w:val="60058501"/>
        <w:rPr>
          <w:rFonts w:eastAsia="Times New Roman"/>
        </w:rPr>
      </w:pPr>
      <w:r>
        <w:rPr>
          <w:rFonts w:eastAsia="Times New Roman"/>
          <w:sz w:val="20"/>
          <w:szCs w:val="20"/>
        </w:rPr>
        <w:t>•</w:t>
      </w:r>
    </w:p>
    <w:p w:rsidR="00000000" w:rsidRDefault="00F83A7A">
      <w:pPr>
        <w:jc w:val="both"/>
        <w:divId w:val="1305238271"/>
        <w:rPr>
          <w:rFonts w:eastAsia="Times New Roman"/>
        </w:rPr>
      </w:pPr>
      <w:r>
        <w:rPr>
          <w:rFonts w:eastAsia="Times New Roman"/>
          <w:sz w:val="20"/>
          <w:szCs w:val="20"/>
        </w:rPr>
        <w:t>number of sites included in the clinical trials</w:t>
      </w:r>
      <w:r>
        <w:rPr>
          <w:rFonts w:eastAsia="Times New Roman"/>
          <w:sz w:val="20"/>
          <w:szCs w:val="20"/>
        </w:rPr>
        <w:t>;</w:t>
      </w:r>
    </w:p>
    <w:p w:rsidR="00000000" w:rsidRDefault="00F83A7A">
      <w:pPr>
        <w:jc w:val="both"/>
        <w:divId w:val="1912696844"/>
        <w:rPr>
          <w:rFonts w:eastAsia="Times New Roman"/>
        </w:rPr>
      </w:pPr>
      <w:r>
        <w:rPr>
          <w:rFonts w:eastAsia="Times New Roman"/>
          <w:sz w:val="20"/>
          <w:szCs w:val="20"/>
        </w:rPr>
        <w:t>•</w:t>
      </w:r>
    </w:p>
    <w:p w:rsidR="00000000" w:rsidRDefault="00F83A7A">
      <w:pPr>
        <w:jc w:val="both"/>
        <w:divId w:val="2097901832"/>
        <w:rPr>
          <w:rFonts w:eastAsia="Times New Roman"/>
        </w:rPr>
      </w:pPr>
      <w:r>
        <w:rPr>
          <w:rFonts w:eastAsia="Times New Roman"/>
          <w:sz w:val="20"/>
          <w:szCs w:val="20"/>
        </w:rPr>
        <w:t>countries in which the clinical trial is conducted</w:t>
      </w:r>
      <w:r>
        <w:rPr>
          <w:rFonts w:eastAsia="Times New Roman"/>
          <w:sz w:val="20"/>
          <w:szCs w:val="20"/>
        </w:rPr>
        <w:t>;</w:t>
      </w:r>
    </w:p>
    <w:p w:rsidR="00000000" w:rsidRDefault="00F83A7A">
      <w:pPr>
        <w:jc w:val="both"/>
        <w:divId w:val="1552423436"/>
        <w:rPr>
          <w:rFonts w:eastAsia="Times New Roman"/>
        </w:rPr>
      </w:pPr>
      <w:r>
        <w:rPr>
          <w:rFonts w:eastAsia="Times New Roman"/>
          <w:sz w:val="20"/>
          <w:szCs w:val="20"/>
        </w:rPr>
        <w:t>•</w:t>
      </w:r>
    </w:p>
    <w:p w:rsidR="00000000" w:rsidRDefault="00F83A7A">
      <w:pPr>
        <w:jc w:val="both"/>
        <w:divId w:val="812911082"/>
        <w:rPr>
          <w:rFonts w:eastAsia="Times New Roman"/>
        </w:rPr>
      </w:pPr>
      <w:r>
        <w:rPr>
          <w:rFonts w:eastAsia="Times New Roman"/>
          <w:sz w:val="20"/>
          <w:szCs w:val="20"/>
        </w:rPr>
        <w:t>length of time required to enroll eligible patients</w:t>
      </w:r>
      <w:r>
        <w:rPr>
          <w:rFonts w:eastAsia="Times New Roman"/>
          <w:sz w:val="20"/>
          <w:szCs w:val="20"/>
        </w:rPr>
        <w:t>;</w:t>
      </w:r>
    </w:p>
    <w:p w:rsidR="00000000" w:rsidRDefault="00F83A7A">
      <w:pPr>
        <w:jc w:val="both"/>
        <w:divId w:val="1326587075"/>
        <w:rPr>
          <w:rFonts w:eastAsia="Times New Roman"/>
        </w:rPr>
      </w:pPr>
      <w:r>
        <w:rPr>
          <w:rFonts w:eastAsia="Times New Roman"/>
          <w:sz w:val="20"/>
          <w:szCs w:val="20"/>
        </w:rPr>
        <w:t>•</w:t>
      </w:r>
    </w:p>
    <w:p w:rsidR="00000000" w:rsidRDefault="00F83A7A">
      <w:pPr>
        <w:jc w:val="both"/>
        <w:divId w:val="1572160369"/>
        <w:rPr>
          <w:rFonts w:eastAsia="Times New Roman"/>
        </w:rPr>
      </w:pPr>
      <w:r>
        <w:rPr>
          <w:rFonts w:eastAsia="Times New Roman"/>
          <w:sz w:val="20"/>
          <w:szCs w:val="20"/>
        </w:rPr>
        <w:t>number of doses that patients recei</w:t>
      </w:r>
      <w:r>
        <w:rPr>
          <w:rFonts w:eastAsia="Times New Roman"/>
          <w:sz w:val="20"/>
          <w:szCs w:val="20"/>
        </w:rPr>
        <w:t>ve</w:t>
      </w:r>
      <w:r>
        <w:rPr>
          <w:rFonts w:eastAsia="Times New Roman"/>
          <w:sz w:val="20"/>
          <w:szCs w:val="20"/>
        </w:rPr>
        <w:t>;</w:t>
      </w:r>
    </w:p>
    <w:p w:rsidR="00000000" w:rsidRDefault="00F83A7A">
      <w:pPr>
        <w:jc w:val="both"/>
        <w:divId w:val="1575237015"/>
        <w:rPr>
          <w:rFonts w:eastAsia="Times New Roman"/>
        </w:rPr>
      </w:pPr>
      <w:r>
        <w:rPr>
          <w:rFonts w:eastAsia="Times New Roman"/>
          <w:sz w:val="20"/>
          <w:szCs w:val="20"/>
        </w:rPr>
        <w:t>•</w:t>
      </w:r>
    </w:p>
    <w:p w:rsidR="00000000" w:rsidRDefault="00F83A7A">
      <w:pPr>
        <w:jc w:val="both"/>
        <w:divId w:val="1929849488"/>
        <w:rPr>
          <w:rFonts w:eastAsia="Times New Roman"/>
        </w:rPr>
      </w:pPr>
      <w:r>
        <w:rPr>
          <w:rFonts w:eastAsia="Times New Roman"/>
          <w:sz w:val="20"/>
          <w:szCs w:val="20"/>
        </w:rPr>
        <w:t>drop-out or discontinuation rates of patients</w:t>
      </w:r>
      <w:r>
        <w:rPr>
          <w:rFonts w:eastAsia="Times New Roman"/>
          <w:sz w:val="20"/>
          <w:szCs w:val="20"/>
        </w:rPr>
        <w:t>;</w:t>
      </w:r>
    </w:p>
    <w:p w:rsidR="00000000" w:rsidRDefault="00F83A7A">
      <w:pPr>
        <w:jc w:val="both"/>
        <w:divId w:val="79109911"/>
        <w:rPr>
          <w:rFonts w:eastAsia="Times New Roman"/>
        </w:rPr>
      </w:pPr>
      <w:r>
        <w:rPr>
          <w:rFonts w:eastAsia="Times New Roman"/>
          <w:sz w:val="20"/>
          <w:szCs w:val="20"/>
        </w:rPr>
        <w:t>•</w:t>
      </w:r>
    </w:p>
    <w:p w:rsidR="00000000" w:rsidRDefault="00F83A7A">
      <w:pPr>
        <w:jc w:val="both"/>
        <w:divId w:val="1746681313"/>
        <w:rPr>
          <w:rFonts w:eastAsia="Times New Roman"/>
        </w:rPr>
      </w:pPr>
      <w:r>
        <w:rPr>
          <w:rFonts w:eastAsia="Times New Roman"/>
          <w:sz w:val="20"/>
          <w:szCs w:val="20"/>
        </w:rPr>
        <w:t>potential additional safety monitoring or other studies requested by regulatory agencies</w:t>
      </w:r>
      <w:r>
        <w:rPr>
          <w:rFonts w:eastAsia="Times New Roman"/>
          <w:sz w:val="20"/>
          <w:szCs w:val="20"/>
        </w:rPr>
        <w:t>;</w:t>
      </w:r>
    </w:p>
    <w:p w:rsidR="00000000" w:rsidRDefault="00F83A7A">
      <w:pPr>
        <w:jc w:val="both"/>
        <w:divId w:val="1994942310"/>
        <w:rPr>
          <w:rFonts w:eastAsia="Times New Roman"/>
        </w:rPr>
      </w:pPr>
      <w:r>
        <w:rPr>
          <w:rFonts w:eastAsia="Times New Roman"/>
          <w:sz w:val="20"/>
          <w:szCs w:val="20"/>
        </w:rPr>
        <w:t>•</w:t>
      </w:r>
    </w:p>
    <w:p w:rsidR="00000000" w:rsidRDefault="00F83A7A">
      <w:pPr>
        <w:jc w:val="both"/>
        <w:divId w:val="1422143581"/>
        <w:rPr>
          <w:rFonts w:eastAsia="Times New Roman"/>
        </w:rPr>
      </w:pPr>
      <w:r>
        <w:rPr>
          <w:rFonts w:eastAsia="Times New Roman"/>
          <w:sz w:val="20"/>
          <w:szCs w:val="20"/>
        </w:rPr>
        <w:t>duration of patient follow-up; an</w:t>
      </w:r>
      <w:r>
        <w:rPr>
          <w:rFonts w:eastAsia="Times New Roman"/>
          <w:sz w:val="20"/>
          <w:szCs w:val="20"/>
        </w:rPr>
        <w:t>d</w:t>
      </w:r>
    </w:p>
    <w:p w:rsidR="00000000" w:rsidRDefault="00F83A7A">
      <w:pPr>
        <w:jc w:val="both"/>
        <w:divId w:val="1304191138"/>
        <w:rPr>
          <w:rFonts w:eastAsia="Times New Roman"/>
        </w:rPr>
      </w:pPr>
      <w:r>
        <w:rPr>
          <w:rFonts w:eastAsia="Times New Roman"/>
          <w:sz w:val="20"/>
          <w:szCs w:val="20"/>
        </w:rPr>
        <w:t>•</w:t>
      </w:r>
    </w:p>
    <w:p w:rsidR="00000000" w:rsidRDefault="00F83A7A">
      <w:pPr>
        <w:jc w:val="both"/>
        <w:divId w:val="1694919706"/>
        <w:rPr>
          <w:rFonts w:eastAsia="Times New Roman"/>
        </w:rPr>
      </w:pPr>
      <w:r>
        <w:rPr>
          <w:rFonts w:eastAsia="Times New Roman"/>
          <w:sz w:val="20"/>
          <w:szCs w:val="20"/>
        </w:rPr>
        <w:t>efficacy and safety profile of the drug candidate</w:t>
      </w:r>
      <w:r>
        <w:rPr>
          <w:rFonts w:eastAsia="Times New Roman"/>
          <w:sz w:val="20"/>
          <w:szCs w:val="20"/>
        </w:rPr>
        <w:t>.</w:t>
      </w:r>
    </w:p>
    <w:p w:rsidR="00000000" w:rsidRDefault="00F83A7A">
      <w:pPr>
        <w:pStyle w:val="a3"/>
        <w:spacing w:before="200" w:beforeAutospacing="0" w:after="0" w:afterAutospacing="0"/>
        <w:ind w:firstLine="555"/>
        <w:jc w:val="both"/>
        <w:rPr>
          <w:sz w:val="20"/>
          <w:szCs w:val="20"/>
        </w:rPr>
      </w:pPr>
      <w:r>
        <w:rPr>
          <w:sz w:val="20"/>
          <w:szCs w:val="20"/>
        </w:rPr>
        <w:t>In addition, the prob</w:t>
      </w:r>
      <w:r>
        <w:rPr>
          <w:sz w:val="20"/>
          <w:szCs w:val="20"/>
        </w:rPr>
        <w:t>ability of success for any of our current or future drug candidates will depend on numerous factors, including competition, manufacturing capability and commercial viability. We will determine which programs to pursue and how much to fund each program in r</w:t>
      </w:r>
      <w:r>
        <w:rPr>
          <w:sz w:val="20"/>
          <w:szCs w:val="20"/>
        </w:rPr>
        <w:t>esponse to the scientific and clinical success of each drug candidate, as well as an assessment of each drug candidate’s commercial potential</w:t>
      </w:r>
      <w:r>
        <w:rPr>
          <w:sz w:val="20"/>
          <w:szCs w:val="20"/>
        </w:rPr>
        <w:t>.</w:t>
      </w:r>
    </w:p>
    <w:p w:rsidR="00000000" w:rsidRDefault="00F83A7A">
      <w:pPr>
        <w:pStyle w:val="a3"/>
        <w:spacing w:before="200" w:beforeAutospacing="0" w:after="0" w:afterAutospacing="0"/>
        <w:ind w:firstLine="555"/>
        <w:jc w:val="both"/>
        <w:rPr>
          <w:sz w:val="20"/>
          <w:szCs w:val="20"/>
        </w:rPr>
      </w:pPr>
      <w:r>
        <w:rPr>
          <w:b/>
          <w:bCs/>
          <w:i/>
          <w:iCs/>
          <w:sz w:val="20"/>
          <w:szCs w:val="20"/>
        </w:rPr>
        <w:t>General and Administrative Expense</w:t>
      </w:r>
      <w:r>
        <w:rPr>
          <w:b/>
          <w:bCs/>
          <w:i/>
          <w:i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General and administrative expenses consist primarily of employee-related exp</w:t>
      </w:r>
      <w:r>
        <w:rPr>
          <w:sz w:val="20"/>
          <w:szCs w:val="20"/>
        </w:rPr>
        <w:t>enses, including salaries, benefits and stock-based compensation expense, related to our executive, finance, business development and support functions. Other general and administrative expenses include costs associated with operating as a public company d</w:t>
      </w:r>
      <w:r>
        <w:rPr>
          <w:sz w:val="20"/>
          <w:szCs w:val="20"/>
        </w:rPr>
        <w:t>escribed below, travel expenses, conferences, professional fees for auditing, tax and legal services and facility-related costs</w:t>
      </w:r>
      <w:r>
        <w:rPr>
          <w:sz w:val="20"/>
          <w:szCs w:val="20"/>
        </w:rPr>
        <w:t>.</w:t>
      </w:r>
    </w:p>
    <w:p w:rsidR="00000000" w:rsidRDefault="00F83A7A">
      <w:pPr>
        <w:pStyle w:val="a3"/>
        <w:spacing w:before="200" w:beforeAutospacing="0" w:after="0" w:afterAutospacing="0"/>
        <w:ind w:firstLine="555"/>
        <w:jc w:val="both"/>
        <w:rPr>
          <w:sz w:val="20"/>
          <w:szCs w:val="20"/>
        </w:rPr>
      </w:pPr>
      <w:r>
        <w:rPr>
          <w:b/>
          <w:bCs/>
          <w:i/>
          <w:iCs/>
          <w:sz w:val="20"/>
          <w:szCs w:val="20"/>
        </w:rPr>
        <w:t>Other (expense) income, ne</w:t>
      </w:r>
      <w:r>
        <w:rPr>
          <w:b/>
          <w:bCs/>
          <w:i/>
          <w:iCs/>
          <w:sz w:val="20"/>
          <w:szCs w:val="20"/>
        </w:rPr>
        <w:t>t</w:t>
      </w:r>
    </w:p>
    <w:p w:rsidR="00000000" w:rsidRDefault="00F83A7A">
      <w:pPr>
        <w:pStyle w:val="a3"/>
        <w:spacing w:before="200" w:beforeAutospacing="0" w:after="0" w:afterAutospacing="0"/>
        <w:ind w:left="238" w:firstLine="553"/>
        <w:jc w:val="both"/>
        <w:rPr>
          <w:sz w:val="20"/>
          <w:szCs w:val="20"/>
        </w:rPr>
      </w:pPr>
      <w:r>
        <w:rPr>
          <w:sz w:val="20"/>
          <w:szCs w:val="20"/>
        </w:rPr>
        <w:t>Other (expense) income, net consists primarily of interest income earned on our cash and cash equiv</w:t>
      </w:r>
      <w:r>
        <w:rPr>
          <w:sz w:val="20"/>
          <w:szCs w:val="20"/>
        </w:rPr>
        <w:t>alents maintained in money market funds and accretion of discount on short-term investments</w:t>
      </w:r>
      <w:r>
        <w:rPr>
          <w:sz w:val="20"/>
          <w:szCs w:val="20"/>
        </w:rPr>
        <w:t>.</w:t>
      </w:r>
    </w:p>
    <w:p w:rsidR="00000000" w:rsidRDefault="00F83A7A">
      <w:pPr>
        <w:pStyle w:val="a3"/>
        <w:spacing w:before="240" w:beforeAutospacing="0" w:after="0" w:afterAutospacing="0"/>
        <w:jc w:val="center"/>
        <w:rPr>
          <w:sz w:val="20"/>
          <w:szCs w:val="20"/>
        </w:rPr>
      </w:pPr>
      <w:r>
        <w:rPr>
          <w:sz w:val="20"/>
          <w:szCs w:val="20"/>
        </w:rPr>
        <w:t>5</w:t>
      </w:r>
      <w:r>
        <w:rPr>
          <w:sz w:val="20"/>
          <w:szCs w:val="20"/>
        </w:rPr>
        <w:t>7</w:t>
      </w:r>
    </w:p>
    <w:p w:rsidR="00000000" w:rsidRDefault="00F83A7A">
      <w:pPr>
        <w:rPr>
          <w:rFonts w:eastAsia="Times New Roman"/>
        </w:rPr>
      </w:pPr>
      <w:r>
        <w:rPr>
          <w:rFonts w:eastAsia="Times New Roman"/>
        </w:rPr>
        <w:pict>
          <v:rect id="_x0000_i1085"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rPr>
          <w:sz w:val="20"/>
          <w:szCs w:val="20"/>
        </w:rPr>
      </w:pPr>
      <w:r>
        <w:rPr>
          <w:b/>
          <w:bCs/>
          <w:sz w:val="20"/>
          <w:szCs w:val="20"/>
        </w:rPr>
        <w:t>Results of Operation</w:t>
      </w:r>
      <w:r>
        <w:rPr>
          <w:b/>
          <w:bCs/>
          <w:sz w:val="20"/>
          <w:szCs w:val="20"/>
        </w:rPr>
        <w:t>s</w:t>
      </w:r>
      <w:r>
        <w:rPr>
          <w:b/>
          <w:bCs/>
          <w:sz w:val="20"/>
          <w:szCs w:val="20"/>
        </w:rPr>
        <w:t xml:space="preserve"> </w:t>
      </w:r>
    </w:p>
    <w:p w:rsidR="00000000" w:rsidRDefault="00F83A7A">
      <w:pPr>
        <w:pStyle w:val="a3"/>
        <w:spacing w:before="200" w:beforeAutospacing="0" w:after="0" w:afterAutospacing="0"/>
        <w:ind w:left="238"/>
        <w:rPr>
          <w:sz w:val="20"/>
          <w:szCs w:val="20"/>
        </w:rPr>
      </w:pPr>
      <w:r>
        <w:rPr>
          <w:b/>
          <w:bCs/>
          <w:i/>
          <w:iCs/>
          <w:sz w:val="20"/>
          <w:szCs w:val="20"/>
        </w:rPr>
        <w:t>Comparison of the Years Ended December 31, 2021 and 202</w:t>
      </w:r>
      <w:r>
        <w:rPr>
          <w:b/>
          <w:bCs/>
          <w:i/>
          <w:iCs/>
          <w:sz w:val="20"/>
          <w:szCs w:val="20"/>
        </w:rPr>
        <w:t>0</w:t>
      </w:r>
    </w:p>
    <w:p w:rsidR="00000000" w:rsidRDefault="00F83A7A">
      <w:pPr>
        <w:pStyle w:val="a3"/>
        <w:spacing w:before="200" w:beforeAutospacing="0" w:after="200" w:afterAutospacing="0"/>
        <w:ind w:firstLine="555"/>
        <w:jc w:val="both"/>
        <w:rPr>
          <w:sz w:val="20"/>
          <w:szCs w:val="20"/>
        </w:rPr>
      </w:pPr>
      <w:r>
        <w:rPr>
          <w:sz w:val="20"/>
          <w:szCs w:val="20"/>
        </w:rPr>
        <w:t>The following table summarizes the results of our operations for the periods indicated</w:t>
      </w:r>
      <w:r>
        <w:rPr>
          <w:sz w:val="20"/>
          <w:szCs w:val="20"/>
        </w:rPr>
        <w:t>:</w:t>
      </w:r>
      <w:r>
        <w:rPr>
          <w:sz w:val="20"/>
          <w:szCs w:val="20"/>
        </w:rPr>
        <w:t xml:space="preserve">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368"/>
        <w:gridCol w:w="110"/>
        <w:gridCol w:w="160"/>
        <w:gridCol w:w="750"/>
        <w:gridCol w:w="127"/>
        <w:gridCol w:w="110"/>
        <w:gridCol w:w="160"/>
        <w:gridCol w:w="739"/>
        <w:gridCol w:w="127"/>
        <w:gridCol w:w="110"/>
        <w:gridCol w:w="160"/>
        <w:gridCol w:w="751"/>
        <w:gridCol w:w="142"/>
      </w:tblGrid>
      <w:tr w:rsidR="00000000">
        <w:trPr>
          <w:tblCellSpacing w:w="15" w:type="dxa"/>
        </w:trPr>
        <w:tc>
          <w:tcPr>
            <w:tcW w:w="2209" w:type="pct"/>
            <w:vAlign w:val="center"/>
            <w:hideMark/>
          </w:tcPr>
          <w:p w:rsidR="00000000" w:rsidRDefault="00F83A7A">
            <w:pPr>
              <w:rPr>
                <w:sz w:val="20"/>
                <w:szCs w:val="20"/>
              </w:rPr>
            </w:pPr>
          </w:p>
        </w:tc>
        <w:tc>
          <w:tcPr>
            <w:tcW w:w="48" w:type="pct"/>
            <w:vAlign w:val="center"/>
            <w:hideMark/>
          </w:tcPr>
          <w:p w:rsidR="00000000" w:rsidRDefault="00F83A7A">
            <w:pPr>
              <w:rPr>
                <w:rFonts w:eastAsia="Times New Roman"/>
                <w:sz w:val="20"/>
                <w:szCs w:val="20"/>
              </w:rPr>
            </w:pPr>
          </w:p>
        </w:tc>
        <w:tc>
          <w:tcPr>
            <w:tcW w:w="96" w:type="pct"/>
            <w:vAlign w:val="center"/>
            <w:hideMark/>
          </w:tcPr>
          <w:p w:rsidR="00000000" w:rsidRDefault="00F83A7A">
            <w:pPr>
              <w:rPr>
                <w:rFonts w:eastAsia="Times New Roman"/>
                <w:sz w:val="20"/>
                <w:szCs w:val="20"/>
              </w:rPr>
            </w:pPr>
          </w:p>
        </w:tc>
        <w:tc>
          <w:tcPr>
            <w:tcW w:w="725" w:type="pct"/>
            <w:vAlign w:val="center"/>
            <w:hideMark/>
          </w:tcPr>
          <w:p w:rsidR="00000000" w:rsidRDefault="00F83A7A">
            <w:pPr>
              <w:rPr>
                <w:rFonts w:eastAsia="Times New Roman"/>
                <w:sz w:val="20"/>
                <w:szCs w:val="20"/>
              </w:rPr>
            </w:pPr>
          </w:p>
        </w:tc>
        <w:tc>
          <w:tcPr>
            <w:tcW w:w="63" w:type="pct"/>
            <w:vAlign w:val="center"/>
            <w:hideMark/>
          </w:tcPr>
          <w:p w:rsidR="00000000" w:rsidRDefault="00F83A7A">
            <w:pPr>
              <w:rPr>
                <w:rFonts w:eastAsia="Times New Roman"/>
                <w:sz w:val="20"/>
                <w:szCs w:val="20"/>
              </w:rPr>
            </w:pPr>
          </w:p>
        </w:tc>
        <w:tc>
          <w:tcPr>
            <w:tcW w:w="48" w:type="pct"/>
            <w:vAlign w:val="center"/>
            <w:hideMark/>
          </w:tcPr>
          <w:p w:rsidR="00000000" w:rsidRDefault="00F83A7A">
            <w:pPr>
              <w:rPr>
                <w:rFonts w:eastAsia="Times New Roman"/>
                <w:sz w:val="20"/>
                <w:szCs w:val="20"/>
              </w:rPr>
            </w:pPr>
          </w:p>
        </w:tc>
        <w:tc>
          <w:tcPr>
            <w:tcW w:w="96" w:type="pct"/>
            <w:vAlign w:val="center"/>
            <w:hideMark/>
          </w:tcPr>
          <w:p w:rsidR="00000000" w:rsidRDefault="00F83A7A">
            <w:pPr>
              <w:rPr>
                <w:rFonts w:eastAsia="Times New Roman"/>
                <w:sz w:val="20"/>
                <w:szCs w:val="20"/>
              </w:rPr>
            </w:pPr>
          </w:p>
        </w:tc>
        <w:tc>
          <w:tcPr>
            <w:tcW w:w="714" w:type="pct"/>
            <w:vAlign w:val="center"/>
            <w:hideMark/>
          </w:tcPr>
          <w:p w:rsidR="00000000" w:rsidRDefault="00F83A7A">
            <w:pPr>
              <w:rPr>
                <w:rFonts w:eastAsia="Times New Roman"/>
                <w:sz w:val="20"/>
                <w:szCs w:val="20"/>
              </w:rPr>
            </w:pPr>
          </w:p>
        </w:tc>
        <w:tc>
          <w:tcPr>
            <w:tcW w:w="63" w:type="pct"/>
            <w:vAlign w:val="center"/>
            <w:hideMark/>
          </w:tcPr>
          <w:p w:rsidR="00000000" w:rsidRDefault="00F83A7A">
            <w:pPr>
              <w:rPr>
                <w:rFonts w:eastAsia="Times New Roman"/>
                <w:sz w:val="20"/>
                <w:szCs w:val="20"/>
              </w:rPr>
            </w:pPr>
          </w:p>
        </w:tc>
        <w:tc>
          <w:tcPr>
            <w:tcW w:w="48" w:type="pct"/>
            <w:vAlign w:val="center"/>
            <w:hideMark/>
          </w:tcPr>
          <w:p w:rsidR="00000000" w:rsidRDefault="00F83A7A">
            <w:pPr>
              <w:rPr>
                <w:rFonts w:eastAsia="Times New Roman"/>
                <w:sz w:val="20"/>
                <w:szCs w:val="20"/>
              </w:rPr>
            </w:pPr>
          </w:p>
        </w:tc>
        <w:tc>
          <w:tcPr>
            <w:tcW w:w="96" w:type="pct"/>
            <w:vAlign w:val="center"/>
            <w:hideMark/>
          </w:tcPr>
          <w:p w:rsidR="00000000" w:rsidRDefault="00F83A7A">
            <w:pPr>
              <w:rPr>
                <w:rFonts w:eastAsia="Times New Roman"/>
                <w:sz w:val="20"/>
                <w:szCs w:val="20"/>
              </w:rPr>
            </w:pPr>
          </w:p>
        </w:tc>
        <w:tc>
          <w:tcPr>
            <w:tcW w:w="725" w:type="pct"/>
            <w:vAlign w:val="center"/>
            <w:hideMark/>
          </w:tcPr>
          <w:p w:rsidR="00000000" w:rsidRDefault="00F83A7A">
            <w:pPr>
              <w:rPr>
                <w:rFonts w:eastAsia="Times New Roman"/>
                <w:sz w:val="20"/>
                <w:szCs w:val="20"/>
              </w:rPr>
            </w:pPr>
          </w:p>
        </w:tc>
        <w:tc>
          <w:tcPr>
            <w:tcW w:w="63" w:type="pct"/>
            <w:vAlign w:val="center"/>
            <w:hideMark/>
          </w:tcPr>
          <w:p w:rsidR="00000000" w:rsidRDefault="00F83A7A">
            <w:pPr>
              <w:rPr>
                <w:rFonts w:eastAsia="Times New Roman"/>
                <w:sz w:val="20"/>
                <w:szCs w:val="20"/>
              </w:rPr>
            </w:pP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 xml:space="preserve">Change </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F83A7A">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License and other revenu</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12,38</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12,61</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(23</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License revenue - related part</w:t>
            </w:r>
            <w:r>
              <w:rPr>
                <w:sz w:val="20"/>
                <w:szCs w:val="20"/>
              </w:rPr>
              <w:t>y</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196,00</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196,00</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Total revenu</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208,38</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12,61</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195,76</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46,94</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63,41</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(16,47</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37,23</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30,63</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6,60</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Total operating expense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84,17</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94,04</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(9,87</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Income (loss) from operation</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124,20</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(81,43</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205,64</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Other (expense) income, ne</w:t>
            </w:r>
            <w:r>
              <w:rPr>
                <w:sz w:val="20"/>
                <w:szCs w:val="20"/>
              </w:rPr>
              <w:t>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39</w:t>
            </w:r>
            <w:r>
              <w:rPr>
                <w:sz w:val="20"/>
                <w:szCs w:val="20"/>
              </w:rPr>
              <w:t>5</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(44</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Income (loss) before provision for income taxe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124,16</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(81,03</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205,19</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Provision for income taxe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1,32</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1,32</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Net income (loss</w:t>
            </w: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122,83</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(81,03</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203,87</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bl>
    <w:p w:rsidR="00000000" w:rsidRDefault="00F83A7A">
      <w:pPr>
        <w:pStyle w:val="a3"/>
        <w:spacing w:before="120" w:beforeAutospacing="0" w:after="0" w:afterAutospacing="0"/>
        <w:rPr>
          <w:sz w:val="20"/>
          <w:szCs w:val="20"/>
        </w:rPr>
      </w:pPr>
      <w:r>
        <w:rPr>
          <w:b/>
          <w:bCs/>
          <w:i/>
          <w:iCs/>
          <w:sz w:val="20"/>
          <w:szCs w:val="20"/>
        </w:rPr>
        <w:t>Revenu</w:t>
      </w:r>
      <w:r>
        <w:rPr>
          <w:b/>
          <w:bCs/>
          <w:i/>
          <w:iCs/>
          <w:sz w:val="20"/>
          <w:szCs w:val="20"/>
        </w:rPr>
        <w:t>e</w:t>
      </w:r>
    </w:p>
    <w:p w:rsidR="00000000" w:rsidRDefault="00F83A7A">
      <w:pPr>
        <w:pStyle w:val="a3"/>
        <w:spacing w:before="120" w:beforeAutospacing="0" w:after="0" w:afterAutospacing="0"/>
        <w:ind w:firstLine="715"/>
        <w:jc w:val="both"/>
        <w:rPr>
          <w:sz w:val="20"/>
          <w:szCs w:val="20"/>
        </w:rPr>
      </w:pPr>
      <w:r>
        <w:rPr>
          <w:sz w:val="20"/>
          <w:szCs w:val="20"/>
        </w:rPr>
        <w:t xml:space="preserve">Total revenue was $208.4 million for the year ended December 31, 2021 as a result of revenue recorded in connection with the Takeda License and Termination Agreement and the Angelini License Agreement. Revenue was $12.6 million for the year ended December </w:t>
      </w:r>
      <w:r>
        <w:rPr>
          <w:sz w:val="20"/>
          <w:szCs w:val="20"/>
        </w:rPr>
        <w:t>31, 2020</w:t>
      </w:r>
      <w:r>
        <w:rPr>
          <w:sz w:val="20"/>
          <w:szCs w:val="20"/>
        </w:rPr>
        <w:t>.</w:t>
      </w:r>
    </w:p>
    <w:p w:rsidR="00000000" w:rsidRDefault="00F83A7A">
      <w:pPr>
        <w:pStyle w:val="a3"/>
        <w:spacing w:before="0" w:beforeAutospacing="0" w:after="0" w:afterAutospacing="0"/>
        <w:rPr>
          <w:sz w:val="20"/>
          <w:szCs w:val="20"/>
        </w:rPr>
      </w:pPr>
      <w:r>
        <w:t> </w:t>
      </w:r>
    </w:p>
    <w:p w:rsidR="00000000" w:rsidRDefault="00F83A7A">
      <w:pPr>
        <w:pStyle w:val="a3"/>
        <w:spacing w:before="0" w:beforeAutospacing="0" w:after="200" w:afterAutospacing="0"/>
        <w:ind w:left="238"/>
        <w:rPr>
          <w:sz w:val="20"/>
          <w:szCs w:val="20"/>
        </w:rPr>
      </w:pPr>
      <w:r>
        <w:rPr>
          <w:b/>
          <w:bCs/>
          <w:i/>
          <w:iCs/>
          <w:sz w:val="20"/>
          <w:szCs w:val="20"/>
        </w:rPr>
        <w:t>Research and Development Expense</w:t>
      </w:r>
      <w:r>
        <w:rPr>
          <w:b/>
          <w:bCs/>
          <w:i/>
          <w:iCs/>
          <w:sz w:val="20"/>
          <w:szCs w:val="20"/>
        </w:rPr>
        <w:t>s</w:t>
      </w:r>
      <w:r>
        <w:rPr>
          <w:b/>
          <w:bCs/>
          <w:i/>
          <w:iCs/>
          <w:sz w:val="20"/>
          <w:szCs w:val="20"/>
        </w:rPr>
        <w:t xml:space="preserve">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421"/>
        <w:gridCol w:w="110"/>
        <w:gridCol w:w="160"/>
        <w:gridCol w:w="737"/>
        <w:gridCol w:w="110"/>
        <w:gridCol w:w="110"/>
        <w:gridCol w:w="160"/>
        <w:gridCol w:w="737"/>
        <w:gridCol w:w="110"/>
        <w:gridCol w:w="110"/>
        <w:gridCol w:w="160"/>
        <w:gridCol w:w="747"/>
        <w:gridCol w:w="142"/>
      </w:tblGrid>
      <w:tr w:rsidR="00000000">
        <w:trPr>
          <w:tblCellSpacing w:w="15" w:type="dxa"/>
        </w:trPr>
        <w:tc>
          <w:tcPr>
            <w:tcW w:w="2259" w:type="pct"/>
            <w:vAlign w:val="center"/>
            <w:hideMark/>
          </w:tcPr>
          <w:p w:rsidR="00000000" w:rsidRDefault="00F83A7A">
            <w:pPr>
              <w:rPr>
                <w:sz w:val="20"/>
                <w:szCs w:val="20"/>
              </w:rPr>
            </w:pPr>
          </w:p>
        </w:tc>
        <w:tc>
          <w:tcPr>
            <w:tcW w:w="48" w:type="pct"/>
            <w:vAlign w:val="center"/>
            <w:hideMark/>
          </w:tcPr>
          <w:p w:rsidR="00000000" w:rsidRDefault="00F83A7A">
            <w:pPr>
              <w:rPr>
                <w:rFonts w:eastAsia="Times New Roman"/>
                <w:sz w:val="20"/>
                <w:szCs w:val="20"/>
              </w:rPr>
            </w:pPr>
          </w:p>
        </w:tc>
        <w:tc>
          <w:tcPr>
            <w:tcW w:w="97" w:type="pct"/>
            <w:vAlign w:val="center"/>
            <w:hideMark/>
          </w:tcPr>
          <w:p w:rsidR="00000000" w:rsidRDefault="00F83A7A">
            <w:pPr>
              <w:rPr>
                <w:rFonts w:eastAsia="Times New Roman"/>
                <w:sz w:val="20"/>
                <w:szCs w:val="20"/>
              </w:rPr>
            </w:pPr>
          </w:p>
        </w:tc>
        <w:tc>
          <w:tcPr>
            <w:tcW w:w="714" w:type="pct"/>
            <w:vAlign w:val="center"/>
            <w:hideMark/>
          </w:tcPr>
          <w:p w:rsidR="00000000" w:rsidRDefault="00F83A7A">
            <w:pPr>
              <w:rPr>
                <w:rFonts w:eastAsia="Times New Roman"/>
                <w:sz w:val="20"/>
                <w:szCs w:val="20"/>
              </w:rPr>
            </w:pPr>
          </w:p>
        </w:tc>
        <w:tc>
          <w:tcPr>
            <w:tcW w:w="42" w:type="pct"/>
            <w:vAlign w:val="center"/>
            <w:hideMark/>
          </w:tcPr>
          <w:p w:rsidR="00000000" w:rsidRDefault="00F83A7A">
            <w:pPr>
              <w:rPr>
                <w:rFonts w:eastAsia="Times New Roman"/>
                <w:sz w:val="20"/>
                <w:szCs w:val="20"/>
              </w:rPr>
            </w:pPr>
          </w:p>
        </w:tc>
        <w:tc>
          <w:tcPr>
            <w:tcW w:w="48" w:type="pct"/>
            <w:vAlign w:val="center"/>
            <w:hideMark/>
          </w:tcPr>
          <w:p w:rsidR="00000000" w:rsidRDefault="00F83A7A">
            <w:pPr>
              <w:rPr>
                <w:rFonts w:eastAsia="Times New Roman"/>
                <w:sz w:val="20"/>
                <w:szCs w:val="20"/>
              </w:rPr>
            </w:pPr>
          </w:p>
        </w:tc>
        <w:tc>
          <w:tcPr>
            <w:tcW w:w="97" w:type="pct"/>
            <w:vAlign w:val="center"/>
            <w:hideMark/>
          </w:tcPr>
          <w:p w:rsidR="00000000" w:rsidRDefault="00F83A7A">
            <w:pPr>
              <w:rPr>
                <w:rFonts w:eastAsia="Times New Roman"/>
                <w:sz w:val="20"/>
                <w:szCs w:val="20"/>
              </w:rPr>
            </w:pPr>
          </w:p>
        </w:tc>
        <w:tc>
          <w:tcPr>
            <w:tcW w:w="714" w:type="pct"/>
            <w:vAlign w:val="center"/>
            <w:hideMark/>
          </w:tcPr>
          <w:p w:rsidR="00000000" w:rsidRDefault="00F83A7A">
            <w:pPr>
              <w:rPr>
                <w:rFonts w:eastAsia="Times New Roman"/>
                <w:sz w:val="20"/>
                <w:szCs w:val="20"/>
              </w:rPr>
            </w:pPr>
          </w:p>
        </w:tc>
        <w:tc>
          <w:tcPr>
            <w:tcW w:w="42" w:type="pct"/>
            <w:vAlign w:val="center"/>
            <w:hideMark/>
          </w:tcPr>
          <w:p w:rsidR="00000000" w:rsidRDefault="00F83A7A">
            <w:pPr>
              <w:rPr>
                <w:rFonts w:eastAsia="Times New Roman"/>
                <w:sz w:val="20"/>
                <w:szCs w:val="20"/>
              </w:rPr>
            </w:pPr>
          </w:p>
        </w:tc>
        <w:tc>
          <w:tcPr>
            <w:tcW w:w="48" w:type="pct"/>
            <w:vAlign w:val="center"/>
            <w:hideMark/>
          </w:tcPr>
          <w:p w:rsidR="00000000" w:rsidRDefault="00F83A7A">
            <w:pPr>
              <w:rPr>
                <w:rFonts w:eastAsia="Times New Roman"/>
                <w:sz w:val="20"/>
                <w:szCs w:val="20"/>
              </w:rPr>
            </w:pPr>
          </w:p>
        </w:tc>
        <w:tc>
          <w:tcPr>
            <w:tcW w:w="97" w:type="pct"/>
            <w:vAlign w:val="center"/>
            <w:hideMark/>
          </w:tcPr>
          <w:p w:rsidR="00000000" w:rsidRDefault="00F83A7A">
            <w:pPr>
              <w:rPr>
                <w:rFonts w:eastAsia="Times New Roman"/>
                <w:sz w:val="20"/>
                <w:szCs w:val="20"/>
              </w:rPr>
            </w:pPr>
          </w:p>
        </w:tc>
        <w:tc>
          <w:tcPr>
            <w:tcW w:w="723" w:type="pct"/>
            <w:vAlign w:val="center"/>
            <w:hideMark/>
          </w:tcPr>
          <w:p w:rsidR="00000000" w:rsidRDefault="00F83A7A">
            <w:pPr>
              <w:rPr>
                <w:rFonts w:eastAsia="Times New Roman"/>
                <w:sz w:val="20"/>
                <w:szCs w:val="20"/>
              </w:rPr>
            </w:pPr>
          </w:p>
        </w:tc>
        <w:tc>
          <w:tcPr>
            <w:tcW w:w="65" w:type="pct"/>
            <w:vAlign w:val="center"/>
            <w:hideMark/>
          </w:tcPr>
          <w:p w:rsidR="00000000" w:rsidRDefault="00F83A7A">
            <w:pPr>
              <w:rPr>
                <w:rFonts w:eastAsia="Times New Roman"/>
                <w:sz w:val="20"/>
                <w:szCs w:val="20"/>
              </w:rPr>
            </w:pP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 xml:space="preserve">Change </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F83A7A">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Preclinical and development expense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30,38</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43,61</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(13,22</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Payroll and payroll-related expense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13,45</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15,43</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(1,98</w:t>
            </w:r>
            <w:r>
              <w:rPr>
                <w:sz w:val="20"/>
                <w:szCs w:val="20"/>
              </w:rPr>
              <w:t>5</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Other expense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3,10</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4,36</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(1,26</w:t>
            </w:r>
            <w:r>
              <w:rPr>
                <w:sz w:val="20"/>
                <w:szCs w:val="20"/>
              </w:rPr>
              <w:t>5</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Total research and developmen</w:t>
            </w:r>
            <w:r>
              <w:rPr>
                <w:sz w:val="20"/>
                <w:szCs w:val="20"/>
              </w:rPr>
              <w:t>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46,94</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63,41</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(16,47</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bl>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0" w:afterAutospacing="0"/>
        <w:ind w:firstLine="555"/>
        <w:jc w:val="both"/>
        <w:rPr>
          <w:sz w:val="20"/>
          <w:szCs w:val="20"/>
        </w:rPr>
      </w:pPr>
      <w:r>
        <w:rPr>
          <w:sz w:val="20"/>
          <w:szCs w:val="20"/>
        </w:rPr>
        <w:t>Research and development expenses were $46.9 million for the year ended December 31, 2021 compared to $63.4 million for the year ended December 31, 2020. The decrease of $16.5 million was primarily due to a decrease in activities related to our ongoing dev</w:t>
      </w:r>
      <w:r>
        <w:rPr>
          <w:sz w:val="20"/>
          <w:szCs w:val="20"/>
        </w:rPr>
        <w:t>elopment programs, including as a result of the termination of the development of OV101 and the transfer of the development of OV935, which was taken over by Takeda. During the year ended December 31, 2021, research and development expenses consisted of $3</w:t>
      </w:r>
      <w:r>
        <w:rPr>
          <w:sz w:val="20"/>
          <w:szCs w:val="20"/>
        </w:rPr>
        <w:t>0.4 million in preclinical and development expenses, $13.5 million in payroll and payroll-related expenses, of which $1.7 million related to stock-based compensation, and $3.1 million in other expenses. During the year ended December 31, 2020, total resear</w:t>
      </w:r>
      <w:r>
        <w:rPr>
          <w:sz w:val="20"/>
          <w:szCs w:val="20"/>
        </w:rPr>
        <w:t>ch and development expenses consisted of $43.6 million in preclinical and development expenses, $15.4 million in payroll and payroll-related expenses, of which $2.8 million related to stock-based compensation, and $4.4 million in other expenses</w:t>
      </w:r>
      <w:r>
        <w:rPr>
          <w:sz w:val="20"/>
          <w:szCs w:val="20"/>
        </w:rPr>
        <w:t>.</w:t>
      </w:r>
    </w:p>
    <w:p w:rsidR="00000000" w:rsidRDefault="00F83A7A">
      <w:pPr>
        <w:pStyle w:val="a3"/>
        <w:spacing w:before="200" w:beforeAutospacing="0" w:after="200" w:afterAutospacing="0"/>
        <w:ind w:left="238"/>
        <w:rPr>
          <w:sz w:val="20"/>
          <w:szCs w:val="20"/>
        </w:rPr>
      </w:pPr>
      <w:r>
        <w:rPr>
          <w:b/>
          <w:bCs/>
          <w:i/>
          <w:iCs/>
          <w:sz w:val="20"/>
          <w:szCs w:val="20"/>
        </w:rPr>
        <w:t>General an</w:t>
      </w:r>
      <w:r>
        <w:rPr>
          <w:b/>
          <w:bCs/>
          <w:i/>
          <w:iCs/>
          <w:sz w:val="20"/>
          <w:szCs w:val="20"/>
        </w:rPr>
        <w:t>d Administrative Expense</w:t>
      </w:r>
      <w:r>
        <w:rPr>
          <w:b/>
          <w:bCs/>
          <w:i/>
          <w:iCs/>
          <w:sz w:val="20"/>
          <w:szCs w:val="20"/>
        </w:rPr>
        <w:t>s</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480"/>
        <w:gridCol w:w="110"/>
        <w:gridCol w:w="160"/>
        <w:gridCol w:w="740"/>
        <w:gridCol w:w="110"/>
        <w:gridCol w:w="110"/>
        <w:gridCol w:w="160"/>
        <w:gridCol w:w="740"/>
        <w:gridCol w:w="110"/>
        <w:gridCol w:w="110"/>
        <w:gridCol w:w="160"/>
        <w:gridCol w:w="699"/>
        <w:gridCol w:w="125"/>
      </w:tblGrid>
      <w:tr w:rsidR="00000000">
        <w:trPr>
          <w:tblCellSpacing w:w="15" w:type="dxa"/>
        </w:trPr>
        <w:tc>
          <w:tcPr>
            <w:tcW w:w="2315" w:type="pct"/>
            <w:vAlign w:val="center"/>
            <w:hideMark/>
          </w:tcPr>
          <w:p w:rsidR="00000000" w:rsidRDefault="00F83A7A">
            <w:pPr>
              <w:rPr>
                <w:sz w:val="20"/>
                <w:szCs w:val="20"/>
              </w:rPr>
            </w:pPr>
          </w:p>
        </w:tc>
        <w:tc>
          <w:tcPr>
            <w:tcW w:w="48" w:type="pct"/>
            <w:vAlign w:val="center"/>
            <w:hideMark/>
          </w:tcPr>
          <w:p w:rsidR="00000000" w:rsidRDefault="00F83A7A">
            <w:pPr>
              <w:rPr>
                <w:rFonts w:eastAsia="Times New Roman"/>
                <w:sz w:val="20"/>
                <w:szCs w:val="20"/>
              </w:rPr>
            </w:pPr>
          </w:p>
        </w:tc>
        <w:tc>
          <w:tcPr>
            <w:tcW w:w="98" w:type="pct"/>
            <w:vAlign w:val="center"/>
            <w:hideMark/>
          </w:tcPr>
          <w:p w:rsidR="00000000" w:rsidRDefault="00F83A7A">
            <w:pPr>
              <w:rPr>
                <w:rFonts w:eastAsia="Times New Roman"/>
                <w:sz w:val="20"/>
                <w:szCs w:val="20"/>
              </w:rPr>
            </w:pPr>
          </w:p>
        </w:tc>
        <w:tc>
          <w:tcPr>
            <w:tcW w:w="718" w:type="pct"/>
            <w:vAlign w:val="center"/>
            <w:hideMark/>
          </w:tcPr>
          <w:p w:rsidR="00000000" w:rsidRDefault="00F83A7A">
            <w:pPr>
              <w:rPr>
                <w:rFonts w:eastAsia="Times New Roman"/>
                <w:sz w:val="20"/>
                <w:szCs w:val="20"/>
              </w:rPr>
            </w:pPr>
          </w:p>
        </w:tc>
        <w:tc>
          <w:tcPr>
            <w:tcW w:w="42" w:type="pct"/>
            <w:vAlign w:val="center"/>
            <w:hideMark/>
          </w:tcPr>
          <w:p w:rsidR="00000000" w:rsidRDefault="00F83A7A">
            <w:pPr>
              <w:rPr>
                <w:rFonts w:eastAsia="Times New Roman"/>
                <w:sz w:val="20"/>
                <w:szCs w:val="20"/>
              </w:rPr>
            </w:pPr>
          </w:p>
        </w:tc>
        <w:tc>
          <w:tcPr>
            <w:tcW w:w="48" w:type="pct"/>
            <w:vAlign w:val="center"/>
            <w:hideMark/>
          </w:tcPr>
          <w:p w:rsidR="00000000" w:rsidRDefault="00F83A7A">
            <w:pPr>
              <w:rPr>
                <w:rFonts w:eastAsia="Times New Roman"/>
                <w:sz w:val="20"/>
                <w:szCs w:val="20"/>
              </w:rPr>
            </w:pPr>
          </w:p>
        </w:tc>
        <w:tc>
          <w:tcPr>
            <w:tcW w:w="98" w:type="pct"/>
            <w:vAlign w:val="center"/>
            <w:hideMark/>
          </w:tcPr>
          <w:p w:rsidR="00000000" w:rsidRDefault="00F83A7A">
            <w:pPr>
              <w:rPr>
                <w:rFonts w:eastAsia="Times New Roman"/>
                <w:sz w:val="20"/>
                <w:szCs w:val="20"/>
              </w:rPr>
            </w:pPr>
          </w:p>
        </w:tc>
        <w:tc>
          <w:tcPr>
            <w:tcW w:w="718" w:type="pct"/>
            <w:vAlign w:val="center"/>
            <w:hideMark/>
          </w:tcPr>
          <w:p w:rsidR="00000000" w:rsidRDefault="00F83A7A">
            <w:pPr>
              <w:rPr>
                <w:rFonts w:eastAsia="Times New Roman"/>
                <w:sz w:val="20"/>
                <w:szCs w:val="20"/>
              </w:rPr>
            </w:pPr>
          </w:p>
        </w:tc>
        <w:tc>
          <w:tcPr>
            <w:tcW w:w="42" w:type="pct"/>
            <w:vAlign w:val="center"/>
            <w:hideMark/>
          </w:tcPr>
          <w:p w:rsidR="00000000" w:rsidRDefault="00F83A7A">
            <w:pPr>
              <w:rPr>
                <w:rFonts w:eastAsia="Times New Roman"/>
                <w:sz w:val="20"/>
                <w:szCs w:val="20"/>
              </w:rPr>
            </w:pPr>
          </w:p>
        </w:tc>
        <w:tc>
          <w:tcPr>
            <w:tcW w:w="48" w:type="pct"/>
            <w:vAlign w:val="center"/>
            <w:hideMark/>
          </w:tcPr>
          <w:p w:rsidR="00000000" w:rsidRDefault="00F83A7A">
            <w:pPr>
              <w:rPr>
                <w:rFonts w:eastAsia="Times New Roman"/>
                <w:sz w:val="20"/>
                <w:szCs w:val="20"/>
              </w:rPr>
            </w:pPr>
          </w:p>
        </w:tc>
        <w:tc>
          <w:tcPr>
            <w:tcW w:w="98" w:type="pct"/>
            <w:vAlign w:val="center"/>
            <w:hideMark/>
          </w:tcPr>
          <w:p w:rsidR="00000000" w:rsidRDefault="00F83A7A">
            <w:pPr>
              <w:rPr>
                <w:rFonts w:eastAsia="Times New Roman"/>
                <w:sz w:val="20"/>
                <w:szCs w:val="20"/>
              </w:rPr>
            </w:pPr>
          </w:p>
        </w:tc>
        <w:tc>
          <w:tcPr>
            <w:tcW w:w="679" w:type="pct"/>
            <w:vAlign w:val="center"/>
            <w:hideMark/>
          </w:tcPr>
          <w:p w:rsidR="00000000" w:rsidRDefault="00F83A7A">
            <w:pPr>
              <w:rPr>
                <w:rFonts w:eastAsia="Times New Roman"/>
                <w:sz w:val="20"/>
                <w:szCs w:val="20"/>
              </w:rPr>
            </w:pPr>
          </w:p>
        </w:tc>
        <w:tc>
          <w:tcPr>
            <w:tcW w:w="42" w:type="pct"/>
            <w:vAlign w:val="center"/>
            <w:hideMark/>
          </w:tcPr>
          <w:p w:rsidR="00000000" w:rsidRDefault="00F83A7A">
            <w:pPr>
              <w:rPr>
                <w:rFonts w:eastAsia="Times New Roman"/>
                <w:sz w:val="20"/>
                <w:szCs w:val="20"/>
              </w:rPr>
            </w:pP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 xml:space="preserve">Change </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F83A7A">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Payroll and payroll-related expense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14,00</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13,39</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61</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Legal and professional fee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17,07</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13,82</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3,24</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General office expense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6,15</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3,41</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2,73</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Total general and administrativ</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37,23</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30,63</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6,60</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bl>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5</w:t>
      </w:r>
      <w:r>
        <w:rPr>
          <w:sz w:val="20"/>
          <w:szCs w:val="20"/>
        </w:rPr>
        <w:t>8</w:t>
      </w:r>
    </w:p>
    <w:p w:rsidR="00000000" w:rsidRDefault="00F83A7A">
      <w:pPr>
        <w:rPr>
          <w:rFonts w:eastAsia="Times New Roman"/>
        </w:rPr>
      </w:pPr>
      <w:r>
        <w:rPr>
          <w:rFonts w:eastAsia="Times New Roman"/>
        </w:rPr>
        <w:pict>
          <v:rect id="_x0000_i1086"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44" w:beforeAutospacing="0" w:after="0" w:afterAutospacing="0"/>
        <w:ind w:firstLine="599"/>
        <w:jc w:val="both"/>
        <w:rPr>
          <w:sz w:val="20"/>
          <w:szCs w:val="20"/>
        </w:rPr>
      </w:pPr>
      <w:r>
        <w:rPr>
          <w:sz w:val="20"/>
          <w:szCs w:val="20"/>
        </w:rPr>
        <w:t>General and administrative expenses were $37.2 million for the year ended December 31, 2021 compared to $30.6 million for the year ended December 31, 2020. The increase of $6.6 million primarily consisted of increase</w:t>
      </w:r>
      <w:r>
        <w:rPr>
          <w:sz w:val="20"/>
          <w:szCs w:val="20"/>
        </w:rPr>
        <w:t>s in business development costs related to the Takeda transaction, compliance and pre-commercialization expenses and professional fees</w:t>
      </w:r>
      <w:r>
        <w:rPr>
          <w:sz w:val="20"/>
          <w:szCs w:val="20"/>
        </w:rPr>
        <w:t>.</w:t>
      </w:r>
    </w:p>
    <w:p w:rsidR="00000000" w:rsidRDefault="00F83A7A">
      <w:pPr>
        <w:pStyle w:val="a3"/>
        <w:spacing w:before="200" w:beforeAutospacing="0" w:after="0" w:afterAutospacing="0"/>
        <w:ind w:firstLine="555"/>
        <w:jc w:val="both"/>
        <w:rPr>
          <w:sz w:val="20"/>
          <w:szCs w:val="20"/>
        </w:rPr>
      </w:pPr>
      <w:r>
        <w:rPr>
          <w:b/>
          <w:bCs/>
          <w:i/>
          <w:iCs/>
          <w:sz w:val="20"/>
          <w:szCs w:val="20"/>
        </w:rPr>
        <w:t>Income Taxe</w:t>
      </w:r>
      <w:r>
        <w:rPr>
          <w:b/>
          <w:bCs/>
          <w:i/>
          <w:i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 xml:space="preserve">The provision recorded for income taxes for the years ended December 31, 2021 and 2020 is $1.3 million and </w:t>
      </w:r>
      <w:r>
        <w:rPr>
          <w:sz w:val="20"/>
          <w:szCs w:val="20"/>
        </w:rPr>
        <w:t>zero, respectively, with an effective rate of 1.07% and 0%, respectively. There was an increase in the provision for income taxes due to the significant one-time, upfront payment from Takeda pursuant to the Takeda License and Termination Agreement, as well</w:t>
      </w:r>
      <w:r>
        <w:rPr>
          <w:sz w:val="20"/>
          <w:szCs w:val="20"/>
        </w:rPr>
        <w:t xml:space="preserve"> as disallowed use of net operating losses. The Company has historically incurred operating losses and maintains a full valuation allowance against net deferred tax assets. The valuation allowance was approximately $63.3 million and $89.8 million at Decemb</w:t>
      </w:r>
      <w:r>
        <w:rPr>
          <w:sz w:val="20"/>
          <w:szCs w:val="20"/>
        </w:rPr>
        <w:t>er 31, 2021 and 2020, respectively</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Liquidity and Capital Resource</w:t>
      </w:r>
      <w:r>
        <w:rPr>
          <w:b/>
          <w:bCs/>
          <w:sz w:val="20"/>
          <w:szCs w:val="20"/>
        </w:rPr>
        <w:t>s</w:t>
      </w:r>
    </w:p>
    <w:p w:rsidR="00000000" w:rsidRDefault="00F83A7A">
      <w:pPr>
        <w:pStyle w:val="a3"/>
        <w:spacing w:before="200" w:beforeAutospacing="0" w:after="0" w:afterAutospacing="0"/>
        <w:ind w:left="238"/>
        <w:jc w:val="both"/>
        <w:rPr>
          <w:sz w:val="20"/>
          <w:szCs w:val="20"/>
        </w:rPr>
      </w:pPr>
      <w:r>
        <w:rPr>
          <w:b/>
          <w:bCs/>
          <w:i/>
          <w:iCs/>
          <w:sz w:val="20"/>
          <w:szCs w:val="20"/>
        </w:rPr>
        <w:t>Overvie</w:t>
      </w:r>
      <w:r>
        <w:rPr>
          <w:b/>
          <w:bCs/>
          <w:i/>
          <w:iCs/>
          <w:sz w:val="20"/>
          <w:szCs w:val="20"/>
        </w:rPr>
        <w:t>w</w:t>
      </w:r>
    </w:p>
    <w:p w:rsidR="00000000" w:rsidRDefault="00F83A7A">
      <w:pPr>
        <w:pStyle w:val="a3"/>
        <w:spacing w:before="200" w:beforeAutospacing="0" w:after="0" w:afterAutospacing="0"/>
        <w:ind w:firstLine="555"/>
        <w:jc w:val="both"/>
        <w:rPr>
          <w:sz w:val="20"/>
          <w:szCs w:val="20"/>
        </w:rPr>
      </w:pPr>
      <w:r>
        <w:rPr>
          <w:sz w:val="20"/>
          <w:szCs w:val="20"/>
        </w:rPr>
        <w:t>As of December 31, 2021, we had total cash and cash equivalents of $187.8 million as compared to $72.0 million as of December 31, 2020. We believe that our cash and cash equivalen</w:t>
      </w:r>
      <w:r>
        <w:rPr>
          <w:sz w:val="20"/>
          <w:szCs w:val="20"/>
        </w:rPr>
        <w:t>ts as of December 31, 2021 will fund our projected operating expenses and capital expenditure requirements for at least the next 12 months</w:t>
      </w:r>
      <w:r>
        <w:rPr>
          <w:sz w:val="20"/>
          <w:szCs w:val="20"/>
        </w:rPr>
        <w:t>.</w:t>
      </w:r>
    </w:p>
    <w:p w:rsidR="00000000" w:rsidRDefault="00F83A7A">
      <w:pPr>
        <w:pStyle w:val="a3"/>
        <w:spacing w:before="240" w:beforeAutospacing="0" w:after="0" w:afterAutospacing="0"/>
        <w:ind w:firstLine="555"/>
        <w:jc w:val="both"/>
        <w:rPr>
          <w:sz w:val="20"/>
          <w:szCs w:val="20"/>
        </w:rPr>
      </w:pPr>
      <w:r>
        <w:rPr>
          <w:sz w:val="20"/>
          <w:szCs w:val="20"/>
        </w:rPr>
        <w:t>Similar to other development-stage biotechnology companies, we have generated limited revenue. Our net revenue in the year ended December 31, 2021 was primarily due to a significant one-time, upfront payment from Takeda pursuant to the Takeda License and T</w:t>
      </w:r>
      <w:r>
        <w:rPr>
          <w:sz w:val="20"/>
          <w:szCs w:val="20"/>
        </w:rPr>
        <w:t>ermination Agreement. Otherwise, we have incurred losses and experienced negative operating cash flows in most years since our inception, and anticipate that we will continue to incur losses for at least the next several years. We incurred net income of ap</w:t>
      </w:r>
      <w:r>
        <w:rPr>
          <w:sz w:val="20"/>
          <w:szCs w:val="20"/>
        </w:rPr>
        <w:t>proximately $122.8 million and net losses of approximately $81.0 million for the years ended December 31, 2021 and 2020, respectively. As of December 31, 2021, we had an accumulated deficit of $171.4 million and working capital of $175.7 million</w:t>
      </w:r>
      <w:r>
        <w:rPr>
          <w:sz w:val="20"/>
          <w:szCs w:val="20"/>
        </w:rPr>
        <w:t>.</w:t>
      </w:r>
    </w:p>
    <w:p w:rsidR="00000000" w:rsidRDefault="00F83A7A">
      <w:pPr>
        <w:pStyle w:val="a3"/>
        <w:spacing w:before="0" w:beforeAutospacing="0" w:after="0" w:afterAutospacing="0"/>
        <w:ind w:left="476"/>
        <w:jc w:val="both"/>
        <w:rPr>
          <w:sz w:val="20"/>
          <w:szCs w:val="20"/>
        </w:rPr>
      </w:pPr>
      <w:r>
        <w:rPr>
          <w:sz w:val="20"/>
          <w:szCs w:val="20"/>
        </w:rPr>
        <w:t> </w:t>
      </w:r>
    </w:p>
    <w:p w:rsidR="00000000" w:rsidRDefault="00F83A7A">
      <w:pPr>
        <w:pStyle w:val="a3"/>
        <w:spacing w:before="0" w:beforeAutospacing="0" w:after="0" w:afterAutospacing="0"/>
        <w:ind w:left="476"/>
        <w:jc w:val="both"/>
        <w:rPr>
          <w:sz w:val="20"/>
          <w:szCs w:val="20"/>
        </w:rPr>
      </w:pPr>
      <w:r>
        <w:rPr>
          <w:b/>
          <w:bCs/>
          <w:i/>
          <w:iCs/>
          <w:sz w:val="20"/>
          <w:szCs w:val="20"/>
        </w:rPr>
        <w:t xml:space="preserve">Future </w:t>
      </w:r>
      <w:r>
        <w:rPr>
          <w:b/>
          <w:bCs/>
          <w:i/>
          <w:iCs/>
          <w:sz w:val="20"/>
          <w:szCs w:val="20"/>
        </w:rPr>
        <w:t>Funding Requirement</w:t>
      </w:r>
      <w:r>
        <w:rPr>
          <w:b/>
          <w:bCs/>
          <w:i/>
          <w:iCs/>
          <w:sz w:val="20"/>
          <w:szCs w:val="20"/>
        </w:rPr>
        <w:t>s</w:t>
      </w:r>
    </w:p>
    <w:p w:rsidR="00000000" w:rsidRDefault="00F83A7A">
      <w:pPr>
        <w:pStyle w:val="a3"/>
        <w:spacing w:before="240" w:beforeAutospacing="0" w:after="0" w:afterAutospacing="0"/>
        <w:ind w:firstLine="555"/>
        <w:jc w:val="both"/>
        <w:rPr>
          <w:sz w:val="20"/>
          <w:szCs w:val="20"/>
        </w:rPr>
      </w:pPr>
      <w:r>
        <w:rPr>
          <w:sz w:val="20"/>
          <w:szCs w:val="20"/>
        </w:rPr>
        <w:t>We believe that our available cash and cash equivalents are sufficient to fund existing and planned cash requirements. Our primary uses of capital are, and we expect will continue to be, compensation and related expenses, third-party c</w:t>
      </w:r>
      <w:r>
        <w:rPr>
          <w:sz w:val="20"/>
          <w:szCs w:val="20"/>
        </w:rPr>
        <w:t>linical research and development services, clinical costs, legal and other regulatory expenses and general overhead costs. We have based our estimates on assumptions that may prove to be incorrect, and we could use our capital resources sooner than we curr</w:t>
      </w:r>
      <w:r>
        <w:rPr>
          <w:sz w:val="20"/>
          <w:szCs w:val="20"/>
        </w:rPr>
        <w:t>ently expect. Additionally, the process of testing drug candidates in clinical trials is costly, and the timing of progress in these trials is uncertain. We cannot estimate the actual amounts necessary to successfully complete the development and commercia</w:t>
      </w:r>
      <w:r>
        <w:rPr>
          <w:sz w:val="20"/>
          <w:szCs w:val="20"/>
        </w:rPr>
        <w:t>lization of our product candidates or whether, or when, we may achieve profitability</w:t>
      </w:r>
      <w:r>
        <w:rPr>
          <w:sz w:val="20"/>
          <w:szCs w:val="20"/>
        </w:rPr>
        <w:t>.</w:t>
      </w:r>
    </w:p>
    <w:p w:rsidR="00000000" w:rsidRDefault="00F83A7A">
      <w:pPr>
        <w:pStyle w:val="a3"/>
        <w:spacing w:before="240" w:beforeAutospacing="0" w:after="0" w:afterAutospacing="0"/>
        <w:ind w:firstLine="555"/>
        <w:jc w:val="both"/>
        <w:rPr>
          <w:sz w:val="20"/>
          <w:szCs w:val="20"/>
        </w:rPr>
      </w:pPr>
      <w:r>
        <w:rPr>
          <w:sz w:val="20"/>
          <w:szCs w:val="20"/>
        </w:rPr>
        <w:t>As of December 31, 2021, we had no long-term debt and no material non-cancelable purchase commitments with service providers, as we have generally contracted on a cancela</w:t>
      </w:r>
      <w:r>
        <w:rPr>
          <w:sz w:val="20"/>
          <w:szCs w:val="20"/>
        </w:rPr>
        <w:t>ble, purchase order basis. We cannot estimate whether we will receive or the timing of any potential contingent payments upon the achievement by us of clinical, regulatory and commercial events, as applicable, or royalty payments that we may be required to</w:t>
      </w:r>
      <w:r>
        <w:rPr>
          <w:sz w:val="20"/>
          <w:szCs w:val="20"/>
        </w:rPr>
        <w:t xml:space="preserve"> make under license agreements we have entered into with various entities pursuant to which we have in-licensed certain intellectual property as contractual obligations or commitments, including agreements with AstraZeneca AB, H. Lundbeck A/S, and Northwes</w:t>
      </w:r>
      <w:r>
        <w:rPr>
          <w:sz w:val="20"/>
          <w:szCs w:val="20"/>
        </w:rPr>
        <w:t>tern. Pursuant to these license agreements, we have agreed to make milestone payments up to an aggregate of $279.3 million upon the achievement of certain development, regulatory and sales milestones. We excluded these contingent payments given that the ti</w:t>
      </w:r>
      <w:r>
        <w:rPr>
          <w:sz w:val="20"/>
          <w:szCs w:val="20"/>
        </w:rPr>
        <w:t>ming, probability, and amount, if any, of such payments cannot be reasonably estimated at this time</w:t>
      </w:r>
      <w:r>
        <w:rPr>
          <w:sz w:val="20"/>
          <w:szCs w:val="20"/>
        </w:rPr>
        <w:t>.</w:t>
      </w:r>
    </w:p>
    <w:p w:rsidR="00000000" w:rsidRDefault="00F83A7A">
      <w:pPr>
        <w:pStyle w:val="a3"/>
        <w:spacing w:before="240" w:beforeAutospacing="0" w:after="0" w:afterAutospacing="0"/>
        <w:ind w:firstLine="715"/>
        <w:jc w:val="both"/>
        <w:rPr>
          <w:sz w:val="20"/>
          <w:szCs w:val="20"/>
        </w:rPr>
      </w:pPr>
      <w:r>
        <w:rPr>
          <w:sz w:val="20"/>
          <w:szCs w:val="20"/>
        </w:rPr>
        <w:t>We have no products approved for commercial sale and have not generated any product revenues from product sales to date. Until such time, if ever, as we ca</w:t>
      </w:r>
      <w:r>
        <w:rPr>
          <w:sz w:val="20"/>
          <w:szCs w:val="20"/>
        </w:rPr>
        <w:t>n generate substantial product revenues, we expect to finance our cash needs through a combination of equity offerings, debt financings and additional funding from license and collaboration arrangements. Except for any obligations of our collaborators to r</w:t>
      </w:r>
      <w:r>
        <w:rPr>
          <w:sz w:val="20"/>
          <w:szCs w:val="20"/>
        </w:rPr>
        <w:t>eimburse us for research and development expenses or to make milestone or royalty payments under our agreements with them, we will not have any committed external source of liquidity. To the extent that we raise additional capital through future equity off</w:t>
      </w:r>
      <w:r>
        <w:rPr>
          <w:sz w:val="20"/>
          <w:szCs w:val="20"/>
        </w:rPr>
        <w:t>erings or debt financings, ownership interests may be diluted, and the terms of these securities may include liquidation or other preferences that adversely affect your rights as a common stockholder. Debt and equity financings, if available, may involve a</w:t>
      </w:r>
      <w:r>
        <w:rPr>
          <w:sz w:val="20"/>
          <w:szCs w:val="20"/>
        </w:rPr>
        <w:t>greements that include covenants limiting or restricting our ability to take specific actions, such as incurring additional debt, making capital expenditures or declaring dividends. There can be no assurance that such financings will be obtained on terms a</w:t>
      </w:r>
      <w:r>
        <w:rPr>
          <w:sz w:val="20"/>
          <w:szCs w:val="20"/>
        </w:rPr>
        <w:t>cceptable to us, if at all. The ongoing COVID-19 pandemic continues to rapidly evolve and has already resulted in a significant disruption of global financial markets. If the disruption persists and deepens, we could experience an inability to access addit</w:t>
      </w:r>
      <w:r>
        <w:rPr>
          <w:sz w:val="20"/>
          <w:szCs w:val="20"/>
        </w:rPr>
        <w:t>ional capital, which could in the futur</w:t>
      </w:r>
      <w:r>
        <w:rPr>
          <w:sz w:val="20"/>
          <w:szCs w:val="20"/>
        </w:rPr>
        <w:t>e</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5</w:t>
      </w:r>
      <w:r>
        <w:rPr>
          <w:sz w:val="20"/>
          <w:szCs w:val="20"/>
        </w:rPr>
        <w:t>9</w:t>
      </w:r>
    </w:p>
    <w:p w:rsidR="00000000" w:rsidRDefault="00F83A7A">
      <w:pPr>
        <w:rPr>
          <w:rFonts w:eastAsia="Times New Roman"/>
        </w:rPr>
      </w:pPr>
      <w:r>
        <w:rPr>
          <w:rFonts w:eastAsia="Times New Roman"/>
        </w:rPr>
        <w:pict>
          <v:rect id="_x0000_i1087"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40" w:beforeAutospacing="0" w:after="0" w:afterAutospacing="0"/>
        <w:jc w:val="both"/>
        <w:rPr>
          <w:sz w:val="20"/>
          <w:szCs w:val="20"/>
        </w:rPr>
      </w:pPr>
      <w:r>
        <w:rPr>
          <w:sz w:val="20"/>
          <w:szCs w:val="20"/>
        </w:rPr>
        <w:t>negatively affect our operations. If we raise additional funds through collaborations, strategic alliances or licensing agreements with third parties for one or more of our</w:t>
      </w:r>
      <w:r>
        <w:rPr>
          <w:sz w:val="20"/>
          <w:szCs w:val="20"/>
        </w:rPr>
        <w:t xml:space="preserve"> current or future drug candidates, we may be required to relinquish valuable rights to our technologies, future revenue streams, research programs or drug candidates or to grant licenses on terms that may not be favorable to us. Our failure to raise capit</w:t>
      </w:r>
      <w:r>
        <w:rPr>
          <w:sz w:val="20"/>
          <w:szCs w:val="20"/>
        </w:rPr>
        <w:t>al as and when needed would have a material adverse effect on our financial condition and our ability to pursue our business strategy</w:t>
      </w:r>
      <w:r>
        <w:rPr>
          <w:sz w:val="20"/>
          <w:szCs w:val="20"/>
        </w:rPr>
        <w:t>.</w:t>
      </w:r>
    </w:p>
    <w:p w:rsidR="00000000" w:rsidRDefault="00F83A7A">
      <w:pPr>
        <w:pStyle w:val="a3"/>
        <w:spacing w:before="240" w:beforeAutospacing="0" w:after="0" w:afterAutospacing="0"/>
        <w:ind w:firstLine="715"/>
        <w:jc w:val="both"/>
        <w:rPr>
          <w:sz w:val="20"/>
          <w:szCs w:val="20"/>
        </w:rPr>
      </w:pPr>
      <w:r>
        <w:rPr>
          <w:sz w:val="20"/>
          <w:szCs w:val="20"/>
        </w:rPr>
        <w:t> </w:t>
      </w:r>
    </w:p>
    <w:p w:rsidR="00000000" w:rsidRDefault="00F83A7A">
      <w:pPr>
        <w:pStyle w:val="a3"/>
        <w:spacing w:before="0" w:beforeAutospacing="0" w:after="0" w:afterAutospacing="0"/>
        <w:jc w:val="both"/>
        <w:rPr>
          <w:sz w:val="20"/>
          <w:szCs w:val="20"/>
        </w:rPr>
      </w:pPr>
      <w:r>
        <w:rPr>
          <w:b/>
          <w:bCs/>
          <w:i/>
          <w:iCs/>
          <w:sz w:val="20"/>
          <w:szCs w:val="20"/>
        </w:rPr>
        <w:t>At-the-Market Offering Progra</w:t>
      </w:r>
      <w:r>
        <w:rPr>
          <w:b/>
          <w:bCs/>
          <w:i/>
          <w:iCs/>
          <w:sz w:val="20"/>
          <w:szCs w:val="20"/>
        </w:rPr>
        <w:t>m</w:t>
      </w:r>
    </w:p>
    <w:p w:rsidR="00000000" w:rsidRDefault="00F83A7A">
      <w:pPr>
        <w:pStyle w:val="a3"/>
        <w:spacing w:before="240" w:beforeAutospacing="0" w:after="0" w:afterAutospacing="0"/>
        <w:ind w:firstLine="715"/>
        <w:jc w:val="both"/>
        <w:rPr>
          <w:sz w:val="20"/>
          <w:szCs w:val="20"/>
        </w:rPr>
      </w:pPr>
      <w:r>
        <w:rPr>
          <w:sz w:val="20"/>
          <w:szCs w:val="20"/>
        </w:rPr>
        <w:t xml:space="preserve">In November 2020, we filed a shelf registration statement on Form S-3 (Registration No. </w:t>
      </w:r>
      <w:r>
        <w:rPr>
          <w:sz w:val="20"/>
          <w:szCs w:val="20"/>
        </w:rPr>
        <w:t>333-250054) that allows us to sell up to an aggregate of $250.0 million of our common stock, preferred stock, debt securities and/or warrants (the “S-3 Registration Statement”), which includes a prospectus covering the issuance and sale of up to $75.0 mill</w:t>
      </w:r>
      <w:r>
        <w:rPr>
          <w:sz w:val="20"/>
          <w:szCs w:val="20"/>
        </w:rPr>
        <w:t>ion of common stock pursuant to an at-the-market (“ATM”) offering program. As of December 31, 2021, we had $250.0 million available under our S-3 Registration Statement, including $75.0 million available pursuant to our ATM program</w:t>
      </w:r>
      <w:r>
        <w:rPr>
          <w:sz w:val="20"/>
          <w:szCs w:val="20"/>
        </w:rPr>
        <w:t>.</w:t>
      </w:r>
    </w:p>
    <w:p w:rsidR="00000000" w:rsidRDefault="00F83A7A">
      <w:pPr>
        <w:pStyle w:val="a3"/>
        <w:spacing w:before="0" w:beforeAutospacing="0" w:after="0" w:afterAutospacing="0"/>
        <w:rPr>
          <w:sz w:val="20"/>
          <w:szCs w:val="20"/>
        </w:rPr>
      </w:pPr>
      <w:r>
        <w:rPr>
          <w:sz w:val="16"/>
          <w:szCs w:val="16"/>
        </w:rPr>
        <w:t> </w:t>
      </w:r>
    </w:p>
    <w:p w:rsidR="00000000" w:rsidRDefault="00F83A7A">
      <w:pPr>
        <w:pStyle w:val="a3"/>
        <w:spacing w:before="200" w:beforeAutospacing="0" w:after="0" w:afterAutospacing="0"/>
        <w:ind w:left="238"/>
        <w:jc w:val="both"/>
        <w:rPr>
          <w:sz w:val="20"/>
          <w:szCs w:val="20"/>
        </w:rPr>
      </w:pPr>
      <w:r>
        <w:rPr>
          <w:b/>
          <w:bCs/>
          <w:i/>
          <w:iCs/>
          <w:sz w:val="20"/>
          <w:szCs w:val="20"/>
        </w:rPr>
        <w:t>Cash Flow</w:t>
      </w:r>
      <w:r>
        <w:rPr>
          <w:b/>
          <w:bCs/>
          <w:i/>
          <w:iCs/>
          <w:sz w:val="20"/>
          <w:szCs w:val="20"/>
        </w:rPr>
        <w:t>s</w:t>
      </w:r>
      <w:r>
        <w:rPr>
          <w:b/>
          <w:bCs/>
          <w:i/>
          <w:iCs/>
          <w:sz w:val="20"/>
          <w:szCs w:val="20"/>
        </w:rPr>
        <w:t xml:space="preserve"> </w:t>
      </w:r>
    </w:p>
    <w:p w:rsidR="00000000" w:rsidRDefault="00F83A7A">
      <w:pPr>
        <w:pStyle w:val="a3"/>
        <w:spacing w:before="200" w:beforeAutospacing="0" w:after="0" w:afterAutospacing="0"/>
        <w:ind w:firstLine="555"/>
        <w:jc w:val="both"/>
        <w:rPr>
          <w:sz w:val="20"/>
          <w:szCs w:val="20"/>
        </w:rPr>
      </w:pPr>
      <w:r>
        <w:rPr>
          <w:sz w:val="20"/>
          <w:szCs w:val="20"/>
        </w:rPr>
        <w:t>The following table summarizes our cash flows for the periods indicated</w:t>
      </w:r>
      <w:r>
        <w:rPr>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177"/>
        <w:gridCol w:w="110"/>
        <w:gridCol w:w="160"/>
        <w:gridCol w:w="918"/>
        <w:gridCol w:w="127"/>
        <w:gridCol w:w="110"/>
        <w:gridCol w:w="160"/>
        <w:gridCol w:w="910"/>
        <w:gridCol w:w="142"/>
      </w:tblGrid>
      <w:tr w:rsidR="00000000">
        <w:trPr>
          <w:tblCellSpacing w:w="15" w:type="dxa"/>
        </w:trPr>
        <w:tc>
          <w:tcPr>
            <w:tcW w:w="2876" w:type="pct"/>
            <w:vAlign w:val="center"/>
            <w:hideMark/>
          </w:tcPr>
          <w:p w:rsidR="00000000" w:rsidRDefault="00F83A7A">
            <w:pPr>
              <w:rPr>
                <w:sz w:val="20"/>
                <w:szCs w:val="20"/>
              </w:rPr>
            </w:pPr>
          </w:p>
        </w:tc>
        <w:tc>
          <w:tcPr>
            <w:tcW w:w="56" w:type="pct"/>
            <w:vAlign w:val="center"/>
            <w:hideMark/>
          </w:tcPr>
          <w:p w:rsidR="00000000" w:rsidRDefault="00F83A7A">
            <w:pPr>
              <w:rPr>
                <w:rFonts w:eastAsia="Times New Roman"/>
                <w:sz w:val="20"/>
                <w:szCs w:val="20"/>
              </w:rPr>
            </w:pPr>
          </w:p>
        </w:tc>
        <w:tc>
          <w:tcPr>
            <w:tcW w:w="100" w:type="pct"/>
            <w:vAlign w:val="center"/>
            <w:hideMark/>
          </w:tcPr>
          <w:p w:rsidR="00000000" w:rsidRDefault="00F83A7A">
            <w:pPr>
              <w:rPr>
                <w:rFonts w:eastAsia="Times New Roman"/>
                <w:sz w:val="20"/>
                <w:szCs w:val="20"/>
              </w:rPr>
            </w:pPr>
          </w:p>
        </w:tc>
        <w:tc>
          <w:tcPr>
            <w:tcW w:w="842" w:type="pct"/>
            <w:vAlign w:val="center"/>
            <w:hideMark/>
          </w:tcPr>
          <w:p w:rsidR="00000000" w:rsidRDefault="00F83A7A">
            <w:pPr>
              <w:rPr>
                <w:rFonts w:eastAsia="Times New Roman"/>
                <w:sz w:val="20"/>
                <w:szCs w:val="20"/>
              </w:rPr>
            </w:pPr>
          </w:p>
        </w:tc>
        <w:tc>
          <w:tcPr>
            <w:tcW w:w="66" w:type="pct"/>
            <w:vAlign w:val="center"/>
            <w:hideMark/>
          </w:tcPr>
          <w:p w:rsidR="00000000" w:rsidRDefault="00F83A7A">
            <w:pPr>
              <w:rPr>
                <w:rFonts w:eastAsia="Times New Roman"/>
                <w:sz w:val="20"/>
                <w:szCs w:val="20"/>
              </w:rPr>
            </w:pPr>
          </w:p>
        </w:tc>
        <w:tc>
          <w:tcPr>
            <w:tcW w:w="56" w:type="pct"/>
            <w:vAlign w:val="center"/>
            <w:hideMark/>
          </w:tcPr>
          <w:p w:rsidR="00000000" w:rsidRDefault="00F83A7A">
            <w:pPr>
              <w:rPr>
                <w:rFonts w:eastAsia="Times New Roman"/>
                <w:sz w:val="20"/>
                <w:szCs w:val="20"/>
              </w:rPr>
            </w:pPr>
          </w:p>
        </w:tc>
        <w:tc>
          <w:tcPr>
            <w:tcW w:w="100" w:type="pct"/>
            <w:vAlign w:val="center"/>
            <w:hideMark/>
          </w:tcPr>
          <w:p w:rsidR="00000000" w:rsidRDefault="00F83A7A">
            <w:pPr>
              <w:rPr>
                <w:rFonts w:eastAsia="Times New Roman"/>
                <w:sz w:val="20"/>
                <w:szCs w:val="20"/>
              </w:rPr>
            </w:pPr>
          </w:p>
        </w:tc>
        <w:tc>
          <w:tcPr>
            <w:tcW w:w="834" w:type="pct"/>
            <w:vAlign w:val="center"/>
            <w:hideMark/>
          </w:tcPr>
          <w:p w:rsidR="00000000" w:rsidRDefault="00F83A7A">
            <w:pPr>
              <w:rPr>
                <w:rFonts w:eastAsia="Times New Roman"/>
                <w:sz w:val="20"/>
                <w:szCs w:val="20"/>
              </w:rPr>
            </w:pPr>
          </w:p>
        </w:tc>
        <w:tc>
          <w:tcPr>
            <w:tcW w:w="66" w:type="pct"/>
            <w:vAlign w:val="center"/>
            <w:hideMark/>
          </w:tcPr>
          <w:p w:rsidR="00000000" w:rsidRDefault="00F83A7A">
            <w:pPr>
              <w:rPr>
                <w:rFonts w:eastAsia="Times New Roman"/>
                <w:sz w:val="20"/>
                <w:szCs w:val="20"/>
              </w:rPr>
            </w:pP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F83A7A">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Net cash provided by (used in)</w:t>
            </w: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Operating activitie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118,61</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(51,58</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Investing activitie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(1,82</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34,64</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Financing activitie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90</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47,07</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Net increase in cash, cash equivalents, and restricted cas</w:t>
            </w:r>
            <w:r>
              <w:rPr>
                <w:sz w:val="20"/>
                <w:szCs w:val="20"/>
              </w:rPr>
              <w:t>h</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117,69</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30,13</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bl>
    <w:p w:rsidR="00000000" w:rsidRDefault="00F83A7A">
      <w:pPr>
        <w:pStyle w:val="a3"/>
        <w:spacing w:before="0" w:beforeAutospacing="0" w:after="0" w:afterAutospacing="0"/>
        <w:ind w:left="238"/>
        <w:jc w:val="both"/>
        <w:rPr>
          <w:sz w:val="20"/>
          <w:szCs w:val="20"/>
        </w:rPr>
      </w:pPr>
      <w:r>
        <w:t> </w:t>
      </w:r>
    </w:p>
    <w:p w:rsidR="00000000" w:rsidRDefault="00F83A7A">
      <w:pPr>
        <w:pStyle w:val="a3"/>
        <w:spacing w:before="0" w:beforeAutospacing="0" w:after="0" w:afterAutospacing="0"/>
        <w:ind w:left="238"/>
        <w:jc w:val="both"/>
        <w:rPr>
          <w:sz w:val="20"/>
          <w:szCs w:val="20"/>
        </w:rPr>
      </w:pPr>
      <w:r>
        <w:rPr>
          <w:b/>
          <w:bCs/>
          <w:i/>
          <w:iCs/>
          <w:sz w:val="20"/>
          <w:szCs w:val="20"/>
        </w:rPr>
        <w:t>Net Cash Provided by (Used in) Operating Activitie</w:t>
      </w:r>
      <w:r>
        <w:rPr>
          <w:b/>
          <w:bCs/>
          <w:i/>
          <w:i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Net cash provided by operating activities was $118.6 million for the year ended December 31, 2021, which consisted of net income of $122.5 million offset by various non-cash charges and indirect cash changes, primarily related to $12.3 million related to a</w:t>
      </w:r>
      <w:r>
        <w:rPr>
          <w:sz w:val="20"/>
          <w:szCs w:val="20"/>
        </w:rPr>
        <w:t>n asset acquisition via stock issuance and cash, stock-based compensation expense of $5.0 million, and $12.4 million of deferred revenue reversal. Net cash used in operating activities was $51.6 million for the year ended December 31, 2020, which consisted</w:t>
      </w:r>
      <w:r>
        <w:rPr>
          <w:sz w:val="20"/>
          <w:szCs w:val="20"/>
        </w:rPr>
        <w:t xml:space="preserve"> of a net loss of $81.0 million offset by a net of $29.5 million of non-cash charges and indirect cash changes, primarily related to $7.2 million of stock-based compensation expense and $12.4 million in deferred revenue</w:t>
      </w:r>
      <w:r>
        <w:rPr>
          <w:sz w:val="20"/>
          <w:szCs w:val="20"/>
        </w:rPr>
        <w:t>.</w:t>
      </w:r>
    </w:p>
    <w:p w:rsidR="00000000" w:rsidRDefault="00F83A7A">
      <w:pPr>
        <w:pStyle w:val="a3"/>
        <w:spacing w:before="200" w:beforeAutospacing="0" w:after="0" w:afterAutospacing="0"/>
        <w:ind w:left="238"/>
        <w:jc w:val="both"/>
        <w:rPr>
          <w:sz w:val="20"/>
          <w:szCs w:val="20"/>
        </w:rPr>
      </w:pPr>
      <w:r>
        <w:rPr>
          <w:b/>
          <w:bCs/>
          <w:i/>
          <w:iCs/>
          <w:sz w:val="20"/>
          <w:szCs w:val="20"/>
        </w:rPr>
        <w:t>Net Cash (Used in) Provided by Inve</w:t>
      </w:r>
      <w:r>
        <w:rPr>
          <w:b/>
          <w:bCs/>
          <w:i/>
          <w:iCs/>
          <w:sz w:val="20"/>
          <w:szCs w:val="20"/>
        </w:rPr>
        <w:t>sting Activitie</w:t>
      </w:r>
      <w:r>
        <w:rPr>
          <w:b/>
          <w:bCs/>
          <w:i/>
          <w:iCs/>
          <w:sz w:val="20"/>
          <w:szCs w:val="20"/>
        </w:rPr>
        <w:t>s</w:t>
      </w:r>
    </w:p>
    <w:p w:rsidR="00000000" w:rsidRDefault="00F83A7A">
      <w:pPr>
        <w:pStyle w:val="a3"/>
        <w:spacing w:before="120" w:beforeAutospacing="0" w:after="0" w:afterAutospacing="0"/>
        <w:ind w:firstLine="555"/>
        <w:jc w:val="both"/>
        <w:rPr>
          <w:sz w:val="20"/>
          <w:szCs w:val="20"/>
        </w:rPr>
      </w:pPr>
      <w:r>
        <w:rPr>
          <w:sz w:val="20"/>
          <w:szCs w:val="20"/>
        </w:rPr>
        <w:t>Net cash used in investing activities was $1.8 million for the year ended December 31, 2021, which was primarily comprised of $1.6 million in purchase of a long-term equity investment. For the year ended December 31, 2020, $34.6 million wa</w:t>
      </w:r>
      <w:r>
        <w:rPr>
          <w:sz w:val="20"/>
          <w:szCs w:val="20"/>
        </w:rPr>
        <w:t>s provided by investing activities, which was primarily due to net proceeds from short-term investments during the year</w:t>
      </w:r>
      <w:r>
        <w:rPr>
          <w:sz w:val="20"/>
          <w:szCs w:val="20"/>
        </w:rPr>
        <w:t>.</w:t>
      </w:r>
    </w:p>
    <w:p w:rsidR="00000000" w:rsidRDefault="00F83A7A">
      <w:pPr>
        <w:pStyle w:val="a3"/>
        <w:spacing w:before="200" w:beforeAutospacing="0" w:after="0" w:afterAutospacing="0"/>
        <w:ind w:left="238"/>
        <w:jc w:val="both"/>
        <w:rPr>
          <w:sz w:val="20"/>
          <w:szCs w:val="20"/>
        </w:rPr>
      </w:pPr>
      <w:r>
        <w:rPr>
          <w:b/>
          <w:bCs/>
          <w:i/>
          <w:iCs/>
          <w:sz w:val="20"/>
          <w:szCs w:val="20"/>
        </w:rPr>
        <w:t>Net Cash Provided by Financing Activitie</w:t>
      </w:r>
      <w:r>
        <w:rPr>
          <w:b/>
          <w:bCs/>
          <w:i/>
          <w:i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Net cash provided by financing activities of $0.9 million for the year ended December 31, 202</w:t>
      </w:r>
      <w:r>
        <w:rPr>
          <w:sz w:val="20"/>
          <w:szCs w:val="20"/>
        </w:rPr>
        <w:t>1 was primarily due to proceeds from the exercise of options. For the year ended December 31, 2020, net cash provided by financing activities of $47.0 million was primarily due to the net proceeds from the August 2020 Offering</w:t>
      </w:r>
      <w:r>
        <w:rPr>
          <w:sz w:val="20"/>
          <w:szCs w:val="20"/>
        </w:rPr>
        <w:t>.</w:t>
      </w:r>
      <w:r>
        <w:rPr>
          <w:sz w:val="20"/>
          <w:szCs w:val="20"/>
        </w:rPr>
        <w:t xml:space="preserve"> </w:t>
      </w:r>
    </w:p>
    <w:p w:rsidR="00000000" w:rsidRDefault="00F83A7A">
      <w:pPr>
        <w:pStyle w:val="a3"/>
        <w:spacing w:before="200" w:beforeAutospacing="0" w:after="0" w:afterAutospacing="0"/>
        <w:jc w:val="both"/>
        <w:rPr>
          <w:sz w:val="20"/>
          <w:szCs w:val="20"/>
        </w:rPr>
      </w:pPr>
      <w:r>
        <w:rPr>
          <w:b/>
          <w:bCs/>
          <w:sz w:val="20"/>
          <w:szCs w:val="20"/>
        </w:rPr>
        <w:t>Critical Accounting Estimat</w:t>
      </w:r>
      <w:r>
        <w:rPr>
          <w:b/>
          <w:bCs/>
          <w:sz w:val="20"/>
          <w:szCs w:val="20"/>
        </w:rPr>
        <w:t>e</w:t>
      </w:r>
      <w:r>
        <w:rPr>
          <w:b/>
          <w:b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Our management discussion and analysis of financial condition and results of operations is based on our financial statements, which have been prepared in accordance with accounting principles generally accepted in the United States. The preparation of t</w:t>
      </w:r>
      <w:r>
        <w:rPr>
          <w:sz w:val="20"/>
          <w:szCs w:val="20"/>
        </w:rPr>
        <w:t>hese financial statements requires us to make estimates and assumptions that affect the reported amounts of assets and liabilities and the disclosure of contingent assets and liabilities at the date of the financial statements, as well as the revenue and e</w:t>
      </w:r>
      <w:r>
        <w:rPr>
          <w:sz w:val="20"/>
          <w:szCs w:val="20"/>
        </w:rPr>
        <w:t>xpenses incurred during the reported periods. On an ongoing basis, we evaluate our estimates and judgments, including those related to revenue recognition and accrued clinical expenses. We base our estimates on historical experience and on various other fa</w:t>
      </w:r>
      <w:r>
        <w:rPr>
          <w:sz w:val="20"/>
          <w:szCs w:val="20"/>
        </w:rPr>
        <w:t>ctors that we believe are reasonable under the circumstances, the results of which form the basis for making judgments about the carrying value of assets and liabilities that are not apparent from other sources. Changes in estimates are reflected in report</w:t>
      </w:r>
      <w:r>
        <w:rPr>
          <w:sz w:val="20"/>
          <w:szCs w:val="20"/>
        </w:rPr>
        <w:t>ed results for the period in which they become known</w:t>
      </w:r>
      <w:r>
        <w:rPr>
          <w:sz w:val="20"/>
          <w:szCs w:val="20"/>
        </w:rPr>
        <w:t>.</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6</w:t>
      </w:r>
      <w:r>
        <w:rPr>
          <w:sz w:val="20"/>
          <w:szCs w:val="20"/>
        </w:rPr>
        <w:t>0</w:t>
      </w:r>
    </w:p>
    <w:p w:rsidR="00000000" w:rsidRDefault="00F83A7A">
      <w:pPr>
        <w:rPr>
          <w:rFonts w:eastAsia="Times New Roman"/>
        </w:rPr>
      </w:pPr>
      <w:r>
        <w:rPr>
          <w:rFonts w:eastAsia="Times New Roman"/>
        </w:rPr>
        <w:pict>
          <v:rect id="_x0000_i1088"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rPr>
          <w:sz w:val="20"/>
          <w:szCs w:val="20"/>
        </w:rPr>
      </w:pPr>
      <w:r>
        <w:rPr>
          <w:sz w:val="20"/>
          <w:szCs w:val="20"/>
        </w:rPr>
        <w:t>Actual results may differ from these estimates under different assumptions or conditions. In making estimates and judgments, management employs critical account</w:t>
      </w:r>
      <w:r>
        <w:rPr>
          <w:sz w:val="20"/>
          <w:szCs w:val="20"/>
        </w:rPr>
        <w:t>ing policies. Our critical accounting policies are described in greater detail in Note 2 to our audited consolidated financial statements included in this Annual Report on Form 10-K</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We have listed below our critical accounting estimates that we believe to</w:t>
      </w:r>
      <w:r>
        <w:rPr>
          <w:sz w:val="20"/>
          <w:szCs w:val="20"/>
        </w:rPr>
        <w:t xml:space="preserve"> have the greatest potential impact on our consolidated financial statements. Historically, our assumptions, judgments and estimates relative to our critical accounting estimates have not differed materially from actual results</w:t>
      </w:r>
      <w:r>
        <w:rPr>
          <w:sz w:val="20"/>
          <w:szCs w:val="20"/>
        </w:rPr>
        <w:t>.</w:t>
      </w:r>
      <w:r>
        <w:rPr>
          <w:sz w:val="20"/>
          <w:szCs w:val="20"/>
        </w:rPr>
        <w:t xml:space="preserve"> </w:t>
      </w:r>
    </w:p>
    <w:p w:rsidR="00000000" w:rsidRDefault="00F83A7A">
      <w:pPr>
        <w:pStyle w:val="a3"/>
        <w:spacing w:before="200" w:beforeAutospacing="0" w:after="0" w:afterAutospacing="0"/>
        <w:ind w:firstLine="555"/>
        <w:jc w:val="both"/>
        <w:rPr>
          <w:sz w:val="20"/>
          <w:szCs w:val="20"/>
        </w:rPr>
      </w:pPr>
      <w:r>
        <w:rPr>
          <w:b/>
          <w:bCs/>
          <w:i/>
          <w:iCs/>
          <w:sz w:val="20"/>
          <w:szCs w:val="20"/>
        </w:rPr>
        <w:t>Revenue Recognitio</w:t>
      </w:r>
      <w:r>
        <w:rPr>
          <w:b/>
          <w:bCs/>
          <w:i/>
          <w:iCs/>
          <w:sz w:val="20"/>
          <w:szCs w:val="20"/>
        </w:rPr>
        <w:t>n</w:t>
      </w:r>
      <w:r>
        <w:rPr>
          <w:b/>
          <w:bCs/>
          <w:i/>
          <w:iCs/>
          <w:sz w:val="20"/>
          <w:szCs w:val="20"/>
        </w:rPr>
        <w:t xml:space="preserve"> </w:t>
      </w:r>
    </w:p>
    <w:p w:rsidR="00000000" w:rsidRDefault="00F83A7A">
      <w:pPr>
        <w:pStyle w:val="a3"/>
        <w:spacing w:before="200" w:beforeAutospacing="0" w:after="0" w:afterAutospacing="0"/>
        <w:ind w:firstLine="555"/>
        <w:jc w:val="both"/>
        <w:rPr>
          <w:sz w:val="20"/>
          <w:szCs w:val="20"/>
        </w:rPr>
      </w:pPr>
      <w:r>
        <w:rPr>
          <w:sz w:val="20"/>
          <w:szCs w:val="20"/>
        </w:rPr>
        <w:t>We re</w:t>
      </w:r>
      <w:r>
        <w:rPr>
          <w:sz w:val="20"/>
          <w:szCs w:val="20"/>
        </w:rPr>
        <w:t>cognize revenue under sublicense agreements in accordance with ASC 606 which is applicable to the Angelini License Agreement and the Takeda License and Termination Agreement. The terms of the agreements within this scope may contain multiple performance ob</w:t>
      </w:r>
      <w:r>
        <w:rPr>
          <w:sz w:val="20"/>
          <w:szCs w:val="20"/>
        </w:rPr>
        <w:t>ligations, including but not limited to licenses and research and development activities. ASC 606 requires that we evaluate these agreements to determine the distinct performance obligations. Non-refundable, up-front fees that are not contingent on any fut</w:t>
      </w:r>
      <w:r>
        <w:rPr>
          <w:sz w:val="20"/>
          <w:szCs w:val="20"/>
        </w:rPr>
        <w:t>ure performance and require no consequential continuing involvement by us, are recognized as revenue when the license term commences and the licensed data, technology or product is delivered. We defer recognition of non-refundable upfront fees if the perfo</w:t>
      </w:r>
      <w:r>
        <w:rPr>
          <w:sz w:val="20"/>
          <w:szCs w:val="20"/>
        </w:rPr>
        <w:t>rmance obligations are not satisfied</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For the Takeda License and Termination Agreement that closed on March 29, 2021, we received</w:t>
      </w:r>
      <w:r>
        <w:rPr>
          <w:sz w:val="20"/>
          <w:szCs w:val="20"/>
        </w:rPr>
        <w:t xml:space="preserve"> </w:t>
      </w:r>
      <w:r>
        <w:rPr>
          <w:sz w:val="20"/>
          <w:szCs w:val="20"/>
        </w:rPr>
        <w:t xml:space="preserve">an upfront payment of $196.0 million. We determined that the transaction price was equal to the upfront fee of $196.0 million </w:t>
      </w:r>
      <w:r>
        <w:rPr>
          <w:sz w:val="20"/>
          <w:szCs w:val="20"/>
        </w:rPr>
        <w:t>and was associated with several material conditions that were satisfied at the closing date. We recognized the full upfront payment of $196.0 million as revenue at the closing date upon the satisfaction of the material conditions outlined in the terminatio</w:t>
      </w:r>
      <w:r>
        <w:rPr>
          <w:sz w:val="20"/>
          <w:szCs w:val="20"/>
        </w:rPr>
        <w:t>n agreement</w:t>
      </w:r>
      <w:r>
        <w:rPr>
          <w:sz w:val="20"/>
          <w:szCs w:val="20"/>
        </w:rPr>
        <w:t>.</w:t>
      </w:r>
      <w:r>
        <w:rPr>
          <w:sz w:val="20"/>
          <w:szCs w:val="20"/>
        </w:rPr>
        <w:t xml:space="preserve"> </w:t>
      </w:r>
    </w:p>
    <w:p w:rsidR="00000000" w:rsidRDefault="00F83A7A">
      <w:pPr>
        <w:pStyle w:val="a3"/>
        <w:spacing w:before="200" w:beforeAutospacing="0" w:after="0" w:afterAutospacing="0"/>
        <w:jc w:val="both"/>
        <w:rPr>
          <w:sz w:val="20"/>
          <w:szCs w:val="20"/>
        </w:rPr>
      </w:pPr>
      <w:r>
        <w:rPr>
          <w:sz w:val="20"/>
          <w:szCs w:val="20"/>
        </w:rPr>
        <w:t>On March 29, 2021, we received a notice of termination of the Angelini License Agreement. Subsequently, we and Angelini mutually agreed to waive the six month termination notice provisions and the Angelini License Agreement terminated effecti</w:t>
      </w:r>
      <w:r>
        <w:rPr>
          <w:sz w:val="20"/>
          <w:szCs w:val="20"/>
        </w:rPr>
        <w:t>ve March 31, 2021. We have been released from our performance obligations and will not be entitled to any future milestone payments under the Angelini License Agreement. As a result of being released from the performance obligations, we recognized $12.4 mi</w:t>
      </w:r>
      <w:r>
        <w:rPr>
          <w:sz w:val="20"/>
          <w:szCs w:val="20"/>
        </w:rPr>
        <w:t>llion of revenue at the termination date, consisting of $5.4 million of license revenue related to ongoing trials and $7.0 million related to the potential 35% funding of the cost for Angelini's future trials</w:t>
      </w:r>
      <w:r>
        <w:rPr>
          <w:sz w:val="20"/>
          <w:szCs w:val="20"/>
        </w:rPr>
        <w:t>.</w:t>
      </w:r>
    </w:p>
    <w:p w:rsidR="00000000" w:rsidRDefault="00F83A7A">
      <w:pPr>
        <w:pStyle w:val="a3"/>
        <w:spacing w:before="200" w:beforeAutospacing="0" w:after="0" w:afterAutospacing="0"/>
        <w:ind w:left="476"/>
        <w:jc w:val="both"/>
        <w:rPr>
          <w:sz w:val="20"/>
          <w:szCs w:val="20"/>
        </w:rPr>
      </w:pPr>
      <w:r>
        <w:rPr>
          <w:b/>
          <w:bCs/>
          <w:i/>
          <w:iCs/>
          <w:sz w:val="20"/>
          <w:szCs w:val="20"/>
        </w:rPr>
        <w:t>Accrued Clinical Expense</w:t>
      </w:r>
      <w:r>
        <w:rPr>
          <w:b/>
          <w:bCs/>
          <w:i/>
          <w:iCs/>
          <w:sz w:val="20"/>
          <w:szCs w:val="20"/>
        </w:rPr>
        <w:t>s</w:t>
      </w:r>
    </w:p>
    <w:p w:rsidR="00000000" w:rsidRDefault="00F83A7A">
      <w:pPr>
        <w:pStyle w:val="a3"/>
        <w:spacing w:before="200" w:beforeAutospacing="0" w:after="0" w:afterAutospacing="0"/>
        <w:ind w:firstLine="630"/>
        <w:jc w:val="both"/>
        <w:rPr>
          <w:sz w:val="20"/>
          <w:szCs w:val="20"/>
        </w:rPr>
      </w:pPr>
      <w:r>
        <w:rPr>
          <w:sz w:val="20"/>
          <w:szCs w:val="20"/>
        </w:rPr>
        <w:t>When preparing our consolidated financial statements, we are required to estimate our accrued clinical expenses. This process involves reviewing open contracts and communicating with our personnel to identify services that have been performed on our behalf</w:t>
      </w:r>
      <w:r>
        <w:rPr>
          <w:sz w:val="20"/>
          <w:szCs w:val="20"/>
        </w:rPr>
        <w:t xml:space="preserve"> and estimating the level of service performed and the associated cost incurred for the service when we have not yet been invoiced or otherwise notified of the actual cost. Payments under certain contracts we have with third parties depend on factors, such</w:t>
      </w:r>
      <w:r>
        <w:rPr>
          <w:sz w:val="20"/>
          <w:szCs w:val="20"/>
        </w:rPr>
        <w:t xml:space="preserve"> as the successful enrollment of certain numbers of patients, site initiation and the completion of clinical trial milestones</w:t>
      </w:r>
      <w:r>
        <w:rPr>
          <w:sz w:val="20"/>
          <w:szCs w:val="20"/>
        </w:rPr>
        <w:t>.</w:t>
      </w:r>
    </w:p>
    <w:p w:rsidR="00000000" w:rsidRDefault="00F83A7A">
      <w:pPr>
        <w:pStyle w:val="a3"/>
        <w:spacing w:before="200" w:beforeAutospacing="0" w:after="0" w:afterAutospacing="0"/>
        <w:ind w:firstLine="630"/>
        <w:jc w:val="both"/>
        <w:rPr>
          <w:sz w:val="20"/>
          <w:szCs w:val="20"/>
        </w:rPr>
      </w:pPr>
      <w:r>
        <w:rPr>
          <w:sz w:val="20"/>
          <w:szCs w:val="20"/>
        </w:rPr>
        <w:t xml:space="preserve">When accruing clinical expenses, we estimate the time period over which services will be performed and the level of effort to be </w:t>
      </w:r>
      <w:r>
        <w:rPr>
          <w:sz w:val="20"/>
          <w:szCs w:val="20"/>
        </w:rPr>
        <w:t>expended in each period. If possible, we obtain information regarding unbilled services directly from our service providers. However, we may be required to estimate the cost of these services based only on information available to us. If we underestimate o</w:t>
      </w:r>
      <w:r>
        <w:rPr>
          <w:sz w:val="20"/>
          <w:szCs w:val="20"/>
        </w:rPr>
        <w:t>r overestimate the cost associated with a trial or service at a given point in time, adjustments to research and development expenses may be necessary in future periods. Historically, our estimated accrued clinical expenses have approximated actual expense</w:t>
      </w:r>
      <w:r>
        <w:rPr>
          <w:sz w:val="20"/>
          <w:szCs w:val="20"/>
        </w:rPr>
        <w:t xml:space="preserve"> incurred</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Emerging Growth Company Status and Smaller Reporting Company Statu</w:t>
      </w:r>
      <w:r>
        <w:rPr>
          <w:b/>
          <w:bCs/>
          <w:sz w:val="20"/>
          <w:szCs w:val="20"/>
        </w:rPr>
        <w:t>s</w:t>
      </w:r>
    </w:p>
    <w:p w:rsidR="00000000" w:rsidRDefault="00F83A7A">
      <w:pPr>
        <w:pStyle w:val="a3"/>
        <w:spacing w:before="200" w:beforeAutospacing="0" w:after="0" w:afterAutospacing="0"/>
        <w:ind w:firstLine="571"/>
        <w:jc w:val="both"/>
        <w:rPr>
          <w:sz w:val="20"/>
          <w:szCs w:val="20"/>
        </w:rPr>
      </w:pPr>
      <w:r>
        <w:rPr>
          <w:sz w:val="20"/>
          <w:szCs w:val="20"/>
        </w:rPr>
        <w:t>We</w:t>
      </w:r>
      <w:r>
        <w:rPr>
          <w:sz w:val="20"/>
          <w:szCs w:val="20"/>
        </w:rPr>
        <w:t xml:space="preserve"> </w:t>
      </w:r>
      <w:r>
        <w:rPr>
          <w:sz w:val="20"/>
          <w:szCs w:val="20"/>
        </w:rPr>
        <w:t>are an “emerging growth company,” as defined in the Jumpstart Our Business Startups Act of 2012, or the JOBS Act, and may remain an emerging growth company until December 31,</w:t>
      </w:r>
      <w:r>
        <w:rPr>
          <w:sz w:val="20"/>
          <w:szCs w:val="20"/>
        </w:rPr>
        <w:t xml:space="preserve"> 2022. For so long as we remain an emerging growth company, we are permitted and intend to rely on exemptions from certain disclosure requirements that are applicable to other public companies that are not emerging growth companies. These exemptions includ</w:t>
      </w:r>
      <w:r>
        <w:rPr>
          <w:sz w:val="20"/>
          <w:szCs w:val="20"/>
        </w:rPr>
        <w:t>e</w:t>
      </w:r>
      <w:r>
        <w:rPr>
          <w:sz w:val="20"/>
          <w:szCs w:val="20"/>
        </w:rPr>
        <w:t>:</w:t>
      </w:r>
    </w:p>
    <w:p w:rsidR="00000000" w:rsidRDefault="00F83A7A">
      <w:pPr>
        <w:jc w:val="both"/>
        <w:divId w:val="824320213"/>
        <w:rPr>
          <w:rFonts w:eastAsia="Times New Roman"/>
        </w:rPr>
      </w:pPr>
      <w:r>
        <w:rPr>
          <w:rFonts w:eastAsia="Times New Roman"/>
          <w:sz w:val="20"/>
          <w:szCs w:val="20"/>
        </w:rPr>
        <w:t>•</w:t>
      </w:r>
    </w:p>
    <w:p w:rsidR="00000000" w:rsidRDefault="00F83A7A">
      <w:pPr>
        <w:jc w:val="both"/>
        <w:divId w:val="430704602"/>
        <w:rPr>
          <w:rFonts w:eastAsia="Times New Roman"/>
        </w:rPr>
      </w:pPr>
      <w:r>
        <w:rPr>
          <w:rFonts w:eastAsia="Times New Roman"/>
          <w:sz w:val="20"/>
          <w:szCs w:val="20"/>
        </w:rPr>
        <w:t>reduced disclosure about our executive compensation arrangements</w:t>
      </w:r>
      <w:r>
        <w:rPr>
          <w:rFonts w:eastAsia="Times New Roman"/>
          <w:sz w:val="20"/>
          <w:szCs w:val="20"/>
        </w:rPr>
        <w:t>;</w:t>
      </w:r>
    </w:p>
    <w:p w:rsidR="00000000" w:rsidRDefault="00F83A7A">
      <w:pPr>
        <w:jc w:val="both"/>
        <w:divId w:val="255721547"/>
        <w:rPr>
          <w:rFonts w:eastAsia="Times New Roman"/>
        </w:rPr>
      </w:pPr>
      <w:r>
        <w:rPr>
          <w:rFonts w:eastAsia="Times New Roman"/>
          <w:sz w:val="20"/>
          <w:szCs w:val="20"/>
        </w:rPr>
        <w:t>•</w:t>
      </w:r>
    </w:p>
    <w:p w:rsidR="00000000" w:rsidRDefault="00F83A7A">
      <w:pPr>
        <w:jc w:val="both"/>
        <w:divId w:val="523324642"/>
        <w:rPr>
          <w:rFonts w:eastAsia="Times New Roman"/>
        </w:rPr>
      </w:pPr>
      <w:r>
        <w:rPr>
          <w:rFonts w:eastAsia="Times New Roman"/>
          <w:sz w:val="20"/>
          <w:szCs w:val="20"/>
        </w:rPr>
        <w:t>no non-binding stockholder advisory votes on executive compensation or golden parachute arrangements; an</w:t>
      </w:r>
      <w:r>
        <w:rPr>
          <w:rFonts w:eastAsia="Times New Roman"/>
          <w:sz w:val="20"/>
          <w:szCs w:val="20"/>
        </w:rPr>
        <w:t>d</w:t>
      </w:r>
    </w:p>
    <w:p w:rsidR="00000000" w:rsidRDefault="00F83A7A">
      <w:pPr>
        <w:jc w:val="both"/>
        <w:divId w:val="2094474507"/>
        <w:rPr>
          <w:rFonts w:eastAsia="Times New Roman"/>
        </w:rPr>
      </w:pPr>
      <w:r>
        <w:rPr>
          <w:rFonts w:eastAsia="Times New Roman"/>
          <w:sz w:val="20"/>
          <w:szCs w:val="20"/>
        </w:rPr>
        <w:t>•</w:t>
      </w:r>
    </w:p>
    <w:p w:rsidR="00000000" w:rsidRDefault="00F83A7A">
      <w:pPr>
        <w:jc w:val="both"/>
        <w:divId w:val="842205071"/>
        <w:rPr>
          <w:rFonts w:eastAsia="Times New Roman"/>
        </w:rPr>
      </w:pPr>
      <w:r>
        <w:rPr>
          <w:rFonts w:eastAsia="Times New Roman"/>
          <w:sz w:val="20"/>
          <w:szCs w:val="20"/>
        </w:rPr>
        <w:t>exemption from the auditor attestation requirement in the assessment of our</w:t>
      </w:r>
      <w:r>
        <w:rPr>
          <w:rFonts w:eastAsia="Times New Roman"/>
          <w:sz w:val="20"/>
          <w:szCs w:val="20"/>
        </w:rPr>
        <w:t xml:space="preserve"> internal control over financial reporting</w:t>
      </w:r>
      <w:r>
        <w:rPr>
          <w:rFonts w:eastAsia="Times New Roman"/>
          <w:sz w:val="20"/>
          <w:szCs w:val="20"/>
        </w:rPr>
        <w:t>.</w:t>
      </w:r>
    </w:p>
    <w:p w:rsidR="00000000" w:rsidRDefault="00F83A7A">
      <w:pPr>
        <w:pStyle w:val="a3"/>
        <w:spacing w:before="200" w:beforeAutospacing="0" w:after="0" w:afterAutospacing="0"/>
        <w:ind w:firstLine="571"/>
        <w:jc w:val="both"/>
        <w:rPr>
          <w:sz w:val="20"/>
          <w:szCs w:val="20"/>
        </w:rPr>
      </w:pPr>
      <w:r>
        <w:rPr>
          <w:sz w:val="20"/>
          <w:szCs w:val="20"/>
        </w:rPr>
        <w:t>We have taken advantage of reduced reporting requirements in this Annual Report on Form 10-K and may continue to do so until such time that we are no longer an emerging growth company. We will remain an “emerging</w:t>
      </w:r>
      <w:r>
        <w:rPr>
          <w:sz w:val="20"/>
          <w:szCs w:val="20"/>
        </w:rPr>
        <w:t xml:space="preserve"> growth company” until the earliest of (a) the last day of the fiscal year in which we have total annual gross revenues of $1.07 billion or more, (b) December 31, 2022, the last day of the fiscal year following the fifth anniversary of the completion of th</w:t>
      </w:r>
      <w:r>
        <w:rPr>
          <w:sz w:val="20"/>
          <w:szCs w:val="20"/>
        </w:rPr>
        <w:t>e our IPO, (c) the date on which we have issued more than $1.0 billion in nonconvertible debt during the previous three years or (d) the date on which we are deemed to be a large accelerated file</w:t>
      </w:r>
      <w:r>
        <w:rPr>
          <w:sz w:val="20"/>
          <w:szCs w:val="20"/>
        </w:rPr>
        <w:t>r</w:t>
      </w:r>
      <w:r>
        <w:rPr>
          <w:sz w:val="20"/>
          <w:szCs w:val="20"/>
        </w:rPr>
        <w:t xml:space="preserve"> </w:t>
      </w:r>
    </w:p>
    <w:p w:rsidR="00000000" w:rsidRDefault="00F83A7A">
      <w:pPr>
        <w:pStyle w:val="a3"/>
        <w:spacing w:before="240" w:beforeAutospacing="0" w:after="0" w:afterAutospacing="0"/>
        <w:jc w:val="center"/>
        <w:rPr>
          <w:sz w:val="20"/>
          <w:szCs w:val="20"/>
        </w:rPr>
      </w:pPr>
      <w:r>
        <w:rPr>
          <w:sz w:val="20"/>
          <w:szCs w:val="20"/>
        </w:rPr>
        <w:t>6</w:t>
      </w:r>
      <w:r>
        <w:rPr>
          <w:sz w:val="20"/>
          <w:szCs w:val="20"/>
        </w:rPr>
        <w:t>1</w:t>
      </w:r>
    </w:p>
    <w:p w:rsidR="00000000" w:rsidRDefault="00F83A7A">
      <w:pPr>
        <w:rPr>
          <w:rFonts w:eastAsia="Times New Roman"/>
        </w:rPr>
      </w:pPr>
      <w:r>
        <w:rPr>
          <w:rFonts w:eastAsia="Times New Roman"/>
        </w:rPr>
        <w:pict>
          <v:rect id="_x0000_i1089"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rPr>
          <w:sz w:val="20"/>
          <w:szCs w:val="20"/>
        </w:rPr>
      </w:pPr>
      <w:r>
        <w:rPr>
          <w:sz w:val="20"/>
          <w:szCs w:val="20"/>
        </w:rPr>
        <w:t xml:space="preserve">under the rules </w:t>
      </w:r>
      <w:r>
        <w:rPr>
          <w:sz w:val="20"/>
          <w:szCs w:val="20"/>
        </w:rPr>
        <w:t>of the SEC. Section 107 of the JOBS Act provides that an emerging growth company can take advantage of the extended transition period for complying with new or revised accounting standards. We have irrevocably elected not to avail ourselves of this extende</w:t>
      </w:r>
      <w:r>
        <w:rPr>
          <w:sz w:val="20"/>
          <w:szCs w:val="20"/>
        </w:rPr>
        <w:t>d transition period and, as a result, we will adopt new or revised accounting standards on the relevant dates on which adoption of such standards is required for other public companies</w:t>
      </w:r>
      <w:r>
        <w:rPr>
          <w:sz w:val="20"/>
          <w:szCs w:val="20"/>
        </w:rPr>
        <w:t>.</w:t>
      </w:r>
    </w:p>
    <w:p w:rsidR="00000000" w:rsidRDefault="00F83A7A">
      <w:pPr>
        <w:pStyle w:val="a3"/>
        <w:spacing w:before="200" w:beforeAutospacing="0" w:after="0" w:afterAutospacing="0"/>
        <w:ind w:firstLine="571"/>
        <w:jc w:val="both"/>
        <w:rPr>
          <w:sz w:val="20"/>
          <w:szCs w:val="20"/>
        </w:rPr>
      </w:pPr>
      <w:r>
        <w:rPr>
          <w:sz w:val="20"/>
          <w:szCs w:val="20"/>
        </w:rPr>
        <w:t>In addition, we are also a smaller reporting company as defined in the</w:t>
      </w:r>
      <w:r>
        <w:rPr>
          <w:sz w:val="20"/>
          <w:szCs w:val="20"/>
        </w:rPr>
        <w:t xml:space="preserve"> Exchange Act. We may continue to be a smaller reporting company even after we are no longer an emerging growth company. We may take advantage of certain of the scaled disclosures available to smaller reporting companies and will be able to take advantage </w:t>
      </w:r>
      <w:r>
        <w:rPr>
          <w:sz w:val="20"/>
          <w:szCs w:val="20"/>
        </w:rPr>
        <w:t>of these scaled disclosures for so long as (i) our voting and non-voting common stock held by non-affiliates is less than $250.0 million measured on the last business day of our second fiscal quarter or (ii) our annual revenue is less than $100.0 million d</w:t>
      </w:r>
      <w:r>
        <w:rPr>
          <w:sz w:val="20"/>
          <w:szCs w:val="20"/>
        </w:rPr>
        <w:t>uring the most recently completed fiscal year and our voting and non-voting common stock held by non-affiliates is less than $700.0 million measured on the last business day of our second fiscal quarter</w:t>
      </w:r>
      <w:r>
        <w:rPr>
          <w:sz w:val="20"/>
          <w:szCs w:val="20"/>
        </w:rPr>
        <w:t>.</w:t>
      </w:r>
    </w:p>
    <w:p w:rsidR="00000000" w:rsidRDefault="00F83A7A">
      <w:pPr>
        <w:pStyle w:val="a3"/>
        <w:spacing w:before="0" w:beforeAutospacing="0" w:after="0" w:afterAutospacing="0"/>
        <w:ind w:firstLine="555"/>
        <w:jc w:val="both"/>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6</w:t>
      </w:r>
      <w:r>
        <w:rPr>
          <w:sz w:val="20"/>
          <w:szCs w:val="20"/>
        </w:rPr>
        <w:t>2</w:t>
      </w:r>
    </w:p>
    <w:p w:rsidR="00000000" w:rsidRDefault="00F83A7A">
      <w:pPr>
        <w:rPr>
          <w:rFonts w:eastAsia="Times New Roman"/>
        </w:rPr>
      </w:pPr>
      <w:r>
        <w:rPr>
          <w:rFonts w:eastAsia="Times New Roman"/>
        </w:rPr>
        <w:pict>
          <v:rect id="_x0000_i1090"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both"/>
        <w:rPr>
          <w:sz w:val="20"/>
          <w:szCs w:val="20"/>
        </w:rPr>
      </w:pPr>
      <w:r>
        <w:rPr>
          <w:b/>
          <w:bCs/>
          <w:sz w:val="20"/>
          <w:szCs w:val="20"/>
        </w:rPr>
        <w:t>Item 7</w:t>
      </w:r>
      <w:r>
        <w:rPr>
          <w:b/>
          <w:bCs/>
          <w:sz w:val="20"/>
          <w:szCs w:val="20"/>
        </w:rPr>
        <w:t>A</w:t>
      </w:r>
      <w:r>
        <w:rPr>
          <w:b/>
          <w:bCs/>
          <w:i/>
          <w:iCs/>
          <w:sz w:val="20"/>
          <w:szCs w:val="20"/>
        </w:rPr>
        <w:t>. Quantitative and Qualita</w:t>
      </w:r>
      <w:r>
        <w:rPr>
          <w:b/>
          <w:bCs/>
          <w:i/>
          <w:iCs/>
          <w:sz w:val="20"/>
          <w:szCs w:val="20"/>
        </w:rPr>
        <w:t>t</w:t>
      </w:r>
      <w:r>
        <w:rPr>
          <w:b/>
          <w:bCs/>
          <w:i/>
          <w:iCs/>
          <w:sz w:val="20"/>
          <w:szCs w:val="20"/>
        </w:rPr>
        <w:t>ive Disclosures About Market Risk</w:t>
      </w:r>
      <w:r>
        <w:rPr>
          <w:b/>
          <w:bCs/>
          <w:i/>
          <w:iCs/>
          <w:sz w:val="20"/>
          <w:szCs w:val="20"/>
        </w:rPr>
        <w:t>.</w:t>
      </w:r>
    </w:p>
    <w:p w:rsidR="00000000" w:rsidRDefault="00F83A7A">
      <w:pPr>
        <w:pStyle w:val="a3"/>
        <w:spacing w:before="200" w:beforeAutospacing="0" w:after="0" w:afterAutospacing="0"/>
        <w:ind w:firstLine="555"/>
        <w:jc w:val="both"/>
        <w:rPr>
          <w:sz w:val="20"/>
          <w:szCs w:val="20"/>
        </w:rPr>
      </w:pPr>
      <w:r>
        <w:rPr>
          <w:sz w:val="20"/>
          <w:szCs w:val="20"/>
        </w:rPr>
        <w:t>The primary objectives of our investment activities are to ensure liquidity and to preserve capital. As of December 31, 2021, we had cash and cash eq</w:t>
      </w:r>
      <w:r>
        <w:rPr>
          <w:sz w:val="20"/>
          <w:szCs w:val="20"/>
        </w:rPr>
        <w:t>uivalents of $187.8 million that were held in an interest-bearing money market account. Our primary exposure to market risk is interest rate sensitivity, which is affected by changes in the general level of U.S. interest rates. Due to the short-term maturi</w:t>
      </w:r>
      <w:r>
        <w:rPr>
          <w:sz w:val="20"/>
          <w:szCs w:val="20"/>
        </w:rPr>
        <w:t>ties of our cash equivalents and the low risk profile of our investments, an immediate 100 basis point change in interest rates would not have a material effect on the fair market value of our cash equivalents. To minimize the risk in the future, we intend</w:t>
      </w:r>
      <w:r>
        <w:rPr>
          <w:sz w:val="20"/>
          <w:szCs w:val="20"/>
        </w:rPr>
        <w:t xml:space="preserve"> to maintain our portfolio of cash equivalents in institutional market funds that are comprised of U.S. Treasury and U.S. Treasury-backed repurchase agreements</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Item 8</w:t>
      </w:r>
      <w:r>
        <w:rPr>
          <w:b/>
          <w:bCs/>
          <w:sz w:val="20"/>
          <w:szCs w:val="20"/>
        </w:rPr>
        <w:t>.</w:t>
      </w:r>
      <w:r>
        <w:rPr>
          <w:sz w:val="20"/>
          <w:szCs w:val="20"/>
        </w:rPr>
        <w:t xml:space="preserve"> </w:t>
      </w:r>
      <w:r>
        <w:rPr>
          <w:b/>
          <w:bCs/>
          <w:sz w:val="20"/>
          <w:szCs w:val="20"/>
        </w:rPr>
        <w:t>Financial Stateme</w:t>
      </w:r>
      <w:r>
        <w:rPr>
          <w:b/>
          <w:bCs/>
          <w:sz w:val="20"/>
          <w:szCs w:val="20"/>
        </w:rPr>
        <w:t>n</w:t>
      </w:r>
      <w:r>
        <w:rPr>
          <w:b/>
          <w:bCs/>
          <w:sz w:val="20"/>
          <w:szCs w:val="20"/>
        </w:rPr>
        <w:t>ts and Supplementary Dat</w:t>
      </w:r>
      <w:r>
        <w:rPr>
          <w:b/>
          <w:bCs/>
          <w:sz w:val="20"/>
          <w:szCs w:val="20"/>
        </w:rPr>
        <w:t>a</w:t>
      </w:r>
    </w:p>
    <w:p w:rsidR="00000000" w:rsidRDefault="00F83A7A">
      <w:pPr>
        <w:pStyle w:val="a3"/>
        <w:spacing w:before="200" w:beforeAutospacing="0" w:after="0" w:afterAutospacing="0"/>
        <w:ind w:firstLine="555"/>
        <w:jc w:val="both"/>
        <w:rPr>
          <w:sz w:val="20"/>
          <w:szCs w:val="20"/>
        </w:rPr>
      </w:pPr>
      <w:r>
        <w:rPr>
          <w:sz w:val="20"/>
          <w:szCs w:val="20"/>
        </w:rPr>
        <w:t>Our financial statements, together with the report of our independent registered public accounting firm, appear in this Annual Report on Form 10-K beginning on page F-1</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 xml:space="preserve">Item </w:t>
      </w:r>
      <w:r>
        <w:rPr>
          <w:b/>
          <w:bCs/>
          <w:sz w:val="20"/>
          <w:szCs w:val="20"/>
        </w:rPr>
        <w:t>9</w:t>
      </w:r>
      <w:r>
        <w:rPr>
          <w:sz w:val="20"/>
          <w:szCs w:val="20"/>
        </w:rPr>
        <w:t>.</w:t>
      </w:r>
      <w:r>
        <w:t xml:space="preserve"> </w:t>
      </w:r>
      <w:r>
        <w:rPr>
          <w:b/>
          <w:bCs/>
          <w:sz w:val="20"/>
          <w:szCs w:val="20"/>
        </w:rPr>
        <w:t>Changes in and Disagreements with Acc</w:t>
      </w:r>
      <w:r>
        <w:rPr>
          <w:b/>
          <w:bCs/>
          <w:sz w:val="20"/>
          <w:szCs w:val="20"/>
        </w:rPr>
        <w:t>o</w:t>
      </w:r>
      <w:r>
        <w:rPr>
          <w:b/>
          <w:bCs/>
          <w:sz w:val="20"/>
          <w:szCs w:val="20"/>
        </w:rPr>
        <w:t>untants on Accounting and Financial Disc</w:t>
      </w:r>
      <w:r>
        <w:rPr>
          <w:b/>
          <w:bCs/>
          <w:sz w:val="20"/>
          <w:szCs w:val="20"/>
        </w:rPr>
        <w:t>losur</w:t>
      </w:r>
      <w:r>
        <w:rPr>
          <w:b/>
          <w:bCs/>
          <w:sz w:val="20"/>
          <w:szCs w:val="20"/>
        </w:rPr>
        <w:t>e</w:t>
      </w:r>
    </w:p>
    <w:p w:rsidR="00000000" w:rsidRDefault="00F83A7A">
      <w:pPr>
        <w:pStyle w:val="a3"/>
        <w:spacing w:before="200" w:beforeAutospacing="0" w:after="0" w:afterAutospacing="0"/>
        <w:ind w:firstLine="555"/>
        <w:jc w:val="both"/>
        <w:rPr>
          <w:sz w:val="20"/>
          <w:szCs w:val="20"/>
        </w:rPr>
      </w:pPr>
      <w:r>
        <w:rPr>
          <w:sz w:val="20"/>
          <w:szCs w:val="20"/>
        </w:rPr>
        <w:t>None</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Item 9A. Contro</w:t>
      </w:r>
      <w:r>
        <w:rPr>
          <w:b/>
          <w:bCs/>
          <w:sz w:val="20"/>
          <w:szCs w:val="20"/>
        </w:rPr>
        <w:t>l</w:t>
      </w:r>
      <w:r>
        <w:rPr>
          <w:b/>
          <w:bCs/>
          <w:sz w:val="20"/>
          <w:szCs w:val="20"/>
        </w:rPr>
        <w:t>s and Procedure</w:t>
      </w:r>
      <w:r>
        <w:rPr>
          <w:b/>
          <w:bCs/>
          <w:sz w:val="20"/>
          <w:szCs w:val="20"/>
        </w:rPr>
        <w:t>s</w:t>
      </w:r>
    </w:p>
    <w:p w:rsidR="00000000" w:rsidRDefault="00F83A7A">
      <w:pPr>
        <w:pStyle w:val="a3"/>
        <w:spacing w:before="200" w:beforeAutospacing="0" w:after="0" w:afterAutospacing="0"/>
        <w:ind w:left="238"/>
        <w:jc w:val="both"/>
        <w:rPr>
          <w:sz w:val="20"/>
          <w:szCs w:val="20"/>
        </w:rPr>
      </w:pPr>
      <w:r>
        <w:rPr>
          <w:b/>
          <w:bCs/>
          <w:i/>
          <w:iCs/>
          <w:sz w:val="20"/>
          <w:szCs w:val="20"/>
        </w:rPr>
        <w:t>Management’s Evaluation of our Disclosure Controls and Procedure</w:t>
      </w:r>
      <w:r>
        <w:rPr>
          <w:b/>
          <w:bCs/>
          <w:i/>
          <w:i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We maintain disclosure controls and procedures that are designed to ensure that information required to be disclosed in the reports that we file</w:t>
      </w:r>
      <w:r>
        <w:rPr>
          <w:sz w:val="20"/>
          <w:szCs w:val="20"/>
        </w:rPr>
        <w:t xml:space="preserve"> or submit under the Securities Exchange Act of 1934, as amended (the “Exchange Act”) is (1) recorded, processed, summarized, and reported within the time periods specified in the SEC’s rules and forms and (2) accumulated and communicated to our management</w:t>
      </w:r>
      <w:r>
        <w:rPr>
          <w:sz w:val="20"/>
          <w:szCs w:val="20"/>
        </w:rPr>
        <w:t>, including our principal executive officer and principal financial officer, to allow timely decisions regarding required disclosure</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As of December 31, 2021, our management, with the participation of our principal executive officer and principal financial</w:t>
      </w:r>
      <w:r>
        <w:rPr>
          <w:sz w:val="20"/>
          <w:szCs w:val="20"/>
        </w:rPr>
        <w:t xml:space="preserve"> officer, evaluated the effectiveness of our disclosure controls and procedures (as defined in Rules 13a-15(e) and 15d-15(e) under the Exchange Act). Our management recognizes that any controls and procedures, no matter how well designed and operated, can </w:t>
      </w:r>
      <w:r>
        <w:rPr>
          <w:sz w:val="20"/>
          <w:szCs w:val="20"/>
        </w:rPr>
        <w:t>provide only reasonable assurance of achieving their objectives, and management necessarily applies its judgment in evaluating the cost-benefit relationship of possible controls and procedures. Our principal executive officer and principal financial office</w:t>
      </w:r>
      <w:r>
        <w:rPr>
          <w:sz w:val="20"/>
          <w:szCs w:val="20"/>
        </w:rPr>
        <w:t>r have concluded based upon the evaluation described above that, as of December 31, 2021 our disclosure controls and procedures were effective at the reasonable assurance level</w:t>
      </w:r>
      <w:r>
        <w:rPr>
          <w:sz w:val="20"/>
          <w:szCs w:val="20"/>
        </w:rPr>
        <w:t>.</w:t>
      </w:r>
    </w:p>
    <w:p w:rsidR="00000000" w:rsidRDefault="00F83A7A">
      <w:pPr>
        <w:pStyle w:val="a3"/>
        <w:spacing w:before="200" w:beforeAutospacing="0" w:after="0" w:afterAutospacing="0"/>
        <w:ind w:left="238"/>
        <w:jc w:val="both"/>
        <w:rPr>
          <w:sz w:val="20"/>
          <w:szCs w:val="20"/>
        </w:rPr>
      </w:pPr>
      <w:r>
        <w:rPr>
          <w:b/>
          <w:bCs/>
          <w:i/>
          <w:iCs/>
          <w:sz w:val="20"/>
          <w:szCs w:val="20"/>
        </w:rPr>
        <w:t>Management’s Annual Report on Internal Control over Financial Reportin</w:t>
      </w:r>
      <w:r>
        <w:rPr>
          <w:b/>
          <w:bCs/>
          <w:i/>
          <w:iCs/>
          <w:sz w:val="20"/>
          <w:szCs w:val="20"/>
        </w:rPr>
        <w:t>g</w:t>
      </w:r>
    </w:p>
    <w:p w:rsidR="00000000" w:rsidRDefault="00F83A7A">
      <w:pPr>
        <w:pStyle w:val="a3"/>
        <w:spacing w:before="200" w:beforeAutospacing="0" w:after="0" w:afterAutospacing="0"/>
        <w:ind w:firstLine="555"/>
        <w:jc w:val="both"/>
        <w:rPr>
          <w:sz w:val="20"/>
          <w:szCs w:val="20"/>
        </w:rPr>
      </w:pPr>
      <w:r>
        <w:rPr>
          <w:sz w:val="20"/>
          <w:szCs w:val="20"/>
        </w:rPr>
        <w:t>Our ma</w:t>
      </w:r>
      <w:r>
        <w:rPr>
          <w:sz w:val="20"/>
          <w:szCs w:val="20"/>
        </w:rPr>
        <w:t>nagement is responsible for establishing and maintaining adequate internal control over financial reporting, as defined in Rules 13a-15(f) and 15d-15(f) of the Exchange Act. Our management, under the supervision and with the participation of our Chief Exec</w:t>
      </w:r>
      <w:r>
        <w:rPr>
          <w:sz w:val="20"/>
          <w:szCs w:val="20"/>
        </w:rPr>
        <w:t>utive Officer and Principal Financial and Accounting Officer, conducted an evaluation of the effectiveness of our internal control over financial reporting as of December 31, 2021 based on the framework in Internal Control-Integrated Framework issued by th</w:t>
      </w:r>
      <w:r>
        <w:rPr>
          <w:sz w:val="20"/>
          <w:szCs w:val="20"/>
        </w:rPr>
        <w:t>e Committee of Sponsoring Organizations of the Treadway Commission (2013 Framework). Based on the results of its evaluation, management concluded that our internal control over financial reporting was effective as of December 31, 2021</w:t>
      </w:r>
      <w:r>
        <w:rPr>
          <w:sz w:val="20"/>
          <w:szCs w:val="20"/>
        </w:rPr>
        <w:t>.</w:t>
      </w:r>
    </w:p>
    <w:p w:rsidR="00000000" w:rsidRDefault="00F83A7A">
      <w:pPr>
        <w:pStyle w:val="a3"/>
        <w:spacing w:before="200" w:beforeAutospacing="0" w:after="0" w:afterAutospacing="0"/>
        <w:ind w:left="238"/>
        <w:jc w:val="both"/>
        <w:rPr>
          <w:sz w:val="20"/>
          <w:szCs w:val="20"/>
        </w:rPr>
      </w:pPr>
      <w:r>
        <w:rPr>
          <w:b/>
          <w:bCs/>
          <w:i/>
          <w:iCs/>
          <w:sz w:val="20"/>
          <w:szCs w:val="20"/>
        </w:rPr>
        <w:t>Attestation Report o</w:t>
      </w:r>
      <w:r>
        <w:rPr>
          <w:b/>
          <w:bCs/>
          <w:i/>
          <w:iCs/>
          <w:sz w:val="20"/>
          <w:szCs w:val="20"/>
        </w:rPr>
        <w:t>f the Registered Public Accounting Fir</w:t>
      </w:r>
      <w:r>
        <w:rPr>
          <w:b/>
          <w:bCs/>
          <w:i/>
          <w:iCs/>
          <w:sz w:val="20"/>
          <w:szCs w:val="20"/>
        </w:rPr>
        <w:t>m</w:t>
      </w:r>
    </w:p>
    <w:p w:rsidR="00000000" w:rsidRDefault="00F83A7A">
      <w:pPr>
        <w:pStyle w:val="a3"/>
        <w:spacing w:before="120" w:beforeAutospacing="0" w:after="0" w:afterAutospacing="0"/>
        <w:ind w:firstLine="555"/>
        <w:jc w:val="both"/>
        <w:rPr>
          <w:sz w:val="20"/>
          <w:szCs w:val="20"/>
        </w:rPr>
      </w:pPr>
      <w:r>
        <w:rPr>
          <w:sz w:val="20"/>
          <w:szCs w:val="20"/>
        </w:rPr>
        <w:t>This Annual Report on Form 10-K does not include an attestation report of our registered public accounting firm due to an exemption established by the JOBS Act for “emerging growth companies.</w:t>
      </w:r>
      <w:r>
        <w:rPr>
          <w:sz w:val="20"/>
          <w:szCs w:val="20"/>
        </w:rPr>
        <w:t>”</w:t>
      </w:r>
    </w:p>
    <w:p w:rsidR="00000000" w:rsidRDefault="00F83A7A">
      <w:pPr>
        <w:pStyle w:val="a3"/>
        <w:spacing w:before="200" w:beforeAutospacing="0" w:after="0" w:afterAutospacing="0"/>
        <w:ind w:left="238"/>
        <w:jc w:val="both"/>
        <w:rPr>
          <w:sz w:val="20"/>
          <w:szCs w:val="20"/>
        </w:rPr>
      </w:pPr>
      <w:r>
        <w:rPr>
          <w:b/>
          <w:bCs/>
          <w:i/>
          <w:iCs/>
          <w:sz w:val="20"/>
          <w:szCs w:val="20"/>
        </w:rPr>
        <w:t>Changes in Internal Control over Financial Reportin</w:t>
      </w:r>
      <w:r>
        <w:rPr>
          <w:b/>
          <w:bCs/>
          <w:i/>
          <w:iCs/>
          <w:sz w:val="20"/>
          <w:szCs w:val="20"/>
        </w:rPr>
        <w:t>g</w:t>
      </w:r>
    </w:p>
    <w:p w:rsidR="00000000" w:rsidRDefault="00F83A7A">
      <w:pPr>
        <w:pStyle w:val="a3"/>
        <w:spacing w:before="264" w:beforeAutospacing="0" w:after="0" w:afterAutospacing="0"/>
        <w:ind w:firstLine="599"/>
        <w:jc w:val="both"/>
        <w:rPr>
          <w:sz w:val="20"/>
          <w:szCs w:val="20"/>
        </w:rPr>
      </w:pPr>
      <w:r>
        <w:rPr>
          <w:sz w:val="20"/>
          <w:szCs w:val="20"/>
        </w:rPr>
        <w:t>There have been no changes in our internal control over financial reporting during our most recent quarter ended December 31, 2021 that materially affected, or are reasonably likely to materially affect,</w:t>
      </w:r>
      <w:r>
        <w:rPr>
          <w:sz w:val="20"/>
          <w:szCs w:val="20"/>
        </w:rPr>
        <w:t xml:space="preserve"> our internal control over financial reporting</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Item 9B. Oth</w:t>
      </w:r>
      <w:r>
        <w:rPr>
          <w:b/>
          <w:bCs/>
          <w:sz w:val="20"/>
          <w:szCs w:val="20"/>
        </w:rPr>
        <w:t>e</w:t>
      </w:r>
      <w:r>
        <w:rPr>
          <w:b/>
          <w:bCs/>
          <w:sz w:val="20"/>
          <w:szCs w:val="20"/>
        </w:rPr>
        <w:t>r Informatio</w:t>
      </w:r>
      <w:r>
        <w:rPr>
          <w:b/>
          <w:bCs/>
          <w:sz w:val="20"/>
          <w:szCs w:val="20"/>
        </w:rPr>
        <w:t>n</w:t>
      </w:r>
    </w:p>
    <w:p w:rsidR="00000000" w:rsidRDefault="00F83A7A">
      <w:pPr>
        <w:pStyle w:val="a3"/>
        <w:spacing w:before="200" w:beforeAutospacing="0" w:after="0" w:afterAutospacing="0"/>
        <w:ind w:firstLine="555"/>
        <w:jc w:val="both"/>
        <w:rPr>
          <w:sz w:val="20"/>
          <w:szCs w:val="20"/>
        </w:rPr>
      </w:pPr>
      <w:r>
        <w:rPr>
          <w:sz w:val="20"/>
          <w:szCs w:val="20"/>
        </w:rPr>
        <w:t>None</w:t>
      </w:r>
      <w:r>
        <w:rPr>
          <w:sz w:val="20"/>
          <w:szCs w:val="20"/>
        </w:rPr>
        <w:t>.</w:t>
      </w:r>
    </w:p>
    <w:p w:rsidR="00000000" w:rsidRDefault="00F83A7A">
      <w:pPr>
        <w:pStyle w:val="a3"/>
        <w:spacing w:before="0" w:beforeAutospacing="0" w:after="0" w:afterAutospacing="0"/>
        <w:rPr>
          <w:sz w:val="20"/>
          <w:szCs w:val="20"/>
        </w:rPr>
      </w:pPr>
      <w:r>
        <w:rPr>
          <w:b/>
          <w:bCs/>
          <w:sz w:val="20"/>
          <w:szCs w:val="20"/>
        </w:rPr>
        <w:t>Item 9C. Disclosure Regarding Foreign Jurisdictions that Prevent Inspection</w:t>
      </w:r>
      <w:r>
        <w:rPr>
          <w:b/>
          <w:bCs/>
          <w:sz w:val="20"/>
          <w:szCs w:val="20"/>
        </w:rPr>
        <w:t>s</w:t>
      </w:r>
    </w:p>
    <w:p w:rsidR="00000000" w:rsidRDefault="00F83A7A">
      <w:pPr>
        <w:pStyle w:val="a3"/>
        <w:spacing w:before="200" w:beforeAutospacing="0" w:after="0" w:afterAutospacing="0"/>
        <w:ind w:left="476"/>
        <w:rPr>
          <w:sz w:val="20"/>
          <w:szCs w:val="20"/>
        </w:rPr>
      </w:pPr>
      <w:r>
        <w:rPr>
          <w:sz w:val="20"/>
          <w:szCs w:val="20"/>
        </w:rPr>
        <w:t>Not Applicable</w:t>
      </w:r>
      <w:r>
        <w:rPr>
          <w:sz w:val="20"/>
          <w:szCs w:val="20"/>
        </w:rPr>
        <w:t>.</w:t>
      </w:r>
    </w:p>
    <w:p w:rsidR="00000000" w:rsidRDefault="00F83A7A">
      <w:pPr>
        <w:pStyle w:val="a3"/>
        <w:spacing w:before="240" w:beforeAutospacing="0" w:after="0" w:afterAutospacing="0"/>
        <w:jc w:val="center"/>
        <w:rPr>
          <w:sz w:val="20"/>
          <w:szCs w:val="20"/>
        </w:rPr>
      </w:pPr>
      <w:r>
        <w:rPr>
          <w:sz w:val="20"/>
          <w:szCs w:val="20"/>
        </w:rPr>
        <w:t>6</w:t>
      </w:r>
      <w:r>
        <w:rPr>
          <w:sz w:val="20"/>
          <w:szCs w:val="20"/>
        </w:rPr>
        <w:t>3</w:t>
      </w:r>
    </w:p>
    <w:p w:rsidR="00000000" w:rsidRDefault="00F83A7A">
      <w:pPr>
        <w:rPr>
          <w:rFonts w:eastAsia="Times New Roman"/>
        </w:rPr>
      </w:pPr>
      <w:r>
        <w:rPr>
          <w:rFonts w:eastAsia="Times New Roman"/>
        </w:rPr>
        <w:pict>
          <v:rect id="_x0000_i1091"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II</w:t>
      </w:r>
      <w:r>
        <w:rPr>
          <w:b/>
          <w:bCs/>
          <w:sz w:val="20"/>
          <w:szCs w:val="20"/>
        </w:rPr>
        <w:t>I</w:t>
      </w:r>
    </w:p>
    <w:p w:rsidR="00000000" w:rsidRDefault="00F83A7A">
      <w:pPr>
        <w:pStyle w:val="a3"/>
        <w:spacing w:before="200" w:beforeAutospacing="0" w:after="0" w:afterAutospacing="0"/>
        <w:jc w:val="both"/>
        <w:rPr>
          <w:sz w:val="20"/>
          <w:szCs w:val="20"/>
        </w:rPr>
      </w:pPr>
      <w:r>
        <w:rPr>
          <w:b/>
          <w:bCs/>
          <w:sz w:val="20"/>
          <w:szCs w:val="20"/>
        </w:rPr>
        <w:t>Item 10. Directors, Executive O</w:t>
      </w:r>
      <w:r>
        <w:rPr>
          <w:b/>
          <w:bCs/>
          <w:sz w:val="20"/>
          <w:szCs w:val="20"/>
        </w:rPr>
        <w:t>f</w:t>
      </w:r>
      <w:r>
        <w:rPr>
          <w:b/>
          <w:bCs/>
          <w:sz w:val="20"/>
          <w:szCs w:val="20"/>
        </w:rPr>
        <w:t>ficers, and Corporate Governanc</w:t>
      </w:r>
      <w:r>
        <w:rPr>
          <w:b/>
          <w:bCs/>
          <w:sz w:val="20"/>
          <w:szCs w:val="20"/>
        </w:rPr>
        <w:t>e</w:t>
      </w:r>
    </w:p>
    <w:p w:rsidR="00000000" w:rsidRDefault="00F83A7A">
      <w:pPr>
        <w:pStyle w:val="a3"/>
        <w:spacing w:before="200" w:beforeAutospacing="0" w:after="0" w:afterAutospacing="0"/>
        <w:ind w:firstLine="555"/>
        <w:jc w:val="both"/>
        <w:rPr>
          <w:sz w:val="20"/>
          <w:szCs w:val="20"/>
        </w:rPr>
      </w:pPr>
      <w:r>
        <w:rPr>
          <w:sz w:val="20"/>
          <w:szCs w:val="20"/>
        </w:rPr>
        <w:t>The information required by this item is incorporated by reference to the information set forth in the sections titled “Proposal 1 – Election of Directors,” “Executive Officers,” and “Information Regarding the Board and Co</w:t>
      </w:r>
      <w:r>
        <w:rPr>
          <w:sz w:val="20"/>
          <w:szCs w:val="20"/>
        </w:rPr>
        <w:t>rporate Governance” and “Delinquent Section 16(a) Reports,” if any, in our 2022 Proxy Statement</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Item 11. Execut</w:t>
      </w:r>
      <w:r>
        <w:rPr>
          <w:b/>
          <w:bCs/>
          <w:sz w:val="20"/>
          <w:szCs w:val="20"/>
        </w:rPr>
        <w:t>i</w:t>
      </w:r>
      <w:r>
        <w:rPr>
          <w:b/>
          <w:bCs/>
          <w:sz w:val="20"/>
          <w:szCs w:val="20"/>
        </w:rPr>
        <w:t>ve Compensatio</w:t>
      </w:r>
      <w:r>
        <w:rPr>
          <w:b/>
          <w:bCs/>
          <w:sz w:val="20"/>
          <w:szCs w:val="20"/>
        </w:rPr>
        <w:t>n</w:t>
      </w:r>
    </w:p>
    <w:p w:rsidR="00000000" w:rsidRDefault="00F83A7A">
      <w:pPr>
        <w:pStyle w:val="a3"/>
        <w:spacing w:before="200" w:beforeAutospacing="0" w:after="0" w:afterAutospacing="0"/>
        <w:ind w:firstLine="555"/>
        <w:jc w:val="both"/>
        <w:rPr>
          <w:sz w:val="20"/>
          <w:szCs w:val="20"/>
        </w:rPr>
      </w:pPr>
      <w:r>
        <w:rPr>
          <w:sz w:val="20"/>
          <w:szCs w:val="20"/>
        </w:rPr>
        <w:t>The information required by this item is incorporated by reference to the information set forth in the section titled “Executive Officer and Director Compensation” in our 2022 Proxy Statement</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 xml:space="preserve">Item 12. Security Ownership of Certain Beneficial </w:t>
      </w:r>
      <w:r>
        <w:rPr>
          <w:b/>
          <w:bCs/>
          <w:sz w:val="20"/>
          <w:szCs w:val="20"/>
        </w:rPr>
        <w:t>O</w:t>
      </w:r>
      <w:r>
        <w:rPr>
          <w:b/>
          <w:bCs/>
          <w:sz w:val="20"/>
          <w:szCs w:val="20"/>
        </w:rPr>
        <w:t>wners and Ma</w:t>
      </w:r>
      <w:r>
        <w:rPr>
          <w:b/>
          <w:bCs/>
          <w:sz w:val="20"/>
          <w:szCs w:val="20"/>
        </w:rPr>
        <w:t>nagement and Related Stockholder Matter</w:t>
      </w:r>
      <w:r>
        <w:rPr>
          <w:b/>
          <w:b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The information required by this item is incorporated by reference to the information set forth in the section titled “Security Ownership of Certain Beneficial Owners and Management and “Equity Compensation Plan Inf</w:t>
      </w:r>
      <w:r>
        <w:rPr>
          <w:sz w:val="20"/>
          <w:szCs w:val="20"/>
        </w:rPr>
        <w:t>ormation” in our 2022 Proxy Statement</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Item 13. Certain Relationships and Relat</w:t>
      </w:r>
      <w:r>
        <w:rPr>
          <w:b/>
          <w:bCs/>
          <w:sz w:val="20"/>
          <w:szCs w:val="20"/>
        </w:rPr>
        <w:t>e</w:t>
      </w:r>
      <w:r>
        <w:rPr>
          <w:b/>
          <w:bCs/>
          <w:sz w:val="20"/>
          <w:szCs w:val="20"/>
        </w:rPr>
        <w:t>d Transactions and Director Independenc</w:t>
      </w:r>
      <w:r>
        <w:rPr>
          <w:b/>
          <w:bCs/>
          <w:sz w:val="20"/>
          <w:szCs w:val="20"/>
        </w:rPr>
        <w:t>e</w:t>
      </w:r>
    </w:p>
    <w:p w:rsidR="00000000" w:rsidRDefault="00F83A7A">
      <w:pPr>
        <w:pStyle w:val="a3"/>
        <w:spacing w:before="200" w:beforeAutospacing="0" w:after="0" w:afterAutospacing="0"/>
        <w:ind w:firstLine="555"/>
        <w:jc w:val="both"/>
        <w:rPr>
          <w:sz w:val="20"/>
          <w:szCs w:val="20"/>
        </w:rPr>
      </w:pPr>
      <w:r>
        <w:rPr>
          <w:sz w:val="20"/>
          <w:szCs w:val="20"/>
        </w:rPr>
        <w:t>The information required by this item is incorporated by reference to the information set forth in the section titled “Transactions wit</w:t>
      </w:r>
      <w:r>
        <w:rPr>
          <w:sz w:val="20"/>
          <w:szCs w:val="20"/>
        </w:rPr>
        <w:t>h Related Persons” and “Information Regarding the Board and Corporate Governance – Board Independence” in our 2022 Proxy Statement</w:t>
      </w:r>
      <w:r>
        <w:rPr>
          <w:sz w:val="20"/>
          <w:szCs w:val="20"/>
        </w:rPr>
        <w:t>.</w:t>
      </w:r>
    </w:p>
    <w:p w:rsidR="00000000" w:rsidRDefault="00F83A7A">
      <w:pPr>
        <w:pStyle w:val="a3"/>
        <w:spacing w:before="200" w:beforeAutospacing="0" w:after="0" w:afterAutospacing="0"/>
        <w:jc w:val="both"/>
        <w:rPr>
          <w:sz w:val="20"/>
          <w:szCs w:val="20"/>
        </w:rPr>
      </w:pPr>
      <w:r>
        <w:rPr>
          <w:b/>
          <w:bCs/>
          <w:sz w:val="20"/>
          <w:szCs w:val="20"/>
        </w:rPr>
        <w:t>Item 14. Principal Acc</w:t>
      </w:r>
      <w:r>
        <w:rPr>
          <w:b/>
          <w:bCs/>
          <w:sz w:val="20"/>
          <w:szCs w:val="20"/>
        </w:rPr>
        <w:t>o</w:t>
      </w:r>
      <w:r>
        <w:rPr>
          <w:b/>
          <w:bCs/>
          <w:sz w:val="20"/>
          <w:szCs w:val="20"/>
        </w:rPr>
        <w:t>untant Fees and Service</w:t>
      </w:r>
      <w:r>
        <w:rPr>
          <w:b/>
          <w:b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The information required by this item is incorporated by reference to the in</w:t>
      </w:r>
      <w:r>
        <w:rPr>
          <w:sz w:val="20"/>
          <w:szCs w:val="20"/>
        </w:rPr>
        <w:t>formation set forth in the section titled “Independent Registered Public Accounting Firm Fees” and “Pre-Approval Policies and Procedures” contained in our 2022 Proxy Statement</w:t>
      </w:r>
      <w:r>
        <w:rPr>
          <w:sz w:val="20"/>
          <w:szCs w:val="20"/>
        </w:rPr>
        <w:t>.</w:t>
      </w:r>
    </w:p>
    <w:p w:rsidR="00000000" w:rsidRDefault="00F83A7A">
      <w:pPr>
        <w:pStyle w:val="a3"/>
        <w:spacing w:before="240" w:beforeAutospacing="0" w:after="0" w:afterAutospacing="0"/>
        <w:jc w:val="center"/>
        <w:rPr>
          <w:sz w:val="20"/>
          <w:szCs w:val="20"/>
        </w:rPr>
      </w:pPr>
      <w:r>
        <w:rPr>
          <w:sz w:val="20"/>
          <w:szCs w:val="20"/>
        </w:rPr>
        <w:t>6</w:t>
      </w:r>
      <w:r>
        <w:rPr>
          <w:sz w:val="20"/>
          <w:szCs w:val="20"/>
        </w:rPr>
        <w:t>4</w:t>
      </w:r>
    </w:p>
    <w:p w:rsidR="00000000" w:rsidRDefault="00F83A7A">
      <w:pPr>
        <w:rPr>
          <w:rFonts w:eastAsia="Times New Roman"/>
        </w:rPr>
      </w:pPr>
      <w:r>
        <w:rPr>
          <w:rFonts w:eastAsia="Times New Roman"/>
        </w:rPr>
        <w:pict>
          <v:rect id="_x0000_i1092"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center"/>
        <w:rPr>
          <w:sz w:val="20"/>
          <w:szCs w:val="20"/>
        </w:rPr>
      </w:pPr>
      <w:r>
        <w:rPr>
          <w:b/>
          <w:bCs/>
          <w:sz w:val="20"/>
          <w:szCs w:val="20"/>
        </w:rPr>
        <w:t>PA</w:t>
      </w:r>
      <w:r>
        <w:rPr>
          <w:b/>
          <w:bCs/>
          <w:sz w:val="20"/>
          <w:szCs w:val="20"/>
        </w:rPr>
        <w:t>R</w:t>
      </w:r>
      <w:r>
        <w:rPr>
          <w:b/>
          <w:bCs/>
          <w:sz w:val="20"/>
          <w:szCs w:val="20"/>
        </w:rPr>
        <w:t>T I</w:t>
      </w:r>
      <w:r>
        <w:rPr>
          <w:b/>
          <w:bCs/>
          <w:sz w:val="20"/>
          <w:szCs w:val="20"/>
        </w:rPr>
        <w:t>V</w:t>
      </w:r>
    </w:p>
    <w:p w:rsidR="00000000" w:rsidRDefault="00F83A7A">
      <w:pPr>
        <w:pStyle w:val="a3"/>
        <w:spacing w:before="200" w:beforeAutospacing="0" w:after="0" w:afterAutospacing="0"/>
        <w:jc w:val="both"/>
        <w:rPr>
          <w:sz w:val="20"/>
          <w:szCs w:val="20"/>
        </w:rPr>
      </w:pPr>
      <w:r>
        <w:rPr>
          <w:b/>
          <w:bCs/>
          <w:sz w:val="20"/>
          <w:szCs w:val="20"/>
        </w:rPr>
        <w:t>Item 15. Exhibit and Financi</w:t>
      </w:r>
      <w:r>
        <w:rPr>
          <w:b/>
          <w:bCs/>
          <w:sz w:val="20"/>
          <w:szCs w:val="20"/>
        </w:rPr>
        <w:t>a</w:t>
      </w:r>
      <w:r>
        <w:rPr>
          <w:b/>
          <w:bCs/>
          <w:sz w:val="20"/>
          <w:szCs w:val="20"/>
        </w:rPr>
        <w:t>l</w:t>
      </w:r>
      <w:r>
        <w:rPr>
          <w:b/>
          <w:bCs/>
          <w:sz w:val="20"/>
          <w:szCs w:val="20"/>
        </w:rPr>
        <w:t xml:space="preserve"> Statements and Schedule</w:t>
      </w:r>
      <w:r>
        <w:rPr>
          <w:b/>
          <w:bCs/>
          <w:sz w:val="20"/>
          <w:szCs w:val="20"/>
        </w:rPr>
        <w:t>s</w:t>
      </w:r>
    </w:p>
    <w:p w:rsidR="00000000" w:rsidRDefault="00F83A7A">
      <w:pPr>
        <w:pStyle w:val="a3"/>
        <w:spacing w:before="200" w:beforeAutospacing="0" w:after="0" w:afterAutospacing="0"/>
        <w:jc w:val="both"/>
        <w:rPr>
          <w:sz w:val="20"/>
          <w:szCs w:val="20"/>
        </w:rPr>
      </w:pPr>
      <w:r>
        <w:rPr>
          <w:sz w:val="20"/>
          <w:szCs w:val="20"/>
        </w:rPr>
        <w:t>(a)(1) Financial Statements</w:t>
      </w:r>
      <w:r>
        <w:rPr>
          <w:sz w:val="20"/>
          <w:szCs w:val="20"/>
        </w:rPr>
        <w:t>.</w:t>
      </w:r>
    </w:p>
    <w:p w:rsidR="00000000" w:rsidRDefault="00F83A7A">
      <w:pPr>
        <w:pStyle w:val="a3"/>
        <w:spacing w:before="200" w:beforeAutospacing="0" w:after="0" w:afterAutospacing="0"/>
        <w:jc w:val="both"/>
        <w:rPr>
          <w:sz w:val="20"/>
          <w:szCs w:val="20"/>
        </w:rPr>
      </w:pPr>
      <w:r>
        <w:rPr>
          <w:sz w:val="20"/>
          <w:szCs w:val="20"/>
        </w:rPr>
        <w:t>(a)(2) Financial Statement Schedules</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All schedules have been omitted because they are not required or because the required information is given in the Financial Statements or Notes thereto</w:t>
      </w:r>
      <w:r>
        <w:rPr>
          <w:sz w:val="20"/>
          <w:szCs w:val="20"/>
        </w:rPr>
        <w:t>.</w:t>
      </w:r>
    </w:p>
    <w:p w:rsidR="00000000" w:rsidRDefault="00F83A7A">
      <w:pPr>
        <w:pStyle w:val="a3"/>
        <w:spacing w:before="200" w:beforeAutospacing="0" w:after="0" w:afterAutospacing="0"/>
        <w:jc w:val="both"/>
        <w:rPr>
          <w:sz w:val="20"/>
          <w:szCs w:val="20"/>
        </w:rPr>
      </w:pPr>
      <w:r>
        <w:rPr>
          <w:sz w:val="20"/>
          <w:szCs w:val="20"/>
        </w:rPr>
        <w:t>(a)(3) Exh</w:t>
      </w:r>
      <w:r>
        <w:rPr>
          <w:sz w:val="20"/>
          <w:szCs w:val="20"/>
        </w:rPr>
        <w:t>ibits</w:t>
      </w:r>
      <w:r>
        <w:rPr>
          <w:sz w:val="20"/>
          <w:szCs w:val="20"/>
        </w:rPr>
        <w:t>.</w:t>
      </w:r>
    </w:p>
    <w:p w:rsidR="00000000" w:rsidRDefault="00F83A7A">
      <w:pPr>
        <w:pStyle w:val="a3"/>
        <w:spacing w:before="200" w:beforeAutospacing="0" w:after="0" w:afterAutospacing="0"/>
        <w:ind w:firstLine="555"/>
        <w:jc w:val="both"/>
        <w:rPr>
          <w:sz w:val="20"/>
          <w:szCs w:val="20"/>
        </w:rPr>
      </w:pPr>
      <w:r>
        <w:rPr>
          <w:sz w:val="20"/>
          <w:szCs w:val="20"/>
        </w:rPr>
        <w:t>The exhibits listed below are filed as part of this Annual Report on Form 10-K</w:t>
      </w:r>
      <w:r>
        <w:rPr>
          <w:sz w:val="20"/>
          <w:szCs w:val="20"/>
        </w:rPr>
        <w:t>.</w:t>
      </w:r>
    </w:p>
    <w:p w:rsidR="00000000" w:rsidRDefault="00F83A7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2"/>
        <w:gridCol w:w="112"/>
        <w:gridCol w:w="7412"/>
      </w:tblGrid>
      <w:tr w:rsidR="00000000">
        <w:trPr>
          <w:tblCellSpacing w:w="15" w:type="dxa"/>
        </w:trPr>
        <w:tc>
          <w:tcPr>
            <w:tcW w:w="450" w:type="pct"/>
            <w:vAlign w:val="center"/>
            <w:hideMark/>
          </w:tcPr>
          <w:p w:rsidR="00000000" w:rsidRDefault="00F83A7A">
            <w:pPr>
              <w:rPr>
                <w:sz w:val="20"/>
                <w:szCs w:val="20"/>
              </w:rPr>
            </w:pPr>
          </w:p>
        </w:tc>
        <w:tc>
          <w:tcPr>
            <w:tcW w:w="50" w:type="pct"/>
            <w:vAlign w:val="center"/>
            <w:hideMark/>
          </w:tcPr>
          <w:p w:rsidR="00000000" w:rsidRDefault="00F83A7A">
            <w:pPr>
              <w:rPr>
                <w:rFonts w:eastAsia="Times New Roman"/>
                <w:sz w:val="20"/>
                <w:szCs w:val="20"/>
              </w:rPr>
            </w:pPr>
          </w:p>
        </w:tc>
        <w:tc>
          <w:tcPr>
            <w:tcW w:w="4500" w:type="pct"/>
            <w:vAlign w:val="center"/>
            <w:hideMark/>
          </w:tcPr>
          <w:p w:rsidR="00000000" w:rsidRDefault="00F83A7A">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6"/>
                <w:szCs w:val="16"/>
              </w:rPr>
            </w:pPr>
            <w:r>
              <w:rPr>
                <w:b/>
                <w:bCs/>
                <w:sz w:val="16"/>
                <w:szCs w:val="16"/>
              </w:rPr>
              <w:t>Numbe</w:t>
            </w:r>
            <w:r>
              <w:rPr>
                <w:b/>
                <w:bCs/>
                <w:sz w:val="16"/>
                <w:szCs w:val="16"/>
              </w:rPr>
              <w:t>r</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6"/>
                <w:szCs w:val="16"/>
              </w:rPr>
            </w:pPr>
            <w:r>
              <w:rPr>
                <w:b/>
                <w:bCs/>
                <w:sz w:val="16"/>
                <w:szCs w:val="16"/>
              </w:rPr>
              <w:t>Descriptio</w:t>
            </w:r>
            <w:r>
              <w:rPr>
                <w:b/>
                <w:bCs/>
                <w:sz w:val="16"/>
                <w:szCs w:val="16"/>
              </w:rPr>
              <w:t>n</w:t>
            </w:r>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3</w:t>
            </w:r>
            <w:r>
              <w:rPr>
                <w:sz w:val="20"/>
                <w:szCs w:val="20"/>
              </w:rPr>
              <w:t>.</w:t>
            </w:r>
            <w:r>
              <w:rPr>
                <w:sz w:val="20"/>
                <w:szCs w:val="20"/>
              </w:rPr>
              <w:t>1</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hyperlink r:id="rId6" w:history="1">
              <w:r>
                <w:rPr>
                  <w:rStyle w:val="a4"/>
                  <w:sz w:val="20"/>
                  <w:szCs w:val="20"/>
                </w:rPr>
                <w:t>Amended and Restated Certificate of Incorporation (incorporated herein by reference to Exhibit 3.1 to the Company’s Current Report on Form 8-K (File No. 001</w:t>
              </w:r>
              <w:r>
                <w:rPr>
                  <w:rStyle w:val="a4"/>
                  <w:sz w:val="20"/>
                  <w:szCs w:val="20"/>
                </w:rPr>
                <w:t>-38085), filed with the Commission on May 10,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3.</w:t>
            </w:r>
            <w:r>
              <w:rPr>
                <w:sz w:val="20"/>
                <w:szCs w:val="20"/>
              </w:rPr>
              <w:t>2</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hyperlink r:id="rId7" w:history="1">
              <w:r>
                <w:rPr>
                  <w:rStyle w:val="a4"/>
                  <w:sz w:val="20"/>
                  <w:szCs w:val="20"/>
                </w:rPr>
                <w:t xml:space="preserve">Corrected Amended and Restated Certificate of Designation of Series A Convertible Preferred Stock (incorporated herein by reference to Exhibit 3.1 to the Company’s Current Report on Form 8-K (File No. 001-38085), filed with the Commission on September 24, </w:t>
              </w:r>
              <w:r>
                <w:rPr>
                  <w:rStyle w:val="a4"/>
                  <w:sz w:val="20"/>
                  <w:szCs w:val="20"/>
                </w:rPr>
                <w:t>2019)</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3.</w:t>
            </w:r>
            <w:r>
              <w:rPr>
                <w:sz w:val="20"/>
                <w:szCs w:val="20"/>
              </w:rPr>
              <w:t>3</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hyperlink r:id="rId8" w:history="1">
              <w:r>
                <w:rPr>
                  <w:rStyle w:val="a4"/>
                  <w:sz w:val="20"/>
                  <w:szCs w:val="20"/>
                </w:rPr>
                <w:t>Amended and Restated Bylaws (incorporated herein by reference to Exhibit 3.2 to the Company’s Current Report on Form 8-K (File No. 001-</w:t>
              </w:r>
              <w:r>
                <w:rPr>
                  <w:rStyle w:val="a4"/>
                  <w:sz w:val="20"/>
                  <w:szCs w:val="20"/>
                </w:rPr>
                <w:t>38085), filed with the Commission on May 10,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4.</w:t>
            </w:r>
            <w:r>
              <w:rPr>
                <w:sz w:val="20"/>
                <w:szCs w:val="20"/>
              </w:rPr>
              <w:t>1</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hyperlink r:id="rId9" w:history="1">
              <w:r>
                <w:rPr>
                  <w:rStyle w:val="a4"/>
                  <w:sz w:val="20"/>
                  <w:szCs w:val="20"/>
                </w:rPr>
                <w:t>Form of Common Stock Certificate of the Company (incorporated herein by reference to Exhib</w:t>
              </w:r>
              <w:r>
                <w:rPr>
                  <w:rStyle w:val="a4"/>
                  <w:sz w:val="20"/>
                  <w:szCs w:val="20"/>
                </w:rPr>
                <w:t>it 4.1 to the Company’s Registration Statement on Form S-1/A (File No. 333-217245), filed with the Commission on April 25,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4.</w:t>
            </w:r>
            <w:r>
              <w:rPr>
                <w:sz w:val="20"/>
                <w:szCs w:val="20"/>
              </w:rPr>
              <w:t>2</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hyperlink r:id="rId10" w:history="1">
              <w:r>
                <w:rPr>
                  <w:rStyle w:val="a4"/>
                  <w:sz w:val="20"/>
                  <w:szCs w:val="20"/>
                </w:rPr>
                <w:t>Second Amend</w:t>
              </w:r>
              <w:r>
                <w:rPr>
                  <w:rStyle w:val="a4"/>
                  <w:sz w:val="20"/>
                  <w:szCs w:val="20"/>
                </w:rPr>
                <w:t>ed and Restated Investors’ Rights Agreement, by and among the Company and certain of its stockholders, dated January 6, 2017 (incorporated herein by reference to Exhibit 4.2 to the Company’s Registration Statement on Form S-1 (File No. 333-217245), filed w</w:t>
              </w:r>
              <w:r>
                <w:rPr>
                  <w:rStyle w:val="a4"/>
                  <w:sz w:val="20"/>
                  <w:szCs w:val="20"/>
                </w:rPr>
                <w:t>ith the Commission on April 10,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4.</w:t>
            </w:r>
            <w:r>
              <w:rPr>
                <w:sz w:val="20"/>
                <w:szCs w:val="20"/>
              </w:rPr>
              <w:t>3</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hyperlink r:id="rId11" w:history="1">
              <w:r>
                <w:rPr>
                  <w:rStyle w:val="a4"/>
                  <w:sz w:val="20"/>
                  <w:szCs w:val="20"/>
                </w:rPr>
                <w:t>Description of the Securities of Ovid Therapeutics Inc. (incorporated herein by reference to Exhibit 4.3 to the Company’s Annual Report on Form 10-K (File No. 001-38085), filed with the Commission on March 12, 2020)</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4.</w:t>
            </w:r>
            <w:r>
              <w:rPr>
                <w:sz w:val="20"/>
                <w:szCs w:val="20"/>
              </w:rPr>
              <w:t>4</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hyperlink r:id="rId12" w:history="1">
              <w:r>
                <w:rPr>
                  <w:rStyle w:val="a4"/>
                  <w:sz w:val="20"/>
                  <w:szCs w:val="20"/>
                </w:rPr>
                <w:t>Form of Series A Preferred Stock Certificate (incorporated herein by reference to Exhibit 4.1 to the Company’s Current Report on Form 8-K (File No. 001-38085), filed with the Commis</w:t>
              </w:r>
              <w:r>
                <w:rPr>
                  <w:rStyle w:val="a4"/>
                  <w:sz w:val="20"/>
                  <w:szCs w:val="20"/>
                </w:rPr>
                <w:t>sion on February 21, 2019)</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13" w:history="1">
              <w:r>
                <w:rPr>
                  <w:rStyle w:val="a4"/>
                  <w:sz w:val="20"/>
                  <w:szCs w:val="20"/>
                </w:rPr>
                <w:t>Form of Indemnity Agreement by and between the Company and its directors and officers (incorporated herein by r</w:t>
              </w:r>
              <w:r>
                <w:rPr>
                  <w:rStyle w:val="a4"/>
                  <w:sz w:val="20"/>
                  <w:szCs w:val="20"/>
                </w:rPr>
                <w:t>eference to Exhibit 10.1 to the Company’s Registration Statement on Form S-1 (File No. 333-217245), filed with the Commission on April 10,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10.2</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14" w:history="1">
              <w:r>
                <w:rPr>
                  <w:rStyle w:val="a4"/>
                  <w:sz w:val="20"/>
                  <w:szCs w:val="20"/>
                </w:rPr>
                <w:t>2017 Equity Incentive Plan (incorporated herein by reference to Exhibit 4.12 to the Company’s Registration Statement on Form S-8 (File No. 001-38085), file</w:t>
              </w:r>
              <w:r>
                <w:rPr>
                  <w:rStyle w:val="a4"/>
                  <w:sz w:val="20"/>
                  <w:szCs w:val="20"/>
                </w:rPr>
                <w:t>d with the Commission on May 22,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10.3</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15" w:history="1">
              <w:r>
                <w:rPr>
                  <w:rStyle w:val="a4"/>
                  <w:sz w:val="20"/>
                  <w:szCs w:val="20"/>
                </w:rPr>
                <w:t>Forms of Option Grant Notice and Option Agreement under 2017 Equity Incentive Plan (incorporated he</w:t>
              </w:r>
              <w:r>
                <w:rPr>
                  <w:rStyle w:val="a4"/>
                  <w:sz w:val="20"/>
                  <w:szCs w:val="20"/>
                </w:rPr>
                <w:t>rein by reference to Exhibit 10.3 to the Company’s Registration Statement on Form S-1 (File No. 333-217245), filed with the Commission on April 10,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10.4</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16" w:history="1">
              <w:r>
                <w:rPr>
                  <w:rStyle w:val="a4"/>
                  <w:sz w:val="20"/>
                  <w:szCs w:val="20"/>
                </w:rPr>
                <w:t>2014 Equity Incentive Plan, as amended (incorporated herein by reference to Exhibit 10.5 to the Company’s Registration Statement on Form S-1 (File No. 333-</w:t>
              </w:r>
              <w:r>
                <w:rPr>
                  <w:rStyle w:val="a4"/>
                  <w:sz w:val="20"/>
                  <w:szCs w:val="20"/>
                </w:rPr>
                <w:t>217245), filed with the Commission on April 10,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10.5</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hyperlink r:id="rId17" w:history="1">
              <w:r>
                <w:rPr>
                  <w:rStyle w:val="a4"/>
                  <w:sz w:val="20"/>
                  <w:szCs w:val="20"/>
                </w:rPr>
                <w:t>Amendment to 2014 Equity Incentive Plan, effective as of March 9, 2015 (incorporated herein by reference to Exhibit 10.6 to the Company’s Registration Stat</w:t>
              </w:r>
              <w:r>
                <w:rPr>
                  <w:rStyle w:val="a4"/>
                  <w:sz w:val="20"/>
                  <w:szCs w:val="20"/>
                </w:rPr>
                <w:t>ement on Form S-1 (File No. 333-217245), filed with the Commission on April 10,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10.6</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18" w:history="1">
              <w:r>
                <w:rPr>
                  <w:rStyle w:val="a4"/>
                  <w:sz w:val="20"/>
                  <w:szCs w:val="20"/>
                </w:rPr>
                <w:t>Amendment to 2014 Equity Incentive Plan, effective a</w:t>
              </w:r>
              <w:r>
                <w:rPr>
                  <w:rStyle w:val="a4"/>
                  <w:sz w:val="20"/>
                  <w:szCs w:val="20"/>
                </w:rPr>
                <w:t>s of June 4, 2015 (incorporated herein by reference to Exhibit 10.7 to the Company’s Registration Statement on Form S-1 (File No. 333-217245), filed with the Commission on April 10,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bl>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6</w:t>
      </w:r>
      <w:r>
        <w:rPr>
          <w:sz w:val="20"/>
          <w:szCs w:val="20"/>
        </w:rPr>
        <w:t>5</w:t>
      </w:r>
    </w:p>
    <w:p w:rsidR="00000000" w:rsidRDefault="00F83A7A">
      <w:pPr>
        <w:rPr>
          <w:rFonts w:eastAsia="Times New Roman"/>
        </w:rPr>
      </w:pPr>
      <w:r>
        <w:rPr>
          <w:rFonts w:eastAsia="Times New Roman"/>
        </w:rPr>
        <w:pict>
          <v:rect id="_x0000_i1093"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2"/>
        <w:gridCol w:w="112"/>
        <w:gridCol w:w="7412"/>
      </w:tblGrid>
      <w:tr w:rsidR="00000000">
        <w:trPr>
          <w:tblCellSpacing w:w="15" w:type="dxa"/>
        </w:trPr>
        <w:tc>
          <w:tcPr>
            <w:tcW w:w="450" w:type="pct"/>
            <w:vAlign w:val="center"/>
            <w:hideMark/>
          </w:tcPr>
          <w:p w:rsidR="00000000" w:rsidRDefault="00F83A7A">
            <w:pPr>
              <w:rPr>
                <w:sz w:val="20"/>
                <w:szCs w:val="20"/>
              </w:rPr>
            </w:pPr>
          </w:p>
        </w:tc>
        <w:tc>
          <w:tcPr>
            <w:tcW w:w="50" w:type="pct"/>
            <w:vAlign w:val="center"/>
            <w:hideMark/>
          </w:tcPr>
          <w:p w:rsidR="00000000" w:rsidRDefault="00F83A7A">
            <w:pPr>
              <w:rPr>
                <w:rFonts w:eastAsia="Times New Roman"/>
                <w:sz w:val="20"/>
                <w:szCs w:val="20"/>
              </w:rPr>
            </w:pPr>
          </w:p>
        </w:tc>
        <w:tc>
          <w:tcPr>
            <w:tcW w:w="4500" w:type="pct"/>
            <w:vAlign w:val="center"/>
            <w:hideMark/>
          </w:tcPr>
          <w:p w:rsidR="00000000" w:rsidRDefault="00F83A7A">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10.7</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19" w:history="1">
              <w:r>
                <w:rPr>
                  <w:rStyle w:val="a4"/>
                  <w:sz w:val="20"/>
                  <w:szCs w:val="20"/>
                </w:rPr>
                <w:t>Amendment to 2014 Equity Incentive Plan, effective as of July 28, 2015 (incorporated herein by reference to Exhibit 10.8 to the Company’s Registration Stat</w:t>
              </w:r>
              <w:r>
                <w:rPr>
                  <w:rStyle w:val="a4"/>
                  <w:sz w:val="20"/>
                  <w:szCs w:val="20"/>
                </w:rPr>
                <w:t>ement on Form S-1 (File No. 333-217245), filed with the Commission on April 10,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10.8</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20" w:history="1">
              <w:r>
                <w:rPr>
                  <w:rStyle w:val="a4"/>
                  <w:sz w:val="20"/>
                  <w:szCs w:val="20"/>
                </w:rPr>
                <w:t>Amendment to 2014 Equity Incentive Plan, effective a</w:t>
              </w:r>
              <w:r>
                <w:rPr>
                  <w:rStyle w:val="a4"/>
                  <w:sz w:val="20"/>
                  <w:szCs w:val="20"/>
                </w:rPr>
                <w:t>s of February 11, 2016 (incorporated herein by reference to Exhibit 10.9 to the Company’s Registration Statement on Form S-1 (File No. 333-217245), filed with the Commission on April 10,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10.9</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21" w:history="1">
              <w:r>
                <w:rPr>
                  <w:rStyle w:val="a4"/>
                  <w:sz w:val="20"/>
                  <w:szCs w:val="20"/>
                </w:rPr>
                <w:t>Form of Restricted Stock Purchase Agreement under the 2014 Equity Incentive Plan (incorporated herein by reference to Exhibit 10.10 to the Company’s Regis</w:t>
              </w:r>
              <w:r>
                <w:rPr>
                  <w:rStyle w:val="a4"/>
                  <w:sz w:val="20"/>
                  <w:szCs w:val="20"/>
                </w:rPr>
                <w:t>tration Statement on Form S-1 (File No. 333-217245), filed with the Commission on April 10,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10.10</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22" w:history="1">
              <w:r>
                <w:rPr>
                  <w:rStyle w:val="a4"/>
                  <w:sz w:val="20"/>
                  <w:szCs w:val="20"/>
                </w:rPr>
                <w:t>Form of Stock Option Agreement—Early E</w:t>
              </w:r>
              <w:r>
                <w:rPr>
                  <w:rStyle w:val="a4"/>
                  <w:sz w:val="20"/>
                  <w:szCs w:val="20"/>
                </w:rPr>
                <w:t>xercise under the 2014 Equity Incentive Plan (incorporated herein by reference to Exhibit 10.11 to the Company’s Registration Statement on Form S-1 (File No. 333-217245), filed with the Commission on April 10,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10.11</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23" w:history="1">
              <w:r>
                <w:rPr>
                  <w:rStyle w:val="a4"/>
                  <w:sz w:val="20"/>
                  <w:szCs w:val="20"/>
                </w:rPr>
                <w:t>Forms of Stock Option Agreement under the 2014 Equity Incentive Plan (incorporated herein by reference to Exhibit 10.12 to the Company’s Registration Statement on Form S-1 (File No. 333-217245), filed with the Commission on April 10,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10.12</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24" w:history="1">
              <w:r>
                <w:rPr>
                  <w:rStyle w:val="a4"/>
                  <w:sz w:val="20"/>
                  <w:szCs w:val="20"/>
                </w:rPr>
                <w:t xml:space="preserve">2017 Employee Stock Purchase Plan (incorporated herein by reference to Exhibit 4.14 to the Company’s Registration Statement on Form S-8 (File No. </w:t>
              </w:r>
              <w:r>
                <w:rPr>
                  <w:rStyle w:val="a4"/>
                  <w:sz w:val="20"/>
                  <w:szCs w:val="20"/>
                </w:rPr>
                <w:t>001-38085), filed with the Commission on May 22,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10.13</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25" w:history="1">
              <w:r>
                <w:rPr>
                  <w:rStyle w:val="a4"/>
                  <w:sz w:val="20"/>
                  <w:szCs w:val="20"/>
                </w:rPr>
                <w:t>Non-Employee Director Compensation Plan (incorporated herein by reference to Exhibit</w:t>
              </w:r>
              <w:r>
                <w:rPr>
                  <w:rStyle w:val="a4"/>
                  <w:sz w:val="20"/>
                  <w:szCs w:val="20"/>
                </w:rPr>
                <w:t xml:space="preserve"> 10.1 to the Company’s Quarterly Report on Form 10-Q (File No. 001-38085), filed with the Commission on November 10, 2021)</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10.14</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26" w:history="1">
              <w:r>
                <w:rPr>
                  <w:rStyle w:val="a4"/>
                  <w:sz w:val="20"/>
                  <w:szCs w:val="20"/>
                </w:rPr>
                <w:t>Executive Emp</w:t>
              </w:r>
              <w:r>
                <w:rPr>
                  <w:rStyle w:val="a4"/>
                  <w:sz w:val="20"/>
                  <w:szCs w:val="20"/>
                </w:rPr>
                <w:t>loyment Agreement between the Registrant and Jeremy M. Levin, dated June 5, 2015 (incorporated herein by reference to Exhibit 10.13 to the Company’s Registration Statement on Form S-1 (File No. 333-217245), filed with the Commission on April 10,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10.15</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27" w:history="1">
              <w:r>
                <w:rPr>
                  <w:rStyle w:val="a4"/>
                  <w:sz w:val="20"/>
                  <w:szCs w:val="20"/>
                </w:rPr>
                <w:t>Executive Employment Agreement between the Company and Jeff Rona, effective June 2, 2021 (incorporated herein by reference to Exhibit 10.17 to the Company’s Annual Report on Form 10-K (File No. 001-38085), filed with the Commission on March 15, 2021)</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10.16</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28" w:history="1">
              <w:r>
                <w:rPr>
                  <w:rStyle w:val="a4"/>
                  <w:sz w:val="20"/>
                  <w:szCs w:val="20"/>
                </w:rPr>
                <w:t>Executive Employment Agreement between the Company and Jason Tardio, effective October 21, 2019 (incorporated herein by reference to Exhibit</w:t>
              </w:r>
              <w:r>
                <w:rPr>
                  <w:rStyle w:val="a4"/>
                  <w:sz w:val="20"/>
                  <w:szCs w:val="20"/>
                </w:rPr>
                <w:t xml:space="preserve"> 10.18 to the Company’s Annual Report on Form 10-K (File No. 001-38085), filed with the Commission on March 15, 2021)</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10.17</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29" w:history="1">
              <w:r>
                <w:rPr>
                  <w:rStyle w:val="a4"/>
                  <w:sz w:val="20"/>
                  <w:szCs w:val="20"/>
                </w:rPr>
                <w:t>Amended and Resta</w:t>
              </w:r>
              <w:r>
                <w:rPr>
                  <w:rStyle w:val="a4"/>
                  <w:sz w:val="20"/>
                  <w:szCs w:val="20"/>
                </w:rPr>
                <w:t xml:space="preserve">ted Executive Employment Agreement between the Company and Thomas Perone, effective January 1, 2020 (incorporated herein by reference to Exhibit 10.19 to the Company’s Annual Report on Form 10-K (File No. 001-38085), filed with the Commission on March 15, </w:t>
              </w:r>
              <w:r>
                <w:rPr>
                  <w:rStyle w:val="a4"/>
                  <w:sz w:val="20"/>
                  <w:szCs w:val="20"/>
                </w:rPr>
                <w:t>2021)</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10.18</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30" w:history="1">
              <w:r>
                <w:rPr>
                  <w:rStyle w:val="a4"/>
                  <w:sz w:val="20"/>
                  <w:szCs w:val="20"/>
                </w:rPr>
                <w:t>License Agreement by and between H. Lundbeck A/S and the Company, dated March 25, 2015 (incorporated herein by reference to Exhibit 10.16 to the Company’s Registration Statement on Form S-1 (File No. 333-217245), filed with the Commission on May 2, 2017)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10.19</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31" w:history="1">
              <w:r>
                <w:rPr>
                  <w:rStyle w:val="a4"/>
                  <w:sz w:val="20"/>
                  <w:szCs w:val="20"/>
                </w:rPr>
                <w:t>License Agreement by and between Northwestern University and the Company, dated December 15, 2016. (incorporated herein by reference to Exhibit 10.19 to the Company’s Annual Report on Form 10-K (File No. 001-38085), filed with the Commission on April 10, 2</w:t>
              </w:r>
              <w:r>
                <w:rPr>
                  <w:rStyle w:val="a4"/>
                  <w:sz w:val="20"/>
                  <w:szCs w:val="20"/>
                </w:rPr>
                <w:t>017)</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10.20</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32" w:history="1">
              <w:r>
                <w:rPr>
                  <w:rStyle w:val="a4"/>
                  <w:sz w:val="20"/>
                  <w:szCs w:val="20"/>
                </w:rPr>
                <w:t>First Amendment to License Agreement, by and between H. Lundbeck A/S and the Company, dated May 10, 2019 (incorporated herein by refe</w:t>
              </w:r>
              <w:r>
                <w:rPr>
                  <w:rStyle w:val="a4"/>
                  <w:sz w:val="20"/>
                  <w:szCs w:val="20"/>
                </w:rPr>
                <w:t>rence to Exhibit 10.1 to the Company’s Current Report on Form 8-K/A (File No. 001-38085), filed with the Commission on June 17, 2019)</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10.21</w:t>
            </w:r>
            <w:r>
              <w:rPr>
                <w:sz w:val="20"/>
                <w:szCs w:val="20"/>
              </w:rPr>
              <w:t>†</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33" w:history="1">
              <w:r>
                <w:rPr>
                  <w:rStyle w:val="a4"/>
                  <w:sz w:val="20"/>
                  <w:szCs w:val="20"/>
                </w:rPr>
                <w:t>Royalty, License and Termination Agreement, by and between the Company and Takeda Pharmaceutical Company Limited, dated March 2, 2021 (incorporated herein</w:t>
              </w:r>
              <w:r>
                <w:rPr>
                  <w:rStyle w:val="a4"/>
                  <w:sz w:val="20"/>
                  <w:szCs w:val="20"/>
                </w:rPr>
                <w:t xml:space="preserve"> by reference to Exhibit 10.1 to the Company's Current Report on Form 10-Q (File No. 001-38085), filed with the Commission on May 13, 2021</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10.2</w:t>
            </w:r>
            <w:r>
              <w:rPr>
                <w:sz w:val="20"/>
                <w:szCs w:val="20"/>
              </w:rPr>
              <w:t>2</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34" w:history="1">
              <w:r>
                <w:rPr>
                  <w:rStyle w:val="a4"/>
                  <w:sz w:val="20"/>
                  <w:szCs w:val="20"/>
                </w:rPr>
                <w:t xml:space="preserve">License Agreement, dated as of December 30, 2021, by and between the Ovid Therapeutics Inc. and AstraZeneca AB </w:t>
              </w:r>
              <w:r>
                <w:rPr>
                  <w:rStyle w:val="a4"/>
                  <w:sz w:val="20"/>
                  <w:szCs w:val="20"/>
                </w:rPr>
                <w:t>(</w:t>
              </w:r>
            </w:hyperlink>
            <w:hyperlink r:id="rId35" w:history="1">
              <w:r>
                <w:rPr>
                  <w:rStyle w:val="a4"/>
                  <w:sz w:val="20"/>
                  <w:szCs w:val="20"/>
                </w:rPr>
                <w:t xml:space="preserve">incorporated herein by reference to Exhibit </w:t>
              </w:r>
              <w:r>
                <w:rPr>
                  <w:rStyle w:val="a4"/>
                  <w:sz w:val="20"/>
                  <w:szCs w:val="20"/>
                </w:rPr>
                <w:t>10.1 to the Company’s Current Report on Form 8-K (File No. 001-38085), filed with the Commission on January 3, 2022)</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23.</w:t>
            </w:r>
            <w:r>
              <w:rPr>
                <w:sz w:val="20"/>
                <w:szCs w:val="20"/>
              </w:rPr>
              <w:t>1</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36" w:history="1">
              <w:r>
                <w:rPr>
                  <w:rStyle w:val="a4"/>
                  <w:sz w:val="20"/>
                  <w:szCs w:val="20"/>
                </w:rPr>
                <w:t>Consent of Independent Registered Public Accounting Firm</w:t>
              </w:r>
              <w:r>
                <w:rPr>
                  <w:rStyle w:val="a4"/>
                  <w:sz w:val="20"/>
                  <w:szCs w:val="20"/>
                </w:rPr>
                <w:t>.</w:t>
              </w:r>
            </w:hyperlink>
          </w:p>
        </w:tc>
      </w:tr>
    </w:tbl>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6</w:t>
      </w:r>
      <w:r>
        <w:rPr>
          <w:sz w:val="20"/>
          <w:szCs w:val="20"/>
        </w:rPr>
        <w:t>6</w:t>
      </w:r>
    </w:p>
    <w:p w:rsidR="00000000" w:rsidRDefault="00F83A7A">
      <w:pPr>
        <w:rPr>
          <w:rFonts w:eastAsia="Times New Roman"/>
        </w:rPr>
      </w:pPr>
      <w:r>
        <w:rPr>
          <w:rFonts w:eastAsia="Times New Roman"/>
        </w:rPr>
        <w:pict>
          <v:rect id="_x0000_i1094"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4"/>
        <w:gridCol w:w="109"/>
        <w:gridCol w:w="7373"/>
      </w:tblGrid>
      <w:tr w:rsidR="00000000">
        <w:trPr>
          <w:tblCellSpacing w:w="15" w:type="dxa"/>
        </w:trPr>
        <w:tc>
          <w:tcPr>
            <w:tcW w:w="450" w:type="pct"/>
            <w:vAlign w:val="center"/>
            <w:hideMark/>
          </w:tcPr>
          <w:p w:rsidR="00000000" w:rsidRDefault="00F83A7A">
            <w:pPr>
              <w:rPr>
                <w:sz w:val="20"/>
                <w:szCs w:val="20"/>
              </w:rPr>
            </w:pPr>
          </w:p>
        </w:tc>
        <w:tc>
          <w:tcPr>
            <w:tcW w:w="50" w:type="pct"/>
            <w:vAlign w:val="center"/>
            <w:hideMark/>
          </w:tcPr>
          <w:p w:rsidR="00000000" w:rsidRDefault="00F83A7A">
            <w:pPr>
              <w:rPr>
                <w:rFonts w:eastAsia="Times New Roman"/>
                <w:sz w:val="20"/>
                <w:szCs w:val="20"/>
              </w:rPr>
            </w:pPr>
          </w:p>
        </w:tc>
        <w:tc>
          <w:tcPr>
            <w:tcW w:w="4500" w:type="pct"/>
            <w:vAlign w:val="center"/>
            <w:hideMark/>
          </w:tcPr>
          <w:p w:rsidR="00000000" w:rsidRDefault="00F83A7A">
            <w:pPr>
              <w:rPr>
                <w:rFonts w:eastAsia="Times New Roman"/>
                <w:sz w:val="20"/>
                <w:szCs w:val="20"/>
              </w:rPr>
            </w:pPr>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24.</w:t>
            </w:r>
            <w:r>
              <w:rPr>
                <w:sz w:val="20"/>
                <w:szCs w:val="20"/>
              </w:rPr>
              <w:t>1</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w:anchor="power_attorney" w:history="1">
              <w:r>
                <w:rPr>
                  <w:rStyle w:val="a4"/>
                  <w:sz w:val="20"/>
                  <w:szCs w:val="20"/>
                </w:rPr>
                <w:t>Power of Attorney (included on the signature page to this report)</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31.</w:t>
            </w:r>
            <w:r>
              <w:rPr>
                <w:sz w:val="20"/>
                <w:szCs w:val="20"/>
              </w:rPr>
              <w:t>1</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37" w:history="1">
              <w:r>
                <w:rPr>
                  <w:rStyle w:val="a4"/>
                  <w:sz w:val="20"/>
                  <w:szCs w:val="20"/>
                </w:rPr>
                <w:t>Certification of Principal Executive Officer Pursuant to Rules 13a-14(a) and 15d-14(a) under the Securities Exchange Act of 1934, as Adopted Pursuant to Section 302 of the Sarbanes-Oxley Act of 2002</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31.</w:t>
            </w:r>
            <w:r>
              <w:rPr>
                <w:sz w:val="20"/>
                <w:szCs w:val="20"/>
              </w:rPr>
              <w:t>2</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hyperlink r:id="rId38" w:history="1">
              <w:r>
                <w:rPr>
                  <w:rStyle w:val="a4"/>
                  <w:sz w:val="20"/>
                  <w:szCs w:val="20"/>
                </w:rPr>
                <w:t>Certification of Principal Financial Officer Pursuant to Rules 13a-14(a) and 15d-14(a) under the Securities Exchange Act of 1934, as Adopted Pursuant to Section 302 of the Sarbanes-Oxley Act of 2002</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13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32.1</w:t>
            </w:r>
            <w:r>
              <w:rPr>
                <w:sz w:val="20"/>
                <w:szCs w:val="20"/>
              </w:rPr>
              <w:t>*</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u w:val="single"/>
              </w:rPr>
              <w:t>C</w:t>
            </w:r>
            <w:hyperlink r:id="rId39" w:history="1">
              <w:r>
                <w:rPr>
                  <w:rStyle w:val="a4"/>
                  <w:sz w:val="20"/>
                  <w:szCs w:val="20"/>
                </w:rPr>
                <w:t>ertific</w:t>
              </w:r>
              <w:r>
                <w:rPr>
                  <w:rStyle w:val="a4"/>
                  <w:sz w:val="20"/>
                  <w:szCs w:val="20"/>
                </w:rPr>
                <w:t>ation of Principal Executive Officer and Principal Financial Officer Pursuant to 18 U.S.C. Section 1350, as Adopted Pursuant to Section 906 of the Sarbanes-Oxley Act of 2002</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101.IN</w:t>
            </w:r>
            <w:r>
              <w:rPr>
                <w:sz w:val="20"/>
                <w:szCs w:val="20"/>
              </w:rPr>
              <w:t>S</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Inline XBRL Instance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101.SC</w:t>
            </w:r>
            <w:r>
              <w:rPr>
                <w:sz w:val="20"/>
                <w:szCs w:val="20"/>
              </w:rPr>
              <w:t>H</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Inline XBRL Taxonomy Extension Schema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101.CA</w:t>
            </w:r>
            <w:r>
              <w:rPr>
                <w:sz w:val="20"/>
                <w:szCs w:val="20"/>
              </w:rPr>
              <w:t>L</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Inline XBRL Taxonomy Extension Calculation Linkbase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101.DE</w:t>
            </w:r>
            <w:r>
              <w:rPr>
                <w:sz w:val="20"/>
                <w:szCs w:val="20"/>
              </w:rPr>
              <w:t>F</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Inline XBRL Taxonomy Extension Definition Linkbase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101.LA</w:t>
            </w:r>
            <w:r>
              <w:rPr>
                <w:sz w:val="20"/>
                <w:szCs w:val="20"/>
              </w:rPr>
              <w:t>B</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Inline XBRL Taxonomy Extension Label Linkbase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101.PR</w:t>
            </w:r>
            <w:r>
              <w:rPr>
                <w:sz w:val="20"/>
                <w:szCs w:val="20"/>
              </w:rPr>
              <w:t>E</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Inline XBRL Taxonomy Extension Presentation Linkbase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10</w:t>
            </w:r>
            <w:r>
              <w:rPr>
                <w:sz w:val="20"/>
                <w:szCs w:val="20"/>
              </w:rPr>
              <w:t>4</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Cover Page Interactive Data File (formatted as Inline XBRL and contained within Exhibit 101</w:t>
            </w:r>
            <w:r>
              <w:rPr>
                <w:sz w:val="20"/>
                <w:szCs w:val="20"/>
              </w:rPr>
              <w:t>)</w:t>
            </w:r>
          </w:p>
        </w:tc>
      </w:tr>
    </w:tbl>
    <w:p w:rsidR="00000000" w:rsidRDefault="00F83A7A">
      <w:pPr>
        <w:pStyle w:val="a3"/>
        <w:spacing w:before="0" w:beforeAutospacing="0" w:after="0" w:afterAutospacing="0"/>
        <w:ind w:right="11072"/>
        <w:rPr>
          <w:sz w:val="20"/>
          <w:szCs w:val="20"/>
        </w:rPr>
      </w:pPr>
      <w:r>
        <w:rPr>
          <w:sz w:val="20"/>
          <w:szCs w:val="20"/>
        </w:rPr>
        <w:t> </w:t>
      </w:r>
    </w:p>
    <w:p w:rsidR="00000000" w:rsidRDefault="00F83A7A">
      <w:pPr>
        <w:pStyle w:val="a3"/>
        <w:spacing w:before="0" w:beforeAutospacing="0" w:after="0" w:afterAutospacing="0"/>
        <w:jc w:val="both"/>
        <w:rPr>
          <w:sz w:val="20"/>
          <w:szCs w:val="20"/>
        </w:rPr>
      </w:pPr>
      <w:r>
        <w:rPr>
          <w:sz w:val="20"/>
          <w:szCs w:val="20"/>
        </w:rPr>
        <w:t>*</w:t>
      </w:r>
      <w:r>
        <w:rPr>
          <w:sz w:val="20"/>
          <w:szCs w:val="20"/>
        </w:rPr>
        <w:t xml:space="preserve"> </w:t>
      </w:r>
      <w:r>
        <w:rPr>
          <w:sz w:val="20"/>
          <w:szCs w:val="20"/>
        </w:rPr>
        <w:t>Furnished herewith and not deemed to be “filed” for purposes of Section 18 of the Securities Exchange Act of 1934, as amended (the “Exchange Act”), and shall not be deemed to be incorporated by reference into any filing under the Securities Act of 1933, as</w:t>
      </w:r>
      <w:r>
        <w:rPr>
          <w:sz w:val="20"/>
          <w:szCs w:val="20"/>
        </w:rPr>
        <w:t xml:space="preserve"> amended, or the Exchange Act (whether made before or after the date of the Form 10-K), irrespective of any general incorporation language contained in such filing</w:t>
      </w:r>
      <w:r>
        <w:rPr>
          <w:sz w:val="20"/>
          <w:szCs w:val="20"/>
        </w:rPr>
        <w:t>.</w:t>
      </w:r>
    </w:p>
    <w:p w:rsidR="00000000" w:rsidRDefault="00F83A7A">
      <w:pPr>
        <w:pStyle w:val="a3"/>
        <w:spacing w:before="40" w:beforeAutospacing="0" w:after="0" w:afterAutospacing="0"/>
        <w:jc w:val="both"/>
        <w:rPr>
          <w:sz w:val="20"/>
          <w:szCs w:val="20"/>
        </w:rPr>
      </w:pPr>
      <w:r>
        <w:rPr>
          <w:sz w:val="20"/>
          <w:szCs w:val="20"/>
        </w:rPr>
        <w:t>+ Indicates a management contract or compensatory plan</w:t>
      </w:r>
      <w:r>
        <w:rPr>
          <w:sz w:val="20"/>
          <w:szCs w:val="20"/>
        </w:rPr>
        <w:t>.</w:t>
      </w:r>
    </w:p>
    <w:p w:rsidR="00000000" w:rsidRDefault="00F83A7A">
      <w:pPr>
        <w:pStyle w:val="a3"/>
        <w:spacing w:before="40" w:beforeAutospacing="0" w:after="0" w:afterAutospacing="0"/>
        <w:jc w:val="both"/>
        <w:rPr>
          <w:sz w:val="20"/>
          <w:szCs w:val="20"/>
        </w:rPr>
      </w:pPr>
      <w:r>
        <w:rPr>
          <w:sz w:val="20"/>
          <w:szCs w:val="20"/>
        </w:rPr>
        <w:t>† Confidential treatment has been g</w:t>
      </w:r>
      <w:r>
        <w:rPr>
          <w:sz w:val="20"/>
          <w:szCs w:val="20"/>
        </w:rPr>
        <w:t>ranted for certain portions of this exhibit. These portions have been omitted and filed separately with the SEC</w:t>
      </w:r>
      <w:r>
        <w:rPr>
          <w:sz w:val="20"/>
          <w:szCs w:val="20"/>
        </w:rPr>
        <w:t>.</w:t>
      </w:r>
    </w:p>
    <w:p w:rsidR="00000000" w:rsidRDefault="00F83A7A">
      <w:pPr>
        <w:pStyle w:val="a3"/>
        <w:spacing w:before="40" w:beforeAutospacing="0" w:after="0" w:afterAutospacing="0"/>
        <w:jc w:val="both"/>
        <w:rPr>
          <w:sz w:val="20"/>
          <w:szCs w:val="20"/>
        </w:rPr>
      </w:pPr>
      <w:r>
        <w:rPr>
          <w:sz w:val="20"/>
          <w:szCs w:val="20"/>
        </w:rPr>
        <w:t>^ Pursuant to Item 601(b)(10)(iv) of Regulation S-K promulgated by the Securities and Exchange Commission, certain portions of this exhibit hav</w:t>
      </w:r>
      <w:r>
        <w:rPr>
          <w:sz w:val="20"/>
          <w:szCs w:val="20"/>
        </w:rPr>
        <w:t>e been redacted. The Registrant hereby agrees to furnish supplementally to the Securities and Exchange Commission, upon its request, an unredacted copy of this exhibit</w:t>
      </w:r>
      <w:r>
        <w:rPr>
          <w:sz w:val="20"/>
          <w:szCs w:val="20"/>
        </w:rPr>
        <w:t>.</w:t>
      </w:r>
      <w:r>
        <w:rPr>
          <w:sz w:val="20"/>
          <w:szCs w:val="20"/>
        </w:rPr>
        <w:t xml:space="preserve"> </w:t>
      </w:r>
    </w:p>
    <w:p w:rsidR="00000000" w:rsidRDefault="00F83A7A">
      <w:pPr>
        <w:pStyle w:val="a3"/>
        <w:spacing w:before="200" w:beforeAutospacing="0" w:after="0" w:afterAutospacing="0"/>
        <w:rPr>
          <w:sz w:val="20"/>
          <w:szCs w:val="20"/>
        </w:rPr>
      </w:pPr>
      <w:r>
        <w:rPr>
          <w:b/>
          <w:bCs/>
          <w:sz w:val="20"/>
          <w:szCs w:val="20"/>
        </w:rPr>
        <w:t>Item 16. For</w:t>
      </w:r>
      <w:r>
        <w:rPr>
          <w:b/>
          <w:bCs/>
          <w:sz w:val="20"/>
          <w:szCs w:val="20"/>
        </w:rPr>
        <w:t>m</w:t>
      </w:r>
      <w:r>
        <w:rPr>
          <w:b/>
          <w:bCs/>
          <w:sz w:val="20"/>
          <w:szCs w:val="20"/>
        </w:rPr>
        <w:t xml:space="preserve"> 10-K Summar</w:t>
      </w:r>
      <w:r>
        <w:rPr>
          <w:b/>
          <w:bCs/>
          <w:sz w:val="20"/>
          <w:szCs w:val="20"/>
        </w:rPr>
        <w:t>y</w:t>
      </w:r>
    </w:p>
    <w:p w:rsidR="00000000" w:rsidRDefault="00F83A7A">
      <w:pPr>
        <w:pStyle w:val="a3"/>
        <w:spacing w:before="200" w:beforeAutospacing="0" w:after="0" w:afterAutospacing="0"/>
        <w:ind w:firstLine="555"/>
        <w:rPr>
          <w:sz w:val="20"/>
          <w:szCs w:val="20"/>
        </w:rPr>
      </w:pPr>
      <w:r>
        <w:rPr>
          <w:sz w:val="20"/>
          <w:szCs w:val="20"/>
        </w:rPr>
        <w:t>Not applicable</w:t>
      </w:r>
      <w:r>
        <w:rPr>
          <w:sz w:val="20"/>
          <w:szCs w:val="20"/>
        </w:rPr>
        <w:t>.</w:t>
      </w:r>
    </w:p>
    <w:p w:rsidR="00000000" w:rsidRDefault="00F83A7A">
      <w:pPr>
        <w:pStyle w:val="a3"/>
        <w:spacing w:before="240" w:beforeAutospacing="0" w:after="0" w:afterAutospacing="0"/>
        <w:jc w:val="center"/>
        <w:rPr>
          <w:sz w:val="20"/>
          <w:szCs w:val="20"/>
        </w:rPr>
      </w:pPr>
      <w:r>
        <w:rPr>
          <w:sz w:val="20"/>
          <w:szCs w:val="20"/>
        </w:rPr>
        <w:t>6</w:t>
      </w:r>
      <w:r>
        <w:rPr>
          <w:sz w:val="20"/>
          <w:szCs w:val="20"/>
        </w:rPr>
        <w:t>7</w:t>
      </w:r>
    </w:p>
    <w:p w:rsidR="00000000" w:rsidRDefault="00F83A7A">
      <w:pPr>
        <w:rPr>
          <w:rFonts w:eastAsia="Times New Roman"/>
        </w:rPr>
      </w:pPr>
      <w:r>
        <w:rPr>
          <w:rFonts w:eastAsia="Times New Roman"/>
        </w:rPr>
        <w:pict>
          <v:rect id="_x0000_i1095"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center"/>
        <w:rPr>
          <w:sz w:val="20"/>
          <w:szCs w:val="20"/>
        </w:rPr>
      </w:pPr>
      <w:r>
        <w:rPr>
          <w:b/>
          <w:bCs/>
          <w:sz w:val="20"/>
          <w:szCs w:val="20"/>
        </w:rPr>
        <w:t>SI</w:t>
      </w:r>
      <w:r>
        <w:rPr>
          <w:b/>
          <w:bCs/>
          <w:sz w:val="20"/>
          <w:szCs w:val="20"/>
        </w:rPr>
        <w:t>GN</w:t>
      </w:r>
      <w:r>
        <w:rPr>
          <w:b/>
          <w:bCs/>
          <w:sz w:val="20"/>
          <w:szCs w:val="20"/>
        </w:rPr>
        <w:t>A</w:t>
      </w:r>
      <w:r>
        <w:rPr>
          <w:b/>
          <w:bCs/>
          <w:sz w:val="20"/>
          <w:szCs w:val="20"/>
        </w:rPr>
        <w:t>TURE</w:t>
      </w:r>
      <w:r>
        <w:rPr>
          <w:b/>
          <w:bCs/>
          <w:sz w:val="20"/>
          <w:szCs w:val="20"/>
        </w:rPr>
        <w:t>S</w:t>
      </w:r>
    </w:p>
    <w:p w:rsidR="00000000" w:rsidRDefault="00F83A7A">
      <w:pPr>
        <w:pStyle w:val="a3"/>
        <w:spacing w:before="200" w:beforeAutospacing="0" w:after="0" w:afterAutospacing="0"/>
        <w:ind w:firstLine="555"/>
        <w:jc w:val="both"/>
        <w:rPr>
          <w:sz w:val="20"/>
          <w:szCs w:val="20"/>
        </w:rPr>
      </w:pPr>
      <w:r>
        <w:rPr>
          <w:sz w:val="20"/>
          <w:szCs w:val="20"/>
        </w:rPr>
        <w:t>Pursuant to the requirements of the Securities Exchange Act of 1934, the registrant has duly caused this report on Form 10-K to be signed on its behalf by the undersigned thereunto duly authorized</w:t>
      </w:r>
      <w:r>
        <w:rPr>
          <w:sz w:val="20"/>
          <w:szCs w:val="20"/>
        </w:rPr>
        <w:t>.</w:t>
      </w:r>
    </w:p>
    <w:p w:rsidR="00000000" w:rsidRDefault="00F83A7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16"/>
        <w:gridCol w:w="121"/>
        <w:gridCol w:w="446"/>
        <w:gridCol w:w="110"/>
        <w:gridCol w:w="3213"/>
      </w:tblGrid>
      <w:tr w:rsidR="00000000">
        <w:trPr>
          <w:tblCellSpacing w:w="15" w:type="dxa"/>
        </w:trPr>
        <w:tc>
          <w:tcPr>
            <w:tcW w:w="2689" w:type="pct"/>
            <w:vAlign w:val="center"/>
            <w:hideMark/>
          </w:tcPr>
          <w:p w:rsidR="00000000" w:rsidRDefault="00F83A7A">
            <w:pPr>
              <w:rPr>
                <w:sz w:val="20"/>
                <w:szCs w:val="20"/>
              </w:rPr>
            </w:pPr>
          </w:p>
        </w:tc>
        <w:tc>
          <w:tcPr>
            <w:tcW w:w="56" w:type="pct"/>
            <w:vAlign w:val="center"/>
            <w:hideMark/>
          </w:tcPr>
          <w:p w:rsidR="00000000" w:rsidRDefault="00F83A7A">
            <w:pPr>
              <w:rPr>
                <w:rFonts w:eastAsia="Times New Roman"/>
                <w:sz w:val="20"/>
                <w:szCs w:val="20"/>
              </w:rPr>
            </w:pPr>
          </w:p>
        </w:tc>
        <w:tc>
          <w:tcPr>
            <w:tcW w:w="256" w:type="pct"/>
            <w:vAlign w:val="center"/>
            <w:hideMark/>
          </w:tcPr>
          <w:p w:rsidR="00000000" w:rsidRDefault="00F83A7A">
            <w:pPr>
              <w:rPr>
                <w:rFonts w:eastAsia="Times New Roman"/>
                <w:sz w:val="20"/>
                <w:szCs w:val="20"/>
              </w:rPr>
            </w:pPr>
          </w:p>
        </w:tc>
        <w:tc>
          <w:tcPr>
            <w:tcW w:w="49" w:type="pct"/>
            <w:vAlign w:val="center"/>
            <w:hideMark/>
          </w:tcPr>
          <w:p w:rsidR="00000000" w:rsidRDefault="00F83A7A">
            <w:pPr>
              <w:rPr>
                <w:rFonts w:eastAsia="Times New Roman"/>
                <w:sz w:val="20"/>
                <w:szCs w:val="20"/>
              </w:rPr>
            </w:pPr>
          </w:p>
        </w:tc>
        <w:tc>
          <w:tcPr>
            <w:tcW w:w="1948" w:type="pct"/>
            <w:vAlign w:val="center"/>
            <w:hideMark/>
          </w:tcPr>
          <w:p w:rsidR="00000000" w:rsidRDefault="00F83A7A">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3"/>
            <w:hideMark/>
          </w:tcPr>
          <w:p w:rsidR="00000000" w:rsidRDefault="00F83A7A">
            <w:pPr>
              <w:pStyle w:val="a3"/>
              <w:spacing w:before="0" w:beforeAutospacing="0" w:after="0" w:afterAutospacing="0"/>
              <w:rPr>
                <w:sz w:val="20"/>
                <w:szCs w:val="20"/>
              </w:rPr>
            </w:pPr>
            <w:r>
              <w:rPr>
                <w:b/>
                <w:bCs/>
                <w:sz w:val="20"/>
                <w:szCs w:val="20"/>
              </w:rPr>
              <w:t>OVID THERAPEUTICS INC</w:t>
            </w:r>
            <w:r>
              <w:rPr>
                <w:b/>
                <w:bCs/>
                <w:sz w:val="20"/>
                <w:szCs w:val="20"/>
              </w:rPr>
              <w:t>.</w:t>
            </w:r>
          </w:p>
        </w:tc>
      </w:tr>
      <w:tr w:rsidR="00000000">
        <w:trPr>
          <w:tblCellSpacing w:w="15" w:type="dxa"/>
        </w:trPr>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83A7A">
            <w:pPr>
              <w:pStyle w:val="a3"/>
              <w:spacing w:before="0" w:beforeAutospacing="0" w:after="0" w:afterAutospacing="0"/>
              <w:rPr>
                <w:sz w:val="20"/>
                <w:szCs w:val="20"/>
              </w:rPr>
            </w:pPr>
            <w:r>
              <w:rPr>
                <w:sz w:val="20"/>
                <w:szCs w:val="20"/>
              </w:rPr>
              <w:t> </w:t>
            </w:r>
          </w:p>
        </w:tc>
        <w:tc>
          <w:tcPr>
            <w:tcW w:w="0" w:type="auto"/>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Date: March 15, 202</w:t>
            </w:r>
            <w:r>
              <w:rPr>
                <w:sz w:val="20"/>
                <w:szCs w:val="20"/>
              </w:rPr>
              <w:t>2</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jc w:val="right"/>
              <w:rPr>
                <w:sz w:val="20"/>
                <w:szCs w:val="20"/>
              </w:rPr>
            </w:pPr>
            <w:r>
              <w:rPr>
                <w:sz w:val="20"/>
                <w:szCs w:val="20"/>
              </w:rPr>
              <w:t>By</w:t>
            </w:r>
            <w:r>
              <w:rPr>
                <w:sz w:val="20"/>
                <w:szCs w:val="20"/>
              </w:rPr>
              <w:t>:</w:t>
            </w:r>
          </w:p>
        </w:tc>
        <w:tc>
          <w:tcPr>
            <w:tcW w:w="0" w:type="auto"/>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/s/ Jeremy M. Levi</w:t>
            </w:r>
            <w:r>
              <w:rPr>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Jeremy M. Levi</w:t>
            </w:r>
            <w:r>
              <w:rPr>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Chief Executive Office</w:t>
            </w:r>
            <w:r>
              <w:rPr>
                <w:sz w:val="20"/>
                <w:szCs w:val="20"/>
              </w:rPr>
              <w:t>r</w:t>
            </w:r>
          </w:p>
          <w:p w:rsidR="00000000" w:rsidRDefault="00F83A7A">
            <w:pPr>
              <w:pStyle w:val="a3"/>
              <w:spacing w:before="0" w:beforeAutospacing="0" w:after="0" w:afterAutospacing="0"/>
              <w:rPr>
                <w:sz w:val="20"/>
                <w:szCs w:val="20"/>
              </w:rPr>
            </w:pPr>
            <w:r>
              <w:rPr>
                <w:sz w:val="20"/>
                <w:szCs w:val="20"/>
              </w:rPr>
              <w:t>(Principal Executive Officer</w:t>
            </w:r>
            <w:r>
              <w:rPr>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74"/>
          <w:tblCellSpacing w:w="15" w:type="dxa"/>
        </w:trPr>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Date: March 15, 202</w:t>
            </w:r>
            <w:r>
              <w:rPr>
                <w:sz w:val="20"/>
                <w:szCs w:val="20"/>
              </w:rPr>
              <w:t>2</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jc w:val="right"/>
              <w:rPr>
                <w:sz w:val="20"/>
                <w:szCs w:val="20"/>
              </w:rPr>
            </w:pPr>
            <w:r>
              <w:rPr>
                <w:sz w:val="20"/>
                <w:szCs w:val="20"/>
              </w:rPr>
              <w:t>By</w:t>
            </w:r>
            <w:r>
              <w:rPr>
                <w:sz w:val="20"/>
                <w:szCs w:val="20"/>
              </w:rPr>
              <w:t>:</w:t>
            </w:r>
          </w:p>
        </w:tc>
        <w:tc>
          <w:tcPr>
            <w:tcW w:w="0" w:type="auto"/>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/s/ Jeffrey Ron</w:t>
            </w:r>
            <w:r>
              <w:rPr>
                <w:sz w:val="20"/>
                <w:szCs w:val="20"/>
              </w:rPr>
              <w:t>a</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hideMark/>
          </w:tcPr>
          <w:p w:rsidR="00000000" w:rsidRDefault="00F83A7A">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83A7A">
            <w:pPr>
              <w:pStyle w:val="a3"/>
              <w:spacing w:before="0" w:beforeAutospacing="0" w:after="0" w:afterAutospacing="0"/>
              <w:rPr>
                <w:sz w:val="20"/>
                <w:szCs w:val="20"/>
              </w:rPr>
            </w:pPr>
            <w:r>
              <w:rPr>
                <w:sz w:val="20"/>
                <w:szCs w:val="20"/>
              </w:rPr>
              <w:t>Jeffrey Ron</w:t>
            </w:r>
            <w:r>
              <w:rPr>
                <w:sz w:val="20"/>
                <w:szCs w:val="20"/>
              </w:rPr>
              <w:t>a</w:t>
            </w:r>
          </w:p>
          <w:p w:rsidR="00000000" w:rsidRDefault="00F83A7A">
            <w:pPr>
              <w:pStyle w:val="a3"/>
              <w:spacing w:before="0" w:beforeAutospacing="0" w:after="0" w:afterAutospacing="0"/>
              <w:rPr>
                <w:sz w:val="20"/>
                <w:szCs w:val="20"/>
              </w:rPr>
            </w:pPr>
            <w:r>
              <w:rPr>
                <w:sz w:val="20"/>
                <w:szCs w:val="20"/>
              </w:rPr>
              <w:t>Chief Business &amp; Financial Office</w:t>
            </w:r>
            <w:r>
              <w:rPr>
                <w:sz w:val="20"/>
                <w:szCs w:val="20"/>
              </w:rPr>
              <w:t>r</w:t>
            </w:r>
          </w:p>
          <w:p w:rsidR="00000000" w:rsidRDefault="00F83A7A">
            <w:pPr>
              <w:pStyle w:val="a3"/>
              <w:spacing w:before="0" w:beforeAutospacing="0" w:after="0" w:afterAutospacing="0"/>
              <w:rPr>
                <w:sz w:val="20"/>
                <w:szCs w:val="20"/>
              </w:rPr>
            </w:pPr>
            <w:r>
              <w:rPr>
                <w:sz w:val="20"/>
                <w:szCs w:val="20"/>
              </w:rPr>
              <w:t>(Principal Financial and Accounting Officer</w:t>
            </w:r>
            <w:r>
              <w:rPr>
                <w:sz w:val="20"/>
                <w:szCs w:val="20"/>
              </w:rPr>
              <w:t>)</w:t>
            </w:r>
          </w:p>
        </w:tc>
      </w:tr>
      <w:tr w:rsidR="00000000">
        <w:trPr>
          <w:trHeight w:val="200"/>
          <w:tblCellSpacing w:w="15" w:type="dxa"/>
        </w:trPr>
        <w:tc>
          <w:tcPr>
            <w:tcW w:w="0" w:type="auto"/>
            <w:gridSpan w:val="5"/>
            <w:tcMar>
              <w:top w:w="14" w:type="dxa"/>
              <w:left w:w="15" w:type="dxa"/>
              <w:bottom w:w="15" w:type="dxa"/>
              <w:right w:w="14" w:type="dxa"/>
            </w:tcMar>
            <w:vAlign w:val="bottom"/>
            <w:hideMark/>
          </w:tcPr>
          <w:p w:rsidR="00000000" w:rsidRDefault="00F83A7A">
            <w:pPr>
              <w:pStyle w:val="a3"/>
              <w:spacing w:before="134" w:beforeAutospacing="0" w:after="0" w:afterAutospacing="0"/>
              <w:jc w:val="center"/>
              <w:rPr>
                <w:sz w:val="20"/>
                <w:szCs w:val="20"/>
              </w:rPr>
            </w:pPr>
            <w:r>
              <w:rPr>
                <w:b/>
                <w:bCs/>
                <w:sz w:val="20"/>
                <w:szCs w:val="20"/>
              </w:rPr>
              <w:t>POWER O</w:t>
            </w:r>
            <w:r>
              <w:rPr>
                <w:b/>
                <w:bCs/>
                <w:sz w:val="20"/>
                <w:szCs w:val="20"/>
              </w:rPr>
              <w:t>F</w:t>
            </w:r>
            <w:r>
              <w:rPr>
                <w:b/>
                <w:bCs/>
                <w:sz w:val="20"/>
                <w:szCs w:val="20"/>
              </w:rPr>
              <w:t> ATTORNE</w:t>
            </w:r>
            <w:r>
              <w:rPr>
                <w:b/>
                <w:bCs/>
                <w:sz w:val="20"/>
                <w:szCs w:val="20"/>
              </w:rPr>
              <w:t>Y</w:t>
            </w:r>
          </w:p>
          <w:p w:rsidR="00000000" w:rsidRDefault="00F83A7A">
            <w:pPr>
              <w:pStyle w:val="a3"/>
              <w:spacing w:before="134" w:beforeAutospacing="0" w:after="0" w:afterAutospacing="0"/>
              <w:ind w:firstLine="328"/>
              <w:jc w:val="both"/>
              <w:rPr>
                <w:sz w:val="20"/>
                <w:szCs w:val="20"/>
              </w:rPr>
            </w:pPr>
            <w:r>
              <w:rPr>
                <w:sz w:val="20"/>
                <w:szCs w:val="20"/>
              </w:rPr>
              <w:t xml:space="preserve">Each person whose individual signature appears below hereby authorizes and appoints Jeremy M. Levin, DPhil, MB BChir and Jeffrey Rona, and each </w:t>
            </w:r>
            <w:r>
              <w:rPr>
                <w:sz w:val="20"/>
                <w:szCs w:val="20"/>
              </w:rPr>
              <w:t>of them, with full power of substitution and resubstitution and full power to act without the other, as his or her true and lawful attorney-in-fact and agent to act in his or her name, place and stead and to execute in the name and on behalf of each person</w:t>
            </w:r>
            <w:r>
              <w:rPr>
                <w:sz w:val="20"/>
                <w:szCs w:val="20"/>
              </w:rPr>
              <w:t>, individually and in each capacity stated below, and to file any and all amendments to this report on Form 10-K, and to file the same, with all exhibits thereto, and other documents in connection therewith, with the Securities and Exchange Commission, gra</w:t>
            </w:r>
            <w:r>
              <w:rPr>
                <w:sz w:val="20"/>
                <w:szCs w:val="20"/>
              </w:rPr>
              <w:t>nting unto said attorneys-in-fact and agents, and each of them, full power and authority to do and perform each and every act and thing, ratifying and confirming all that said attorneys-in-fact and agents or any of them or their or his or her substitute or</w:t>
            </w:r>
            <w:r>
              <w:rPr>
                <w:sz w:val="20"/>
                <w:szCs w:val="20"/>
              </w:rPr>
              <w:t xml:space="preserve"> substitutes may lawfully do or cause to be done by virtue thereof</w:t>
            </w:r>
            <w:r>
              <w:rPr>
                <w:sz w:val="20"/>
                <w:szCs w:val="20"/>
              </w:rPr>
              <w:t>.</w:t>
            </w:r>
            <w:r>
              <w:rPr>
                <w:sz w:val="20"/>
                <w:szCs w:val="20"/>
              </w:rPr>
              <w:t xml:space="preserve"> </w:t>
            </w:r>
          </w:p>
          <w:p w:rsidR="00000000" w:rsidRDefault="00F83A7A">
            <w:pPr>
              <w:pStyle w:val="a3"/>
              <w:spacing w:before="134" w:beforeAutospacing="0" w:after="0" w:afterAutospacing="0"/>
              <w:ind w:firstLine="328"/>
              <w:jc w:val="both"/>
              <w:rPr>
                <w:sz w:val="20"/>
                <w:szCs w:val="20"/>
              </w:rPr>
            </w:pPr>
            <w:r>
              <w:rPr>
                <w:sz w:val="20"/>
                <w:szCs w:val="20"/>
              </w:rPr>
              <w:t>Pursuant to the requirements of the Securities Exchange Act of 1934, this report has been signed below by the following persons on behalf of the registrant and in the capacities and on th</w:t>
            </w:r>
            <w:r>
              <w:rPr>
                <w:sz w:val="20"/>
                <w:szCs w:val="20"/>
              </w:rPr>
              <w:t>e dates indicated</w:t>
            </w:r>
            <w:r>
              <w:rPr>
                <w:sz w:val="20"/>
                <w:szCs w:val="20"/>
              </w:rPr>
              <w:t>.</w:t>
            </w:r>
            <w:r>
              <w:rPr>
                <w:sz w:val="20"/>
                <w:szCs w:val="20"/>
              </w:rPr>
              <w:t xml:space="preserve"> </w:t>
            </w:r>
          </w:p>
        </w:tc>
      </w:tr>
    </w:tbl>
    <w:p w:rsidR="00000000" w:rsidRDefault="00F83A7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89"/>
        <w:gridCol w:w="112"/>
        <w:gridCol w:w="4030"/>
        <w:gridCol w:w="111"/>
        <w:gridCol w:w="1264"/>
      </w:tblGrid>
      <w:tr w:rsidR="00000000">
        <w:trPr>
          <w:tblCellSpacing w:w="15" w:type="dxa"/>
        </w:trPr>
        <w:tc>
          <w:tcPr>
            <w:tcW w:w="1687" w:type="pct"/>
            <w:vAlign w:val="center"/>
            <w:hideMark/>
          </w:tcPr>
          <w:p w:rsidR="00000000" w:rsidRDefault="00F83A7A">
            <w:pPr>
              <w:rPr>
                <w:sz w:val="20"/>
                <w:szCs w:val="20"/>
              </w:rPr>
            </w:pPr>
          </w:p>
        </w:tc>
        <w:tc>
          <w:tcPr>
            <w:tcW w:w="50" w:type="pct"/>
            <w:vAlign w:val="center"/>
            <w:hideMark/>
          </w:tcPr>
          <w:p w:rsidR="00000000" w:rsidRDefault="00F83A7A">
            <w:pPr>
              <w:rPr>
                <w:rFonts w:eastAsia="Times New Roman"/>
                <w:sz w:val="20"/>
                <w:szCs w:val="20"/>
              </w:rPr>
            </w:pPr>
          </w:p>
        </w:tc>
        <w:tc>
          <w:tcPr>
            <w:tcW w:w="2460" w:type="pct"/>
            <w:vAlign w:val="center"/>
            <w:hideMark/>
          </w:tcPr>
          <w:p w:rsidR="00000000" w:rsidRDefault="00F83A7A">
            <w:pPr>
              <w:rPr>
                <w:rFonts w:eastAsia="Times New Roman"/>
                <w:sz w:val="20"/>
                <w:szCs w:val="20"/>
              </w:rPr>
            </w:pPr>
          </w:p>
        </w:tc>
        <w:tc>
          <w:tcPr>
            <w:tcW w:w="50" w:type="pct"/>
            <w:vAlign w:val="center"/>
            <w:hideMark/>
          </w:tcPr>
          <w:p w:rsidR="00000000" w:rsidRDefault="00F83A7A">
            <w:pPr>
              <w:rPr>
                <w:rFonts w:eastAsia="Times New Roman"/>
                <w:sz w:val="20"/>
                <w:szCs w:val="20"/>
              </w:rPr>
            </w:pPr>
          </w:p>
        </w:tc>
        <w:tc>
          <w:tcPr>
            <w:tcW w:w="750" w:type="pct"/>
            <w:vAlign w:val="center"/>
            <w:hideMark/>
          </w:tcPr>
          <w:p w:rsidR="00000000" w:rsidRDefault="00F83A7A">
            <w:pPr>
              <w:rPr>
                <w:rFonts w:eastAsia="Times New Roman"/>
                <w:sz w:val="20"/>
                <w:szCs w:val="20"/>
              </w:rPr>
            </w:pP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jc w:val="center"/>
              <w:rPr>
                <w:sz w:val="15"/>
                <w:szCs w:val="15"/>
              </w:rPr>
            </w:pPr>
            <w:r>
              <w:rPr>
                <w:b/>
                <w:bCs/>
                <w:sz w:val="15"/>
                <w:szCs w:val="15"/>
              </w:rPr>
              <w:t>Signatur</w:t>
            </w:r>
            <w:r>
              <w:rPr>
                <w:b/>
                <w:bCs/>
                <w:sz w:val="15"/>
                <w:szCs w:val="15"/>
              </w:rPr>
              <w:t>e</w:t>
            </w:r>
          </w:p>
        </w:tc>
        <w:tc>
          <w:tcPr>
            <w:tcW w:w="0" w:type="auto"/>
            <w:vAlign w:val="bottom"/>
            <w:hideMark/>
          </w:tcPr>
          <w:p w:rsidR="00000000" w:rsidRDefault="00F83A7A">
            <w:pPr>
              <w:pStyle w:val="a3"/>
              <w:spacing w:before="0" w:beforeAutospacing="0" w:after="0" w:afterAutospacing="0"/>
              <w:rPr>
                <w:sz w:val="15"/>
                <w:szCs w:val="15"/>
              </w:rPr>
            </w:pPr>
            <w:r>
              <w:rPr>
                <w:sz w:val="15"/>
                <w:szCs w:val="15"/>
              </w:rPr>
              <w:t> </w:t>
            </w:r>
          </w:p>
        </w:tc>
        <w:tc>
          <w:tcPr>
            <w:tcW w:w="0" w:type="auto"/>
            <w:vAlign w:val="bottom"/>
            <w:hideMark/>
          </w:tcPr>
          <w:p w:rsidR="00000000" w:rsidRDefault="00F83A7A">
            <w:pPr>
              <w:pStyle w:val="a3"/>
              <w:spacing w:before="0" w:beforeAutospacing="0" w:after="0" w:afterAutospacing="0"/>
              <w:jc w:val="center"/>
              <w:rPr>
                <w:sz w:val="15"/>
                <w:szCs w:val="15"/>
              </w:rPr>
            </w:pPr>
            <w:r>
              <w:rPr>
                <w:b/>
                <w:bCs/>
                <w:sz w:val="15"/>
                <w:szCs w:val="15"/>
              </w:rPr>
              <w:t>Titl</w:t>
            </w:r>
            <w:r>
              <w:rPr>
                <w:b/>
                <w:bCs/>
                <w:sz w:val="15"/>
                <w:szCs w:val="15"/>
              </w:rPr>
              <w:t>e</w:t>
            </w:r>
          </w:p>
        </w:tc>
        <w:tc>
          <w:tcPr>
            <w:tcW w:w="0" w:type="auto"/>
            <w:vAlign w:val="bottom"/>
            <w:hideMark/>
          </w:tcPr>
          <w:p w:rsidR="00000000" w:rsidRDefault="00F83A7A">
            <w:pPr>
              <w:pStyle w:val="a3"/>
              <w:spacing w:before="0" w:beforeAutospacing="0" w:after="0" w:afterAutospacing="0"/>
              <w:rPr>
                <w:sz w:val="15"/>
                <w:szCs w:val="15"/>
              </w:rPr>
            </w:pPr>
            <w:r>
              <w:rPr>
                <w:sz w:val="15"/>
                <w:szCs w:val="15"/>
              </w:rPr>
              <w:t> </w:t>
            </w:r>
          </w:p>
        </w:tc>
        <w:tc>
          <w:tcPr>
            <w:tcW w:w="0" w:type="auto"/>
            <w:vAlign w:val="bottom"/>
            <w:hideMark/>
          </w:tcPr>
          <w:p w:rsidR="00000000" w:rsidRDefault="00F83A7A">
            <w:pPr>
              <w:pStyle w:val="a3"/>
              <w:spacing w:before="0" w:beforeAutospacing="0" w:after="0" w:afterAutospacing="0"/>
              <w:jc w:val="center"/>
              <w:rPr>
                <w:sz w:val="15"/>
                <w:szCs w:val="15"/>
              </w:rPr>
            </w:pPr>
            <w:r>
              <w:rPr>
                <w:b/>
                <w:bCs/>
                <w:sz w:val="15"/>
                <w:szCs w:val="15"/>
              </w:rPr>
              <w:t>Dat</w:t>
            </w:r>
            <w:r>
              <w:rPr>
                <w:b/>
                <w:bCs/>
                <w:sz w:val="15"/>
                <w:szCs w:val="15"/>
              </w:rPr>
              <w:t>e</w:t>
            </w:r>
          </w:p>
        </w:tc>
      </w:tr>
      <w:tr w:rsidR="00000000">
        <w:trPr>
          <w:trHeight w:val="158"/>
          <w:tblCellSpacing w:w="15" w:type="dxa"/>
        </w:trPr>
        <w:tc>
          <w:tcPr>
            <w:tcW w:w="0" w:type="auto"/>
            <w:vAlign w:val="center"/>
            <w:hideMark/>
          </w:tcPr>
          <w:p w:rsidR="00000000" w:rsidRDefault="00F83A7A">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F83A7A">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F83A7A">
            <w:pPr>
              <w:pStyle w:val="a3"/>
              <w:spacing w:before="0" w:beforeAutospacing="0" w:after="0" w:afterAutospacing="0"/>
              <w:jc w:val="center"/>
              <w:rPr>
                <w:sz w:val="20"/>
                <w:szCs w:val="20"/>
              </w:rPr>
            </w:pPr>
            <w:r>
              <w:rPr>
                <w:sz w:val="20"/>
                <w:szCs w:val="20"/>
              </w:rPr>
              <w:t>/s/ Jeremy M. Levin, DPhil, MB BChi</w:t>
            </w:r>
            <w:r>
              <w:rPr>
                <w:sz w:val="20"/>
                <w:szCs w:val="20"/>
              </w:rPr>
              <w:t>r</w:t>
            </w:r>
          </w:p>
          <w:p w:rsidR="00000000" w:rsidRDefault="00F83A7A">
            <w:pPr>
              <w:pStyle w:val="a3"/>
              <w:spacing w:before="0" w:beforeAutospacing="0" w:after="10" w:afterAutospacing="0"/>
              <w:jc w:val="center"/>
              <w:rPr>
                <w:sz w:val="20"/>
                <w:szCs w:val="20"/>
              </w:rPr>
            </w:pPr>
            <w:r>
              <w:rPr>
                <w:sz w:val="20"/>
                <w:szCs w:val="20"/>
              </w:rPr>
              <w:t>Jeremy M. Levin, DPhil, MB BChi</w:t>
            </w:r>
            <w:r>
              <w:rPr>
                <w:sz w:val="20"/>
                <w:szCs w:val="20"/>
              </w:rPr>
              <w:t>r</w:t>
            </w:r>
          </w:p>
        </w:tc>
        <w:tc>
          <w:tcPr>
            <w:tcW w:w="0" w:type="auto"/>
            <w:vAlign w:val="bottom"/>
            <w:hideMark/>
          </w:tcPr>
          <w:p w:rsidR="00000000" w:rsidRDefault="00F83A7A">
            <w:pPr>
              <w:pStyle w:val="a3"/>
              <w:spacing w:before="0" w:beforeAutospacing="0" w:after="0" w:afterAutospacing="0"/>
              <w:rPr>
                <w:sz w:val="15"/>
                <w:szCs w:val="15"/>
              </w:rPr>
            </w:pPr>
            <w:r>
              <w:rPr>
                <w:sz w:val="15"/>
                <w:szCs w:val="15"/>
              </w:rPr>
              <w:t> </w:t>
            </w:r>
          </w:p>
        </w:tc>
        <w:tc>
          <w:tcPr>
            <w:tcW w:w="0" w:type="auto"/>
            <w:hideMark/>
          </w:tcPr>
          <w:p w:rsidR="00000000" w:rsidRDefault="00F83A7A">
            <w:pPr>
              <w:pStyle w:val="a3"/>
              <w:spacing w:before="0" w:beforeAutospacing="0" w:after="0" w:afterAutospacing="0"/>
              <w:jc w:val="center"/>
              <w:rPr>
                <w:sz w:val="20"/>
                <w:szCs w:val="20"/>
              </w:rPr>
            </w:pPr>
            <w:r>
              <w:rPr>
                <w:sz w:val="20"/>
                <w:szCs w:val="20"/>
              </w:rPr>
              <w:t>Chief Executive Officer and Directo</w:t>
            </w:r>
            <w:r>
              <w:rPr>
                <w:sz w:val="20"/>
                <w:szCs w:val="20"/>
              </w:rPr>
              <w:t>r</w:t>
            </w:r>
          </w:p>
          <w:p w:rsidR="00000000" w:rsidRDefault="00F83A7A">
            <w:pPr>
              <w:pStyle w:val="a3"/>
              <w:spacing w:before="0" w:beforeAutospacing="0" w:after="10" w:afterAutospacing="0"/>
              <w:ind w:hanging="160"/>
              <w:jc w:val="center"/>
              <w:rPr>
                <w:sz w:val="20"/>
                <w:szCs w:val="20"/>
              </w:rPr>
            </w:pPr>
            <w:r>
              <w:rPr>
                <w:i/>
                <w:iCs/>
                <w:sz w:val="20"/>
                <w:szCs w:val="20"/>
              </w:rPr>
              <w:t>(Principal Executive Officer</w:t>
            </w:r>
            <w:r>
              <w:rPr>
                <w:i/>
                <w:iCs/>
                <w:sz w:val="20"/>
                <w:szCs w:val="20"/>
              </w:rPr>
              <w:t>)</w:t>
            </w:r>
          </w:p>
        </w:tc>
        <w:tc>
          <w:tcPr>
            <w:tcW w:w="0" w:type="auto"/>
            <w:vAlign w:val="bottom"/>
            <w:hideMark/>
          </w:tcPr>
          <w:p w:rsidR="00000000" w:rsidRDefault="00F83A7A">
            <w:pPr>
              <w:pStyle w:val="a3"/>
              <w:spacing w:before="0" w:beforeAutospacing="0" w:after="0" w:afterAutospacing="0"/>
              <w:rPr>
                <w:sz w:val="15"/>
                <w:szCs w:val="15"/>
              </w:rPr>
            </w:pPr>
            <w:r>
              <w:rPr>
                <w:sz w:val="15"/>
                <w:szCs w:val="15"/>
              </w:rPr>
              <w:t> </w:t>
            </w:r>
          </w:p>
        </w:tc>
        <w:tc>
          <w:tcPr>
            <w:tcW w:w="0" w:type="auto"/>
            <w:hideMark/>
          </w:tcPr>
          <w:p w:rsidR="00000000" w:rsidRDefault="00F83A7A">
            <w:pPr>
              <w:pStyle w:val="a3"/>
              <w:spacing w:before="0" w:beforeAutospacing="0" w:after="0" w:afterAutospacing="0"/>
              <w:jc w:val="center"/>
              <w:rPr>
                <w:sz w:val="20"/>
                <w:szCs w:val="20"/>
              </w:rPr>
            </w:pPr>
            <w:r>
              <w:rPr>
                <w:sz w:val="20"/>
                <w:szCs w:val="20"/>
              </w:rPr>
              <w:t>March 15, 202</w:t>
            </w:r>
            <w:r>
              <w:rPr>
                <w:sz w:val="20"/>
                <w:szCs w:val="20"/>
              </w:rPr>
              <w:t>2</w:t>
            </w:r>
          </w:p>
        </w:tc>
      </w:tr>
      <w:tr w:rsidR="00000000">
        <w:trPr>
          <w:trHeight w:val="158"/>
          <w:tblCellSpacing w:w="15" w:type="dxa"/>
        </w:trPr>
        <w:tc>
          <w:tcPr>
            <w:tcW w:w="0" w:type="auto"/>
            <w:vAlign w:val="center"/>
            <w:hideMark/>
          </w:tcPr>
          <w:p w:rsidR="00000000" w:rsidRDefault="00F83A7A">
            <w:pPr>
              <w:pStyle w:val="a3"/>
              <w:spacing w:before="0" w:beforeAutospacing="0" w:after="0" w:afterAutospacing="0"/>
              <w:jc w:val="center"/>
              <w:rPr>
                <w:sz w:val="12"/>
                <w:szCs w:val="12"/>
              </w:rPr>
            </w:pPr>
            <w:r>
              <w:rPr>
                <w:sz w:val="12"/>
                <w:szCs w:val="12"/>
              </w:rPr>
              <w:t> </w:t>
            </w:r>
          </w:p>
        </w:tc>
        <w:tc>
          <w:tcPr>
            <w:tcW w:w="0" w:type="auto"/>
            <w:gridSpan w:val="2"/>
            <w:vAlign w:val="center"/>
            <w:hideMark/>
          </w:tcPr>
          <w:p w:rsidR="00000000" w:rsidRDefault="00F83A7A">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F83A7A">
            <w:pPr>
              <w:pStyle w:val="a3"/>
              <w:spacing w:before="0" w:beforeAutospacing="0" w:after="0" w:afterAutospacing="0"/>
              <w:jc w:val="center"/>
              <w:rPr>
                <w:sz w:val="20"/>
                <w:szCs w:val="20"/>
              </w:rPr>
            </w:pPr>
            <w:r>
              <w:rPr>
                <w:sz w:val="20"/>
                <w:szCs w:val="20"/>
              </w:rPr>
              <w:t>/s/ Jeffrey Ron</w:t>
            </w:r>
            <w:r>
              <w:rPr>
                <w:sz w:val="20"/>
                <w:szCs w:val="20"/>
              </w:rPr>
              <w:t>a</w:t>
            </w:r>
          </w:p>
          <w:p w:rsidR="00000000" w:rsidRDefault="00F83A7A">
            <w:pPr>
              <w:pStyle w:val="a3"/>
              <w:spacing w:before="0" w:beforeAutospacing="0" w:after="10" w:afterAutospacing="0"/>
              <w:jc w:val="center"/>
              <w:rPr>
                <w:sz w:val="20"/>
                <w:szCs w:val="20"/>
              </w:rPr>
            </w:pPr>
            <w:r>
              <w:rPr>
                <w:sz w:val="20"/>
                <w:szCs w:val="20"/>
              </w:rPr>
              <w:t>Jeffrey Ron</w:t>
            </w:r>
            <w:r>
              <w:rPr>
                <w:sz w:val="20"/>
                <w:szCs w:val="20"/>
              </w:rPr>
              <w:t>a</w:t>
            </w:r>
          </w:p>
        </w:tc>
        <w:tc>
          <w:tcPr>
            <w:tcW w:w="0" w:type="auto"/>
            <w:vAlign w:val="bottom"/>
            <w:hideMark/>
          </w:tcPr>
          <w:p w:rsidR="00000000" w:rsidRDefault="00F83A7A">
            <w:pPr>
              <w:pStyle w:val="a3"/>
              <w:spacing w:before="0" w:beforeAutospacing="0" w:after="0" w:afterAutospacing="0"/>
              <w:rPr>
                <w:sz w:val="15"/>
                <w:szCs w:val="15"/>
              </w:rPr>
            </w:pPr>
            <w:r>
              <w:rPr>
                <w:sz w:val="15"/>
                <w:szCs w:val="15"/>
              </w:rPr>
              <w:t> </w:t>
            </w:r>
          </w:p>
        </w:tc>
        <w:tc>
          <w:tcPr>
            <w:tcW w:w="0" w:type="auto"/>
            <w:hideMark/>
          </w:tcPr>
          <w:p w:rsidR="00000000" w:rsidRDefault="00F83A7A">
            <w:pPr>
              <w:pStyle w:val="a3"/>
              <w:spacing w:before="0" w:beforeAutospacing="0" w:after="0" w:afterAutospacing="0"/>
              <w:jc w:val="center"/>
              <w:rPr>
                <w:sz w:val="20"/>
                <w:szCs w:val="20"/>
              </w:rPr>
            </w:pPr>
            <w:r>
              <w:rPr>
                <w:sz w:val="20"/>
                <w:szCs w:val="20"/>
              </w:rPr>
              <w:t>Chief Business and Financial Office</w:t>
            </w:r>
            <w:r>
              <w:rPr>
                <w:sz w:val="20"/>
                <w:szCs w:val="20"/>
              </w:rPr>
              <w:t>r</w:t>
            </w:r>
          </w:p>
          <w:p w:rsidR="00000000" w:rsidRDefault="00F83A7A">
            <w:pPr>
              <w:pStyle w:val="a3"/>
              <w:spacing w:before="0" w:beforeAutospacing="0" w:after="10" w:afterAutospacing="0"/>
              <w:ind w:hanging="160"/>
              <w:jc w:val="center"/>
              <w:rPr>
                <w:sz w:val="20"/>
                <w:szCs w:val="20"/>
              </w:rPr>
            </w:pPr>
            <w:r>
              <w:rPr>
                <w:i/>
                <w:iCs/>
                <w:sz w:val="20"/>
                <w:szCs w:val="20"/>
              </w:rPr>
              <w:t>(Principal Financial and Accounting Officer</w:t>
            </w:r>
            <w:r>
              <w:rPr>
                <w:i/>
                <w:iCs/>
                <w:sz w:val="20"/>
                <w:szCs w:val="20"/>
              </w:rPr>
              <w:t>)</w:t>
            </w:r>
          </w:p>
        </w:tc>
        <w:tc>
          <w:tcPr>
            <w:tcW w:w="0" w:type="auto"/>
            <w:vAlign w:val="bottom"/>
            <w:hideMark/>
          </w:tcPr>
          <w:p w:rsidR="00000000" w:rsidRDefault="00F83A7A">
            <w:pPr>
              <w:pStyle w:val="a3"/>
              <w:spacing w:before="0" w:beforeAutospacing="0" w:after="0" w:afterAutospacing="0"/>
              <w:rPr>
                <w:sz w:val="15"/>
                <w:szCs w:val="15"/>
              </w:rPr>
            </w:pPr>
            <w:r>
              <w:rPr>
                <w:sz w:val="15"/>
                <w:szCs w:val="15"/>
              </w:rPr>
              <w:t> </w:t>
            </w:r>
          </w:p>
        </w:tc>
        <w:tc>
          <w:tcPr>
            <w:tcW w:w="0" w:type="auto"/>
            <w:hideMark/>
          </w:tcPr>
          <w:p w:rsidR="00000000" w:rsidRDefault="00F83A7A">
            <w:pPr>
              <w:pStyle w:val="a3"/>
              <w:spacing w:before="0" w:beforeAutospacing="0" w:after="0" w:afterAutospacing="0"/>
              <w:jc w:val="center"/>
              <w:rPr>
                <w:sz w:val="20"/>
                <w:szCs w:val="20"/>
              </w:rPr>
            </w:pPr>
            <w:r>
              <w:rPr>
                <w:sz w:val="20"/>
                <w:szCs w:val="20"/>
              </w:rPr>
              <w:t>March 15, 202</w:t>
            </w:r>
            <w:r>
              <w:rPr>
                <w:sz w:val="20"/>
                <w:szCs w:val="20"/>
              </w:rPr>
              <w:t>2</w:t>
            </w:r>
          </w:p>
        </w:tc>
      </w:tr>
      <w:tr w:rsidR="00000000">
        <w:trPr>
          <w:trHeight w:val="158"/>
          <w:tblCellSpacing w:w="15" w:type="dxa"/>
        </w:trPr>
        <w:tc>
          <w:tcPr>
            <w:tcW w:w="0" w:type="auto"/>
            <w:vAlign w:val="center"/>
            <w:hideMark/>
          </w:tcPr>
          <w:p w:rsidR="00000000" w:rsidRDefault="00F83A7A">
            <w:pPr>
              <w:pStyle w:val="a3"/>
              <w:spacing w:before="0" w:beforeAutospacing="0" w:after="0" w:afterAutospacing="0"/>
              <w:jc w:val="center"/>
              <w:rPr>
                <w:sz w:val="12"/>
                <w:szCs w:val="12"/>
              </w:rPr>
            </w:pPr>
            <w:r>
              <w:rPr>
                <w:sz w:val="12"/>
                <w:szCs w:val="12"/>
              </w:rPr>
              <w:t> </w:t>
            </w:r>
          </w:p>
        </w:tc>
        <w:tc>
          <w:tcPr>
            <w:tcW w:w="0" w:type="auto"/>
            <w:gridSpan w:val="2"/>
            <w:vAlign w:val="center"/>
            <w:hideMark/>
          </w:tcPr>
          <w:p w:rsidR="00000000" w:rsidRDefault="00F83A7A">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F83A7A">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F83A7A">
            <w:pPr>
              <w:pStyle w:val="a3"/>
              <w:spacing w:before="0" w:beforeAutospacing="0" w:after="0" w:afterAutospacing="0"/>
              <w:jc w:val="center"/>
              <w:rPr>
                <w:sz w:val="20"/>
                <w:szCs w:val="20"/>
              </w:rPr>
            </w:pPr>
            <w:r>
              <w:rPr>
                <w:sz w:val="20"/>
                <w:szCs w:val="20"/>
              </w:rPr>
              <w:t>/s/ Karen Bernstein, Ph</w:t>
            </w:r>
            <w:r>
              <w:rPr>
                <w:sz w:val="20"/>
                <w:szCs w:val="20"/>
              </w:rPr>
              <w:t>D</w:t>
            </w:r>
          </w:p>
          <w:p w:rsidR="00000000" w:rsidRDefault="00F83A7A">
            <w:pPr>
              <w:pStyle w:val="a3"/>
              <w:spacing w:before="0" w:beforeAutospacing="0" w:after="10" w:afterAutospacing="0"/>
              <w:jc w:val="center"/>
              <w:rPr>
                <w:sz w:val="20"/>
                <w:szCs w:val="20"/>
              </w:rPr>
            </w:pPr>
            <w:r>
              <w:rPr>
                <w:sz w:val="20"/>
                <w:szCs w:val="20"/>
              </w:rPr>
              <w:t>Karen Bernstein, Ph</w:t>
            </w:r>
            <w:r>
              <w:rPr>
                <w:sz w:val="20"/>
                <w:szCs w:val="20"/>
              </w:rPr>
              <w:t>D</w:t>
            </w:r>
          </w:p>
        </w:tc>
        <w:tc>
          <w:tcPr>
            <w:tcW w:w="0" w:type="auto"/>
            <w:vAlign w:val="bottom"/>
            <w:hideMark/>
          </w:tcPr>
          <w:p w:rsidR="00000000" w:rsidRDefault="00F83A7A">
            <w:pPr>
              <w:pStyle w:val="a3"/>
              <w:spacing w:before="0" w:beforeAutospacing="0" w:after="0" w:afterAutospacing="0"/>
              <w:rPr>
                <w:sz w:val="15"/>
                <w:szCs w:val="15"/>
              </w:rPr>
            </w:pPr>
            <w:r>
              <w:rPr>
                <w:sz w:val="15"/>
                <w:szCs w:val="15"/>
              </w:rPr>
              <w:t> </w:t>
            </w:r>
          </w:p>
        </w:tc>
        <w:tc>
          <w:tcPr>
            <w:tcW w:w="0" w:type="auto"/>
            <w:hideMark/>
          </w:tcPr>
          <w:p w:rsidR="00000000" w:rsidRDefault="00F83A7A">
            <w:pPr>
              <w:pStyle w:val="a3"/>
              <w:spacing w:before="0" w:beforeAutospacing="0" w:after="0" w:afterAutospacing="0"/>
              <w:jc w:val="center"/>
              <w:rPr>
                <w:sz w:val="20"/>
                <w:szCs w:val="20"/>
              </w:rPr>
            </w:pPr>
            <w:r>
              <w:rPr>
                <w:sz w:val="20"/>
                <w:szCs w:val="20"/>
              </w:rPr>
              <w:t>Directo</w:t>
            </w:r>
            <w:r>
              <w:rPr>
                <w:sz w:val="20"/>
                <w:szCs w:val="20"/>
              </w:rPr>
              <w:t>r</w:t>
            </w:r>
          </w:p>
        </w:tc>
        <w:tc>
          <w:tcPr>
            <w:tcW w:w="0" w:type="auto"/>
            <w:vAlign w:val="bottom"/>
            <w:hideMark/>
          </w:tcPr>
          <w:p w:rsidR="00000000" w:rsidRDefault="00F83A7A">
            <w:pPr>
              <w:pStyle w:val="a3"/>
              <w:spacing w:before="0" w:beforeAutospacing="0" w:after="0" w:afterAutospacing="0"/>
              <w:rPr>
                <w:sz w:val="15"/>
                <w:szCs w:val="15"/>
              </w:rPr>
            </w:pPr>
            <w:r>
              <w:rPr>
                <w:sz w:val="15"/>
                <w:szCs w:val="15"/>
              </w:rPr>
              <w:t> </w:t>
            </w:r>
          </w:p>
        </w:tc>
        <w:tc>
          <w:tcPr>
            <w:tcW w:w="0" w:type="auto"/>
            <w:hideMark/>
          </w:tcPr>
          <w:p w:rsidR="00000000" w:rsidRDefault="00F83A7A">
            <w:pPr>
              <w:pStyle w:val="a3"/>
              <w:spacing w:before="0" w:beforeAutospacing="0" w:after="0" w:afterAutospacing="0"/>
              <w:jc w:val="center"/>
              <w:rPr>
                <w:sz w:val="20"/>
                <w:szCs w:val="20"/>
              </w:rPr>
            </w:pPr>
            <w:r>
              <w:rPr>
                <w:sz w:val="20"/>
                <w:szCs w:val="20"/>
              </w:rPr>
              <w:t>March 15, 202</w:t>
            </w:r>
            <w:r>
              <w:rPr>
                <w:sz w:val="20"/>
                <w:szCs w:val="20"/>
              </w:rPr>
              <w:t>2</w:t>
            </w:r>
          </w:p>
        </w:tc>
      </w:tr>
      <w:tr w:rsidR="00000000">
        <w:trPr>
          <w:tblCellSpacing w:w="15" w:type="dxa"/>
        </w:trPr>
        <w:tc>
          <w:tcPr>
            <w:tcW w:w="0" w:type="auto"/>
            <w:hideMark/>
          </w:tcPr>
          <w:p w:rsidR="00000000" w:rsidRDefault="00F83A7A">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hideMark/>
          </w:tcPr>
          <w:p w:rsidR="00000000" w:rsidRDefault="00F83A7A">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jc w:val="center"/>
              <w:rPr>
                <w:sz w:val="12"/>
                <w:szCs w:val="12"/>
              </w:rPr>
            </w:pPr>
            <w:r>
              <w:rPr>
                <w:sz w:val="12"/>
                <w:szCs w:val="12"/>
              </w:rPr>
              <w:t> </w:t>
            </w:r>
          </w:p>
        </w:tc>
        <w:tc>
          <w:tcPr>
            <w:tcW w:w="0" w:type="auto"/>
            <w:hideMark/>
          </w:tcPr>
          <w:p w:rsidR="00000000" w:rsidRDefault="00F83A7A">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F83A7A">
            <w:pPr>
              <w:pStyle w:val="a3"/>
              <w:pBdr>
                <w:bottom w:val="single" w:sz="2" w:space="0" w:color="auto"/>
              </w:pBdr>
              <w:spacing w:before="0" w:beforeAutospacing="0" w:after="0" w:afterAutospacing="0"/>
              <w:jc w:val="center"/>
              <w:rPr>
                <w:sz w:val="20"/>
                <w:szCs w:val="20"/>
              </w:rPr>
            </w:pPr>
            <w:r>
              <w:rPr>
                <w:sz w:val="20"/>
                <w:szCs w:val="20"/>
              </w:rPr>
              <w:t>/s/ Barbara Dunca</w:t>
            </w:r>
            <w:r>
              <w:rPr>
                <w:sz w:val="20"/>
                <w:szCs w:val="20"/>
              </w:rPr>
              <w:t>n</w:t>
            </w:r>
          </w:p>
        </w:tc>
        <w:tc>
          <w:tcPr>
            <w:tcW w:w="0" w:type="auto"/>
            <w:vAlign w:val="bottom"/>
            <w:hideMark/>
          </w:tcPr>
          <w:p w:rsidR="00000000" w:rsidRDefault="00F83A7A">
            <w:pPr>
              <w:pStyle w:val="a3"/>
              <w:spacing w:before="0" w:beforeAutospacing="0" w:after="0" w:afterAutospacing="0"/>
              <w:rPr>
                <w:sz w:val="15"/>
                <w:szCs w:val="15"/>
              </w:rPr>
            </w:pPr>
            <w:r>
              <w:rPr>
                <w:sz w:val="15"/>
                <w:szCs w:val="15"/>
              </w:rPr>
              <w:t> </w:t>
            </w:r>
          </w:p>
        </w:tc>
        <w:tc>
          <w:tcPr>
            <w:tcW w:w="0" w:type="auto"/>
            <w:vMerge w:val="restart"/>
            <w:hideMark/>
          </w:tcPr>
          <w:p w:rsidR="00000000" w:rsidRDefault="00F83A7A">
            <w:pPr>
              <w:pStyle w:val="a3"/>
              <w:spacing w:before="0" w:beforeAutospacing="0" w:after="0" w:afterAutospacing="0"/>
              <w:jc w:val="center"/>
              <w:rPr>
                <w:sz w:val="20"/>
                <w:szCs w:val="20"/>
              </w:rPr>
            </w:pPr>
            <w:r>
              <w:rPr>
                <w:sz w:val="20"/>
                <w:szCs w:val="20"/>
              </w:rPr>
              <w:t>Directo</w:t>
            </w:r>
            <w:r>
              <w:rPr>
                <w:sz w:val="20"/>
                <w:szCs w:val="20"/>
              </w:rPr>
              <w:t>r</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Merge w:val="restart"/>
            <w:hideMark/>
          </w:tcPr>
          <w:p w:rsidR="00000000" w:rsidRDefault="00F83A7A">
            <w:pPr>
              <w:pStyle w:val="a3"/>
              <w:spacing w:before="0" w:beforeAutospacing="0" w:after="0" w:afterAutospacing="0"/>
              <w:jc w:val="center"/>
              <w:rPr>
                <w:sz w:val="20"/>
                <w:szCs w:val="20"/>
              </w:rPr>
            </w:pPr>
            <w:r>
              <w:rPr>
                <w:sz w:val="20"/>
                <w:szCs w:val="20"/>
              </w:rPr>
              <w:t>March 15, 202</w:t>
            </w:r>
            <w:r>
              <w:rPr>
                <w:sz w:val="20"/>
                <w:szCs w:val="20"/>
              </w:rPr>
              <w:t>2</w:t>
            </w:r>
          </w:p>
        </w:tc>
      </w:tr>
      <w:tr w:rsidR="00000000">
        <w:trPr>
          <w:trHeight w:val="200"/>
          <w:tblCellSpacing w:w="15" w:type="dxa"/>
        </w:trPr>
        <w:tc>
          <w:tcPr>
            <w:tcW w:w="0" w:type="auto"/>
            <w:hideMark/>
          </w:tcPr>
          <w:p w:rsidR="00000000" w:rsidRDefault="00F83A7A">
            <w:pPr>
              <w:pStyle w:val="a3"/>
              <w:spacing w:before="0" w:beforeAutospacing="0" w:after="10" w:afterAutospacing="0"/>
              <w:jc w:val="center"/>
              <w:rPr>
                <w:sz w:val="20"/>
                <w:szCs w:val="20"/>
              </w:rPr>
            </w:pPr>
            <w:r>
              <w:rPr>
                <w:sz w:val="20"/>
                <w:szCs w:val="20"/>
              </w:rPr>
              <w:t>Barbara Dunca</w:t>
            </w:r>
            <w:r>
              <w:rPr>
                <w:sz w:val="20"/>
                <w:szCs w:val="20"/>
              </w:rPr>
              <w:t>n</w:t>
            </w:r>
          </w:p>
        </w:tc>
        <w:tc>
          <w:tcPr>
            <w:tcW w:w="0" w:type="auto"/>
            <w:vAlign w:val="bottom"/>
            <w:hideMark/>
          </w:tcPr>
          <w:p w:rsidR="00000000" w:rsidRDefault="00F83A7A">
            <w:pPr>
              <w:pStyle w:val="a3"/>
              <w:spacing w:before="0" w:beforeAutospacing="0" w:after="0" w:afterAutospacing="0"/>
              <w:rPr>
                <w:sz w:val="15"/>
                <w:szCs w:val="15"/>
              </w:rPr>
            </w:pPr>
            <w:r>
              <w:rPr>
                <w:sz w:val="15"/>
                <w:szCs w:val="15"/>
              </w:rPr>
              <w:t> </w:t>
            </w:r>
          </w:p>
        </w:tc>
        <w:tc>
          <w:tcPr>
            <w:tcW w:w="0" w:type="auto"/>
            <w:vMerge/>
            <w:vAlign w:val="center"/>
            <w:hideMark/>
          </w:tcPr>
          <w:p w:rsidR="00000000" w:rsidRDefault="00F83A7A">
            <w:pPr>
              <w:rPr>
                <w:sz w:val="20"/>
                <w:szCs w:val="20"/>
              </w:rPr>
            </w:pP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Merge/>
            <w:vAlign w:val="center"/>
            <w:hideMark/>
          </w:tcPr>
          <w:p w:rsidR="00000000" w:rsidRDefault="00F83A7A">
            <w:pPr>
              <w:rPr>
                <w:sz w:val="20"/>
                <w:szCs w:val="20"/>
              </w:rPr>
            </w:pPr>
          </w:p>
        </w:tc>
      </w:tr>
      <w:tr w:rsidR="00000000">
        <w:trPr>
          <w:tblCellSpacing w:w="15" w:type="dxa"/>
        </w:trPr>
        <w:tc>
          <w:tcPr>
            <w:tcW w:w="0" w:type="auto"/>
            <w:hideMark/>
          </w:tcPr>
          <w:p w:rsidR="00000000" w:rsidRDefault="00F83A7A">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hideMark/>
          </w:tcPr>
          <w:p w:rsidR="00000000" w:rsidRDefault="00F83A7A">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jc w:val="center"/>
              <w:rPr>
                <w:sz w:val="12"/>
                <w:szCs w:val="12"/>
              </w:rPr>
            </w:pPr>
            <w:r>
              <w:rPr>
                <w:sz w:val="12"/>
                <w:szCs w:val="12"/>
              </w:rPr>
              <w:t> </w:t>
            </w:r>
          </w:p>
        </w:tc>
        <w:tc>
          <w:tcPr>
            <w:tcW w:w="0" w:type="auto"/>
            <w:hideMark/>
          </w:tcPr>
          <w:p w:rsidR="00000000" w:rsidRDefault="00F83A7A">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F83A7A">
            <w:pPr>
              <w:pStyle w:val="a3"/>
              <w:pBdr>
                <w:bottom w:val="single" w:sz="6" w:space="1" w:color="auto"/>
              </w:pBdr>
              <w:spacing w:before="0" w:beforeAutospacing="0" w:after="0" w:afterAutospacing="0"/>
              <w:jc w:val="center"/>
              <w:rPr>
                <w:sz w:val="20"/>
                <w:szCs w:val="20"/>
              </w:rPr>
            </w:pPr>
            <w:r>
              <w:rPr>
                <w:sz w:val="20"/>
                <w:szCs w:val="20"/>
              </w:rPr>
              <w:t>/s/ Bart Friedma</w:t>
            </w:r>
            <w:r>
              <w:rPr>
                <w:sz w:val="20"/>
                <w:szCs w:val="20"/>
              </w:rPr>
              <w:t>n</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Merge w:val="restart"/>
            <w:hideMark/>
          </w:tcPr>
          <w:p w:rsidR="00000000" w:rsidRDefault="00F83A7A">
            <w:pPr>
              <w:pStyle w:val="a3"/>
              <w:spacing w:before="0" w:beforeAutospacing="0" w:after="0" w:afterAutospacing="0"/>
              <w:jc w:val="center"/>
              <w:rPr>
                <w:sz w:val="20"/>
                <w:szCs w:val="20"/>
              </w:rPr>
            </w:pPr>
            <w:r>
              <w:rPr>
                <w:sz w:val="20"/>
                <w:szCs w:val="20"/>
              </w:rPr>
              <w:t>Directo</w:t>
            </w:r>
            <w:r>
              <w:rPr>
                <w:sz w:val="20"/>
                <w:szCs w:val="20"/>
              </w:rPr>
              <w:t>r</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Merge w:val="restart"/>
            <w:hideMark/>
          </w:tcPr>
          <w:p w:rsidR="00000000" w:rsidRDefault="00F83A7A">
            <w:pPr>
              <w:pStyle w:val="a3"/>
              <w:spacing w:before="0" w:beforeAutospacing="0" w:after="0" w:afterAutospacing="0"/>
              <w:jc w:val="center"/>
              <w:rPr>
                <w:sz w:val="20"/>
                <w:szCs w:val="20"/>
              </w:rPr>
            </w:pPr>
            <w:r>
              <w:rPr>
                <w:sz w:val="20"/>
                <w:szCs w:val="20"/>
              </w:rPr>
              <w:t>March 15, 202</w:t>
            </w:r>
            <w:r>
              <w:rPr>
                <w:sz w:val="20"/>
                <w:szCs w:val="20"/>
              </w:rPr>
              <w:t>2</w:t>
            </w:r>
          </w:p>
        </w:tc>
      </w:tr>
      <w:tr w:rsidR="00000000">
        <w:trPr>
          <w:trHeight w:val="200"/>
          <w:tblCellSpacing w:w="15" w:type="dxa"/>
        </w:trPr>
        <w:tc>
          <w:tcPr>
            <w:tcW w:w="0" w:type="auto"/>
            <w:hideMark/>
          </w:tcPr>
          <w:p w:rsidR="00000000" w:rsidRDefault="00F83A7A">
            <w:pPr>
              <w:pStyle w:val="a3"/>
              <w:spacing w:before="0" w:beforeAutospacing="0" w:after="0" w:afterAutospacing="0"/>
              <w:jc w:val="center"/>
              <w:rPr>
                <w:sz w:val="20"/>
                <w:szCs w:val="20"/>
              </w:rPr>
            </w:pPr>
            <w:r>
              <w:rPr>
                <w:sz w:val="20"/>
                <w:szCs w:val="20"/>
              </w:rPr>
              <w:t>Bart Friedma</w:t>
            </w:r>
            <w:r>
              <w:rPr>
                <w:sz w:val="20"/>
                <w:szCs w:val="20"/>
              </w:rPr>
              <w:t>n</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Merge/>
            <w:vAlign w:val="center"/>
            <w:hideMark/>
          </w:tcPr>
          <w:p w:rsidR="00000000" w:rsidRDefault="00F83A7A">
            <w:pPr>
              <w:rPr>
                <w:sz w:val="20"/>
                <w:szCs w:val="20"/>
              </w:rPr>
            </w:pP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Merge/>
            <w:vAlign w:val="center"/>
            <w:hideMark/>
          </w:tcPr>
          <w:p w:rsidR="00000000" w:rsidRDefault="00F83A7A">
            <w:pPr>
              <w:rPr>
                <w:sz w:val="20"/>
                <w:szCs w:val="20"/>
              </w:rPr>
            </w:pPr>
          </w:p>
        </w:tc>
      </w:tr>
      <w:tr w:rsidR="00000000">
        <w:trPr>
          <w:tblCellSpacing w:w="15" w:type="dxa"/>
        </w:trPr>
        <w:tc>
          <w:tcPr>
            <w:tcW w:w="0" w:type="auto"/>
            <w:hideMark/>
          </w:tcPr>
          <w:p w:rsidR="00000000" w:rsidRDefault="00F83A7A">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hideMark/>
          </w:tcPr>
          <w:p w:rsidR="00000000" w:rsidRDefault="00F83A7A">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jc w:val="center"/>
              <w:rPr>
                <w:sz w:val="12"/>
                <w:szCs w:val="12"/>
              </w:rPr>
            </w:pPr>
            <w:r>
              <w:rPr>
                <w:sz w:val="12"/>
                <w:szCs w:val="12"/>
              </w:rPr>
              <w:t> </w:t>
            </w:r>
          </w:p>
        </w:tc>
        <w:tc>
          <w:tcPr>
            <w:tcW w:w="0" w:type="auto"/>
            <w:hideMark/>
          </w:tcPr>
          <w:p w:rsidR="00000000" w:rsidRDefault="00F83A7A">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F83A7A">
            <w:pPr>
              <w:pStyle w:val="a3"/>
              <w:spacing w:before="0" w:beforeAutospacing="0" w:after="0" w:afterAutospacing="0"/>
              <w:jc w:val="center"/>
              <w:rPr>
                <w:sz w:val="20"/>
                <w:szCs w:val="20"/>
              </w:rPr>
            </w:pPr>
            <w:r>
              <w:rPr>
                <w:sz w:val="20"/>
                <w:szCs w:val="20"/>
              </w:rPr>
              <w:t>/s/ Kevin Fitzgerald, Ph</w:t>
            </w:r>
            <w:r>
              <w:rPr>
                <w:sz w:val="20"/>
                <w:szCs w:val="20"/>
              </w:rPr>
              <w:t>D</w:t>
            </w:r>
          </w:p>
        </w:tc>
        <w:tc>
          <w:tcPr>
            <w:tcW w:w="0" w:type="auto"/>
            <w:vAlign w:val="bottom"/>
            <w:hideMark/>
          </w:tcPr>
          <w:p w:rsidR="00000000" w:rsidRDefault="00F83A7A">
            <w:pPr>
              <w:pStyle w:val="a3"/>
              <w:spacing w:before="0" w:beforeAutospacing="0" w:after="0" w:afterAutospacing="0"/>
              <w:rPr>
                <w:sz w:val="15"/>
                <w:szCs w:val="15"/>
              </w:rPr>
            </w:pPr>
            <w:r>
              <w:rPr>
                <w:sz w:val="15"/>
                <w:szCs w:val="15"/>
              </w:rPr>
              <w:t> </w:t>
            </w:r>
          </w:p>
        </w:tc>
        <w:tc>
          <w:tcPr>
            <w:tcW w:w="0" w:type="auto"/>
            <w:vMerge w:val="restart"/>
            <w:hideMark/>
          </w:tcPr>
          <w:p w:rsidR="00000000" w:rsidRDefault="00F83A7A">
            <w:pPr>
              <w:pStyle w:val="a3"/>
              <w:spacing w:before="0" w:beforeAutospacing="0" w:after="0" w:afterAutospacing="0"/>
              <w:jc w:val="center"/>
              <w:rPr>
                <w:sz w:val="20"/>
                <w:szCs w:val="20"/>
              </w:rPr>
            </w:pPr>
            <w:r>
              <w:rPr>
                <w:sz w:val="20"/>
                <w:szCs w:val="20"/>
              </w:rPr>
              <w:t>Directo</w:t>
            </w:r>
            <w:r>
              <w:rPr>
                <w:sz w:val="20"/>
                <w:szCs w:val="20"/>
              </w:rPr>
              <w:t>r</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Merge w:val="restart"/>
            <w:hideMark/>
          </w:tcPr>
          <w:p w:rsidR="00000000" w:rsidRDefault="00F83A7A">
            <w:pPr>
              <w:pStyle w:val="a3"/>
              <w:spacing w:before="0" w:beforeAutospacing="0" w:after="0" w:afterAutospacing="0"/>
              <w:jc w:val="center"/>
              <w:rPr>
                <w:sz w:val="20"/>
                <w:szCs w:val="20"/>
              </w:rPr>
            </w:pPr>
            <w:r>
              <w:rPr>
                <w:sz w:val="20"/>
                <w:szCs w:val="20"/>
              </w:rPr>
              <w:t>March 15, 202</w:t>
            </w:r>
            <w:r>
              <w:rPr>
                <w:sz w:val="20"/>
                <w:szCs w:val="20"/>
              </w:rPr>
              <w:t>2</w:t>
            </w:r>
          </w:p>
        </w:tc>
      </w:tr>
      <w:tr w:rsidR="00000000">
        <w:trPr>
          <w:trHeight w:val="200"/>
          <w:tblCellSpacing w:w="15" w:type="dxa"/>
        </w:trPr>
        <w:tc>
          <w:tcPr>
            <w:tcW w:w="0" w:type="auto"/>
            <w:hideMark/>
          </w:tcPr>
          <w:p w:rsidR="00000000" w:rsidRDefault="00F83A7A">
            <w:pPr>
              <w:pStyle w:val="a3"/>
              <w:spacing w:before="0" w:beforeAutospacing="0" w:after="10" w:afterAutospacing="0"/>
              <w:jc w:val="center"/>
              <w:rPr>
                <w:sz w:val="20"/>
                <w:szCs w:val="20"/>
              </w:rPr>
            </w:pPr>
            <w:r>
              <w:rPr>
                <w:sz w:val="20"/>
                <w:szCs w:val="20"/>
              </w:rPr>
              <w:t>Kevin Fitzgerald, Ph</w:t>
            </w:r>
            <w:r>
              <w:rPr>
                <w:sz w:val="20"/>
                <w:szCs w:val="20"/>
              </w:rPr>
              <w:t>D</w:t>
            </w:r>
          </w:p>
        </w:tc>
        <w:tc>
          <w:tcPr>
            <w:tcW w:w="0" w:type="auto"/>
            <w:vAlign w:val="bottom"/>
            <w:hideMark/>
          </w:tcPr>
          <w:p w:rsidR="00000000" w:rsidRDefault="00F83A7A">
            <w:pPr>
              <w:pStyle w:val="a3"/>
              <w:spacing w:before="0" w:beforeAutospacing="0" w:after="0" w:afterAutospacing="0"/>
              <w:rPr>
                <w:sz w:val="15"/>
                <w:szCs w:val="15"/>
              </w:rPr>
            </w:pPr>
            <w:r>
              <w:rPr>
                <w:sz w:val="15"/>
                <w:szCs w:val="15"/>
              </w:rPr>
              <w:t> </w:t>
            </w:r>
          </w:p>
        </w:tc>
        <w:tc>
          <w:tcPr>
            <w:tcW w:w="0" w:type="auto"/>
            <w:vMerge/>
            <w:vAlign w:val="center"/>
            <w:hideMark/>
          </w:tcPr>
          <w:p w:rsidR="00000000" w:rsidRDefault="00F83A7A">
            <w:pPr>
              <w:rPr>
                <w:sz w:val="20"/>
                <w:szCs w:val="20"/>
              </w:rPr>
            </w:pP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Merge/>
            <w:vAlign w:val="center"/>
            <w:hideMark/>
          </w:tcPr>
          <w:p w:rsidR="00000000" w:rsidRDefault="00F83A7A">
            <w:pPr>
              <w:rPr>
                <w:sz w:val="20"/>
                <w:szCs w:val="20"/>
              </w:rPr>
            </w:pPr>
          </w:p>
        </w:tc>
      </w:tr>
      <w:tr w:rsidR="00000000">
        <w:trPr>
          <w:tblCellSpacing w:w="15" w:type="dxa"/>
        </w:trPr>
        <w:tc>
          <w:tcPr>
            <w:tcW w:w="0" w:type="auto"/>
            <w:hideMark/>
          </w:tcPr>
          <w:p w:rsidR="00000000" w:rsidRDefault="00F83A7A">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rPr>
                <w:sz w:val="12"/>
                <w:szCs w:val="12"/>
              </w:rPr>
            </w:pPr>
            <w:r>
              <w:rPr>
                <w:sz w:val="12"/>
                <w:szCs w:val="12"/>
              </w:rPr>
              <w:t> </w:t>
            </w:r>
          </w:p>
        </w:tc>
        <w:tc>
          <w:tcPr>
            <w:tcW w:w="0" w:type="auto"/>
            <w:hideMark/>
          </w:tcPr>
          <w:p w:rsidR="00000000" w:rsidRDefault="00F83A7A">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F83A7A">
            <w:pPr>
              <w:pStyle w:val="a3"/>
              <w:spacing w:before="0" w:beforeAutospacing="0" w:after="0" w:afterAutospacing="0"/>
              <w:jc w:val="center"/>
              <w:rPr>
                <w:sz w:val="12"/>
                <w:szCs w:val="12"/>
              </w:rPr>
            </w:pPr>
            <w:r>
              <w:rPr>
                <w:sz w:val="12"/>
                <w:szCs w:val="12"/>
              </w:rPr>
              <w:t> </w:t>
            </w:r>
          </w:p>
        </w:tc>
        <w:tc>
          <w:tcPr>
            <w:tcW w:w="0" w:type="auto"/>
            <w:hideMark/>
          </w:tcPr>
          <w:p w:rsidR="00000000" w:rsidRDefault="00F83A7A">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F83A7A">
            <w:pPr>
              <w:pStyle w:val="a3"/>
              <w:spacing w:before="0" w:beforeAutospacing="0" w:after="0" w:afterAutospacing="0"/>
              <w:jc w:val="center"/>
              <w:rPr>
                <w:sz w:val="20"/>
                <w:szCs w:val="20"/>
              </w:rPr>
            </w:pPr>
            <w:r>
              <w:rPr>
                <w:sz w:val="20"/>
                <w:szCs w:val="20"/>
              </w:rPr>
              <w:t>/s/ Michael Poole, MD, FAC</w:t>
            </w:r>
            <w:r>
              <w:rPr>
                <w:sz w:val="20"/>
                <w:szCs w:val="20"/>
              </w:rPr>
              <w:t>P</w:t>
            </w:r>
          </w:p>
        </w:tc>
        <w:tc>
          <w:tcPr>
            <w:tcW w:w="0" w:type="auto"/>
            <w:vAlign w:val="bottom"/>
            <w:hideMark/>
          </w:tcPr>
          <w:p w:rsidR="00000000" w:rsidRDefault="00F83A7A">
            <w:pPr>
              <w:pStyle w:val="a3"/>
              <w:spacing w:before="0" w:beforeAutospacing="0" w:after="0" w:afterAutospacing="0"/>
              <w:rPr>
                <w:sz w:val="15"/>
                <w:szCs w:val="15"/>
              </w:rPr>
            </w:pPr>
            <w:r>
              <w:rPr>
                <w:sz w:val="15"/>
                <w:szCs w:val="15"/>
              </w:rPr>
              <w:t> </w:t>
            </w:r>
          </w:p>
        </w:tc>
        <w:tc>
          <w:tcPr>
            <w:tcW w:w="0" w:type="auto"/>
            <w:vMerge w:val="restart"/>
            <w:hideMark/>
          </w:tcPr>
          <w:p w:rsidR="00000000" w:rsidRDefault="00F83A7A">
            <w:pPr>
              <w:pStyle w:val="a3"/>
              <w:spacing w:before="0" w:beforeAutospacing="0" w:after="0" w:afterAutospacing="0"/>
              <w:jc w:val="center"/>
              <w:rPr>
                <w:sz w:val="20"/>
                <w:szCs w:val="20"/>
              </w:rPr>
            </w:pPr>
            <w:r>
              <w:rPr>
                <w:sz w:val="20"/>
                <w:szCs w:val="20"/>
              </w:rPr>
              <w:t>Directo</w:t>
            </w:r>
            <w:r>
              <w:rPr>
                <w:sz w:val="20"/>
                <w:szCs w:val="20"/>
              </w:rPr>
              <w:t>r</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Merge w:val="restart"/>
            <w:hideMark/>
          </w:tcPr>
          <w:p w:rsidR="00000000" w:rsidRDefault="00F83A7A">
            <w:pPr>
              <w:pStyle w:val="a3"/>
              <w:spacing w:before="0" w:beforeAutospacing="0" w:after="0" w:afterAutospacing="0"/>
              <w:jc w:val="center"/>
              <w:rPr>
                <w:sz w:val="20"/>
                <w:szCs w:val="20"/>
              </w:rPr>
            </w:pPr>
            <w:r>
              <w:rPr>
                <w:sz w:val="20"/>
                <w:szCs w:val="20"/>
              </w:rPr>
              <w:t>March 15, 202</w:t>
            </w:r>
            <w:r>
              <w:rPr>
                <w:sz w:val="20"/>
                <w:szCs w:val="20"/>
              </w:rPr>
              <w:t>2</w:t>
            </w:r>
          </w:p>
        </w:tc>
      </w:tr>
      <w:tr w:rsidR="00000000">
        <w:trPr>
          <w:trHeight w:val="200"/>
          <w:tblCellSpacing w:w="15" w:type="dxa"/>
        </w:trPr>
        <w:tc>
          <w:tcPr>
            <w:tcW w:w="0" w:type="auto"/>
            <w:hideMark/>
          </w:tcPr>
          <w:p w:rsidR="00000000" w:rsidRDefault="00F83A7A">
            <w:pPr>
              <w:pStyle w:val="a3"/>
              <w:spacing w:before="0" w:beforeAutospacing="0" w:after="10" w:afterAutospacing="0"/>
              <w:jc w:val="center"/>
              <w:rPr>
                <w:sz w:val="20"/>
                <w:szCs w:val="20"/>
              </w:rPr>
            </w:pPr>
            <w:r>
              <w:rPr>
                <w:sz w:val="20"/>
                <w:szCs w:val="20"/>
              </w:rPr>
              <w:t>Michael Poole, MD, FAC</w:t>
            </w:r>
            <w:r>
              <w:rPr>
                <w:sz w:val="20"/>
                <w:szCs w:val="20"/>
              </w:rPr>
              <w:t>P</w:t>
            </w:r>
          </w:p>
        </w:tc>
        <w:tc>
          <w:tcPr>
            <w:tcW w:w="0" w:type="auto"/>
            <w:vAlign w:val="bottom"/>
            <w:hideMark/>
          </w:tcPr>
          <w:p w:rsidR="00000000" w:rsidRDefault="00F83A7A">
            <w:pPr>
              <w:pStyle w:val="a3"/>
              <w:spacing w:before="0" w:beforeAutospacing="0" w:after="0" w:afterAutospacing="0"/>
              <w:rPr>
                <w:sz w:val="15"/>
                <w:szCs w:val="15"/>
              </w:rPr>
            </w:pPr>
            <w:r>
              <w:rPr>
                <w:sz w:val="15"/>
                <w:szCs w:val="15"/>
              </w:rPr>
              <w:t> </w:t>
            </w:r>
          </w:p>
        </w:tc>
        <w:tc>
          <w:tcPr>
            <w:tcW w:w="0" w:type="auto"/>
            <w:vMerge/>
            <w:vAlign w:val="center"/>
            <w:hideMark/>
          </w:tcPr>
          <w:p w:rsidR="00000000" w:rsidRDefault="00F83A7A">
            <w:pPr>
              <w:rPr>
                <w:sz w:val="20"/>
                <w:szCs w:val="20"/>
              </w:rPr>
            </w:pP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Merge/>
            <w:vAlign w:val="center"/>
            <w:hideMark/>
          </w:tcPr>
          <w:p w:rsidR="00000000" w:rsidRDefault="00F83A7A">
            <w:pPr>
              <w:rPr>
                <w:sz w:val="20"/>
                <w:szCs w:val="20"/>
              </w:rPr>
            </w:pPr>
          </w:p>
        </w:tc>
      </w:tr>
    </w:tbl>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0" w:afterAutospacing="0"/>
        <w:rPr>
          <w:sz w:val="20"/>
          <w:szCs w:val="20"/>
        </w:rPr>
      </w:pPr>
      <w:r>
        <w:rPr>
          <w:sz w:val="20"/>
          <w:szCs w:val="20"/>
        </w:rPr>
        <w:t> </w:t>
      </w:r>
    </w:p>
    <w:p w:rsidR="00000000" w:rsidRDefault="00F83A7A">
      <w:pPr>
        <w:rPr>
          <w:rFonts w:eastAsia="Times New Roman"/>
        </w:rPr>
      </w:pPr>
      <w:r>
        <w:rPr>
          <w:rFonts w:eastAsia="Times New Roman"/>
        </w:rPr>
        <w:pict>
          <v:rect id="_x0000_i1096"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center"/>
        <w:rPr>
          <w:sz w:val="20"/>
          <w:szCs w:val="20"/>
        </w:rPr>
      </w:pPr>
      <w:r>
        <w:rPr>
          <w:b/>
          <w:bCs/>
          <w:sz w:val="20"/>
          <w:szCs w:val="20"/>
        </w:rPr>
        <w:t>OVID THERAPEUTICS INC</w:t>
      </w:r>
      <w:r>
        <w:rPr>
          <w:b/>
          <w:bCs/>
          <w:sz w:val="20"/>
          <w:szCs w:val="20"/>
        </w:rPr>
        <w:t>.</w:t>
      </w:r>
    </w:p>
    <w:p w:rsidR="00000000" w:rsidRDefault="00F83A7A">
      <w:pPr>
        <w:pStyle w:val="a3"/>
        <w:spacing w:before="200" w:beforeAutospacing="0" w:after="0" w:afterAutospacing="0"/>
        <w:jc w:val="center"/>
        <w:rPr>
          <w:sz w:val="20"/>
          <w:szCs w:val="20"/>
        </w:rPr>
      </w:pPr>
      <w:r>
        <w:rPr>
          <w:b/>
          <w:bCs/>
          <w:sz w:val="20"/>
          <w:szCs w:val="20"/>
        </w:rPr>
        <w:t>Index to Consolidated Financial Statement</w:t>
      </w:r>
      <w:r>
        <w:rPr>
          <w:b/>
          <w:bCs/>
          <w:sz w:val="20"/>
          <w:szCs w:val="20"/>
        </w:rPr>
        <w:t>s</w:t>
      </w:r>
    </w:p>
    <w:p w:rsidR="00000000" w:rsidRDefault="00F83A7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40"/>
        <w:gridCol w:w="112"/>
        <w:gridCol w:w="927"/>
        <w:gridCol w:w="127"/>
      </w:tblGrid>
      <w:tr w:rsidR="00000000">
        <w:trPr>
          <w:tblCellSpacing w:w="15" w:type="dxa"/>
        </w:trPr>
        <w:tc>
          <w:tcPr>
            <w:tcW w:w="4350" w:type="pct"/>
            <w:vAlign w:val="center"/>
            <w:hideMark/>
          </w:tcPr>
          <w:p w:rsidR="00000000" w:rsidRDefault="00F83A7A">
            <w:pPr>
              <w:rPr>
                <w:sz w:val="20"/>
                <w:szCs w:val="20"/>
              </w:rPr>
            </w:pPr>
          </w:p>
        </w:tc>
        <w:tc>
          <w:tcPr>
            <w:tcW w:w="50" w:type="pct"/>
            <w:vAlign w:val="center"/>
            <w:hideMark/>
          </w:tcPr>
          <w:p w:rsidR="00000000" w:rsidRDefault="00F83A7A">
            <w:pPr>
              <w:rPr>
                <w:rFonts w:eastAsia="Times New Roman"/>
                <w:sz w:val="20"/>
                <w:szCs w:val="20"/>
              </w:rPr>
            </w:pPr>
          </w:p>
        </w:tc>
        <w:tc>
          <w:tcPr>
            <w:tcW w:w="550" w:type="pct"/>
            <w:vAlign w:val="center"/>
            <w:hideMark/>
          </w:tcPr>
          <w:p w:rsidR="00000000" w:rsidRDefault="00F83A7A">
            <w:pPr>
              <w:rPr>
                <w:rFonts w:eastAsia="Times New Roman"/>
                <w:sz w:val="20"/>
                <w:szCs w:val="20"/>
              </w:rPr>
            </w:pPr>
          </w:p>
        </w:tc>
        <w:tc>
          <w:tcPr>
            <w:tcW w:w="50" w:type="pct"/>
            <w:vAlign w:val="center"/>
            <w:hideMark/>
          </w:tcPr>
          <w:p w:rsidR="00000000" w:rsidRDefault="00F83A7A">
            <w:pPr>
              <w:rPr>
                <w:rFonts w:eastAsia="Times New Roman"/>
                <w:sz w:val="20"/>
                <w:szCs w:val="20"/>
              </w:rPr>
            </w:pPr>
          </w:p>
        </w:tc>
      </w:tr>
      <w:tr w:rsidR="00000000">
        <w:trPr>
          <w:trHeight w:val="200"/>
          <w:tblCellSpacing w:w="15" w:type="dxa"/>
        </w:trPr>
        <w:tc>
          <w:tcPr>
            <w:tcW w:w="0" w:type="auto"/>
            <w:hideMark/>
          </w:tcPr>
          <w:p w:rsidR="00000000" w:rsidRDefault="00F83A7A">
            <w:pPr>
              <w:pStyle w:val="a3"/>
              <w:spacing w:before="0" w:beforeAutospacing="0" w:after="0" w:afterAutospacing="0"/>
              <w:rPr>
                <w:sz w:val="20"/>
                <w:szCs w:val="20"/>
              </w:rPr>
            </w:pPr>
            <w:hyperlink w:anchor="report_of_independent_registere" w:history="1">
              <w:r>
                <w:rPr>
                  <w:rStyle w:val="a4"/>
                  <w:sz w:val="20"/>
                  <w:szCs w:val="20"/>
                </w:rPr>
                <w:t>Report of Independent Registered Public Accounting Firm (KPMG LLP, New York, NY PCAOB ID:</w:t>
              </w:r>
              <w:r>
                <w:rPr>
                  <w:rStyle w:val="a4"/>
                  <w:sz w:val="20"/>
                  <w:szCs w:val="20"/>
                </w:rPr>
                <w:t xml:space="preserve"> </w:t>
              </w:r>
              <w:r>
                <w:rPr>
                  <w:rStyle w:val="a4"/>
                  <w:sz w:val="20"/>
                  <w:szCs w:val="20"/>
                </w:rPr>
                <w:t>18</w:t>
              </w:r>
              <w:r>
                <w:rPr>
                  <w:rStyle w:val="a4"/>
                  <w:sz w:val="20"/>
                  <w:szCs w:val="20"/>
                </w:rPr>
                <w:t>5</w:t>
              </w:r>
              <w:r>
                <w:rPr>
                  <w:rStyle w:val="a4"/>
                  <w:sz w:val="20"/>
                  <w:szCs w:val="20"/>
                </w:rPr>
                <w:t>)</w:t>
              </w:r>
            </w:hyperlink>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F</w:t>
            </w:r>
            <w:r>
              <w:rPr>
                <w:sz w:val="20"/>
                <w:szCs w:val="20"/>
              </w:rPr>
              <w:t>-</w:t>
            </w:r>
            <w:r>
              <w:rPr>
                <w:sz w:val="20"/>
                <w:szCs w:val="20"/>
              </w:rPr>
              <w:t>2</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F83A7A">
            <w:pPr>
              <w:pStyle w:val="a3"/>
              <w:spacing w:before="0" w:beforeAutospacing="0" w:after="0" w:afterAutospacing="0"/>
              <w:rPr>
                <w:sz w:val="20"/>
                <w:szCs w:val="20"/>
              </w:rPr>
            </w:pPr>
            <w:hyperlink w:anchor="condensed_balance_sheets_unaudited" w:history="1">
              <w:r>
                <w:rPr>
                  <w:rStyle w:val="a4"/>
                  <w:sz w:val="20"/>
                  <w:szCs w:val="20"/>
                </w:rPr>
                <w:t>Consolidated Balance Sheet</w:t>
              </w:r>
              <w:r>
                <w:rPr>
                  <w:rStyle w:val="a4"/>
                  <w:sz w:val="20"/>
                  <w:szCs w:val="20"/>
                </w:rPr>
                <w:t>s</w:t>
              </w:r>
            </w:hyperlink>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F</w:t>
            </w:r>
            <w:r>
              <w:rPr>
                <w:sz w:val="20"/>
                <w:szCs w:val="20"/>
              </w:rPr>
              <w:t>-</w:t>
            </w:r>
            <w:r>
              <w:rPr>
                <w:sz w:val="20"/>
                <w:szCs w:val="20"/>
              </w:rPr>
              <w:t>3</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F83A7A">
            <w:pPr>
              <w:pStyle w:val="a3"/>
              <w:spacing w:before="0" w:beforeAutospacing="0" w:after="0" w:afterAutospacing="0"/>
              <w:rPr>
                <w:sz w:val="20"/>
                <w:szCs w:val="20"/>
              </w:rPr>
            </w:pPr>
            <w:hyperlink w:anchor="condensed_statements_operations_compreh" w:history="1">
              <w:r>
                <w:rPr>
                  <w:rStyle w:val="a4"/>
                  <w:sz w:val="20"/>
                  <w:szCs w:val="20"/>
                </w:rPr>
                <w:t>Consolidated Statements of Operation</w:t>
              </w:r>
              <w:r>
                <w:rPr>
                  <w:rStyle w:val="a4"/>
                  <w:sz w:val="20"/>
                  <w:szCs w:val="20"/>
                </w:rPr>
                <w:t>s</w:t>
              </w:r>
            </w:hyperlink>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F</w:t>
            </w:r>
            <w:r>
              <w:rPr>
                <w:sz w:val="20"/>
                <w:szCs w:val="20"/>
              </w:rPr>
              <w:t>-</w:t>
            </w:r>
            <w:r>
              <w:rPr>
                <w:sz w:val="20"/>
                <w:szCs w:val="20"/>
              </w:rPr>
              <w:t>4</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F83A7A">
            <w:pPr>
              <w:pStyle w:val="a3"/>
              <w:spacing w:before="0" w:beforeAutospacing="0" w:after="0" w:afterAutospacing="0"/>
              <w:rPr>
                <w:sz w:val="20"/>
                <w:szCs w:val="20"/>
              </w:rPr>
            </w:pPr>
            <w:hyperlink w:anchor="csofcl" w:history="1">
              <w:r>
                <w:rPr>
                  <w:rStyle w:val="a4"/>
                  <w:sz w:val="20"/>
                  <w:szCs w:val="20"/>
                </w:rPr>
                <w:t>Consolidated Statements of Comprehensive Income (Loss</w:t>
              </w:r>
              <w:r>
                <w:rPr>
                  <w:rStyle w:val="a4"/>
                  <w:sz w:val="20"/>
                  <w:szCs w:val="20"/>
                </w:rPr>
                <w:t>)</w:t>
              </w:r>
            </w:hyperlink>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F</w:t>
            </w:r>
            <w:r>
              <w:rPr>
                <w:sz w:val="20"/>
                <w:szCs w:val="20"/>
              </w:rPr>
              <w:t>-</w:t>
            </w:r>
            <w:r>
              <w:rPr>
                <w:sz w:val="20"/>
                <w:szCs w:val="20"/>
              </w:rPr>
              <w:t>5</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F83A7A">
            <w:pPr>
              <w:pStyle w:val="a3"/>
              <w:spacing w:before="0" w:beforeAutospacing="0" w:after="0" w:afterAutospacing="0"/>
              <w:rPr>
                <w:sz w:val="20"/>
                <w:szCs w:val="20"/>
              </w:rPr>
            </w:pPr>
            <w:hyperlink w:anchor="condensed_statement_changes_in_stockhol" w:history="1">
              <w:r>
                <w:rPr>
                  <w:rStyle w:val="a4"/>
                  <w:sz w:val="20"/>
                  <w:szCs w:val="20"/>
                </w:rPr>
                <w:t>Consolidated Statements of Changes in Stockholders’ Equit</w:t>
              </w:r>
              <w:r>
                <w:rPr>
                  <w:rStyle w:val="a4"/>
                  <w:sz w:val="20"/>
                  <w:szCs w:val="20"/>
                </w:rPr>
                <w:t>y</w:t>
              </w:r>
            </w:hyperlink>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F</w:t>
            </w:r>
            <w:r>
              <w:rPr>
                <w:sz w:val="20"/>
                <w:szCs w:val="20"/>
              </w:rPr>
              <w:t>-</w:t>
            </w:r>
            <w:r>
              <w:rPr>
                <w:sz w:val="20"/>
                <w:szCs w:val="20"/>
              </w:rPr>
              <w:t>6</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r>
      <w:tr w:rsidR="00000000">
        <w:trPr>
          <w:trHeight w:val="115"/>
          <w:tblCellSpacing w:w="15" w:type="dxa"/>
        </w:trPr>
        <w:tc>
          <w:tcPr>
            <w:tcW w:w="0" w:type="auto"/>
            <w:vAlign w:val="bottom"/>
            <w:hideMark/>
          </w:tcPr>
          <w:p w:rsidR="00000000" w:rsidRDefault="00F83A7A">
            <w:pPr>
              <w:pStyle w:val="a3"/>
              <w:spacing w:before="0" w:beforeAutospacing="0" w:after="0" w:afterAutospacing="0"/>
              <w:rPr>
                <w:sz w:val="20"/>
                <w:szCs w:val="20"/>
              </w:rPr>
            </w:pPr>
            <w:hyperlink w:anchor="condensed_statements_cash_flows_unaudit" w:history="1">
              <w:r>
                <w:rPr>
                  <w:rStyle w:val="a4"/>
                  <w:sz w:val="20"/>
                  <w:szCs w:val="20"/>
                </w:rPr>
                <w:t>Consolidated Statements of Cash Flow</w:t>
              </w:r>
              <w:r>
                <w:rPr>
                  <w:rStyle w:val="a4"/>
                  <w:sz w:val="20"/>
                  <w:szCs w:val="20"/>
                </w:rPr>
                <w:t>s</w:t>
              </w:r>
            </w:hyperlink>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F</w:t>
            </w:r>
            <w:r>
              <w:rPr>
                <w:sz w:val="20"/>
                <w:szCs w:val="20"/>
              </w:rPr>
              <w:t>-</w:t>
            </w:r>
            <w:r>
              <w:rPr>
                <w:sz w:val="20"/>
                <w:szCs w:val="20"/>
              </w:rPr>
              <w:t>7</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F83A7A">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w:t>
              </w:r>
              <w:r>
                <w:rPr>
                  <w:rStyle w:val="a4"/>
                  <w:sz w:val="20"/>
                  <w:szCs w:val="20"/>
                </w:rPr>
                <w:t>s</w:t>
              </w:r>
            </w:hyperlink>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F</w:t>
            </w:r>
            <w:r>
              <w:rPr>
                <w:sz w:val="20"/>
                <w:szCs w:val="20"/>
              </w:rPr>
              <w:t>-</w:t>
            </w:r>
            <w:r>
              <w:rPr>
                <w:sz w:val="20"/>
                <w:szCs w:val="20"/>
              </w:rPr>
              <w:t>8</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r>
    </w:tbl>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93" w:beforeAutospacing="0" w:after="0" w:afterAutospacing="0"/>
        <w:jc w:val="center"/>
        <w:rPr>
          <w:sz w:val="20"/>
          <w:szCs w:val="20"/>
        </w:rPr>
      </w:pPr>
      <w:r>
        <w:rPr>
          <w:sz w:val="20"/>
          <w:szCs w:val="20"/>
        </w:rPr>
        <w:t> </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F</w:t>
      </w:r>
      <w:r>
        <w:rPr>
          <w:sz w:val="20"/>
          <w:szCs w:val="20"/>
        </w:rPr>
        <w:t>-</w:t>
      </w:r>
      <w:r>
        <w:rPr>
          <w:sz w:val="20"/>
          <w:szCs w:val="20"/>
        </w:rPr>
        <w:t>1</w:t>
      </w:r>
    </w:p>
    <w:p w:rsidR="00000000" w:rsidRDefault="00F83A7A">
      <w:pPr>
        <w:rPr>
          <w:rFonts w:eastAsia="Times New Roman"/>
        </w:rPr>
      </w:pPr>
      <w:r>
        <w:rPr>
          <w:rFonts w:eastAsia="Times New Roman"/>
        </w:rPr>
        <w:pict>
          <v:rect id="_x0000_i1097"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93" w:beforeAutospacing="0" w:after="0" w:afterAutospacing="0"/>
        <w:jc w:val="center"/>
        <w:rPr>
          <w:sz w:val="20"/>
          <w:szCs w:val="20"/>
        </w:rPr>
      </w:pPr>
      <w:r>
        <w:rPr>
          <w:b/>
          <w:bCs/>
          <w:sz w:val="20"/>
          <w:szCs w:val="20"/>
        </w:rPr>
        <w:t>Report of Independent Re</w:t>
      </w:r>
      <w:r>
        <w:rPr>
          <w:b/>
          <w:bCs/>
          <w:sz w:val="20"/>
          <w:szCs w:val="20"/>
        </w:rPr>
        <w:t>g</w:t>
      </w:r>
      <w:r>
        <w:rPr>
          <w:b/>
          <w:bCs/>
          <w:sz w:val="20"/>
          <w:szCs w:val="20"/>
        </w:rPr>
        <w:t>istered Public Accounting Fir</w:t>
      </w:r>
      <w:r>
        <w:rPr>
          <w:b/>
          <w:bCs/>
          <w:sz w:val="20"/>
          <w:szCs w:val="20"/>
        </w:rPr>
        <w:t>m</w:t>
      </w:r>
    </w:p>
    <w:p w:rsidR="00000000" w:rsidRDefault="00F83A7A">
      <w:pPr>
        <w:pStyle w:val="a3"/>
        <w:spacing w:before="0" w:beforeAutospacing="0" w:after="120" w:afterAutospacing="0"/>
        <w:rPr>
          <w:sz w:val="20"/>
          <w:szCs w:val="20"/>
        </w:rPr>
      </w:pPr>
      <w:r>
        <w:rPr>
          <w:sz w:val="22"/>
          <w:szCs w:val="22"/>
        </w:rPr>
        <w:t> </w:t>
      </w:r>
    </w:p>
    <w:p w:rsidR="00000000" w:rsidRDefault="00F83A7A">
      <w:pPr>
        <w:pStyle w:val="a3"/>
        <w:spacing w:before="163" w:beforeAutospacing="0" w:after="120" w:afterAutospacing="0"/>
        <w:ind w:right="6191"/>
        <w:rPr>
          <w:sz w:val="20"/>
          <w:szCs w:val="20"/>
        </w:rPr>
      </w:pPr>
      <w:r>
        <w:rPr>
          <w:sz w:val="20"/>
          <w:szCs w:val="20"/>
        </w:rPr>
        <w:t xml:space="preserve">To the Stockholders and Board of Directors </w:t>
      </w:r>
      <w:r>
        <w:rPr>
          <w:sz w:val="20"/>
          <w:szCs w:val="20"/>
        </w:rPr>
        <w:br/>
        <w:t>Ovid Therapeutics Inc.</w:t>
      </w:r>
      <w:r>
        <w:rPr>
          <w:sz w:val="20"/>
          <w:szCs w:val="20"/>
        </w:rPr>
        <w:t>:</w:t>
      </w:r>
    </w:p>
    <w:p w:rsidR="00000000" w:rsidRDefault="00F83A7A">
      <w:pPr>
        <w:pStyle w:val="a3"/>
        <w:spacing w:before="196" w:beforeAutospacing="0" w:after="0" w:afterAutospacing="0"/>
        <w:rPr>
          <w:sz w:val="20"/>
          <w:szCs w:val="20"/>
        </w:rPr>
      </w:pPr>
      <w:r>
        <w:rPr>
          <w:i/>
          <w:iCs/>
          <w:sz w:val="20"/>
          <w:szCs w:val="20"/>
        </w:rPr>
        <w:t>Opinion on the Consolidated Financial Statement</w:t>
      </w:r>
      <w:r>
        <w:rPr>
          <w:i/>
          <w:iCs/>
          <w:sz w:val="20"/>
          <w:szCs w:val="20"/>
        </w:rPr>
        <w:t>s</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0" w:afterAutospacing="0"/>
        <w:rPr>
          <w:sz w:val="20"/>
          <w:szCs w:val="20"/>
        </w:rPr>
      </w:pPr>
      <w:r>
        <w:rPr>
          <w:sz w:val="20"/>
          <w:szCs w:val="20"/>
        </w:rPr>
        <w:t>We have audited the accompanying consolid</w:t>
      </w:r>
      <w:r>
        <w:rPr>
          <w:sz w:val="20"/>
          <w:szCs w:val="20"/>
        </w:rPr>
        <w:t xml:space="preserve">ated balance sheets of Ovid Therapeutics Inc. and subsidiary (the Company) as of December 31, 2021 and 2020, the related consolidated statements of operations, comprehensive income (loss), changes in stockholders’ equity, and cash flows for the years then </w:t>
      </w:r>
      <w:r>
        <w:rPr>
          <w:sz w:val="20"/>
          <w:szCs w:val="20"/>
        </w:rPr>
        <w:t xml:space="preserve">ended, and the related notes (collectively, the consolidated financial statements). In our opinion, the consolidated financial statements present fairly, in all material respects, the financial position of the Company as of December 31, 2021 and 2020, and </w:t>
      </w:r>
      <w:r>
        <w:rPr>
          <w:sz w:val="20"/>
          <w:szCs w:val="20"/>
        </w:rPr>
        <w:t>the results of its operations and cash flows for the years then ended, in conformity with U.S. generally accepted accounting principles</w:t>
      </w:r>
      <w:r>
        <w:rPr>
          <w:sz w:val="20"/>
          <w:szCs w:val="20"/>
        </w:rPr>
        <w:t>.</w:t>
      </w:r>
    </w:p>
    <w:p w:rsidR="00000000" w:rsidRDefault="00F83A7A">
      <w:pPr>
        <w:pStyle w:val="a3"/>
        <w:spacing w:before="196" w:beforeAutospacing="0" w:after="0" w:afterAutospacing="0"/>
        <w:rPr>
          <w:sz w:val="20"/>
          <w:szCs w:val="20"/>
        </w:rPr>
      </w:pPr>
      <w:r>
        <w:rPr>
          <w:i/>
          <w:iCs/>
          <w:sz w:val="20"/>
          <w:szCs w:val="20"/>
        </w:rPr>
        <w:t>Basis for Opinio</w:t>
      </w:r>
      <w:r>
        <w:rPr>
          <w:i/>
          <w:iCs/>
          <w:sz w:val="20"/>
          <w:szCs w:val="20"/>
        </w:rPr>
        <w:t>n</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0" w:afterAutospacing="0"/>
        <w:rPr>
          <w:sz w:val="20"/>
          <w:szCs w:val="20"/>
        </w:rPr>
      </w:pPr>
      <w:r>
        <w:rPr>
          <w:sz w:val="20"/>
          <w:szCs w:val="20"/>
        </w:rPr>
        <w:t>These consolidated financial statements are the responsibility of the Company’s management. Our res</w:t>
      </w:r>
      <w:r>
        <w:rPr>
          <w:sz w:val="20"/>
          <w:szCs w:val="20"/>
        </w:rPr>
        <w:t>ponsibility is to express an opinion on these consolidated financial statements based on our audits. We are a public accounting firm registered with the Public Company Accounting Oversight Board (United States) (PCAOB) and are required to be independent wi</w:t>
      </w:r>
      <w:r>
        <w:rPr>
          <w:sz w:val="20"/>
          <w:szCs w:val="20"/>
        </w:rPr>
        <w:t>th respect to the Company in accordance with the U.S. federal securities laws and the applicable rules and regulations of the Securities and Exchange Commission and the PCAOB</w:t>
      </w:r>
      <w:r>
        <w:rPr>
          <w:sz w:val="20"/>
          <w:szCs w:val="20"/>
        </w:rPr>
        <w:t>.</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0" w:afterAutospacing="0"/>
        <w:rPr>
          <w:sz w:val="20"/>
          <w:szCs w:val="20"/>
        </w:rPr>
      </w:pPr>
      <w:r>
        <w:rPr>
          <w:sz w:val="20"/>
          <w:szCs w:val="20"/>
        </w:rPr>
        <w:t>We conducted our audits in accordance with the standards of the PCAOB. Those s</w:t>
      </w:r>
      <w:r>
        <w:rPr>
          <w:sz w:val="20"/>
          <w:szCs w:val="20"/>
        </w:rPr>
        <w:t>tandards require that we plan and perform the audit to obtain reasonable assurance about whether the consolidated financial statements are free of material misstatement, whether due to error or fraud. The Company is not required to have, nor were we engage</w:t>
      </w:r>
      <w:r>
        <w:rPr>
          <w:sz w:val="20"/>
          <w:szCs w:val="20"/>
        </w:rPr>
        <w:t>d to perform, an audit of its internal control over financial reporting. As part of our audits, we are required to obtain an understanding of internal control over financial reporting but not for the purpose of expressing an opinion on the effectiveness of</w:t>
      </w:r>
      <w:r>
        <w:rPr>
          <w:sz w:val="20"/>
          <w:szCs w:val="20"/>
        </w:rPr>
        <w:t xml:space="preserve"> the Company’s internal control over financial reporting. Accordingly, we express no such opinion</w:t>
      </w:r>
      <w:r>
        <w:rPr>
          <w:sz w:val="20"/>
          <w:szCs w:val="20"/>
        </w:rPr>
        <w:t>.</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260" w:afterAutospacing="0"/>
        <w:rPr>
          <w:sz w:val="20"/>
          <w:szCs w:val="20"/>
        </w:rPr>
      </w:pPr>
      <w:r>
        <w:rPr>
          <w:sz w:val="20"/>
          <w:szCs w:val="20"/>
        </w:rPr>
        <w:t>Our audits included performing procedures to assess the risks of material misstatement of the consolidated financial statements, whether due to error or fr</w:t>
      </w:r>
      <w:r>
        <w:rPr>
          <w:sz w:val="20"/>
          <w:szCs w:val="20"/>
        </w:rPr>
        <w:t>aud, and performing procedures that respond to those risks. Such procedures included examining, on a test basis, evidence regarding the amounts and disclosures in the consolidated financial statements. Our audits also included evaluating the accounting pri</w:t>
      </w:r>
      <w:r>
        <w:rPr>
          <w:sz w:val="20"/>
          <w:szCs w:val="20"/>
        </w:rPr>
        <w:t>nciples used and significant estimates made by management, as well as evaluating the overall presentation of the consolidated financial statements. We believe that our audits provide a reasonable basis for our opinion</w:t>
      </w:r>
      <w:r>
        <w:rPr>
          <w:sz w:val="20"/>
          <w:szCs w:val="20"/>
        </w:rPr>
        <w:t>.</w:t>
      </w:r>
    </w:p>
    <w:p w:rsidR="00000000" w:rsidRDefault="00F83A7A">
      <w:pPr>
        <w:pStyle w:val="a3"/>
        <w:spacing w:before="0" w:beforeAutospacing="0" w:after="200" w:afterAutospacing="0" w:line="260" w:lineRule="atLeast"/>
        <w:jc w:val="both"/>
        <w:rPr>
          <w:sz w:val="20"/>
          <w:szCs w:val="20"/>
        </w:rPr>
      </w:pPr>
      <w:r>
        <w:rPr>
          <w:sz w:val="20"/>
          <w:szCs w:val="20"/>
        </w:rPr>
        <w:t>/s/</w:t>
      </w:r>
      <w:r>
        <w:rPr>
          <w:sz w:val="20"/>
          <w:szCs w:val="20"/>
        </w:rPr>
        <w:t xml:space="preserve"> </w:t>
      </w:r>
      <w:r>
        <w:rPr>
          <w:sz w:val="20"/>
          <w:szCs w:val="20"/>
        </w:rPr>
        <w:t>KPMG LL</w:t>
      </w:r>
      <w:r>
        <w:rPr>
          <w:sz w:val="20"/>
          <w:szCs w:val="20"/>
        </w:rPr>
        <w:t>P</w:t>
      </w:r>
    </w:p>
    <w:p w:rsidR="00000000" w:rsidRDefault="00F83A7A">
      <w:pPr>
        <w:pStyle w:val="a3"/>
        <w:spacing w:before="0" w:beforeAutospacing="0" w:after="200" w:afterAutospacing="0" w:line="260" w:lineRule="atLeast"/>
        <w:jc w:val="both"/>
        <w:rPr>
          <w:sz w:val="20"/>
          <w:szCs w:val="20"/>
        </w:rPr>
      </w:pPr>
      <w:r>
        <w:rPr>
          <w:sz w:val="20"/>
          <w:szCs w:val="20"/>
        </w:rPr>
        <w:t>We have served as the Co</w:t>
      </w:r>
      <w:r>
        <w:rPr>
          <w:sz w:val="20"/>
          <w:szCs w:val="20"/>
        </w:rPr>
        <w:t>mpany’s auditor since 2015</w:t>
      </w:r>
      <w:r>
        <w:rPr>
          <w:sz w:val="20"/>
          <w:szCs w:val="20"/>
        </w:rPr>
        <w:t>.</w:t>
      </w:r>
      <w:r>
        <w:rPr>
          <w:sz w:val="20"/>
          <w:szCs w:val="20"/>
        </w:rPr>
        <w:t xml:space="preserve"> </w:t>
      </w:r>
    </w:p>
    <w:p w:rsidR="00000000" w:rsidRDefault="00F83A7A">
      <w:pPr>
        <w:pStyle w:val="a3"/>
        <w:spacing w:before="0" w:beforeAutospacing="0" w:after="0" w:afterAutospacing="0"/>
        <w:jc w:val="both"/>
        <w:rPr>
          <w:sz w:val="20"/>
          <w:szCs w:val="20"/>
        </w:rPr>
      </w:pPr>
      <w:r>
        <w:rPr>
          <w:sz w:val="20"/>
          <w:szCs w:val="20"/>
        </w:rPr>
        <w:t>New York, New Yor</w:t>
      </w:r>
      <w:r>
        <w:rPr>
          <w:sz w:val="20"/>
          <w:szCs w:val="20"/>
        </w:rPr>
        <w:t>k</w:t>
      </w:r>
    </w:p>
    <w:p w:rsidR="00000000" w:rsidRDefault="00F83A7A">
      <w:pPr>
        <w:pStyle w:val="a3"/>
        <w:spacing w:before="0" w:beforeAutospacing="0" w:after="0" w:afterAutospacing="0"/>
        <w:jc w:val="both"/>
        <w:rPr>
          <w:sz w:val="20"/>
          <w:szCs w:val="20"/>
        </w:rPr>
      </w:pPr>
      <w:r>
        <w:rPr>
          <w:sz w:val="20"/>
          <w:szCs w:val="20"/>
        </w:rPr>
        <w:t>March 15, 202</w:t>
      </w:r>
      <w:r>
        <w:rPr>
          <w:sz w:val="20"/>
          <w:szCs w:val="20"/>
        </w:rPr>
        <w:t>2</w:t>
      </w:r>
    </w:p>
    <w:p w:rsidR="00000000" w:rsidRDefault="00F83A7A">
      <w:pPr>
        <w:pStyle w:val="a3"/>
        <w:spacing w:before="240" w:beforeAutospacing="0" w:after="0" w:afterAutospacing="0"/>
        <w:jc w:val="center"/>
        <w:rPr>
          <w:sz w:val="20"/>
          <w:szCs w:val="20"/>
        </w:rPr>
      </w:pPr>
      <w:r>
        <w:rPr>
          <w:sz w:val="20"/>
          <w:szCs w:val="20"/>
        </w:rPr>
        <w:t>F</w:t>
      </w:r>
      <w:r>
        <w:rPr>
          <w:sz w:val="20"/>
          <w:szCs w:val="20"/>
        </w:rPr>
        <w:t>-</w:t>
      </w:r>
      <w:r>
        <w:rPr>
          <w:sz w:val="20"/>
          <w:szCs w:val="20"/>
        </w:rPr>
        <w:t>2</w:t>
      </w:r>
    </w:p>
    <w:p w:rsidR="00000000" w:rsidRDefault="00F83A7A">
      <w:pPr>
        <w:rPr>
          <w:rFonts w:eastAsia="Times New Roman"/>
        </w:rPr>
      </w:pPr>
      <w:r>
        <w:rPr>
          <w:rFonts w:eastAsia="Times New Roman"/>
        </w:rPr>
        <w:pict>
          <v:rect id="_x0000_i1098"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center"/>
        <w:rPr>
          <w:sz w:val="20"/>
          <w:szCs w:val="20"/>
        </w:rPr>
      </w:pPr>
      <w:r>
        <w:rPr>
          <w:b/>
          <w:bCs/>
          <w:sz w:val="20"/>
          <w:szCs w:val="20"/>
        </w:rPr>
        <w:t>PART I—FINANCI</w:t>
      </w:r>
      <w:r>
        <w:rPr>
          <w:b/>
          <w:bCs/>
          <w:sz w:val="20"/>
          <w:szCs w:val="20"/>
        </w:rPr>
        <w:t>A</w:t>
      </w:r>
      <w:r>
        <w:rPr>
          <w:b/>
          <w:bCs/>
          <w:sz w:val="20"/>
          <w:szCs w:val="20"/>
        </w:rPr>
        <w:t>L INFORMATIO</w:t>
      </w:r>
      <w:r>
        <w:rPr>
          <w:b/>
          <w:bCs/>
          <w:sz w:val="20"/>
          <w:szCs w:val="20"/>
        </w:rPr>
        <w:t>N</w:t>
      </w:r>
    </w:p>
    <w:p w:rsidR="00000000" w:rsidRDefault="00F83A7A">
      <w:pPr>
        <w:pStyle w:val="a3"/>
        <w:spacing w:before="200" w:beforeAutospacing="0" w:after="0" w:afterAutospacing="0"/>
        <w:rPr>
          <w:sz w:val="20"/>
          <w:szCs w:val="20"/>
        </w:rPr>
      </w:pPr>
      <w:r>
        <w:rPr>
          <w:b/>
          <w:bCs/>
          <w:sz w:val="20"/>
          <w:szCs w:val="20"/>
        </w:rPr>
        <w:t>Item 1. Financ</w:t>
      </w:r>
      <w:r>
        <w:rPr>
          <w:b/>
          <w:bCs/>
          <w:sz w:val="20"/>
          <w:szCs w:val="20"/>
        </w:rPr>
        <w:t>i</w:t>
      </w:r>
      <w:r>
        <w:rPr>
          <w:b/>
          <w:bCs/>
          <w:sz w:val="20"/>
          <w:szCs w:val="20"/>
        </w:rPr>
        <w:t>al Statements</w:t>
      </w:r>
      <w:r>
        <w:rPr>
          <w:b/>
          <w:bCs/>
          <w:sz w:val="20"/>
          <w:szCs w:val="20"/>
        </w:rPr>
        <w:t>.</w:t>
      </w:r>
    </w:p>
    <w:p w:rsidR="00000000" w:rsidRDefault="00F83A7A">
      <w:pPr>
        <w:pStyle w:val="a3"/>
        <w:spacing w:before="200" w:beforeAutospacing="0" w:after="0" w:afterAutospacing="0"/>
        <w:jc w:val="center"/>
        <w:rPr>
          <w:sz w:val="20"/>
          <w:szCs w:val="20"/>
        </w:rPr>
      </w:pPr>
      <w:r>
        <w:rPr>
          <w:b/>
          <w:bCs/>
          <w:sz w:val="20"/>
          <w:szCs w:val="20"/>
        </w:rPr>
        <w:t>OVID THERAPEUTICS INC</w:t>
      </w:r>
      <w:r>
        <w:rPr>
          <w:b/>
          <w:bCs/>
          <w:sz w:val="20"/>
          <w:szCs w:val="20"/>
        </w:rPr>
        <w:t>.</w:t>
      </w:r>
    </w:p>
    <w:p w:rsidR="00000000" w:rsidRDefault="00F83A7A">
      <w:pPr>
        <w:pStyle w:val="a3"/>
        <w:spacing w:before="0" w:beforeAutospacing="0" w:after="0" w:afterAutospacing="0"/>
        <w:jc w:val="center"/>
        <w:rPr>
          <w:sz w:val="20"/>
          <w:szCs w:val="20"/>
        </w:rPr>
      </w:pPr>
      <w:r>
        <w:rPr>
          <w:b/>
          <w:bCs/>
          <w:sz w:val="20"/>
          <w:szCs w:val="20"/>
        </w:rPr>
        <w:t>Consolidated Balance</w:t>
      </w:r>
      <w:r>
        <w:rPr>
          <w:b/>
          <w:bCs/>
          <w:sz w:val="20"/>
          <w:szCs w:val="20"/>
        </w:rPr>
        <w:t xml:space="preserve"> </w:t>
      </w:r>
      <w:r>
        <w:rPr>
          <w:b/>
          <w:bCs/>
          <w:sz w:val="20"/>
          <w:szCs w:val="20"/>
        </w:rPr>
        <w:t>Sheet</w:t>
      </w:r>
      <w:r>
        <w:rPr>
          <w:b/>
          <w:bCs/>
          <w:sz w:val="20"/>
          <w:szCs w:val="20"/>
        </w:rPr>
        <w:t>s</w:t>
      </w:r>
    </w:p>
    <w:p w:rsidR="00000000" w:rsidRDefault="00F83A7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3"/>
        <w:gridCol w:w="110"/>
        <w:gridCol w:w="160"/>
        <w:gridCol w:w="1127"/>
        <w:gridCol w:w="127"/>
        <w:gridCol w:w="110"/>
        <w:gridCol w:w="160"/>
        <w:gridCol w:w="1127"/>
        <w:gridCol w:w="142"/>
      </w:tblGrid>
      <w:tr w:rsidR="00000000">
        <w:trPr>
          <w:tblCellSpacing w:w="15" w:type="dxa"/>
        </w:trPr>
        <w:tc>
          <w:tcPr>
            <w:tcW w:w="3646" w:type="pct"/>
            <w:vAlign w:val="center"/>
            <w:hideMark/>
          </w:tcPr>
          <w:p w:rsidR="00000000" w:rsidRDefault="00F83A7A">
            <w:pPr>
              <w:rPr>
                <w:sz w:val="20"/>
                <w:szCs w:val="20"/>
              </w:rPr>
            </w:pPr>
          </w:p>
        </w:tc>
        <w:tc>
          <w:tcPr>
            <w:tcW w:w="58" w:type="pct"/>
            <w:vAlign w:val="center"/>
            <w:hideMark/>
          </w:tcPr>
          <w:p w:rsidR="00000000" w:rsidRDefault="00F83A7A">
            <w:pPr>
              <w:rPr>
                <w:rFonts w:eastAsia="Times New Roman"/>
                <w:sz w:val="20"/>
                <w:szCs w:val="20"/>
              </w:rPr>
            </w:pPr>
          </w:p>
        </w:tc>
        <w:tc>
          <w:tcPr>
            <w:tcW w:w="60" w:type="pct"/>
            <w:vAlign w:val="center"/>
            <w:hideMark/>
          </w:tcPr>
          <w:p w:rsidR="00000000" w:rsidRDefault="00F83A7A">
            <w:pPr>
              <w:rPr>
                <w:rFonts w:eastAsia="Times New Roman"/>
                <w:sz w:val="20"/>
                <w:szCs w:val="20"/>
              </w:rPr>
            </w:pPr>
          </w:p>
        </w:tc>
        <w:tc>
          <w:tcPr>
            <w:tcW w:w="540" w:type="pct"/>
            <w:vAlign w:val="center"/>
            <w:hideMark/>
          </w:tcPr>
          <w:p w:rsidR="00000000" w:rsidRDefault="00F83A7A">
            <w:pPr>
              <w:rPr>
                <w:rFonts w:eastAsia="Times New Roman"/>
                <w:sz w:val="20"/>
                <w:szCs w:val="20"/>
              </w:rPr>
            </w:pPr>
          </w:p>
        </w:tc>
        <w:tc>
          <w:tcPr>
            <w:tcW w:w="39" w:type="pct"/>
            <w:vAlign w:val="center"/>
            <w:hideMark/>
          </w:tcPr>
          <w:p w:rsidR="00000000" w:rsidRDefault="00F83A7A">
            <w:pPr>
              <w:rPr>
                <w:rFonts w:eastAsia="Times New Roman"/>
                <w:sz w:val="20"/>
                <w:szCs w:val="20"/>
              </w:rPr>
            </w:pPr>
          </w:p>
        </w:tc>
        <w:tc>
          <w:tcPr>
            <w:tcW w:w="58" w:type="pct"/>
            <w:vAlign w:val="center"/>
            <w:hideMark/>
          </w:tcPr>
          <w:p w:rsidR="00000000" w:rsidRDefault="00F83A7A">
            <w:pPr>
              <w:rPr>
                <w:rFonts w:eastAsia="Times New Roman"/>
                <w:sz w:val="20"/>
                <w:szCs w:val="20"/>
              </w:rPr>
            </w:pPr>
          </w:p>
        </w:tc>
        <w:tc>
          <w:tcPr>
            <w:tcW w:w="60" w:type="pct"/>
            <w:vAlign w:val="center"/>
            <w:hideMark/>
          </w:tcPr>
          <w:p w:rsidR="00000000" w:rsidRDefault="00F83A7A">
            <w:pPr>
              <w:rPr>
                <w:rFonts w:eastAsia="Times New Roman"/>
                <w:sz w:val="20"/>
                <w:szCs w:val="20"/>
              </w:rPr>
            </w:pPr>
          </w:p>
        </w:tc>
        <w:tc>
          <w:tcPr>
            <w:tcW w:w="494" w:type="pct"/>
            <w:vAlign w:val="center"/>
            <w:hideMark/>
          </w:tcPr>
          <w:p w:rsidR="00000000" w:rsidRDefault="00F83A7A">
            <w:pPr>
              <w:rPr>
                <w:rFonts w:eastAsia="Times New Roman"/>
                <w:sz w:val="20"/>
                <w:szCs w:val="20"/>
              </w:rPr>
            </w:pPr>
          </w:p>
        </w:tc>
        <w:tc>
          <w:tcPr>
            <w:tcW w:w="39" w:type="pct"/>
            <w:vAlign w:val="center"/>
            <w:hideMark/>
          </w:tcPr>
          <w:p w:rsidR="00000000" w:rsidRDefault="00F83A7A">
            <w:pPr>
              <w:rPr>
                <w:rFonts w:eastAsia="Times New Roman"/>
                <w:sz w:val="20"/>
                <w:szCs w:val="20"/>
              </w:rPr>
            </w:pPr>
          </w:p>
        </w:tc>
      </w:tr>
      <w:tr w:rsidR="00000000">
        <w:trPr>
          <w:trHeight w:val="160"/>
          <w:tblCellSpacing w:w="15" w:type="dxa"/>
        </w:trPr>
        <w:tc>
          <w:tcPr>
            <w:tcW w:w="0" w:type="auto"/>
            <w:vAlign w:val="center"/>
            <w:hideMark/>
          </w:tcPr>
          <w:p w:rsidR="00000000" w:rsidRDefault="00F83A7A">
            <w:pPr>
              <w:pStyle w:val="a3"/>
              <w:spacing w:before="0" w:beforeAutospacing="0" w:after="0" w:afterAutospacing="0"/>
              <w:jc w:val="center"/>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jc w:val="center"/>
              <w:rPr>
                <w:sz w:val="20"/>
                <w:szCs w:val="20"/>
              </w:rPr>
            </w:pPr>
            <w:r>
              <w:rPr>
                <w:b/>
                <w:bCs/>
                <w:sz w:val="20"/>
                <w:szCs w:val="20"/>
              </w:rPr>
              <w:t>Asset</w:t>
            </w:r>
            <w:r>
              <w:rPr>
                <w:b/>
                <w:bCs/>
                <w:sz w:val="20"/>
                <w:szCs w:val="20"/>
              </w:rPr>
              <w:t>s</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187,797,53</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72,033,93</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Related party receivabl</w:t>
            </w:r>
            <w:r>
              <w:rPr>
                <w:sz w:val="20"/>
                <w:szCs w:val="20"/>
              </w:rPr>
              <w:t>e</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141,76</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Prepaid expenses and other current asset</w:t>
            </w:r>
            <w:r>
              <w:rPr>
                <w:sz w:val="20"/>
                <w:szCs w:val="20"/>
              </w:rPr>
              <w:t>s</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2,681,59</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2,667,50</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400"/>
              <w:rPr>
                <w:sz w:val="20"/>
                <w:szCs w:val="20"/>
              </w:rPr>
            </w:pPr>
            <w:r>
              <w:rPr>
                <w:sz w:val="20"/>
                <w:szCs w:val="20"/>
              </w:rPr>
              <w:t>Total current asset</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190,479,12</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74,843,20</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F83A7A">
            <w:pPr>
              <w:pStyle w:val="a3"/>
              <w:spacing w:before="0" w:beforeAutospacing="0" w:after="0" w:afterAutospacing="0"/>
              <w:ind w:left="40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Long-term equity investmen</w:t>
            </w:r>
            <w:r>
              <w:rPr>
                <w:sz w:val="20"/>
                <w:szCs w:val="20"/>
              </w:rPr>
              <w:t>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1,631,99</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Restricted cas</w:t>
            </w:r>
            <w:r>
              <w:rPr>
                <w:sz w:val="20"/>
                <w:szCs w:val="20"/>
              </w:rPr>
              <w:t>h</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1,930,75</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Long-term prepaid expense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477,17</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Security deposi</w:t>
            </w:r>
            <w:r>
              <w:rPr>
                <w:sz w:val="20"/>
                <w:szCs w:val="20"/>
              </w:rPr>
              <w:t>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96,03</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150,62</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Property and equipment, ne</w:t>
            </w:r>
            <w:r>
              <w:rPr>
                <w:sz w:val="20"/>
                <w:szCs w:val="20"/>
              </w:rPr>
              <w:t>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242,75</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135,62</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164,09</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318,90</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600"/>
              <w:rPr>
                <w:sz w:val="20"/>
                <w:szCs w:val="20"/>
              </w:rPr>
            </w:pPr>
            <w:r>
              <w:rPr>
                <w:sz w:val="20"/>
                <w:szCs w:val="20"/>
              </w:rPr>
              <w:t>Total asset</w:t>
            </w:r>
            <w:r>
              <w:rPr>
                <w:sz w:val="20"/>
                <w:szCs w:val="20"/>
              </w:rPr>
              <w:t>s</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194,544,75</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75,925,51</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jc w:val="center"/>
              <w:rPr>
                <w:sz w:val="20"/>
                <w:szCs w:val="20"/>
              </w:rPr>
            </w:pPr>
            <w:r>
              <w:rPr>
                <w:b/>
                <w:bCs/>
                <w:sz w:val="20"/>
                <w:szCs w:val="20"/>
              </w:rPr>
              <w:t>Liabilities and Stockholders' Equit</w:t>
            </w:r>
            <w:r>
              <w:rPr>
                <w:b/>
                <w:bCs/>
                <w:sz w:val="20"/>
                <w:szCs w:val="20"/>
              </w:rPr>
              <w:t>y</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7,127,04</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5,446,20</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Accrued expense</w:t>
            </w:r>
            <w:r>
              <w:rPr>
                <w:sz w:val="20"/>
                <w:szCs w:val="20"/>
              </w:rPr>
              <w:t>s</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7,671,27</w:t>
            </w:r>
            <w:r>
              <w:rPr>
                <w:sz w:val="20"/>
                <w:szCs w:val="20"/>
              </w:rPr>
              <w:t>5</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12,032,68</w:t>
            </w:r>
            <w:r>
              <w:rPr>
                <w:sz w:val="20"/>
                <w:szCs w:val="20"/>
              </w:rPr>
              <w:t>5</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Related party payabl</w:t>
            </w:r>
            <w:r>
              <w:rPr>
                <w:sz w:val="20"/>
                <w:szCs w:val="20"/>
              </w:rPr>
              <w:t>e</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2,370,99</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Deferred revenue – curren</w:t>
            </w:r>
            <w:r>
              <w:rPr>
                <w:sz w:val="20"/>
                <w:szCs w:val="20"/>
              </w:rPr>
              <w:t>t</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2,212,89</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400"/>
              <w:rPr>
                <w:sz w:val="20"/>
                <w:szCs w:val="20"/>
              </w:rPr>
            </w:pPr>
            <w:r>
              <w:rPr>
                <w:sz w:val="20"/>
                <w:szCs w:val="20"/>
              </w:rPr>
              <w:t>Total current liabilitie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14,798,32</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22,062,77</w:t>
            </w:r>
            <w:r>
              <w:rPr>
                <w:sz w:val="20"/>
                <w:szCs w:val="20"/>
              </w:rPr>
              <w:t>5</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Deferred revenue, net of current portio</w:t>
            </w:r>
            <w:r>
              <w:rPr>
                <w:sz w:val="20"/>
                <w:szCs w:val="20"/>
              </w:rPr>
              <w:t>n</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10,169,88</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Related party payable – noncurren</w:t>
            </w:r>
            <w:r>
              <w:rPr>
                <w:sz w:val="20"/>
                <w:szCs w:val="20"/>
              </w:rPr>
              <w:t>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61,20</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600"/>
              <w:rPr>
                <w:sz w:val="20"/>
                <w:szCs w:val="20"/>
              </w:rPr>
            </w:pPr>
            <w:r>
              <w:rPr>
                <w:sz w:val="20"/>
                <w:szCs w:val="20"/>
              </w:rPr>
              <w:t>Total liabilitie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14,798,32</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32,293,86</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F83A7A">
            <w:pPr>
              <w:pStyle w:val="a3"/>
              <w:spacing w:before="0" w:beforeAutospacing="0" w:after="0" w:afterAutospacing="0"/>
              <w:ind w:left="40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F83A7A">
            <w:pPr>
              <w:pStyle w:val="a3"/>
              <w:spacing w:before="0" w:beforeAutospacing="0" w:after="0" w:afterAutospacing="0"/>
              <w:ind w:left="40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Stockholders' equity</w:t>
            </w: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F83A7A">
            <w:pPr>
              <w:pStyle w:val="a3"/>
              <w:spacing w:before="0" w:beforeAutospacing="0" w:after="0" w:afterAutospacing="0"/>
              <w:ind w:left="200"/>
              <w:rPr>
                <w:sz w:val="20"/>
                <w:szCs w:val="20"/>
              </w:rPr>
            </w:pPr>
            <w:r>
              <w:rPr>
                <w:sz w:val="20"/>
                <w:szCs w:val="20"/>
              </w:rPr>
              <w:t xml:space="preserve">Preferred stock, </w:t>
            </w:r>
            <w:r>
              <w:rPr>
                <w:sz w:val="20"/>
                <w:szCs w:val="20"/>
              </w:rPr>
              <w:t>$</w:t>
            </w:r>
            <w:r>
              <w:rPr>
                <w:sz w:val="20"/>
                <w:szCs w:val="20"/>
              </w:rPr>
              <w:t>0.00</w:t>
            </w:r>
            <w:r>
              <w:rPr>
                <w:sz w:val="20"/>
                <w:szCs w:val="20"/>
              </w:rPr>
              <w:t>1</w:t>
            </w:r>
            <w:r>
              <w:rPr>
                <w:sz w:val="20"/>
                <w:szCs w:val="20"/>
              </w:rPr>
              <w:t> par value;</w:t>
            </w:r>
            <w:r>
              <w:rPr>
                <w:sz w:val="20"/>
                <w:szCs w:val="20"/>
              </w:rPr>
              <w:t xml:space="preserve"> </w:t>
            </w:r>
            <w:r>
              <w:rPr>
                <w:sz w:val="20"/>
                <w:szCs w:val="20"/>
              </w:rPr>
              <w:t>10,000,00</w:t>
            </w:r>
            <w:r>
              <w:rPr>
                <w:sz w:val="20"/>
                <w:szCs w:val="20"/>
              </w:rPr>
              <w:t>0</w:t>
            </w:r>
            <w:r>
              <w:rPr>
                <w:sz w:val="20"/>
                <w:szCs w:val="20"/>
              </w:rPr>
              <w:t> shares authorized; Series A convertible preferred stock,</w:t>
            </w:r>
            <w:r>
              <w:rPr>
                <w:sz w:val="20"/>
                <w:szCs w:val="20"/>
              </w:rPr>
              <w:t xml:space="preserve"> </w:t>
            </w:r>
            <w:r>
              <w:rPr>
                <w:sz w:val="20"/>
                <w:szCs w:val="20"/>
              </w:rPr>
              <w:t>10,00</w:t>
            </w:r>
            <w:r>
              <w:rPr>
                <w:sz w:val="20"/>
                <w:szCs w:val="20"/>
              </w:rPr>
              <w:t>0</w:t>
            </w:r>
            <w:r>
              <w:rPr>
                <w:sz w:val="20"/>
                <w:szCs w:val="20"/>
              </w:rPr>
              <w:t> shares designated,</w:t>
            </w:r>
            <w:r>
              <w:rPr>
                <w:sz w:val="20"/>
                <w:szCs w:val="20"/>
              </w:rPr>
              <w:t xml:space="preserve"> </w:t>
            </w:r>
            <w:r>
              <w:rPr>
                <w:sz w:val="20"/>
                <w:szCs w:val="20"/>
              </w:rPr>
              <w:t>1,25</w:t>
            </w:r>
            <w:r>
              <w:rPr>
                <w:sz w:val="20"/>
                <w:szCs w:val="20"/>
              </w:rPr>
              <w:t>0</w:t>
            </w:r>
            <w:r>
              <w:rPr>
                <w:sz w:val="20"/>
                <w:szCs w:val="20"/>
              </w:rPr>
              <w:t> and</w:t>
            </w:r>
            <w:r>
              <w:rPr>
                <w:sz w:val="20"/>
                <w:szCs w:val="20"/>
              </w:rPr>
              <w:t xml:space="preserve"> </w:t>
            </w:r>
            <w:r>
              <w:rPr>
                <w:sz w:val="20"/>
                <w:szCs w:val="20"/>
              </w:rPr>
              <w:t>3,25</w:t>
            </w:r>
            <w:r>
              <w:rPr>
                <w:sz w:val="20"/>
                <w:szCs w:val="20"/>
              </w:rPr>
              <w:t>0</w:t>
            </w:r>
            <w:r>
              <w:rPr>
                <w:sz w:val="20"/>
                <w:szCs w:val="20"/>
              </w:rPr>
              <w:t> </w:t>
            </w:r>
            <w:r>
              <w:rPr>
                <w:sz w:val="20"/>
                <w:szCs w:val="20"/>
              </w:rPr>
              <w:t>shares issued and outstanding at December 31, 2021 and 2020, respectivel</w:t>
            </w:r>
            <w:r>
              <w:rPr>
                <w:sz w:val="20"/>
                <w:szCs w:val="20"/>
              </w:rPr>
              <w:t>y</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F83A7A">
            <w:pPr>
              <w:pStyle w:val="a3"/>
              <w:spacing w:before="0" w:beforeAutospacing="0" w:after="0" w:afterAutospacing="0"/>
              <w:ind w:left="200"/>
              <w:rPr>
                <w:sz w:val="20"/>
                <w:szCs w:val="20"/>
              </w:rPr>
            </w:pPr>
            <w:r>
              <w:rPr>
                <w:sz w:val="20"/>
                <w:szCs w:val="20"/>
              </w:rPr>
              <w:t xml:space="preserve">Common stock, </w:t>
            </w:r>
            <w:r>
              <w:rPr>
                <w:sz w:val="20"/>
                <w:szCs w:val="20"/>
              </w:rPr>
              <w:t>$</w:t>
            </w:r>
            <w:r>
              <w:rPr>
                <w:sz w:val="20"/>
                <w:szCs w:val="20"/>
              </w:rPr>
              <w:t>0.00</w:t>
            </w:r>
            <w:r>
              <w:rPr>
                <w:sz w:val="20"/>
                <w:szCs w:val="20"/>
              </w:rPr>
              <w:t>1</w:t>
            </w:r>
            <w:r>
              <w:rPr>
                <w:sz w:val="20"/>
                <w:szCs w:val="20"/>
              </w:rPr>
              <w:t> par value;</w:t>
            </w:r>
            <w:r>
              <w:rPr>
                <w:sz w:val="20"/>
                <w:szCs w:val="20"/>
              </w:rPr>
              <w:t xml:space="preserve"> </w:t>
            </w:r>
            <w:r>
              <w:rPr>
                <w:sz w:val="20"/>
                <w:szCs w:val="20"/>
              </w:rPr>
              <w:t>125,000,00</w:t>
            </w:r>
            <w:r>
              <w:rPr>
                <w:sz w:val="20"/>
                <w:szCs w:val="20"/>
              </w:rPr>
              <w:t>0</w:t>
            </w:r>
            <w:r>
              <w:rPr>
                <w:sz w:val="20"/>
                <w:szCs w:val="20"/>
              </w:rPr>
              <w:t> shares authorized;</w:t>
            </w:r>
            <w:r>
              <w:rPr>
                <w:sz w:val="20"/>
                <w:szCs w:val="20"/>
              </w:rPr>
              <w:t xml:space="preserve"> </w:t>
            </w:r>
            <w:r>
              <w:rPr>
                <w:sz w:val="20"/>
                <w:szCs w:val="20"/>
              </w:rPr>
              <w:t>70,364,91</w:t>
            </w:r>
            <w:r>
              <w:rPr>
                <w:sz w:val="20"/>
                <w:szCs w:val="20"/>
              </w:rPr>
              <w:t>2</w:t>
            </w:r>
            <w:r>
              <w:rPr>
                <w:sz w:val="20"/>
                <w:szCs w:val="20"/>
              </w:rPr>
              <w:t> and</w:t>
            </w:r>
            <w:r>
              <w:rPr>
                <w:sz w:val="20"/>
                <w:szCs w:val="20"/>
              </w:rPr>
              <w:t xml:space="preserve"> </w:t>
            </w:r>
            <w:r>
              <w:rPr>
                <w:sz w:val="20"/>
                <w:szCs w:val="20"/>
              </w:rPr>
              <w:t>65,743,17</w:t>
            </w:r>
            <w:r>
              <w:rPr>
                <w:sz w:val="20"/>
                <w:szCs w:val="20"/>
              </w:rPr>
              <w:t>0</w:t>
            </w:r>
            <w:r>
              <w:rPr>
                <w:sz w:val="20"/>
                <w:szCs w:val="20"/>
              </w:rPr>
              <w:t> shares issued and outstanding at December 31, 2021 and 2020, respectivel</w:t>
            </w:r>
            <w:r>
              <w:rPr>
                <w:sz w:val="20"/>
                <w:szCs w:val="20"/>
              </w:rPr>
              <w:t>y</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70,35</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65,74</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Additional paid-in-capita</w:t>
            </w:r>
            <w:r>
              <w:rPr>
                <w:sz w:val="20"/>
                <w:szCs w:val="20"/>
              </w:rPr>
              <w:t>l</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351,033,58</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337,758,00</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Accumulated defici</w:t>
            </w:r>
            <w:r>
              <w:rPr>
                <w:sz w:val="20"/>
                <w:szCs w:val="20"/>
              </w:rPr>
              <w:t>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171,357,51</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294,192,09</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400"/>
              <w:rPr>
                <w:sz w:val="20"/>
                <w:szCs w:val="20"/>
              </w:rPr>
            </w:pPr>
            <w:r>
              <w:rPr>
                <w:sz w:val="20"/>
                <w:szCs w:val="20"/>
              </w:rPr>
              <w:t>Total stockholders' equit</w:t>
            </w:r>
            <w:r>
              <w:rPr>
                <w:sz w:val="20"/>
                <w:szCs w:val="20"/>
              </w:rPr>
              <w:t>y</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179,746,43</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43,631,65</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600"/>
              <w:rPr>
                <w:sz w:val="20"/>
                <w:szCs w:val="20"/>
              </w:rPr>
            </w:pPr>
            <w:r>
              <w:rPr>
                <w:sz w:val="20"/>
                <w:szCs w:val="20"/>
              </w:rPr>
              <w:t>Total liabilities and stockholders' equit</w:t>
            </w:r>
            <w:r>
              <w:rPr>
                <w:sz w:val="20"/>
                <w:szCs w:val="20"/>
              </w:rPr>
              <w:t>y</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194,544,75</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75,925,51</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bl>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40" w:beforeAutospacing="0" w:after="0" w:afterAutospacing="0"/>
        <w:ind w:left="714"/>
        <w:jc w:val="center"/>
        <w:rPr>
          <w:sz w:val="20"/>
          <w:szCs w:val="20"/>
        </w:rPr>
      </w:pPr>
      <w:r>
        <w:rPr>
          <w:sz w:val="20"/>
          <w:szCs w:val="20"/>
        </w:rPr>
        <w:t>See accompanying notes to these consolidated financial statement</w:t>
      </w:r>
      <w:r>
        <w:rPr>
          <w:sz w:val="20"/>
          <w:szCs w:val="20"/>
        </w:rPr>
        <w:t>s</w:t>
      </w:r>
    </w:p>
    <w:p w:rsidR="00000000" w:rsidRDefault="00F83A7A">
      <w:pPr>
        <w:pStyle w:val="a3"/>
        <w:spacing w:before="240" w:beforeAutospacing="0" w:after="0" w:afterAutospacing="0"/>
        <w:jc w:val="center"/>
        <w:rPr>
          <w:sz w:val="20"/>
          <w:szCs w:val="20"/>
        </w:rPr>
      </w:pPr>
      <w:r>
        <w:rPr>
          <w:sz w:val="20"/>
          <w:szCs w:val="20"/>
        </w:rPr>
        <w:t>F</w:t>
      </w:r>
      <w:r>
        <w:rPr>
          <w:sz w:val="20"/>
          <w:szCs w:val="20"/>
        </w:rPr>
        <w:t>-</w:t>
      </w:r>
      <w:r>
        <w:rPr>
          <w:sz w:val="20"/>
          <w:szCs w:val="20"/>
        </w:rPr>
        <w:t>3</w:t>
      </w:r>
    </w:p>
    <w:p w:rsidR="00000000" w:rsidRDefault="00F83A7A">
      <w:pPr>
        <w:rPr>
          <w:rFonts w:eastAsia="Times New Roman"/>
        </w:rPr>
      </w:pPr>
      <w:r>
        <w:rPr>
          <w:rFonts w:eastAsia="Times New Roman"/>
        </w:rPr>
        <w:pict>
          <v:rect id="_x0000_i1099"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center"/>
        <w:rPr>
          <w:sz w:val="20"/>
          <w:szCs w:val="20"/>
        </w:rPr>
      </w:pPr>
      <w:r>
        <w:rPr>
          <w:b/>
          <w:bCs/>
          <w:sz w:val="20"/>
          <w:szCs w:val="20"/>
        </w:rPr>
        <w:t>OVID THERAPEUTICS INC</w:t>
      </w:r>
      <w:r>
        <w:rPr>
          <w:b/>
          <w:bCs/>
          <w:sz w:val="20"/>
          <w:szCs w:val="20"/>
        </w:rPr>
        <w:t>.</w:t>
      </w:r>
    </w:p>
    <w:p w:rsidR="00000000" w:rsidRDefault="00F83A7A">
      <w:pPr>
        <w:pStyle w:val="a3"/>
        <w:spacing w:before="0" w:beforeAutospacing="0" w:after="0" w:afterAutospacing="0"/>
        <w:jc w:val="center"/>
        <w:rPr>
          <w:sz w:val="20"/>
          <w:szCs w:val="20"/>
        </w:rPr>
      </w:pPr>
      <w:r>
        <w:rPr>
          <w:b/>
          <w:bCs/>
          <w:sz w:val="20"/>
          <w:szCs w:val="20"/>
        </w:rPr>
        <w:t>Consolidated Statements of Operation</w:t>
      </w:r>
      <w:r>
        <w:rPr>
          <w:b/>
          <w:bCs/>
          <w:sz w:val="20"/>
          <w:szCs w:val="20"/>
        </w:rPr>
        <w:t>s</w:t>
      </w:r>
    </w:p>
    <w:p w:rsidR="00000000" w:rsidRDefault="00F83A7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10"/>
        <w:gridCol w:w="610"/>
        <w:gridCol w:w="160"/>
        <w:gridCol w:w="1060"/>
        <w:gridCol w:w="127"/>
        <w:gridCol w:w="610"/>
        <w:gridCol w:w="160"/>
        <w:gridCol w:w="1027"/>
        <w:gridCol w:w="142"/>
      </w:tblGrid>
      <w:tr w:rsidR="00000000">
        <w:trPr>
          <w:tblCellSpacing w:w="15" w:type="dxa"/>
        </w:trPr>
        <w:tc>
          <w:tcPr>
            <w:tcW w:w="3073" w:type="pct"/>
            <w:vAlign w:val="center"/>
            <w:hideMark/>
          </w:tcPr>
          <w:p w:rsidR="00000000" w:rsidRDefault="00F83A7A">
            <w:pPr>
              <w:rPr>
                <w:sz w:val="20"/>
                <w:szCs w:val="20"/>
              </w:rPr>
            </w:pPr>
          </w:p>
        </w:tc>
        <w:tc>
          <w:tcPr>
            <w:tcW w:w="231" w:type="pct"/>
            <w:vAlign w:val="center"/>
            <w:hideMark/>
          </w:tcPr>
          <w:p w:rsidR="00000000" w:rsidRDefault="00F83A7A">
            <w:pPr>
              <w:rPr>
                <w:rFonts w:eastAsia="Times New Roman"/>
                <w:sz w:val="20"/>
                <w:szCs w:val="20"/>
              </w:rPr>
            </w:pPr>
          </w:p>
        </w:tc>
        <w:tc>
          <w:tcPr>
            <w:tcW w:w="58" w:type="pct"/>
            <w:vAlign w:val="center"/>
            <w:hideMark/>
          </w:tcPr>
          <w:p w:rsidR="00000000" w:rsidRDefault="00F83A7A">
            <w:pPr>
              <w:rPr>
                <w:rFonts w:eastAsia="Times New Roman"/>
                <w:sz w:val="20"/>
                <w:szCs w:val="20"/>
              </w:rPr>
            </w:pPr>
          </w:p>
        </w:tc>
        <w:tc>
          <w:tcPr>
            <w:tcW w:w="634" w:type="pct"/>
            <w:vAlign w:val="center"/>
            <w:hideMark/>
          </w:tcPr>
          <w:p w:rsidR="00000000" w:rsidRDefault="00F83A7A">
            <w:pPr>
              <w:rPr>
                <w:rFonts w:eastAsia="Times New Roman"/>
                <w:sz w:val="20"/>
                <w:szCs w:val="20"/>
              </w:rPr>
            </w:pPr>
          </w:p>
        </w:tc>
        <w:tc>
          <w:tcPr>
            <w:tcW w:w="38" w:type="pct"/>
            <w:vAlign w:val="center"/>
            <w:hideMark/>
          </w:tcPr>
          <w:p w:rsidR="00000000" w:rsidRDefault="00F83A7A">
            <w:pPr>
              <w:rPr>
                <w:rFonts w:eastAsia="Times New Roman"/>
                <w:sz w:val="20"/>
                <w:szCs w:val="20"/>
              </w:rPr>
            </w:pPr>
          </w:p>
        </w:tc>
        <w:tc>
          <w:tcPr>
            <w:tcW w:w="231" w:type="pct"/>
            <w:vAlign w:val="center"/>
            <w:hideMark/>
          </w:tcPr>
          <w:p w:rsidR="00000000" w:rsidRDefault="00F83A7A">
            <w:pPr>
              <w:rPr>
                <w:rFonts w:eastAsia="Times New Roman"/>
                <w:sz w:val="20"/>
                <w:szCs w:val="20"/>
              </w:rPr>
            </w:pPr>
          </w:p>
        </w:tc>
        <w:tc>
          <w:tcPr>
            <w:tcW w:w="58" w:type="pct"/>
            <w:vAlign w:val="center"/>
            <w:hideMark/>
          </w:tcPr>
          <w:p w:rsidR="00000000" w:rsidRDefault="00F83A7A">
            <w:pPr>
              <w:rPr>
                <w:rFonts w:eastAsia="Times New Roman"/>
                <w:sz w:val="20"/>
                <w:szCs w:val="20"/>
              </w:rPr>
            </w:pPr>
          </w:p>
        </w:tc>
        <w:tc>
          <w:tcPr>
            <w:tcW w:w="632" w:type="pct"/>
            <w:vAlign w:val="center"/>
            <w:hideMark/>
          </w:tcPr>
          <w:p w:rsidR="00000000" w:rsidRDefault="00F83A7A">
            <w:pPr>
              <w:rPr>
                <w:rFonts w:eastAsia="Times New Roman"/>
                <w:sz w:val="20"/>
                <w:szCs w:val="20"/>
              </w:rPr>
            </w:pPr>
          </w:p>
        </w:tc>
        <w:tc>
          <w:tcPr>
            <w:tcW w:w="38" w:type="pct"/>
            <w:vAlign w:val="center"/>
            <w:hideMark/>
          </w:tcPr>
          <w:p w:rsidR="00000000" w:rsidRDefault="00F83A7A">
            <w:pPr>
              <w:rPr>
                <w:rFonts w:eastAsia="Times New Roman"/>
                <w:sz w:val="20"/>
                <w:szCs w:val="20"/>
              </w:rPr>
            </w:pP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jc w:val="center"/>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jc w:val="center"/>
              <w:rPr>
                <w:sz w:val="22"/>
                <w:szCs w:val="22"/>
              </w:rPr>
            </w:pPr>
            <w:r>
              <w:rPr>
                <w:sz w:val="22"/>
                <w:szCs w:val="22"/>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For the Year Ended 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For the Year Ended 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License and other revenu</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12,382,77</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12,617,22</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License revenue - related part</w:t>
            </w:r>
            <w:r>
              <w:rPr>
                <w:sz w:val="20"/>
                <w:szCs w:val="20"/>
              </w:rPr>
              <w:t>y</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196,000,00</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400"/>
              <w:rPr>
                <w:sz w:val="20"/>
                <w:szCs w:val="20"/>
              </w:rPr>
            </w:pPr>
            <w:r>
              <w:rPr>
                <w:sz w:val="20"/>
                <w:szCs w:val="20"/>
              </w:rPr>
              <w:t>Total revenu</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208,382,77</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12,617,22</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46,939,58</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63,417,39</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37,234,10</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30,630,80</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rsidR="00000000" w:rsidRDefault="00F83A7A">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84,173,68</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94,048,19</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Income (loss) from operation</w:t>
            </w:r>
            <w:r>
              <w:rPr>
                <w:sz w:val="20"/>
                <w:szCs w:val="20"/>
              </w:rPr>
              <w:t>s</w:t>
            </w:r>
          </w:p>
        </w:tc>
        <w:tc>
          <w:tcPr>
            <w:tcW w:w="0" w:type="auto"/>
            <w:vAlign w:val="bottom"/>
            <w:hideMark/>
          </w:tcPr>
          <w:p w:rsidR="00000000" w:rsidRDefault="00F83A7A">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124,209,09</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81,430,97</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Other (expense) income, ne</w:t>
            </w:r>
            <w:r>
              <w:rPr>
                <w:sz w:val="20"/>
                <w:szCs w:val="20"/>
              </w:rPr>
              <w:t>t</w:t>
            </w:r>
          </w:p>
        </w:tc>
        <w:tc>
          <w:tcPr>
            <w:tcW w:w="0" w:type="auto"/>
            <w:vAlign w:val="bottom"/>
            <w:hideMark/>
          </w:tcPr>
          <w:p w:rsidR="00000000" w:rsidRDefault="00F83A7A">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45,69</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395,40</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Income (loss) before provision for income taxe</w:t>
            </w:r>
            <w:r>
              <w:rPr>
                <w:sz w:val="20"/>
                <w:szCs w:val="20"/>
              </w:rPr>
              <w:t>s</w:t>
            </w:r>
          </w:p>
        </w:tc>
        <w:tc>
          <w:tcPr>
            <w:tcW w:w="0" w:type="auto"/>
            <w:vAlign w:val="bottom"/>
            <w:hideMark/>
          </w:tcPr>
          <w:p w:rsidR="00000000" w:rsidRDefault="00F83A7A">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124,163,40</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81,035,57</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Provision for income taxe</w:t>
            </w:r>
            <w:r>
              <w:rPr>
                <w:sz w:val="20"/>
                <w:szCs w:val="20"/>
              </w:rPr>
              <w:t>s</w:t>
            </w:r>
          </w:p>
        </w:tc>
        <w:tc>
          <w:tcPr>
            <w:tcW w:w="0" w:type="auto"/>
            <w:vAlign w:val="bottom"/>
            <w:hideMark/>
          </w:tcPr>
          <w:p w:rsidR="00000000" w:rsidRDefault="00F83A7A">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1,328,81</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Net income (loss</w:t>
            </w: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122,834,58</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81,035,57</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Net income (loss) per share, basi</w:t>
            </w:r>
            <w:r>
              <w:rPr>
                <w:sz w:val="20"/>
                <w:szCs w:val="20"/>
              </w:rPr>
              <w:t>c</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1.7</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1.3</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Net income (loss) per share, dilute</w:t>
            </w:r>
            <w:r>
              <w:rPr>
                <w:sz w:val="20"/>
                <w:szCs w:val="20"/>
              </w:rPr>
              <w:t>d</w:t>
            </w:r>
          </w:p>
        </w:tc>
        <w:tc>
          <w:tcPr>
            <w:tcW w:w="0" w:type="auto"/>
            <w:vAlign w:val="center"/>
            <w:hideMark/>
          </w:tcPr>
          <w:p w:rsidR="00000000" w:rsidRDefault="00F83A7A">
            <w:pPr>
              <w:pStyle w:val="a3"/>
              <w:spacing w:before="0" w:beforeAutospacing="0" w:after="0" w:afterAutospacing="0"/>
              <w:ind w:left="10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1.7</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1.3</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Weighted-average common shares outstanding basi</w:t>
            </w:r>
            <w:r>
              <w:rPr>
                <w:sz w:val="20"/>
                <w:szCs w:val="20"/>
              </w:rPr>
              <w:t>c</w:t>
            </w:r>
          </w:p>
        </w:tc>
        <w:tc>
          <w:tcPr>
            <w:tcW w:w="0" w:type="auto"/>
            <w:vAlign w:val="center"/>
            <w:hideMark/>
          </w:tcPr>
          <w:p w:rsidR="00000000" w:rsidRDefault="00F83A7A">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67,479,40</w:t>
            </w:r>
            <w:r>
              <w:rPr>
                <w:sz w:val="20"/>
                <w:szCs w:val="20"/>
              </w:rPr>
              <w:t>3</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58,451,29</w:t>
            </w:r>
            <w:r>
              <w:rPr>
                <w:sz w:val="20"/>
                <w:szCs w:val="20"/>
              </w:rPr>
              <w:t>3</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Weighted-average common shares outstanding dilute</w:t>
            </w:r>
            <w:r>
              <w:rPr>
                <w:sz w:val="20"/>
                <w:szCs w:val="20"/>
              </w:rPr>
              <w:t>d</w:t>
            </w:r>
          </w:p>
        </w:tc>
        <w:tc>
          <w:tcPr>
            <w:tcW w:w="0" w:type="auto"/>
            <w:vAlign w:val="center"/>
            <w:hideMark/>
          </w:tcPr>
          <w:p w:rsidR="00000000" w:rsidRDefault="00F83A7A">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68,067,99</w:t>
            </w:r>
            <w:r>
              <w:rPr>
                <w:sz w:val="20"/>
                <w:szCs w:val="20"/>
              </w:rPr>
              <w:t>2</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58,451,29</w:t>
            </w:r>
            <w:r>
              <w:rPr>
                <w:sz w:val="20"/>
                <w:szCs w:val="20"/>
              </w:rPr>
              <w:t>3</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bl>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0" w:afterAutospacing="0"/>
        <w:jc w:val="center"/>
        <w:rPr>
          <w:sz w:val="20"/>
          <w:szCs w:val="20"/>
        </w:rPr>
      </w:pPr>
      <w:r>
        <w:rPr>
          <w:sz w:val="20"/>
          <w:szCs w:val="20"/>
        </w:rPr>
        <w:t>See accompanying notes to these consolidated financial statement</w:t>
      </w:r>
      <w:r>
        <w:rPr>
          <w:sz w:val="20"/>
          <w:szCs w:val="20"/>
        </w:rPr>
        <w:t>s</w:t>
      </w:r>
    </w:p>
    <w:p w:rsidR="00000000" w:rsidRDefault="00F83A7A">
      <w:pPr>
        <w:pStyle w:val="a3"/>
        <w:spacing w:before="240" w:beforeAutospacing="0" w:after="0" w:afterAutospacing="0"/>
        <w:jc w:val="center"/>
        <w:rPr>
          <w:sz w:val="20"/>
          <w:szCs w:val="20"/>
        </w:rPr>
      </w:pPr>
      <w:r>
        <w:rPr>
          <w:sz w:val="20"/>
          <w:szCs w:val="20"/>
        </w:rPr>
        <w:t>F</w:t>
      </w:r>
      <w:r>
        <w:rPr>
          <w:sz w:val="20"/>
          <w:szCs w:val="20"/>
        </w:rPr>
        <w:t>-</w:t>
      </w:r>
      <w:r>
        <w:rPr>
          <w:sz w:val="20"/>
          <w:szCs w:val="20"/>
        </w:rPr>
        <w:t>4</w:t>
      </w:r>
    </w:p>
    <w:p w:rsidR="00000000" w:rsidRDefault="00F83A7A">
      <w:pPr>
        <w:rPr>
          <w:rFonts w:eastAsia="Times New Roman"/>
        </w:rPr>
      </w:pPr>
      <w:r>
        <w:rPr>
          <w:rFonts w:eastAsia="Times New Roman"/>
        </w:rPr>
        <w:pict>
          <v:rect id="_x0000_i1100"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center"/>
        <w:rPr>
          <w:sz w:val="20"/>
          <w:szCs w:val="20"/>
        </w:rPr>
      </w:pPr>
      <w:r>
        <w:rPr>
          <w:b/>
          <w:bCs/>
          <w:sz w:val="20"/>
          <w:szCs w:val="20"/>
        </w:rPr>
        <w:t>OVID THERAPEUTICS INC</w:t>
      </w:r>
      <w:r>
        <w:rPr>
          <w:b/>
          <w:bCs/>
          <w:sz w:val="20"/>
          <w:szCs w:val="20"/>
        </w:rPr>
        <w:t>.</w:t>
      </w:r>
    </w:p>
    <w:p w:rsidR="00000000" w:rsidRDefault="00F83A7A">
      <w:pPr>
        <w:pStyle w:val="a3"/>
        <w:spacing w:before="0" w:beforeAutospacing="0" w:after="0" w:afterAutospacing="0"/>
        <w:jc w:val="center"/>
        <w:rPr>
          <w:sz w:val="20"/>
          <w:szCs w:val="20"/>
        </w:rPr>
      </w:pPr>
      <w:r>
        <w:rPr>
          <w:b/>
          <w:bCs/>
          <w:sz w:val="20"/>
          <w:szCs w:val="20"/>
        </w:rPr>
        <w:t>Consol</w:t>
      </w:r>
      <w:r>
        <w:rPr>
          <w:b/>
          <w:bCs/>
          <w:sz w:val="20"/>
          <w:szCs w:val="20"/>
        </w:rPr>
        <w:t>i</w:t>
      </w:r>
      <w:r>
        <w:rPr>
          <w:b/>
          <w:bCs/>
          <w:sz w:val="20"/>
          <w:szCs w:val="20"/>
        </w:rPr>
        <w:t>dated Statements of Comprehensive Income (Loss</w:t>
      </w:r>
      <w:r>
        <w:rPr>
          <w:b/>
          <w:bCs/>
          <w:sz w:val="20"/>
          <w:szCs w:val="20"/>
        </w:rPr>
        <w:t>)</w:t>
      </w:r>
    </w:p>
    <w:p w:rsidR="00000000" w:rsidRDefault="00F83A7A">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7"/>
        <w:gridCol w:w="610"/>
        <w:gridCol w:w="160"/>
        <w:gridCol w:w="1060"/>
        <w:gridCol w:w="110"/>
        <w:gridCol w:w="610"/>
        <w:gridCol w:w="160"/>
        <w:gridCol w:w="1027"/>
        <w:gridCol w:w="142"/>
      </w:tblGrid>
      <w:tr w:rsidR="00000000">
        <w:trPr>
          <w:tblCellSpacing w:w="15" w:type="dxa"/>
        </w:trPr>
        <w:tc>
          <w:tcPr>
            <w:tcW w:w="2954" w:type="pct"/>
            <w:vAlign w:val="center"/>
            <w:hideMark/>
          </w:tcPr>
          <w:p w:rsidR="00000000" w:rsidRDefault="00F83A7A">
            <w:pPr>
              <w:rPr>
                <w:sz w:val="20"/>
                <w:szCs w:val="20"/>
              </w:rPr>
            </w:pPr>
          </w:p>
        </w:tc>
        <w:tc>
          <w:tcPr>
            <w:tcW w:w="231" w:type="pct"/>
            <w:vAlign w:val="center"/>
            <w:hideMark/>
          </w:tcPr>
          <w:p w:rsidR="00000000" w:rsidRDefault="00F83A7A">
            <w:pPr>
              <w:rPr>
                <w:rFonts w:eastAsia="Times New Roman"/>
                <w:sz w:val="20"/>
                <w:szCs w:val="20"/>
              </w:rPr>
            </w:pPr>
          </w:p>
        </w:tc>
        <w:tc>
          <w:tcPr>
            <w:tcW w:w="58" w:type="pct"/>
            <w:vAlign w:val="center"/>
            <w:hideMark/>
          </w:tcPr>
          <w:p w:rsidR="00000000" w:rsidRDefault="00F83A7A">
            <w:pPr>
              <w:rPr>
                <w:rFonts w:eastAsia="Times New Roman"/>
                <w:sz w:val="20"/>
                <w:szCs w:val="20"/>
              </w:rPr>
            </w:pPr>
          </w:p>
        </w:tc>
        <w:tc>
          <w:tcPr>
            <w:tcW w:w="691" w:type="pct"/>
            <w:vAlign w:val="center"/>
            <w:hideMark/>
          </w:tcPr>
          <w:p w:rsidR="00000000" w:rsidRDefault="00F83A7A">
            <w:pPr>
              <w:rPr>
                <w:rFonts w:eastAsia="Times New Roman"/>
                <w:sz w:val="20"/>
                <w:szCs w:val="20"/>
              </w:rPr>
            </w:pPr>
          </w:p>
        </w:tc>
        <w:tc>
          <w:tcPr>
            <w:tcW w:w="45" w:type="pct"/>
            <w:vAlign w:val="center"/>
            <w:hideMark/>
          </w:tcPr>
          <w:p w:rsidR="00000000" w:rsidRDefault="00F83A7A">
            <w:pPr>
              <w:rPr>
                <w:rFonts w:eastAsia="Times New Roman"/>
                <w:sz w:val="20"/>
                <w:szCs w:val="20"/>
              </w:rPr>
            </w:pPr>
          </w:p>
        </w:tc>
        <w:tc>
          <w:tcPr>
            <w:tcW w:w="231" w:type="pct"/>
            <w:vAlign w:val="center"/>
            <w:hideMark/>
          </w:tcPr>
          <w:p w:rsidR="00000000" w:rsidRDefault="00F83A7A">
            <w:pPr>
              <w:rPr>
                <w:rFonts w:eastAsia="Times New Roman"/>
                <w:sz w:val="20"/>
                <w:szCs w:val="20"/>
              </w:rPr>
            </w:pPr>
          </w:p>
        </w:tc>
        <w:tc>
          <w:tcPr>
            <w:tcW w:w="58" w:type="pct"/>
            <w:vAlign w:val="center"/>
            <w:hideMark/>
          </w:tcPr>
          <w:p w:rsidR="00000000" w:rsidRDefault="00F83A7A">
            <w:pPr>
              <w:rPr>
                <w:rFonts w:eastAsia="Times New Roman"/>
                <w:sz w:val="20"/>
                <w:szCs w:val="20"/>
              </w:rPr>
            </w:pPr>
          </w:p>
        </w:tc>
        <w:tc>
          <w:tcPr>
            <w:tcW w:w="672" w:type="pct"/>
            <w:vAlign w:val="center"/>
            <w:hideMark/>
          </w:tcPr>
          <w:p w:rsidR="00000000" w:rsidRDefault="00F83A7A">
            <w:pPr>
              <w:rPr>
                <w:rFonts w:eastAsia="Times New Roman"/>
                <w:sz w:val="20"/>
                <w:szCs w:val="20"/>
              </w:rPr>
            </w:pPr>
          </w:p>
        </w:tc>
        <w:tc>
          <w:tcPr>
            <w:tcW w:w="54" w:type="pct"/>
            <w:vAlign w:val="center"/>
            <w:hideMark/>
          </w:tcPr>
          <w:p w:rsidR="00000000" w:rsidRDefault="00F83A7A">
            <w:pPr>
              <w:rPr>
                <w:rFonts w:eastAsia="Times New Roman"/>
                <w:sz w:val="20"/>
                <w:szCs w:val="20"/>
              </w:rPr>
            </w:pP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jc w:val="center"/>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jc w:val="center"/>
              <w:rPr>
                <w:sz w:val="22"/>
                <w:szCs w:val="22"/>
              </w:rPr>
            </w:pPr>
            <w:r>
              <w:rPr>
                <w:sz w:val="22"/>
                <w:szCs w:val="22"/>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For the Year Ended 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For the Year Ended 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Net income (loss</w:t>
            </w: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122,834,58</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81,035,57</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Other comprehensive income (loss)</w:t>
            </w: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Unrealized loss on available-for-sale securitie</w:t>
            </w:r>
            <w:r>
              <w:rPr>
                <w:sz w:val="20"/>
                <w:szCs w:val="20"/>
              </w:rPr>
              <w:t>s</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2,46</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Comprehensive income (loss</w:t>
            </w:r>
            <w:r>
              <w:rPr>
                <w:sz w:val="20"/>
                <w:szCs w:val="20"/>
              </w:rPr>
              <w:t>)</w:t>
            </w:r>
          </w:p>
        </w:tc>
        <w:tc>
          <w:tcPr>
            <w:tcW w:w="0" w:type="auto"/>
            <w:vAlign w:val="bottom"/>
            <w:hideMark/>
          </w:tcPr>
          <w:p w:rsidR="00000000" w:rsidRDefault="00F83A7A">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122,834,58</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81,038,04</w:t>
            </w:r>
            <w:r>
              <w:rPr>
                <w:sz w:val="20"/>
                <w:szCs w:val="20"/>
              </w:rPr>
              <w:t>5</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bl>
    <w:p w:rsidR="00000000" w:rsidRDefault="00F83A7A">
      <w:pPr>
        <w:pStyle w:val="a3"/>
        <w:spacing w:before="0" w:beforeAutospacing="0" w:after="0" w:afterAutospacing="0"/>
        <w:jc w:val="center"/>
        <w:rPr>
          <w:sz w:val="20"/>
          <w:szCs w:val="20"/>
        </w:rPr>
      </w:pPr>
      <w:r>
        <w:rPr>
          <w:sz w:val="20"/>
          <w:szCs w:val="20"/>
        </w:rPr>
        <w:t> </w:t>
      </w:r>
    </w:p>
    <w:p w:rsidR="00000000" w:rsidRDefault="00F83A7A">
      <w:pPr>
        <w:pStyle w:val="a3"/>
        <w:spacing w:before="0" w:beforeAutospacing="0" w:after="0" w:afterAutospacing="0"/>
        <w:jc w:val="center"/>
        <w:rPr>
          <w:sz w:val="20"/>
          <w:szCs w:val="20"/>
        </w:rPr>
      </w:pPr>
      <w:r>
        <w:rPr>
          <w:sz w:val="20"/>
          <w:szCs w:val="20"/>
        </w:rPr>
        <w:t>See accompanying notes to these consolidated financial statement</w:t>
      </w:r>
      <w:r>
        <w:rPr>
          <w:sz w:val="20"/>
          <w:szCs w:val="20"/>
        </w:rPr>
        <w:t>s</w:t>
      </w:r>
    </w:p>
    <w:p w:rsidR="00000000" w:rsidRDefault="00F83A7A">
      <w:pPr>
        <w:pStyle w:val="a3"/>
        <w:spacing w:before="240" w:beforeAutospacing="0" w:after="0" w:afterAutospacing="0"/>
        <w:jc w:val="center"/>
        <w:rPr>
          <w:sz w:val="20"/>
          <w:szCs w:val="20"/>
        </w:rPr>
      </w:pPr>
      <w:r>
        <w:rPr>
          <w:sz w:val="20"/>
          <w:szCs w:val="20"/>
        </w:rPr>
        <w:t>F</w:t>
      </w:r>
      <w:r>
        <w:rPr>
          <w:sz w:val="20"/>
          <w:szCs w:val="20"/>
        </w:rPr>
        <w:t>-</w:t>
      </w:r>
      <w:r>
        <w:rPr>
          <w:sz w:val="20"/>
          <w:szCs w:val="20"/>
        </w:rPr>
        <w:t>5</w:t>
      </w:r>
    </w:p>
    <w:p w:rsidR="00000000" w:rsidRDefault="00F83A7A">
      <w:pPr>
        <w:rPr>
          <w:rFonts w:eastAsia="Times New Roman"/>
        </w:rPr>
      </w:pPr>
      <w:r>
        <w:rPr>
          <w:rFonts w:eastAsia="Times New Roman"/>
        </w:rPr>
        <w:pict>
          <v:rect id="_x0000_i1101"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center"/>
        <w:rPr>
          <w:sz w:val="20"/>
          <w:szCs w:val="20"/>
        </w:rPr>
      </w:pPr>
      <w:r>
        <w:rPr>
          <w:b/>
          <w:bCs/>
          <w:sz w:val="20"/>
          <w:szCs w:val="20"/>
        </w:rPr>
        <w:t>OVID THERAPEUTICS INC</w:t>
      </w:r>
      <w:r>
        <w:rPr>
          <w:b/>
          <w:bCs/>
          <w:sz w:val="20"/>
          <w:szCs w:val="20"/>
        </w:rPr>
        <w:t>.</w:t>
      </w:r>
    </w:p>
    <w:p w:rsidR="00000000" w:rsidRDefault="00F83A7A">
      <w:pPr>
        <w:pStyle w:val="a3"/>
        <w:spacing w:before="0" w:beforeAutospacing="0" w:after="0" w:afterAutospacing="0"/>
        <w:jc w:val="center"/>
        <w:rPr>
          <w:sz w:val="20"/>
          <w:szCs w:val="20"/>
        </w:rPr>
      </w:pPr>
      <w:r>
        <w:rPr>
          <w:b/>
          <w:bCs/>
          <w:sz w:val="20"/>
          <w:szCs w:val="20"/>
        </w:rPr>
        <w:t>Consolidated Statement of Changes i</w:t>
      </w:r>
      <w:r>
        <w:rPr>
          <w:b/>
          <w:bCs/>
          <w:sz w:val="20"/>
          <w:szCs w:val="20"/>
        </w:rPr>
        <w:t>n</w:t>
      </w:r>
      <w:r>
        <w:rPr>
          <w:b/>
          <w:bCs/>
          <w:sz w:val="20"/>
          <w:szCs w:val="20"/>
        </w:rPr>
        <w:t xml:space="preserve"> Stockholders’ Equit</w:t>
      </w:r>
      <w:r>
        <w:rPr>
          <w:b/>
          <w:bCs/>
          <w:sz w:val="20"/>
          <w:szCs w:val="20"/>
        </w:rPr>
        <w:t>y</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3"/>
        <w:gridCol w:w="95"/>
        <w:gridCol w:w="95"/>
        <w:gridCol w:w="422"/>
        <w:gridCol w:w="107"/>
        <w:gridCol w:w="95"/>
        <w:gridCol w:w="131"/>
        <w:gridCol w:w="445"/>
        <w:gridCol w:w="107"/>
        <w:gridCol w:w="95"/>
        <w:gridCol w:w="95"/>
        <w:gridCol w:w="690"/>
        <w:gridCol w:w="95"/>
        <w:gridCol w:w="95"/>
        <w:gridCol w:w="130"/>
        <w:gridCol w:w="445"/>
        <w:gridCol w:w="95"/>
        <w:gridCol w:w="95"/>
        <w:gridCol w:w="130"/>
        <w:gridCol w:w="760"/>
        <w:gridCol w:w="107"/>
        <w:gridCol w:w="95"/>
        <w:gridCol w:w="138"/>
        <w:gridCol w:w="856"/>
        <w:gridCol w:w="107"/>
        <w:gridCol w:w="95"/>
        <w:gridCol w:w="130"/>
        <w:gridCol w:w="807"/>
        <w:gridCol w:w="107"/>
        <w:gridCol w:w="95"/>
        <w:gridCol w:w="130"/>
        <w:gridCol w:w="760"/>
        <w:gridCol w:w="122"/>
      </w:tblGrid>
      <w:tr w:rsidR="00000000">
        <w:trPr>
          <w:tblCellSpacing w:w="15" w:type="dxa"/>
        </w:trPr>
        <w:tc>
          <w:tcPr>
            <w:tcW w:w="1679" w:type="pct"/>
            <w:vAlign w:val="center"/>
            <w:hideMark/>
          </w:tcPr>
          <w:p w:rsidR="00000000" w:rsidRDefault="00F83A7A">
            <w:pPr>
              <w:rPr>
                <w:sz w:val="20"/>
                <w:szCs w:val="20"/>
              </w:rPr>
            </w:pPr>
          </w:p>
        </w:tc>
        <w:tc>
          <w:tcPr>
            <w:tcW w:w="47" w:type="pct"/>
            <w:vAlign w:val="center"/>
            <w:hideMark/>
          </w:tcPr>
          <w:p w:rsidR="00000000" w:rsidRDefault="00F83A7A">
            <w:pPr>
              <w:rPr>
                <w:rFonts w:eastAsia="Times New Roman"/>
                <w:sz w:val="20"/>
                <w:szCs w:val="20"/>
              </w:rPr>
            </w:pPr>
          </w:p>
        </w:tc>
        <w:tc>
          <w:tcPr>
            <w:tcW w:w="20" w:type="pct"/>
            <w:vAlign w:val="center"/>
            <w:hideMark/>
          </w:tcPr>
          <w:p w:rsidR="00000000" w:rsidRDefault="00F83A7A">
            <w:pPr>
              <w:rPr>
                <w:rFonts w:eastAsia="Times New Roman"/>
                <w:sz w:val="20"/>
                <w:szCs w:val="20"/>
              </w:rPr>
            </w:pPr>
          </w:p>
        </w:tc>
        <w:tc>
          <w:tcPr>
            <w:tcW w:w="200" w:type="pct"/>
            <w:vAlign w:val="center"/>
            <w:hideMark/>
          </w:tcPr>
          <w:p w:rsidR="00000000" w:rsidRDefault="00F83A7A">
            <w:pPr>
              <w:rPr>
                <w:rFonts w:eastAsia="Times New Roman"/>
                <w:sz w:val="20"/>
                <w:szCs w:val="20"/>
              </w:rPr>
            </w:pPr>
          </w:p>
        </w:tc>
        <w:tc>
          <w:tcPr>
            <w:tcW w:w="27" w:type="pct"/>
            <w:vAlign w:val="center"/>
            <w:hideMark/>
          </w:tcPr>
          <w:p w:rsidR="00000000" w:rsidRDefault="00F83A7A">
            <w:pPr>
              <w:rPr>
                <w:rFonts w:eastAsia="Times New Roman"/>
                <w:sz w:val="20"/>
                <w:szCs w:val="20"/>
              </w:rPr>
            </w:pPr>
          </w:p>
        </w:tc>
        <w:tc>
          <w:tcPr>
            <w:tcW w:w="47" w:type="pct"/>
            <w:vAlign w:val="center"/>
            <w:hideMark/>
          </w:tcPr>
          <w:p w:rsidR="00000000" w:rsidRDefault="00F83A7A">
            <w:pPr>
              <w:rPr>
                <w:rFonts w:eastAsia="Times New Roman"/>
                <w:sz w:val="20"/>
                <w:szCs w:val="20"/>
              </w:rPr>
            </w:pPr>
          </w:p>
        </w:tc>
        <w:tc>
          <w:tcPr>
            <w:tcW w:w="41" w:type="pct"/>
            <w:vAlign w:val="center"/>
            <w:hideMark/>
          </w:tcPr>
          <w:p w:rsidR="00000000" w:rsidRDefault="00F83A7A">
            <w:pPr>
              <w:rPr>
                <w:rFonts w:eastAsia="Times New Roman"/>
                <w:sz w:val="20"/>
                <w:szCs w:val="20"/>
              </w:rPr>
            </w:pPr>
          </w:p>
        </w:tc>
        <w:tc>
          <w:tcPr>
            <w:tcW w:w="227" w:type="pct"/>
            <w:vAlign w:val="center"/>
            <w:hideMark/>
          </w:tcPr>
          <w:p w:rsidR="00000000" w:rsidRDefault="00F83A7A">
            <w:pPr>
              <w:rPr>
                <w:rFonts w:eastAsia="Times New Roman"/>
                <w:sz w:val="20"/>
                <w:szCs w:val="20"/>
              </w:rPr>
            </w:pPr>
          </w:p>
        </w:tc>
        <w:tc>
          <w:tcPr>
            <w:tcW w:w="27" w:type="pct"/>
            <w:vAlign w:val="center"/>
            <w:hideMark/>
          </w:tcPr>
          <w:p w:rsidR="00000000" w:rsidRDefault="00F83A7A">
            <w:pPr>
              <w:rPr>
                <w:rFonts w:eastAsia="Times New Roman"/>
                <w:sz w:val="20"/>
                <w:szCs w:val="20"/>
              </w:rPr>
            </w:pPr>
          </w:p>
        </w:tc>
        <w:tc>
          <w:tcPr>
            <w:tcW w:w="47" w:type="pct"/>
            <w:vAlign w:val="center"/>
            <w:hideMark/>
          </w:tcPr>
          <w:p w:rsidR="00000000" w:rsidRDefault="00F83A7A">
            <w:pPr>
              <w:rPr>
                <w:rFonts w:eastAsia="Times New Roman"/>
                <w:sz w:val="20"/>
                <w:szCs w:val="20"/>
              </w:rPr>
            </w:pPr>
          </w:p>
        </w:tc>
        <w:tc>
          <w:tcPr>
            <w:tcW w:w="19" w:type="pct"/>
            <w:vAlign w:val="center"/>
            <w:hideMark/>
          </w:tcPr>
          <w:p w:rsidR="00000000" w:rsidRDefault="00F83A7A">
            <w:pPr>
              <w:rPr>
                <w:rFonts w:eastAsia="Times New Roman"/>
                <w:sz w:val="20"/>
                <w:szCs w:val="20"/>
              </w:rPr>
            </w:pPr>
          </w:p>
        </w:tc>
        <w:tc>
          <w:tcPr>
            <w:tcW w:w="328" w:type="pct"/>
            <w:vAlign w:val="center"/>
            <w:hideMark/>
          </w:tcPr>
          <w:p w:rsidR="00000000" w:rsidRDefault="00F83A7A">
            <w:pPr>
              <w:rPr>
                <w:rFonts w:eastAsia="Times New Roman"/>
                <w:sz w:val="20"/>
                <w:szCs w:val="20"/>
              </w:rPr>
            </w:pPr>
          </w:p>
        </w:tc>
        <w:tc>
          <w:tcPr>
            <w:tcW w:w="19" w:type="pct"/>
            <w:vAlign w:val="center"/>
            <w:hideMark/>
          </w:tcPr>
          <w:p w:rsidR="00000000" w:rsidRDefault="00F83A7A">
            <w:pPr>
              <w:rPr>
                <w:rFonts w:eastAsia="Times New Roman"/>
                <w:sz w:val="20"/>
                <w:szCs w:val="20"/>
              </w:rPr>
            </w:pPr>
          </w:p>
        </w:tc>
        <w:tc>
          <w:tcPr>
            <w:tcW w:w="47" w:type="pct"/>
            <w:vAlign w:val="center"/>
            <w:hideMark/>
          </w:tcPr>
          <w:p w:rsidR="00000000" w:rsidRDefault="00F83A7A">
            <w:pPr>
              <w:rPr>
                <w:rFonts w:eastAsia="Times New Roman"/>
                <w:sz w:val="20"/>
                <w:szCs w:val="20"/>
              </w:rPr>
            </w:pPr>
          </w:p>
        </w:tc>
        <w:tc>
          <w:tcPr>
            <w:tcW w:w="41" w:type="pct"/>
            <w:vAlign w:val="center"/>
            <w:hideMark/>
          </w:tcPr>
          <w:p w:rsidR="00000000" w:rsidRDefault="00F83A7A">
            <w:pPr>
              <w:rPr>
                <w:rFonts w:eastAsia="Times New Roman"/>
                <w:sz w:val="20"/>
                <w:szCs w:val="20"/>
              </w:rPr>
            </w:pPr>
          </w:p>
        </w:tc>
        <w:tc>
          <w:tcPr>
            <w:tcW w:w="303" w:type="pct"/>
            <w:vAlign w:val="center"/>
            <w:hideMark/>
          </w:tcPr>
          <w:p w:rsidR="00000000" w:rsidRDefault="00F83A7A">
            <w:pPr>
              <w:rPr>
                <w:rFonts w:eastAsia="Times New Roman"/>
                <w:sz w:val="20"/>
                <w:szCs w:val="20"/>
              </w:rPr>
            </w:pPr>
          </w:p>
        </w:tc>
        <w:tc>
          <w:tcPr>
            <w:tcW w:w="19" w:type="pct"/>
            <w:vAlign w:val="center"/>
            <w:hideMark/>
          </w:tcPr>
          <w:p w:rsidR="00000000" w:rsidRDefault="00F83A7A">
            <w:pPr>
              <w:rPr>
                <w:rFonts w:eastAsia="Times New Roman"/>
                <w:sz w:val="20"/>
                <w:szCs w:val="20"/>
              </w:rPr>
            </w:pPr>
          </w:p>
        </w:tc>
        <w:tc>
          <w:tcPr>
            <w:tcW w:w="47" w:type="pct"/>
            <w:vAlign w:val="center"/>
            <w:hideMark/>
          </w:tcPr>
          <w:p w:rsidR="00000000" w:rsidRDefault="00F83A7A">
            <w:pPr>
              <w:rPr>
                <w:rFonts w:eastAsia="Times New Roman"/>
                <w:sz w:val="20"/>
                <w:szCs w:val="20"/>
              </w:rPr>
            </w:pPr>
          </w:p>
        </w:tc>
        <w:tc>
          <w:tcPr>
            <w:tcW w:w="41" w:type="pct"/>
            <w:vAlign w:val="center"/>
            <w:hideMark/>
          </w:tcPr>
          <w:p w:rsidR="00000000" w:rsidRDefault="00F83A7A">
            <w:pPr>
              <w:rPr>
                <w:rFonts w:eastAsia="Times New Roman"/>
                <w:sz w:val="20"/>
                <w:szCs w:val="20"/>
              </w:rPr>
            </w:pPr>
          </w:p>
        </w:tc>
        <w:tc>
          <w:tcPr>
            <w:tcW w:w="324" w:type="pct"/>
            <w:vAlign w:val="center"/>
            <w:hideMark/>
          </w:tcPr>
          <w:p w:rsidR="00000000" w:rsidRDefault="00F83A7A">
            <w:pPr>
              <w:rPr>
                <w:rFonts w:eastAsia="Times New Roman"/>
                <w:sz w:val="20"/>
                <w:szCs w:val="20"/>
              </w:rPr>
            </w:pPr>
          </w:p>
        </w:tc>
        <w:tc>
          <w:tcPr>
            <w:tcW w:w="27" w:type="pct"/>
            <w:vAlign w:val="center"/>
            <w:hideMark/>
          </w:tcPr>
          <w:p w:rsidR="00000000" w:rsidRDefault="00F83A7A">
            <w:pPr>
              <w:rPr>
                <w:rFonts w:eastAsia="Times New Roman"/>
                <w:sz w:val="20"/>
                <w:szCs w:val="20"/>
              </w:rPr>
            </w:pPr>
          </w:p>
        </w:tc>
        <w:tc>
          <w:tcPr>
            <w:tcW w:w="47" w:type="pct"/>
            <w:vAlign w:val="center"/>
            <w:hideMark/>
          </w:tcPr>
          <w:p w:rsidR="00000000" w:rsidRDefault="00F83A7A">
            <w:pPr>
              <w:rPr>
                <w:rFonts w:eastAsia="Times New Roman"/>
                <w:sz w:val="20"/>
                <w:szCs w:val="20"/>
              </w:rPr>
            </w:pPr>
          </w:p>
        </w:tc>
        <w:tc>
          <w:tcPr>
            <w:tcW w:w="50" w:type="pct"/>
            <w:vAlign w:val="center"/>
            <w:hideMark/>
          </w:tcPr>
          <w:p w:rsidR="00000000" w:rsidRDefault="00F83A7A">
            <w:pPr>
              <w:rPr>
                <w:rFonts w:eastAsia="Times New Roman"/>
                <w:sz w:val="20"/>
                <w:szCs w:val="20"/>
              </w:rPr>
            </w:pPr>
          </w:p>
        </w:tc>
        <w:tc>
          <w:tcPr>
            <w:tcW w:w="383" w:type="pct"/>
            <w:vAlign w:val="center"/>
            <w:hideMark/>
          </w:tcPr>
          <w:p w:rsidR="00000000" w:rsidRDefault="00F83A7A">
            <w:pPr>
              <w:rPr>
                <w:rFonts w:eastAsia="Times New Roman"/>
                <w:sz w:val="20"/>
                <w:szCs w:val="20"/>
              </w:rPr>
            </w:pPr>
          </w:p>
        </w:tc>
        <w:tc>
          <w:tcPr>
            <w:tcW w:w="27" w:type="pct"/>
            <w:vAlign w:val="center"/>
            <w:hideMark/>
          </w:tcPr>
          <w:p w:rsidR="00000000" w:rsidRDefault="00F83A7A">
            <w:pPr>
              <w:rPr>
                <w:rFonts w:eastAsia="Times New Roman"/>
                <w:sz w:val="20"/>
                <w:szCs w:val="20"/>
              </w:rPr>
            </w:pPr>
          </w:p>
        </w:tc>
        <w:tc>
          <w:tcPr>
            <w:tcW w:w="47" w:type="pct"/>
            <w:vAlign w:val="center"/>
            <w:hideMark/>
          </w:tcPr>
          <w:p w:rsidR="00000000" w:rsidRDefault="00F83A7A">
            <w:pPr>
              <w:rPr>
                <w:rFonts w:eastAsia="Times New Roman"/>
                <w:sz w:val="20"/>
                <w:szCs w:val="20"/>
              </w:rPr>
            </w:pPr>
          </w:p>
        </w:tc>
        <w:tc>
          <w:tcPr>
            <w:tcW w:w="41" w:type="pct"/>
            <w:vAlign w:val="center"/>
            <w:hideMark/>
          </w:tcPr>
          <w:p w:rsidR="00000000" w:rsidRDefault="00F83A7A">
            <w:pPr>
              <w:rPr>
                <w:rFonts w:eastAsia="Times New Roman"/>
                <w:sz w:val="20"/>
                <w:szCs w:val="20"/>
              </w:rPr>
            </w:pPr>
          </w:p>
        </w:tc>
        <w:tc>
          <w:tcPr>
            <w:tcW w:w="346" w:type="pct"/>
            <w:vAlign w:val="center"/>
            <w:hideMark/>
          </w:tcPr>
          <w:p w:rsidR="00000000" w:rsidRDefault="00F83A7A">
            <w:pPr>
              <w:rPr>
                <w:rFonts w:eastAsia="Times New Roman"/>
                <w:sz w:val="20"/>
                <w:szCs w:val="20"/>
              </w:rPr>
            </w:pPr>
          </w:p>
        </w:tc>
        <w:tc>
          <w:tcPr>
            <w:tcW w:w="27" w:type="pct"/>
            <w:vAlign w:val="center"/>
            <w:hideMark/>
          </w:tcPr>
          <w:p w:rsidR="00000000" w:rsidRDefault="00F83A7A">
            <w:pPr>
              <w:rPr>
                <w:rFonts w:eastAsia="Times New Roman"/>
                <w:sz w:val="20"/>
                <w:szCs w:val="20"/>
              </w:rPr>
            </w:pPr>
          </w:p>
        </w:tc>
        <w:tc>
          <w:tcPr>
            <w:tcW w:w="47" w:type="pct"/>
            <w:vAlign w:val="center"/>
            <w:hideMark/>
          </w:tcPr>
          <w:p w:rsidR="00000000" w:rsidRDefault="00F83A7A">
            <w:pPr>
              <w:rPr>
                <w:rFonts w:eastAsia="Times New Roman"/>
                <w:sz w:val="20"/>
                <w:szCs w:val="20"/>
              </w:rPr>
            </w:pPr>
          </w:p>
        </w:tc>
        <w:tc>
          <w:tcPr>
            <w:tcW w:w="41" w:type="pct"/>
            <w:vAlign w:val="center"/>
            <w:hideMark/>
          </w:tcPr>
          <w:p w:rsidR="00000000" w:rsidRDefault="00F83A7A">
            <w:pPr>
              <w:rPr>
                <w:rFonts w:eastAsia="Times New Roman"/>
                <w:sz w:val="20"/>
                <w:szCs w:val="20"/>
              </w:rPr>
            </w:pPr>
          </w:p>
        </w:tc>
        <w:tc>
          <w:tcPr>
            <w:tcW w:w="324" w:type="pct"/>
            <w:vAlign w:val="center"/>
            <w:hideMark/>
          </w:tcPr>
          <w:p w:rsidR="00000000" w:rsidRDefault="00F83A7A">
            <w:pPr>
              <w:rPr>
                <w:rFonts w:eastAsia="Times New Roman"/>
                <w:sz w:val="20"/>
                <w:szCs w:val="20"/>
              </w:rPr>
            </w:pPr>
          </w:p>
        </w:tc>
        <w:tc>
          <w:tcPr>
            <w:tcW w:w="27" w:type="pct"/>
            <w:vAlign w:val="center"/>
            <w:hideMark/>
          </w:tcPr>
          <w:p w:rsidR="00000000" w:rsidRDefault="00F83A7A">
            <w:pPr>
              <w:rPr>
                <w:rFonts w:eastAsia="Times New Roman"/>
                <w:sz w:val="20"/>
                <w:szCs w:val="20"/>
              </w:rPr>
            </w:pP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F83A7A">
            <w:pPr>
              <w:pStyle w:val="a3"/>
              <w:spacing w:before="0" w:beforeAutospacing="0" w:after="0" w:afterAutospacing="0"/>
              <w:jc w:val="center"/>
              <w:rPr>
                <w:sz w:val="14"/>
                <w:szCs w:val="14"/>
              </w:rPr>
            </w:pPr>
            <w:r>
              <w:rPr>
                <w:b/>
                <w:bCs/>
                <w:sz w:val="14"/>
                <w:szCs w:val="14"/>
              </w:rPr>
              <w:t>Convertible</w:t>
            </w:r>
            <w:r>
              <w:rPr>
                <w:b/>
                <w:bCs/>
                <w:sz w:val="14"/>
                <w:szCs w:val="14"/>
              </w:rPr>
              <w:br/>
            </w:r>
            <w:r>
              <w:rPr>
                <w:b/>
                <w:bCs/>
                <w:sz w:val="14"/>
                <w:szCs w:val="14"/>
              </w:rPr>
              <w:t>Preferred Stoc</w:t>
            </w:r>
            <w:r>
              <w:rPr>
                <w:b/>
                <w:bCs/>
                <w:sz w:val="14"/>
                <w:szCs w:val="14"/>
              </w:rPr>
              <w:t>k</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6"/>
            <w:vAlign w:val="bottom"/>
            <w:hideMark/>
          </w:tcPr>
          <w:p w:rsidR="00000000" w:rsidRDefault="00F83A7A">
            <w:pPr>
              <w:pStyle w:val="a3"/>
              <w:spacing w:before="0" w:beforeAutospacing="0" w:after="0" w:afterAutospacing="0"/>
              <w:jc w:val="center"/>
              <w:rPr>
                <w:sz w:val="14"/>
                <w:szCs w:val="14"/>
              </w:rPr>
            </w:pPr>
            <w:r>
              <w:rPr>
                <w:b/>
                <w:bCs/>
                <w:sz w:val="14"/>
                <w:szCs w:val="14"/>
              </w:rPr>
              <w:t>Common Stoc</w:t>
            </w:r>
            <w:r>
              <w:rPr>
                <w:b/>
                <w:bCs/>
                <w:sz w:val="14"/>
                <w:szCs w:val="14"/>
              </w:rPr>
              <w:t>k</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Additional</w:t>
            </w:r>
            <w:r>
              <w:rPr>
                <w:b/>
                <w:bCs/>
                <w:sz w:val="14"/>
                <w:szCs w:val="14"/>
              </w:rPr>
              <w:br/>
              <w:t>Paid-I</w:t>
            </w:r>
            <w:r>
              <w:rPr>
                <w:b/>
                <w:bCs/>
                <w:sz w:val="14"/>
                <w:szCs w:val="14"/>
              </w:rPr>
              <w:t>n</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Accumulated</w:t>
            </w:r>
            <w:r>
              <w:rPr>
                <w:b/>
                <w:bCs/>
                <w:sz w:val="14"/>
                <w:szCs w:val="14"/>
              </w:rPr>
              <w:br/>
              <w:t>Other</w:t>
            </w:r>
            <w:r>
              <w:rPr>
                <w:b/>
                <w:bCs/>
                <w:sz w:val="14"/>
                <w:szCs w:val="14"/>
              </w:rPr>
              <w:br/>
              <w:t>Comprehensiv</w:t>
            </w:r>
            <w:r>
              <w:rPr>
                <w:b/>
                <w:bCs/>
                <w:sz w:val="14"/>
                <w:szCs w:val="14"/>
              </w:rPr>
              <w:t>e</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Accumulate</w:t>
            </w:r>
            <w:r>
              <w:rPr>
                <w:b/>
                <w:bCs/>
                <w:sz w:val="14"/>
                <w:szCs w:val="14"/>
              </w:rPr>
              <w:t>d</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Amoun</w:t>
            </w:r>
            <w:r>
              <w:rPr>
                <w:b/>
                <w:bCs/>
                <w:sz w:val="14"/>
                <w:szCs w:val="14"/>
              </w:rPr>
              <w:t>t</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Amoun</w:t>
            </w:r>
            <w:r>
              <w:rPr>
                <w:b/>
                <w:bCs/>
                <w:sz w:val="14"/>
                <w:szCs w:val="14"/>
              </w:rPr>
              <w:t>t</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Capita</w:t>
            </w:r>
            <w:r>
              <w:rPr>
                <w:b/>
                <w:bCs/>
                <w:sz w:val="14"/>
                <w:szCs w:val="14"/>
              </w:rPr>
              <w:t>l</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Income/(Loss</w:t>
            </w:r>
            <w:r>
              <w:rPr>
                <w:b/>
                <w:bCs/>
                <w:sz w:val="14"/>
                <w:szCs w:val="14"/>
              </w:rPr>
              <w:t>)</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Defici</w:t>
            </w:r>
            <w:r>
              <w:rPr>
                <w:b/>
                <w:bCs/>
                <w:sz w:val="14"/>
                <w:szCs w:val="14"/>
              </w:rPr>
              <w:t>t</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Tota</w:t>
            </w:r>
            <w:r>
              <w:rPr>
                <w:b/>
                <w:bCs/>
                <w:sz w:val="14"/>
                <w:szCs w:val="14"/>
              </w:rPr>
              <w:t>l</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Balance, December 31, 202</w:t>
            </w:r>
            <w:r>
              <w:rPr>
                <w:sz w:val="14"/>
                <w:szCs w:val="14"/>
              </w:rPr>
              <w:t>0</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3,25</w:t>
            </w:r>
            <w:r>
              <w:rPr>
                <w:sz w:val="14"/>
                <w:szCs w:val="14"/>
              </w:rPr>
              <w:t>0</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3</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65,743,17</w:t>
            </w:r>
            <w:r>
              <w:rPr>
                <w:sz w:val="14"/>
                <w:szCs w:val="14"/>
              </w:rPr>
              <w:t>0</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65,74</w:t>
            </w:r>
            <w:r>
              <w:rPr>
                <w:sz w:val="14"/>
                <w:szCs w:val="14"/>
              </w:rPr>
              <w:t>3</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337,758,00</w:t>
            </w:r>
            <w:r>
              <w:rPr>
                <w:sz w:val="14"/>
                <w:szCs w:val="14"/>
              </w:rPr>
              <w:t>7</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w:t>
            </w:r>
            <w:r>
              <w:rPr>
                <w:sz w:val="14"/>
                <w:szCs w:val="14"/>
              </w:rPr>
              <w:t>294,192,09</w:t>
            </w:r>
            <w:r>
              <w:rPr>
                <w:sz w:val="14"/>
                <w:szCs w:val="14"/>
              </w:rPr>
              <w:t>7</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43,631,65</w:t>
            </w:r>
            <w:r>
              <w:rPr>
                <w:sz w:val="14"/>
                <w:szCs w:val="14"/>
              </w:rPr>
              <w:t>6</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Issuance of common stock in asset purchas</w:t>
            </w:r>
            <w:r>
              <w:rPr>
                <w:sz w:val="14"/>
                <w:szCs w:val="14"/>
              </w:rPr>
              <w:t>e</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2,272,72</w:t>
            </w:r>
            <w:r>
              <w:rPr>
                <w:sz w:val="14"/>
                <w:szCs w:val="14"/>
              </w:rPr>
              <w:t>7</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2,27</w:t>
            </w:r>
            <w:r>
              <w:rPr>
                <w:sz w:val="14"/>
                <w:szCs w:val="14"/>
              </w:rPr>
              <w:t>3</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7,297,72</w:t>
            </w:r>
            <w:r>
              <w:rPr>
                <w:sz w:val="14"/>
                <w:szCs w:val="14"/>
              </w:rPr>
              <w:t>7</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7,300,00</w:t>
            </w:r>
            <w:r>
              <w:rPr>
                <w:sz w:val="14"/>
                <w:szCs w:val="14"/>
              </w:rPr>
              <w:t>0</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Issuance of common stock from employee stock purchase pla</w:t>
            </w:r>
            <w:r>
              <w:rPr>
                <w:sz w:val="14"/>
                <w:szCs w:val="14"/>
              </w:rPr>
              <w:t>n</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60,49</w:t>
            </w:r>
            <w:r>
              <w:rPr>
                <w:sz w:val="14"/>
                <w:szCs w:val="14"/>
              </w:rPr>
              <w:t>0</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6</w:t>
            </w:r>
            <w:r>
              <w:rPr>
                <w:sz w:val="14"/>
                <w:szCs w:val="14"/>
              </w:rPr>
              <w:t>0</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118,20</w:t>
            </w:r>
            <w:r>
              <w:rPr>
                <w:sz w:val="14"/>
                <w:szCs w:val="14"/>
              </w:rPr>
              <w:t>5</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118,26</w:t>
            </w:r>
            <w:r>
              <w:rPr>
                <w:sz w:val="14"/>
                <w:szCs w:val="14"/>
              </w:rPr>
              <w:t>5</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Issuance of common stock from exercise of stock option</w:t>
            </w:r>
            <w:r>
              <w:rPr>
                <w:sz w:val="14"/>
                <w:szCs w:val="14"/>
              </w:rPr>
              <w:t>s</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288,52</w:t>
            </w:r>
            <w:r>
              <w:rPr>
                <w:sz w:val="14"/>
                <w:szCs w:val="14"/>
              </w:rPr>
              <w:t>5</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28</w:t>
            </w:r>
            <w:r>
              <w:rPr>
                <w:sz w:val="14"/>
                <w:szCs w:val="14"/>
              </w:rPr>
              <w:t>3</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807,19</w:t>
            </w:r>
            <w:r>
              <w:rPr>
                <w:sz w:val="14"/>
                <w:szCs w:val="14"/>
              </w:rPr>
              <w:t>1</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807,47</w:t>
            </w:r>
            <w:r>
              <w:rPr>
                <w:sz w:val="14"/>
                <w:szCs w:val="14"/>
              </w:rPr>
              <w:t>4</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Conversion of series A convertible preferred stock to common stoc</w:t>
            </w:r>
            <w:r>
              <w:rPr>
                <w:sz w:val="14"/>
                <w:szCs w:val="14"/>
              </w:rPr>
              <w:t>k</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w:t>
            </w:r>
            <w:r>
              <w:rPr>
                <w:sz w:val="14"/>
                <w:szCs w:val="14"/>
              </w:rPr>
              <w:t>2,00</w:t>
            </w:r>
            <w:r>
              <w:rPr>
                <w:sz w:val="14"/>
                <w:szCs w:val="14"/>
              </w:rPr>
              <w:t>0</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w:t>
            </w:r>
            <w:r>
              <w:rPr>
                <w:sz w:val="14"/>
                <w:szCs w:val="14"/>
              </w:rPr>
              <w:t>2</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2,000,00</w:t>
            </w:r>
            <w:r>
              <w:rPr>
                <w:sz w:val="14"/>
                <w:szCs w:val="14"/>
              </w:rPr>
              <w:t>0</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2,00</w:t>
            </w:r>
            <w:r>
              <w:rPr>
                <w:sz w:val="14"/>
                <w:szCs w:val="14"/>
              </w:rPr>
              <w:t>0</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w:t>
            </w:r>
            <w:r>
              <w:rPr>
                <w:sz w:val="14"/>
                <w:szCs w:val="14"/>
              </w:rPr>
              <w:t>1,99</w:t>
            </w:r>
            <w:r>
              <w:rPr>
                <w:sz w:val="14"/>
                <w:szCs w:val="14"/>
              </w:rPr>
              <w:t>8</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Stock-based compensation expens</w:t>
            </w:r>
            <w:r>
              <w:rPr>
                <w:sz w:val="14"/>
                <w:szCs w:val="14"/>
              </w:rPr>
              <w:t>e</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5,054,45</w:t>
            </w:r>
            <w:r>
              <w:rPr>
                <w:sz w:val="14"/>
                <w:szCs w:val="14"/>
              </w:rPr>
              <w:t>7</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5,054,45</w:t>
            </w:r>
            <w:r>
              <w:rPr>
                <w:sz w:val="14"/>
                <w:szCs w:val="14"/>
              </w:rPr>
              <w:t>7</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Net incom</w:t>
            </w:r>
            <w:r>
              <w:rPr>
                <w:sz w:val="14"/>
                <w:szCs w:val="14"/>
              </w:rPr>
              <w:t>e</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122,834,58</w:t>
            </w:r>
            <w:r>
              <w:rPr>
                <w:sz w:val="14"/>
                <w:szCs w:val="14"/>
              </w:rPr>
              <w:t>4</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122,834,58</w:t>
            </w:r>
            <w:r>
              <w:rPr>
                <w:sz w:val="14"/>
                <w:szCs w:val="14"/>
              </w:rPr>
              <w:t>4</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Balance, December 31, 202</w:t>
            </w:r>
            <w:r>
              <w:rPr>
                <w:sz w:val="14"/>
                <w:szCs w:val="14"/>
              </w:rPr>
              <w:t>1</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1,25</w:t>
            </w:r>
            <w:r>
              <w:rPr>
                <w:sz w:val="14"/>
                <w:szCs w:val="14"/>
              </w:rPr>
              <w:t>0</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1</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70,364,91</w:t>
            </w:r>
            <w:r>
              <w:rPr>
                <w:sz w:val="14"/>
                <w:szCs w:val="14"/>
              </w:rPr>
              <w:t>2</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70,35</w:t>
            </w:r>
            <w:r>
              <w:rPr>
                <w:sz w:val="14"/>
                <w:szCs w:val="14"/>
              </w:rPr>
              <w:t>9</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351,033,58</w:t>
            </w:r>
            <w:r>
              <w:rPr>
                <w:sz w:val="14"/>
                <w:szCs w:val="14"/>
              </w:rPr>
              <w:t>9</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w:t>
            </w:r>
            <w:r>
              <w:rPr>
                <w:sz w:val="14"/>
                <w:szCs w:val="14"/>
              </w:rPr>
              <w:t>171,357,51</w:t>
            </w:r>
            <w:r>
              <w:rPr>
                <w:sz w:val="14"/>
                <w:szCs w:val="14"/>
              </w:rPr>
              <w:t>3</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179,746,43</w:t>
            </w:r>
            <w:r>
              <w:rPr>
                <w:sz w:val="14"/>
                <w:szCs w:val="14"/>
              </w:rPr>
              <w:t>6</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F83A7A">
            <w:pPr>
              <w:pStyle w:val="a3"/>
              <w:spacing w:before="0" w:beforeAutospacing="0" w:after="0" w:afterAutospacing="0"/>
              <w:jc w:val="center"/>
              <w:rPr>
                <w:sz w:val="14"/>
                <w:szCs w:val="14"/>
              </w:rPr>
            </w:pPr>
            <w:r>
              <w:rPr>
                <w:b/>
                <w:bCs/>
                <w:sz w:val="14"/>
                <w:szCs w:val="14"/>
              </w:rPr>
              <w:t>Convertible</w:t>
            </w:r>
            <w:r>
              <w:rPr>
                <w:b/>
                <w:bCs/>
                <w:sz w:val="14"/>
                <w:szCs w:val="14"/>
              </w:rPr>
              <w:br/>
              <w:t>Preferred Stoc</w:t>
            </w:r>
            <w:r>
              <w:rPr>
                <w:b/>
                <w:bCs/>
                <w:sz w:val="14"/>
                <w:szCs w:val="14"/>
              </w:rPr>
              <w:t>k</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6"/>
            <w:vAlign w:val="bottom"/>
            <w:hideMark/>
          </w:tcPr>
          <w:p w:rsidR="00000000" w:rsidRDefault="00F83A7A">
            <w:pPr>
              <w:pStyle w:val="a3"/>
              <w:spacing w:before="0" w:beforeAutospacing="0" w:after="0" w:afterAutospacing="0"/>
              <w:jc w:val="center"/>
              <w:rPr>
                <w:sz w:val="14"/>
                <w:szCs w:val="14"/>
              </w:rPr>
            </w:pPr>
            <w:r>
              <w:rPr>
                <w:b/>
                <w:bCs/>
                <w:sz w:val="14"/>
                <w:szCs w:val="14"/>
              </w:rPr>
              <w:t>Common Stoc</w:t>
            </w:r>
            <w:r>
              <w:rPr>
                <w:b/>
                <w:bCs/>
                <w:sz w:val="14"/>
                <w:szCs w:val="14"/>
              </w:rPr>
              <w:t>k</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Additional</w:t>
            </w:r>
            <w:r>
              <w:rPr>
                <w:b/>
                <w:bCs/>
                <w:sz w:val="14"/>
                <w:szCs w:val="14"/>
              </w:rPr>
              <w:br/>
              <w:t>Paid-I</w:t>
            </w:r>
            <w:r>
              <w:rPr>
                <w:b/>
                <w:bCs/>
                <w:sz w:val="14"/>
                <w:szCs w:val="14"/>
              </w:rPr>
              <w:t>n</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Accumulated</w:t>
            </w:r>
            <w:r>
              <w:rPr>
                <w:b/>
                <w:bCs/>
                <w:sz w:val="14"/>
                <w:szCs w:val="14"/>
              </w:rPr>
              <w:br/>
              <w:t>Other</w:t>
            </w:r>
            <w:r>
              <w:rPr>
                <w:b/>
                <w:bCs/>
                <w:sz w:val="14"/>
                <w:szCs w:val="14"/>
              </w:rPr>
              <w:br/>
              <w:t>Comprehensiv</w:t>
            </w:r>
            <w:r>
              <w:rPr>
                <w:b/>
                <w:bCs/>
                <w:sz w:val="14"/>
                <w:szCs w:val="14"/>
              </w:rPr>
              <w:t>e</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Accumulate</w:t>
            </w:r>
            <w:r>
              <w:rPr>
                <w:b/>
                <w:bCs/>
                <w:sz w:val="14"/>
                <w:szCs w:val="14"/>
              </w:rPr>
              <w:t>d</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Amoun</w:t>
            </w:r>
            <w:r>
              <w:rPr>
                <w:b/>
                <w:bCs/>
                <w:sz w:val="14"/>
                <w:szCs w:val="14"/>
              </w:rPr>
              <w:t>t</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Amoun</w:t>
            </w:r>
            <w:r>
              <w:rPr>
                <w:b/>
                <w:bCs/>
                <w:sz w:val="14"/>
                <w:szCs w:val="14"/>
              </w:rPr>
              <w:t>t</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Capita</w:t>
            </w:r>
            <w:r>
              <w:rPr>
                <w:b/>
                <w:bCs/>
                <w:sz w:val="14"/>
                <w:szCs w:val="14"/>
              </w:rPr>
              <w:t>l</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Income/(Loss</w:t>
            </w:r>
            <w:r>
              <w:rPr>
                <w:b/>
                <w:bCs/>
                <w:sz w:val="14"/>
                <w:szCs w:val="14"/>
              </w:rPr>
              <w:t>)</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Defici</w:t>
            </w:r>
            <w:r>
              <w:rPr>
                <w:b/>
                <w:bCs/>
                <w:sz w:val="14"/>
                <w:szCs w:val="14"/>
              </w:rPr>
              <w:t>t</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jc w:val="center"/>
              <w:rPr>
                <w:sz w:val="14"/>
                <w:szCs w:val="14"/>
              </w:rPr>
            </w:pPr>
            <w:r>
              <w:rPr>
                <w:b/>
                <w:bCs/>
                <w:sz w:val="14"/>
                <w:szCs w:val="14"/>
              </w:rPr>
              <w:t>Tota</w:t>
            </w:r>
            <w:r>
              <w:rPr>
                <w:b/>
                <w:bCs/>
                <w:sz w:val="14"/>
                <w:szCs w:val="14"/>
              </w:rPr>
              <w:t>l</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Balance, December 31, 201</w:t>
            </w:r>
            <w:r>
              <w:rPr>
                <w:sz w:val="14"/>
                <w:szCs w:val="14"/>
              </w:rPr>
              <w:t>9</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7,76</w:t>
            </w:r>
            <w:r>
              <w:rPr>
                <w:sz w:val="14"/>
                <w:szCs w:val="14"/>
              </w:rPr>
              <w:t>2</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8</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54,710,32</w:t>
            </w:r>
            <w:r>
              <w:rPr>
                <w:sz w:val="14"/>
                <w:szCs w:val="14"/>
              </w:rPr>
              <w:t>2</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54,71</w:t>
            </w:r>
            <w:r>
              <w:rPr>
                <w:sz w:val="14"/>
                <w:szCs w:val="14"/>
              </w:rPr>
              <w:t>1</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283,122,89</w:t>
            </w:r>
            <w:r>
              <w:rPr>
                <w:sz w:val="14"/>
                <w:szCs w:val="14"/>
              </w:rPr>
              <w:t>4</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2,46</w:t>
            </w:r>
            <w:r>
              <w:rPr>
                <w:sz w:val="14"/>
                <w:szCs w:val="14"/>
              </w:rPr>
              <w:t>9</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w:t>
            </w:r>
            <w:r>
              <w:rPr>
                <w:sz w:val="14"/>
                <w:szCs w:val="14"/>
              </w:rPr>
              <w:t>213,156,52</w:t>
            </w:r>
            <w:r>
              <w:rPr>
                <w:sz w:val="14"/>
                <w:szCs w:val="14"/>
              </w:rPr>
              <w:t>1</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70,023,56</w:t>
            </w:r>
            <w:r>
              <w:rPr>
                <w:sz w:val="14"/>
                <w:szCs w:val="14"/>
              </w:rPr>
              <w:t>1</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ATM cost</w:t>
            </w:r>
            <w:r>
              <w:rPr>
                <w:sz w:val="14"/>
                <w:szCs w:val="14"/>
              </w:rPr>
              <w:t>s</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w:t>
            </w:r>
            <w:r>
              <w:rPr>
                <w:sz w:val="14"/>
                <w:szCs w:val="14"/>
              </w:rPr>
              <w:t>114,93</w:t>
            </w:r>
            <w:r>
              <w:rPr>
                <w:sz w:val="14"/>
                <w:szCs w:val="14"/>
              </w:rPr>
              <w:t>6</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w:t>
            </w:r>
            <w:r>
              <w:rPr>
                <w:sz w:val="14"/>
                <w:szCs w:val="14"/>
              </w:rPr>
              <w:t>114,93</w:t>
            </w:r>
            <w:r>
              <w:rPr>
                <w:sz w:val="14"/>
                <w:szCs w:val="14"/>
              </w:rPr>
              <w:t>6</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Issuance of common stock from employee stock purchase pla</w:t>
            </w:r>
            <w:r>
              <w:rPr>
                <w:sz w:val="14"/>
                <w:szCs w:val="14"/>
              </w:rPr>
              <w:t>n</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105,46</w:t>
            </w:r>
            <w:r>
              <w:rPr>
                <w:sz w:val="14"/>
                <w:szCs w:val="14"/>
              </w:rPr>
              <w:t>4</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10</w:t>
            </w:r>
            <w:r>
              <w:rPr>
                <w:sz w:val="14"/>
                <w:szCs w:val="14"/>
              </w:rPr>
              <w:t>5</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203,36</w:t>
            </w:r>
            <w:r>
              <w:rPr>
                <w:sz w:val="14"/>
                <w:szCs w:val="14"/>
              </w:rPr>
              <w:t>1</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203,46</w:t>
            </w:r>
            <w:r>
              <w:rPr>
                <w:sz w:val="14"/>
                <w:szCs w:val="14"/>
              </w:rPr>
              <w:t>6</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Issuance of common stock from exercise of stock option</w:t>
            </w:r>
            <w:r>
              <w:rPr>
                <w:sz w:val="14"/>
                <w:szCs w:val="14"/>
              </w:rPr>
              <w:t>s</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165,38</w:t>
            </w:r>
            <w:r>
              <w:rPr>
                <w:sz w:val="14"/>
                <w:szCs w:val="14"/>
              </w:rPr>
              <w:t>4</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16</w:t>
            </w:r>
            <w:r>
              <w:rPr>
                <w:sz w:val="14"/>
                <w:szCs w:val="14"/>
              </w:rPr>
              <w:t>5</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300,65</w:t>
            </w:r>
            <w:r>
              <w:rPr>
                <w:sz w:val="14"/>
                <w:szCs w:val="14"/>
              </w:rPr>
              <w:t>6</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300,82</w:t>
            </w:r>
            <w:r>
              <w:rPr>
                <w:sz w:val="14"/>
                <w:szCs w:val="14"/>
              </w:rPr>
              <w:t>1</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Conversion of series A convertible preferred stock to common stoc</w:t>
            </w:r>
            <w:r>
              <w:rPr>
                <w:sz w:val="14"/>
                <w:szCs w:val="14"/>
              </w:rPr>
              <w:t>k</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w:t>
            </w:r>
            <w:r>
              <w:rPr>
                <w:sz w:val="14"/>
                <w:szCs w:val="14"/>
              </w:rPr>
              <w:t>4,51</w:t>
            </w:r>
            <w:r>
              <w:rPr>
                <w:sz w:val="14"/>
                <w:szCs w:val="14"/>
              </w:rPr>
              <w:t>2</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w:t>
            </w:r>
            <w:r>
              <w:rPr>
                <w:sz w:val="14"/>
                <w:szCs w:val="14"/>
              </w:rPr>
              <w:t>5</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4,512,00</w:t>
            </w:r>
            <w:r>
              <w:rPr>
                <w:sz w:val="14"/>
                <w:szCs w:val="14"/>
              </w:rPr>
              <w:t>0</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4,51</w:t>
            </w:r>
            <w:r>
              <w:rPr>
                <w:sz w:val="14"/>
                <w:szCs w:val="14"/>
              </w:rPr>
              <w:t>2</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w:t>
            </w:r>
            <w:r>
              <w:rPr>
                <w:sz w:val="14"/>
                <w:szCs w:val="14"/>
              </w:rPr>
              <w:t>4,50</w:t>
            </w:r>
            <w:r>
              <w:rPr>
                <w:sz w:val="14"/>
                <w:szCs w:val="14"/>
              </w:rPr>
              <w:t>7</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Proceeds from August 2020 Offering, net of underwriting costs and commission</w:t>
            </w:r>
            <w:r>
              <w:rPr>
                <w:sz w:val="14"/>
                <w:szCs w:val="14"/>
              </w:rPr>
              <w:t>s</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6,250,00</w:t>
            </w:r>
            <w:r>
              <w:rPr>
                <w:sz w:val="14"/>
                <w:szCs w:val="14"/>
              </w:rPr>
              <w:t>0</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6,25</w:t>
            </w:r>
            <w:r>
              <w:rPr>
                <w:sz w:val="14"/>
                <w:szCs w:val="14"/>
              </w:rPr>
              <w:t>0</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46,725,18</w:t>
            </w:r>
            <w:r>
              <w:rPr>
                <w:sz w:val="14"/>
                <w:szCs w:val="14"/>
              </w:rPr>
              <w:t>5</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46,731,43</w:t>
            </w:r>
            <w:r>
              <w:rPr>
                <w:sz w:val="14"/>
                <w:szCs w:val="14"/>
              </w:rPr>
              <w:t>5</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Stock-based compensation expens</w:t>
            </w:r>
            <w:r>
              <w:rPr>
                <w:sz w:val="14"/>
                <w:szCs w:val="14"/>
              </w:rPr>
              <w:t>e</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7,525,35</w:t>
            </w:r>
            <w:r>
              <w:rPr>
                <w:sz w:val="14"/>
                <w:szCs w:val="14"/>
              </w:rPr>
              <w:t>4</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7,525,35</w:t>
            </w:r>
            <w:r>
              <w:rPr>
                <w:sz w:val="14"/>
                <w:szCs w:val="14"/>
              </w:rPr>
              <w:t>4</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Other comprehensive (loss) incom</w:t>
            </w:r>
            <w:r>
              <w:rPr>
                <w:sz w:val="14"/>
                <w:szCs w:val="14"/>
              </w:rPr>
              <w:t>e</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w:t>
            </w:r>
            <w:r>
              <w:rPr>
                <w:sz w:val="14"/>
                <w:szCs w:val="14"/>
              </w:rPr>
              <w:t>2,46</w:t>
            </w:r>
            <w:r>
              <w:rPr>
                <w:sz w:val="14"/>
                <w:szCs w:val="14"/>
              </w:rPr>
              <w:t>9</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w:t>
            </w:r>
            <w:r>
              <w:rPr>
                <w:sz w:val="14"/>
                <w:szCs w:val="14"/>
              </w:rPr>
              <w:t>2,46</w:t>
            </w:r>
            <w:r>
              <w:rPr>
                <w:sz w:val="14"/>
                <w:szCs w:val="14"/>
              </w:rPr>
              <w:t>9</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Net los</w:t>
            </w:r>
            <w:r>
              <w:rPr>
                <w:sz w:val="14"/>
                <w:szCs w:val="14"/>
              </w:rPr>
              <w:t>s</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w:t>
            </w:r>
            <w:r>
              <w:rPr>
                <w:sz w:val="14"/>
                <w:szCs w:val="14"/>
              </w:rPr>
              <w:t>81,035,57</w:t>
            </w:r>
            <w:r>
              <w:rPr>
                <w:sz w:val="14"/>
                <w:szCs w:val="14"/>
              </w:rPr>
              <w:t>6</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w:t>
            </w:r>
            <w:r>
              <w:rPr>
                <w:sz w:val="14"/>
                <w:szCs w:val="14"/>
              </w:rPr>
              <w:t>81,035,57</w:t>
            </w:r>
            <w:r>
              <w:rPr>
                <w:sz w:val="14"/>
                <w:szCs w:val="14"/>
              </w:rPr>
              <w:t>6</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Balance, December 31, 202</w:t>
            </w:r>
            <w:r>
              <w:rPr>
                <w:sz w:val="14"/>
                <w:szCs w:val="14"/>
              </w:rPr>
              <w:t>0</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3,25</w:t>
            </w:r>
            <w:r>
              <w:rPr>
                <w:sz w:val="14"/>
                <w:szCs w:val="14"/>
              </w:rPr>
              <w:t>0</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3</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65,743,17</w:t>
            </w:r>
            <w:r>
              <w:rPr>
                <w:sz w:val="14"/>
                <w:szCs w:val="14"/>
              </w:rPr>
              <w:t>0</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65,74</w:t>
            </w:r>
            <w:r>
              <w:rPr>
                <w:sz w:val="14"/>
                <w:szCs w:val="14"/>
              </w:rPr>
              <w:t>3</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337,758,00</w:t>
            </w:r>
            <w:r>
              <w:rPr>
                <w:sz w:val="14"/>
                <w:szCs w:val="14"/>
              </w:rPr>
              <w:t>7</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w:t>
            </w:r>
            <w:r>
              <w:rPr>
                <w:sz w:val="14"/>
                <w:szCs w:val="14"/>
              </w:rPr>
              <w:t>294,192,09</w:t>
            </w:r>
            <w:r>
              <w:rPr>
                <w:sz w:val="14"/>
                <w:szCs w:val="14"/>
              </w:rPr>
              <w:t>7</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4"/>
                <w:szCs w:val="14"/>
              </w:rPr>
              <w:t>43,631,65</w:t>
            </w:r>
            <w:r>
              <w:rPr>
                <w:sz w:val="14"/>
                <w:szCs w:val="14"/>
              </w:rPr>
              <w:t>6</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r w:rsidR="00000000">
        <w:trPr>
          <w:tblCellSpacing w:w="15" w:type="dxa"/>
        </w:trPr>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83A7A">
            <w:pPr>
              <w:pStyle w:val="a3"/>
              <w:spacing w:before="0" w:beforeAutospacing="0" w:after="0" w:afterAutospacing="0"/>
              <w:rPr>
                <w:sz w:val="14"/>
                <w:szCs w:val="14"/>
              </w:rPr>
            </w:pPr>
            <w:r>
              <w:rPr>
                <w:sz w:val="14"/>
                <w:szCs w:val="14"/>
              </w:rPr>
              <w:t> </w:t>
            </w:r>
          </w:p>
        </w:tc>
        <w:tc>
          <w:tcPr>
            <w:tcW w:w="0" w:type="auto"/>
            <w:vAlign w:val="bottom"/>
            <w:hideMark/>
          </w:tcPr>
          <w:p w:rsidR="00000000" w:rsidRDefault="00F83A7A">
            <w:pPr>
              <w:pStyle w:val="a3"/>
              <w:spacing w:before="0" w:beforeAutospacing="0" w:after="0" w:afterAutospacing="0"/>
              <w:rPr>
                <w:sz w:val="14"/>
                <w:szCs w:val="14"/>
              </w:rPr>
            </w:pPr>
            <w:r>
              <w:rPr>
                <w:sz w:val="14"/>
                <w:szCs w:val="14"/>
              </w:rPr>
              <w:t> </w:t>
            </w:r>
          </w:p>
        </w:tc>
      </w:tr>
    </w:tbl>
    <w:p w:rsidR="00000000" w:rsidRDefault="00F83A7A">
      <w:pPr>
        <w:pStyle w:val="a3"/>
        <w:spacing w:before="40" w:beforeAutospacing="0" w:after="0" w:afterAutospacing="0"/>
        <w:jc w:val="center"/>
        <w:rPr>
          <w:sz w:val="20"/>
          <w:szCs w:val="20"/>
        </w:rPr>
      </w:pPr>
      <w:r>
        <w:rPr>
          <w:sz w:val="20"/>
          <w:szCs w:val="20"/>
        </w:rPr>
        <w:t>See accompanying notes to these consolidated financial statement</w:t>
      </w:r>
      <w:r>
        <w:rPr>
          <w:sz w:val="20"/>
          <w:szCs w:val="20"/>
        </w:rPr>
        <w:t>s</w:t>
      </w:r>
    </w:p>
    <w:p w:rsidR="00000000" w:rsidRDefault="00F83A7A">
      <w:pPr>
        <w:pStyle w:val="a3"/>
        <w:spacing w:before="240" w:beforeAutospacing="0" w:after="0" w:afterAutospacing="0"/>
        <w:jc w:val="center"/>
        <w:rPr>
          <w:sz w:val="20"/>
          <w:szCs w:val="20"/>
        </w:rPr>
      </w:pPr>
      <w:r>
        <w:rPr>
          <w:sz w:val="20"/>
          <w:szCs w:val="20"/>
        </w:rPr>
        <w:t>F</w:t>
      </w:r>
      <w:r>
        <w:rPr>
          <w:sz w:val="20"/>
          <w:szCs w:val="20"/>
        </w:rPr>
        <w:t>-</w:t>
      </w:r>
      <w:r>
        <w:rPr>
          <w:sz w:val="20"/>
          <w:szCs w:val="20"/>
        </w:rPr>
        <w:t>6</w:t>
      </w:r>
    </w:p>
    <w:p w:rsidR="00000000" w:rsidRDefault="00F83A7A">
      <w:pPr>
        <w:rPr>
          <w:rFonts w:eastAsia="Times New Roman"/>
        </w:rPr>
      </w:pPr>
      <w:r>
        <w:rPr>
          <w:rFonts w:eastAsia="Times New Roman"/>
        </w:rPr>
        <w:pict>
          <v:rect id="_x0000_i1102"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center"/>
        <w:rPr>
          <w:sz w:val="20"/>
          <w:szCs w:val="20"/>
        </w:rPr>
      </w:pPr>
      <w:r>
        <w:rPr>
          <w:b/>
          <w:bCs/>
          <w:sz w:val="20"/>
          <w:szCs w:val="20"/>
        </w:rPr>
        <w:t>OVID THERAPEUTICS INC</w:t>
      </w:r>
      <w:r>
        <w:rPr>
          <w:b/>
          <w:bCs/>
          <w:sz w:val="20"/>
          <w:szCs w:val="20"/>
        </w:rPr>
        <w:t>.</w:t>
      </w:r>
    </w:p>
    <w:p w:rsidR="00000000" w:rsidRDefault="00F83A7A">
      <w:pPr>
        <w:pStyle w:val="a3"/>
        <w:spacing w:before="0" w:beforeAutospacing="0" w:after="0" w:afterAutospacing="0"/>
        <w:jc w:val="center"/>
        <w:rPr>
          <w:sz w:val="20"/>
          <w:szCs w:val="20"/>
        </w:rPr>
      </w:pPr>
      <w:r>
        <w:rPr>
          <w:b/>
          <w:bCs/>
          <w:sz w:val="20"/>
          <w:szCs w:val="20"/>
        </w:rPr>
        <w:t>Consolidated Statements o</w:t>
      </w:r>
      <w:r>
        <w:rPr>
          <w:b/>
          <w:bCs/>
          <w:sz w:val="20"/>
          <w:szCs w:val="20"/>
        </w:rPr>
        <w:t>f</w:t>
      </w:r>
      <w:r>
        <w:rPr>
          <w:b/>
          <w:bCs/>
          <w:sz w:val="20"/>
          <w:szCs w:val="20"/>
        </w:rPr>
        <w:t xml:space="preserve"> Cash Flow</w:t>
      </w:r>
      <w:r>
        <w:rPr>
          <w:b/>
          <w:b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05"/>
        <w:gridCol w:w="123"/>
        <w:gridCol w:w="160"/>
        <w:gridCol w:w="1066"/>
        <w:gridCol w:w="127"/>
        <w:gridCol w:w="123"/>
        <w:gridCol w:w="160"/>
        <w:gridCol w:w="1100"/>
        <w:gridCol w:w="142"/>
      </w:tblGrid>
      <w:tr w:rsidR="00000000">
        <w:trPr>
          <w:tblCellSpacing w:w="15" w:type="dxa"/>
        </w:trPr>
        <w:tc>
          <w:tcPr>
            <w:tcW w:w="3300" w:type="pct"/>
            <w:vAlign w:val="center"/>
            <w:hideMark/>
          </w:tcPr>
          <w:p w:rsidR="00000000" w:rsidRDefault="00F83A7A">
            <w:pPr>
              <w:rPr>
                <w:sz w:val="20"/>
                <w:szCs w:val="20"/>
              </w:rPr>
            </w:pPr>
          </w:p>
        </w:tc>
        <w:tc>
          <w:tcPr>
            <w:tcW w:w="75" w:type="pct"/>
            <w:vAlign w:val="center"/>
            <w:hideMark/>
          </w:tcPr>
          <w:p w:rsidR="00000000" w:rsidRDefault="00F83A7A">
            <w:pPr>
              <w:rPr>
                <w:rFonts w:eastAsia="Times New Roman"/>
                <w:sz w:val="20"/>
                <w:szCs w:val="20"/>
              </w:rPr>
            </w:pPr>
          </w:p>
        </w:tc>
        <w:tc>
          <w:tcPr>
            <w:tcW w:w="60" w:type="pct"/>
            <w:vAlign w:val="center"/>
            <w:hideMark/>
          </w:tcPr>
          <w:p w:rsidR="00000000" w:rsidRDefault="00F83A7A">
            <w:pPr>
              <w:rPr>
                <w:rFonts w:eastAsia="Times New Roman"/>
                <w:sz w:val="20"/>
                <w:szCs w:val="20"/>
              </w:rPr>
            </w:pPr>
          </w:p>
        </w:tc>
        <w:tc>
          <w:tcPr>
            <w:tcW w:w="664" w:type="pct"/>
            <w:vAlign w:val="center"/>
            <w:hideMark/>
          </w:tcPr>
          <w:p w:rsidR="00000000" w:rsidRDefault="00F83A7A">
            <w:pPr>
              <w:rPr>
                <w:rFonts w:eastAsia="Times New Roman"/>
                <w:sz w:val="20"/>
                <w:szCs w:val="20"/>
              </w:rPr>
            </w:pPr>
          </w:p>
        </w:tc>
        <w:tc>
          <w:tcPr>
            <w:tcW w:w="39" w:type="pct"/>
            <w:vAlign w:val="center"/>
            <w:hideMark/>
          </w:tcPr>
          <w:p w:rsidR="00000000" w:rsidRDefault="00F83A7A">
            <w:pPr>
              <w:rPr>
                <w:rFonts w:eastAsia="Times New Roman"/>
                <w:sz w:val="20"/>
                <w:szCs w:val="20"/>
              </w:rPr>
            </w:pPr>
          </w:p>
        </w:tc>
        <w:tc>
          <w:tcPr>
            <w:tcW w:w="75" w:type="pct"/>
            <w:vAlign w:val="center"/>
            <w:hideMark/>
          </w:tcPr>
          <w:p w:rsidR="00000000" w:rsidRDefault="00F83A7A">
            <w:pPr>
              <w:rPr>
                <w:rFonts w:eastAsia="Times New Roman"/>
                <w:sz w:val="20"/>
                <w:szCs w:val="20"/>
              </w:rPr>
            </w:pPr>
          </w:p>
        </w:tc>
        <w:tc>
          <w:tcPr>
            <w:tcW w:w="60" w:type="pct"/>
            <w:vAlign w:val="center"/>
            <w:hideMark/>
          </w:tcPr>
          <w:p w:rsidR="00000000" w:rsidRDefault="00F83A7A">
            <w:pPr>
              <w:rPr>
                <w:rFonts w:eastAsia="Times New Roman"/>
                <w:sz w:val="20"/>
                <w:szCs w:val="20"/>
              </w:rPr>
            </w:pPr>
          </w:p>
        </w:tc>
        <w:tc>
          <w:tcPr>
            <w:tcW w:w="685" w:type="pct"/>
            <w:vAlign w:val="center"/>
            <w:hideMark/>
          </w:tcPr>
          <w:p w:rsidR="00000000" w:rsidRDefault="00F83A7A">
            <w:pPr>
              <w:rPr>
                <w:rFonts w:eastAsia="Times New Roman"/>
                <w:sz w:val="20"/>
                <w:szCs w:val="20"/>
              </w:rPr>
            </w:pPr>
          </w:p>
        </w:tc>
        <w:tc>
          <w:tcPr>
            <w:tcW w:w="39" w:type="pct"/>
            <w:vAlign w:val="center"/>
            <w:hideMark/>
          </w:tcPr>
          <w:p w:rsidR="00000000" w:rsidRDefault="00F83A7A">
            <w:pPr>
              <w:rPr>
                <w:rFonts w:eastAsia="Times New Roman"/>
                <w:sz w:val="20"/>
                <w:szCs w:val="20"/>
              </w:rPr>
            </w:pP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Cash flows from operating activities</w:t>
            </w: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Net income (loss</w:t>
            </w:r>
            <w:r>
              <w:rPr>
                <w:sz w:val="20"/>
                <w:szCs w:val="20"/>
              </w:rPr>
              <w:t>)</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122,834,58</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81,035,57</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Adjustments to reconcile net income (loss) to cash used in operating activities</w:t>
            </w:r>
            <w:r>
              <w:rPr>
                <w:sz w:val="20"/>
                <w:szCs w:val="20"/>
              </w:rPr>
              <w:t>:</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400"/>
              <w:rPr>
                <w:sz w:val="20"/>
                <w:szCs w:val="20"/>
              </w:rPr>
            </w:pPr>
            <w:r>
              <w:rPr>
                <w:sz w:val="20"/>
                <w:szCs w:val="20"/>
              </w:rPr>
              <w:t>Non-cash research and development expens</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7,300,00</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400"/>
              <w:rPr>
                <w:sz w:val="20"/>
                <w:szCs w:val="20"/>
              </w:rPr>
            </w:pPr>
            <w:r>
              <w:rPr>
                <w:sz w:val="20"/>
                <w:szCs w:val="20"/>
              </w:rPr>
              <w:t>Stock-based compensation expens</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5,054,45</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7,525,35</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400"/>
              <w:rPr>
                <w:sz w:val="20"/>
                <w:szCs w:val="20"/>
              </w:rPr>
            </w:pPr>
            <w:r>
              <w:rPr>
                <w:sz w:val="20"/>
                <w:szCs w:val="20"/>
              </w:rPr>
              <w:t>Depreciation and amortization expens</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237,07</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306,84</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400"/>
              <w:rPr>
                <w:sz w:val="20"/>
                <w:szCs w:val="20"/>
              </w:rPr>
            </w:pPr>
            <w:r>
              <w:rPr>
                <w:sz w:val="20"/>
                <w:szCs w:val="20"/>
              </w:rPr>
              <w:t>Change in accrued interest and accretion of discount on short-term investment</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199,40</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400"/>
              <w:rPr>
                <w:sz w:val="20"/>
                <w:szCs w:val="20"/>
              </w:rPr>
            </w:pPr>
            <w:r>
              <w:rPr>
                <w:sz w:val="20"/>
                <w:szCs w:val="20"/>
              </w:rPr>
              <w:t>Change in operating assets and liabilities</w:t>
            </w: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600"/>
              <w:rPr>
                <w:sz w:val="20"/>
                <w:szCs w:val="20"/>
              </w:rPr>
            </w:pPr>
            <w:r>
              <w:rPr>
                <w:sz w:val="20"/>
                <w:szCs w:val="20"/>
              </w:rPr>
              <w:t>Prepaid expenses and other current asset</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14,08</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724,57</w:t>
            </w:r>
            <w:r>
              <w:rPr>
                <w:sz w:val="20"/>
                <w:szCs w:val="20"/>
              </w:rPr>
              <w:t>5</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600"/>
              <w:rPr>
                <w:sz w:val="20"/>
                <w:szCs w:val="20"/>
              </w:rPr>
            </w:pPr>
            <w:r>
              <w:rPr>
                <w:sz w:val="20"/>
                <w:szCs w:val="20"/>
              </w:rPr>
              <w:t>Security deposi</w:t>
            </w:r>
            <w:r>
              <w:rPr>
                <w:sz w:val="20"/>
                <w:szCs w:val="20"/>
              </w:rPr>
              <w:t>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54,59</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15,23</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600"/>
              <w:rPr>
                <w:sz w:val="20"/>
                <w:szCs w:val="20"/>
              </w:rPr>
            </w:pPr>
            <w:r>
              <w:rPr>
                <w:sz w:val="20"/>
                <w:szCs w:val="20"/>
              </w:rPr>
              <w:t>Related party receivabl</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141,76</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989,38</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600"/>
              <w:rPr>
                <w:sz w:val="20"/>
                <w:szCs w:val="20"/>
              </w:rPr>
            </w:pPr>
            <w:r>
              <w:rPr>
                <w:sz w:val="20"/>
                <w:szCs w:val="20"/>
              </w:rPr>
              <w:t>Long-term prepaid expense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477,17</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117,63</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600"/>
              <w:rPr>
                <w:sz w:val="20"/>
                <w:szCs w:val="20"/>
              </w:rPr>
            </w:pPr>
            <w:r>
              <w:rPr>
                <w:sz w:val="20"/>
                <w:szCs w:val="20"/>
              </w:rPr>
              <w:t>Accounts payabl</w:t>
            </w:r>
            <w:r>
              <w:rPr>
                <w:sz w:val="20"/>
                <w:szCs w:val="20"/>
              </w:rPr>
              <w:t>e</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1,702,49</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2,333,71</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600"/>
              <w:rPr>
                <w:sz w:val="20"/>
                <w:szCs w:val="20"/>
              </w:rPr>
            </w:pPr>
            <w:r>
              <w:rPr>
                <w:sz w:val="20"/>
                <w:szCs w:val="20"/>
              </w:rPr>
              <w:t>Accrued expense</w:t>
            </w:r>
            <w:r>
              <w:rPr>
                <w:sz w:val="20"/>
                <w:szCs w:val="20"/>
              </w:rPr>
              <w:t>s</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4,361,41</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4,835,60</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600"/>
              <w:rPr>
                <w:sz w:val="20"/>
                <w:szCs w:val="20"/>
              </w:rPr>
            </w:pPr>
            <w:r>
              <w:rPr>
                <w:sz w:val="20"/>
                <w:szCs w:val="20"/>
              </w:rPr>
              <w:t>Deferred revenu</w:t>
            </w:r>
            <w:r>
              <w:rPr>
                <w:sz w:val="20"/>
                <w:szCs w:val="20"/>
              </w:rPr>
              <w:t>e</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12,382,77</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12,382,77</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600"/>
              <w:rPr>
                <w:sz w:val="20"/>
                <w:szCs w:val="20"/>
              </w:rPr>
            </w:pPr>
            <w:r>
              <w:rPr>
                <w:sz w:val="20"/>
                <w:szCs w:val="20"/>
              </w:rPr>
              <w:t>Related party payabl</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2,432,19</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2,134,82</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800"/>
              <w:rPr>
                <w:sz w:val="20"/>
                <w:szCs w:val="20"/>
              </w:rPr>
            </w:pPr>
            <w:r>
              <w:rPr>
                <w:sz w:val="20"/>
                <w:szCs w:val="20"/>
              </w:rPr>
              <w:t>Net cash provided by (used in) operating activitie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118,611,67</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51,583,91</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Cash flows from investing activities</w:t>
            </w: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Purchase of long-term equity investmen</w:t>
            </w:r>
            <w:r>
              <w:rPr>
                <w:sz w:val="20"/>
                <w:szCs w:val="20"/>
              </w:rPr>
              <w:t>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1,631,99</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Purchases of short-term investment</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9,961,09</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Proceeds from maturities of short-term investment</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45,000,00</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Purchase of property and equipmen</w:t>
            </w:r>
            <w:r>
              <w:rPr>
                <w:sz w:val="20"/>
                <w:szCs w:val="20"/>
              </w:rPr>
              <w:t>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184,00</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127,24</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Software development and other asset</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5,40</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263,44</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800"/>
              <w:rPr>
                <w:sz w:val="20"/>
                <w:szCs w:val="20"/>
              </w:rPr>
            </w:pPr>
            <w:r>
              <w:rPr>
                <w:sz w:val="20"/>
                <w:szCs w:val="20"/>
              </w:rPr>
              <w:t>Net cash (used in) provided by investing activitie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1,821,40</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34,648,22</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Cash flows from financing activities</w:t>
            </w: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Proceeds from August 2020 Offering, net of offering expense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46,731,43</w:t>
            </w:r>
            <w:r>
              <w:rPr>
                <w:sz w:val="20"/>
                <w:szCs w:val="20"/>
              </w:rPr>
              <w:t>5</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ATM and other offering cost</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21,31</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163,25</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Proceeds from employee stock purchase pla</w:t>
            </w:r>
            <w:r>
              <w:rPr>
                <w:sz w:val="20"/>
                <w:szCs w:val="20"/>
              </w:rPr>
              <w:t>n</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118,20</w:t>
            </w:r>
            <w:r>
              <w:rPr>
                <w:sz w:val="20"/>
                <w:szCs w:val="20"/>
              </w:rPr>
              <w:t>5</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203,46</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Proceeds from exercise of option</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807,19</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300,82</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800"/>
              <w:rPr>
                <w:sz w:val="20"/>
                <w:szCs w:val="20"/>
              </w:rPr>
            </w:pPr>
            <w:r>
              <w:rPr>
                <w:sz w:val="20"/>
                <w:szCs w:val="20"/>
              </w:rPr>
              <w:t>Net cash provided by financing activitie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904,08</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47,072,47</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Net increase in cash, cash equivalents, and restricted cas</w:t>
            </w:r>
            <w:r>
              <w:rPr>
                <w:sz w:val="20"/>
                <w:szCs w:val="20"/>
              </w:rPr>
              <w:t>h</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117,694,35</w:t>
            </w:r>
            <w:r>
              <w:rPr>
                <w:sz w:val="20"/>
                <w:szCs w:val="20"/>
              </w:rPr>
              <w:t>5</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30,136,78</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Cash, cash equivalents, and restricted cash, at beginning of perio</w:t>
            </w:r>
            <w:r>
              <w:rPr>
                <w:sz w:val="20"/>
                <w:szCs w:val="20"/>
              </w:rPr>
              <w:t>d</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72,033,93</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41,897,14</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Cash, cash equivalents, and restricted cash, at end of perio</w:t>
            </w:r>
            <w:r>
              <w:rPr>
                <w:sz w:val="20"/>
                <w:szCs w:val="20"/>
              </w:rPr>
              <w:t>d</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189,728,28</w:t>
            </w:r>
            <w:r>
              <w:rPr>
                <w:sz w:val="20"/>
                <w:szCs w:val="20"/>
              </w:rPr>
              <w:t>5</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72,033,93</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Non-cash investing and financing activities</w:t>
            </w:r>
            <w:r>
              <w:rPr>
                <w:sz w:val="20"/>
                <w:szCs w:val="20"/>
              </w:rPr>
              <w:t>:</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Software development and other costs in accrued expenses and accounts payabl</w:t>
            </w:r>
            <w:r>
              <w:rPr>
                <w:sz w:val="20"/>
                <w:szCs w:val="20"/>
              </w:rPr>
              <w:t>e</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F83A7A">
            <w:pPr>
              <w:pStyle w:val="a3"/>
              <w:spacing w:before="0" w:beforeAutospacing="0" w:after="0" w:afterAutospacing="0"/>
              <w:ind w:left="200"/>
              <w:rPr>
                <w:sz w:val="20"/>
                <w:szCs w:val="20"/>
              </w:rPr>
            </w:pPr>
            <w:r>
              <w:rPr>
                <w:sz w:val="20"/>
                <w:szCs w:val="20"/>
              </w:rPr>
              <w:t>Offering costs in accrued expenses and accounts payabl</w:t>
            </w:r>
            <w:r>
              <w:rPr>
                <w:sz w:val="20"/>
                <w:szCs w:val="20"/>
              </w:rPr>
              <w:t>e</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21,31</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bl>
    <w:p w:rsidR="00000000" w:rsidRDefault="00F83A7A">
      <w:pPr>
        <w:pStyle w:val="a3"/>
        <w:spacing w:before="40" w:beforeAutospacing="0" w:after="0" w:afterAutospacing="0"/>
        <w:jc w:val="center"/>
        <w:rPr>
          <w:sz w:val="20"/>
          <w:szCs w:val="20"/>
        </w:rPr>
      </w:pPr>
      <w:r>
        <w:rPr>
          <w:sz w:val="20"/>
          <w:szCs w:val="20"/>
        </w:rPr>
        <w:t> </w:t>
      </w:r>
    </w:p>
    <w:p w:rsidR="00000000" w:rsidRDefault="00F83A7A">
      <w:pPr>
        <w:pStyle w:val="a3"/>
        <w:spacing w:before="0" w:beforeAutospacing="0" w:after="0" w:afterAutospacing="0"/>
        <w:jc w:val="center"/>
        <w:rPr>
          <w:sz w:val="20"/>
          <w:szCs w:val="20"/>
        </w:rPr>
      </w:pPr>
      <w:r>
        <w:rPr>
          <w:sz w:val="20"/>
          <w:szCs w:val="20"/>
        </w:rPr>
        <w:t>See accompanying notes to these consolidated financial statement</w:t>
      </w:r>
      <w:r>
        <w:rPr>
          <w:sz w:val="20"/>
          <w:szCs w:val="20"/>
        </w:rPr>
        <w:t>s</w:t>
      </w:r>
    </w:p>
    <w:p w:rsidR="00000000" w:rsidRDefault="00F83A7A">
      <w:pPr>
        <w:pStyle w:val="a3"/>
        <w:spacing w:before="240" w:beforeAutospacing="0" w:after="0" w:afterAutospacing="0"/>
        <w:jc w:val="center"/>
        <w:rPr>
          <w:sz w:val="20"/>
          <w:szCs w:val="20"/>
        </w:rPr>
      </w:pPr>
      <w:r>
        <w:rPr>
          <w:sz w:val="20"/>
          <w:szCs w:val="20"/>
        </w:rPr>
        <w:t>F</w:t>
      </w:r>
      <w:r>
        <w:rPr>
          <w:sz w:val="20"/>
          <w:szCs w:val="20"/>
        </w:rPr>
        <w:t>-</w:t>
      </w:r>
      <w:r>
        <w:rPr>
          <w:sz w:val="20"/>
          <w:szCs w:val="20"/>
        </w:rPr>
        <w:t>7</w:t>
      </w:r>
    </w:p>
    <w:p w:rsidR="00000000" w:rsidRDefault="00F83A7A">
      <w:pPr>
        <w:rPr>
          <w:rFonts w:eastAsia="Times New Roman"/>
        </w:rPr>
      </w:pPr>
      <w:r>
        <w:rPr>
          <w:rFonts w:eastAsia="Times New Roman"/>
        </w:rPr>
        <w:pict>
          <v:rect id="_x0000_i1103"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center"/>
        <w:rPr>
          <w:sz w:val="20"/>
          <w:szCs w:val="20"/>
        </w:rPr>
      </w:pPr>
      <w:r>
        <w:rPr>
          <w:b/>
          <w:bCs/>
          <w:sz w:val="20"/>
          <w:szCs w:val="20"/>
        </w:rPr>
        <w:t>OVID THERAPEUTICS, INC</w:t>
      </w:r>
      <w:r>
        <w:rPr>
          <w:b/>
          <w:bCs/>
          <w:sz w:val="20"/>
          <w:szCs w:val="20"/>
        </w:rPr>
        <w:t>.</w:t>
      </w:r>
    </w:p>
    <w:p w:rsidR="00000000" w:rsidRDefault="00F83A7A">
      <w:pPr>
        <w:pStyle w:val="a3"/>
        <w:spacing w:before="0" w:beforeAutospacing="0" w:after="0" w:afterAutospacing="0"/>
        <w:jc w:val="center"/>
        <w:rPr>
          <w:sz w:val="20"/>
          <w:szCs w:val="20"/>
        </w:rPr>
      </w:pPr>
      <w:r>
        <w:rPr>
          <w:b/>
          <w:bCs/>
          <w:sz w:val="20"/>
          <w:szCs w:val="20"/>
        </w:rPr>
        <w:t>NOTES TO CONSOLIDATED</w:t>
      </w:r>
      <w:r>
        <w:rPr>
          <w:b/>
          <w:bCs/>
          <w:sz w:val="20"/>
          <w:szCs w:val="20"/>
        </w:rPr>
        <w:t xml:space="preserve"> </w:t>
      </w:r>
      <w:r>
        <w:rPr>
          <w:b/>
          <w:bCs/>
          <w:sz w:val="20"/>
          <w:szCs w:val="20"/>
        </w:rPr>
        <w:t>FINANCIAL STATEMENT</w:t>
      </w:r>
      <w:r>
        <w:rPr>
          <w:b/>
          <w:bCs/>
          <w:sz w:val="20"/>
          <w:szCs w:val="20"/>
        </w:rPr>
        <w:t>S</w:t>
      </w:r>
    </w:p>
    <w:p w:rsidR="00000000" w:rsidRDefault="00F83A7A">
      <w:pPr>
        <w:pStyle w:val="a3"/>
        <w:spacing w:before="200" w:beforeAutospacing="0" w:after="0" w:afterAutospacing="0"/>
        <w:jc w:val="both"/>
        <w:divId w:val="173226385"/>
        <w:rPr>
          <w:sz w:val="20"/>
          <w:szCs w:val="20"/>
        </w:rPr>
      </w:pPr>
      <w:r>
        <w:rPr>
          <w:b/>
          <w:bCs/>
          <w:sz w:val="20"/>
          <w:szCs w:val="20"/>
        </w:rPr>
        <w:t>NOTE 1 – NATUR</w:t>
      </w:r>
      <w:r>
        <w:rPr>
          <w:b/>
          <w:bCs/>
          <w:sz w:val="20"/>
          <w:szCs w:val="20"/>
        </w:rPr>
        <w:t>E</w:t>
      </w:r>
      <w:r>
        <w:rPr>
          <w:b/>
          <w:bCs/>
          <w:sz w:val="20"/>
          <w:szCs w:val="20"/>
        </w:rPr>
        <w:t xml:space="preserve"> OF OPERATION</w:t>
      </w:r>
      <w:r>
        <w:rPr>
          <w:b/>
          <w:bCs/>
          <w:sz w:val="20"/>
          <w:szCs w:val="20"/>
        </w:rPr>
        <w:t>S</w:t>
      </w:r>
    </w:p>
    <w:p w:rsidR="00000000" w:rsidRDefault="00F83A7A">
      <w:pPr>
        <w:pStyle w:val="a3"/>
        <w:spacing w:before="200" w:beforeAutospacing="0" w:after="0" w:afterAutospacing="0"/>
        <w:jc w:val="both"/>
        <w:divId w:val="173226385"/>
        <w:rPr>
          <w:sz w:val="20"/>
          <w:szCs w:val="20"/>
        </w:rPr>
      </w:pPr>
      <w:r>
        <w:rPr>
          <w:sz w:val="20"/>
          <w:szCs w:val="20"/>
        </w:rPr>
        <w:t>Ovid Therapeutics Inc. (the “Company”) was incorporated under the laws of the state of Delaware on April 1, 2014 and main</w:t>
      </w:r>
      <w:r>
        <w:rPr>
          <w:sz w:val="20"/>
          <w:szCs w:val="20"/>
        </w:rPr>
        <w:t>tains its principal executive office in New York, New York. The Company commenced operations on April 1, 2014 (date of inception). The Company is a biopharmaceutical company currently focused on developing impactful medicines for patients and families livi</w:t>
      </w:r>
      <w:r>
        <w:rPr>
          <w:sz w:val="20"/>
          <w:szCs w:val="20"/>
        </w:rPr>
        <w:t>ng with epilepsies, seizure-related disorders and neurological disorders</w:t>
      </w:r>
      <w:r>
        <w:rPr>
          <w:sz w:val="20"/>
          <w:szCs w:val="20"/>
        </w:rPr>
        <w:t>.</w:t>
      </w:r>
    </w:p>
    <w:p w:rsidR="00000000" w:rsidRDefault="00F83A7A">
      <w:pPr>
        <w:pStyle w:val="a3"/>
        <w:spacing w:before="200" w:beforeAutospacing="0" w:after="0" w:afterAutospacing="0"/>
        <w:jc w:val="both"/>
        <w:divId w:val="173226385"/>
        <w:rPr>
          <w:sz w:val="20"/>
          <w:szCs w:val="20"/>
        </w:rPr>
      </w:pPr>
      <w:r>
        <w:rPr>
          <w:sz w:val="20"/>
          <w:szCs w:val="20"/>
        </w:rPr>
        <w:t>Since its inception, the Company has devoted substantially all of its efforts to business development, research and development, recruiting management and technical staff, and raisin</w:t>
      </w:r>
      <w:r>
        <w:rPr>
          <w:sz w:val="20"/>
          <w:szCs w:val="20"/>
        </w:rPr>
        <w:t>g capital, and has financed its operations through the issuance of convertible preferred stock (“Preferred Stock”), common stock and other equity instruments. The Company is subject to risks and uncertainties common to early-stage companies in the biotechn</w:t>
      </w:r>
      <w:r>
        <w:rPr>
          <w:sz w:val="20"/>
          <w:szCs w:val="20"/>
        </w:rPr>
        <w:t>ology industry, including, but not limited to, development and regulatory success, development by competitors of new technological innovations, dependence on key personnel, protection of proprietary technology, compliance with government regulations, and t</w:t>
      </w:r>
      <w:r>
        <w:rPr>
          <w:sz w:val="20"/>
          <w:szCs w:val="20"/>
        </w:rPr>
        <w:t>he ability to secure additional capital to fund operations</w:t>
      </w:r>
      <w:r>
        <w:rPr>
          <w:sz w:val="20"/>
          <w:szCs w:val="20"/>
        </w:rPr>
        <w:t>.</w:t>
      </w:r>
    </w:p>
    <w:p w:rsidR="00000000" w:rsidRDefault="00F83A7A">
      <w:pPr>
        <w:pStyle w:val="a3"/>
        <w:spacing w:before="200" w:beforeAutospacing="0" w:after="0" w:afterAutospacing="0"/>
        <w:jc w:val="both"/>
        <w:divId w:val="173226385"/>
        <w:rPr>
          <w:sz w:val="20"/>
          <w:szCs w:val="20"/>
        </w:rPr>
      </w:pPr>
      <w:r>
        <w:rPr>
          <w:sz w:val="20"/>
          <w:szCs w:val="20"/>
        </w:rPr>
        <w:t>Historically, the Company’s major sources of cash have been licensing revenue, proceeds from various public and private offerings of its capital stock, and interest income. As of December 31, 202</w:t>
      </w:r>
      <w:r>
        <w:rPr>
          <w:sz w:val="20"/>
          <w:szCs w:val="20"/>
        </w:rPr>
        <w:t>1</w:t>
      </w:r>
      <w:r>
        <w:rPr>
          <w:sz w:val="20"/>
          <w:szCs w:val="20"/>
        </w:rPr>
        <w:t xml:space="preserve">, the Company had approximately </w:t>
      </w:r>
      <w:r>
        <w:rPr>
          <w:sz w:val="20"/>
          <w:szCs w:val="20"/>
        </w:rPr>
        <w:t>$</w:t>
      </w:r>
      <w:r>
        <w:rPr>
          <w:sz w:val="20"/>
          <w:szCs w:val="20"/>
        </w:rPr>
        <w:t>187.</w:t>
      </w:r>
      <w:r>
        <w:rPr>
          <w:sz w:val="20"/>
          <w:szCs w:val="20"/>
        </w:rPr>
        <w:t>8</w:t>
      </w:r>
      <w:r>
        <w:rPr>
          <w:sz w:val="20"/>
          <w:szCs w:val="20"/>
        </w:rPr>
        <w:t xml:space="preserve"> million in cash and cash equivalents. Since inception, the Company has generated </w:t>
      </w:r>
      <w:r>
        <w:rPr>
          <w:sz w:val="20"/>
          <w:szCs w:val="20"/>
        </w:rPr>
        <w:t>$</w:t>
      </w:r>
      <w:r>
        <w:rPr>
          <w:sz w:val="20"/>
          <w:szCs w:val="20"/>
        </w:rPr>
        <w:t>221.</w:t>
      </w:r>
      <w:r>
        <w:rPr>
          <w:sz w:val="20"/>
          <w:szCs w:val="20"/>
        </w:rPr>
        <w:t>0</w:t>
      </w:r>
      <w:r>
        <w:rPr>
          <w:sz w:val="20"/>
          <w:szCs w:val="20"/>
        </w:rPr>
        <w:t xml:space="preserve"> million in revenue which comprises </w:t>
      </w:r>
      <w:r>
        <w:rPr>
          <w:sz w:val="20"/>
          <w:szCs w:val="20"/>
        </w:rPr>
        <w:t>$</w:t>
      </w:r>
      <w:r>
        <w:rPr>
          <w:sz w:val="20"/>
          <w:szCs w:val="20"/>
        </w:rPr>
        <w:t>25.</w:t>
      </w:r>
      <w:r>
        <w:rPr>
          <w:sz w:val="20"/>
          <w:szCs w:val="20"/>
        </w:rPr>
        <w:t>0</w:t>
      </w:r>
      <w:r>
        <w:rPr>
          <w:sz w:val="20"/>
          <w:szCs w:val="20"/>
        </w:rPr>
        <w:t xml:space="preserve"> million received pursuant to the Company’s license and collaboration agreement (the “Ang</w:t>
      </w:r>
      <w:r>
        <w:rPr>
          <w:sz w:val="20"/>
          <w:szCs w:val="20"/>
        </w:rPr>
        <w:t xml:space="preserve">elini License Agreement”) with Angelini Pharma Rare Diseases AG (“Angelini”) and a one-time, upfront payment of </w:t>
      </w:r>
      <w:r>
        <w:rPr>
          <w:sz w:val="20"/>
          <w:szCs w:val="20"/>
        </w:rPr>
        <w:t>$</w:t>
      </w:r>
      <w:r>
        <w:rPr>
          <w:sz w:val="20"/>
          <w:szCs w:val="20"/>
        </w:rPr>
        <w:t>196.</w:t>
      </w:r>
      <w:r>
        <w:rPr>
          <w:sz w:val="20"/>
          <w:szCs w:val="20"/>
        </w:rPr>
        <w:t>0</w:t>
      </w:r>
      <w:r>
        <w:rPr>
          <w:sz w:val="20"/>
          <w:szCs w:val="20"/>
        </w:rPr>
        <w:t xml:space="preserve"> million received pursuant to the Company’s royalty, license and termination agreement (the “Takeda License and Termination Agreement”) wi</w:t>
      </w:r>
      <w:r>
        <w:rPr>
          <w:sz w:val="20"/>
          <w:szCs w:val="20"/>
        </w:rPr>
        <w:t xml:space="preserve">th Takeda Pharmaceutical Company Limited (“Takeda”). Historically, the Company has incurred recurring losses, has experienced recurring negative operating cash flows and required significant cash resources to execute its business plans. The Company has an </w:t>
      </w:r>
      <w:r>
        <w:rPr>
          <w:sz w:val="20"/>
          <w:szCs w:val="20"/>
        </w:rPr>
        <w:t xml:space="preserve">accumulated deficit of </w:t>
      </w:r>
      <w:r>
        <w:rPr>
          <w:sz w:val="20"/>
          <w:szCs w:val="20"/>
        </w:rPr>
        <w:t>$</w:t>
      </w:r>
      <w:r>
        <w:rPr>
          <w:sz w:val="20"/>
          <w:szCs w:val="20"/>
        </w:rPr>
        <w:t>171.</w:t>
      </w:r>
      <w:r>
        <w:rPr>
          <w:sz w:val="20"/>
          <w:szCs w:val="20"/>
        </w:rPr>
        <w:t>4</w:t>
      </w:r>
      <w:r>
        <w:rPr>
          <w:sz w:val="20"/>
          <w:szCs w:val="20"/>
        </w:rPr>
        <w:t xml:space="preserve"> million as of December 31, 2021, working capital of </w:t>
      </w:r>
      <w:r>
        <w:rPr>
          <w:sz w:val="20"/>
          <w:szCs w:val="20"/>
        </w:rPr>
        <w:t>$</w:t>
      </w:r>
      <w:r>
        <w:rPr>
          <w:sz w:val="20"/>
          <w:szCs w:val="20"/>
        </w:rPr>
        <w:t>175.</w:t>
      </w:r>
      <w:r>
        <w:rPr>
          <w:sz w:val="20"/>
          <w:szCs w:val="20"/>
        </w:rPr>
        <w:t>7</w:t>
      </w:r>
      <w:r>
        <w:rPr>
          <w:sz w:val="20"/>
          <w:szCs w:val="20"/>
        </w:rPr>
        <w:t xml:space="preserve"> million and had cash provided by operating activities of </w:t>
      </w:r>
      <w:r>
        <w:rPr>
          <w:sz w:val="20"/>
          <w:szCs w:val="20"/>
        </w:rPr>
        <w:t>$</w:t>
      </w:r>
      <w:r>
        <w:rPr>
          <w:sz w:val="20"/>
          <w:szCs w:val="20"/>
        </w:rPr>
        <w:t>118.</w:t>
      </w:r>
      <w:r>
        <w:rPr>
          <w:sz w:val="20"/>
          <w:szCs w:val="20"/>
        </w:rPr>
        <w:t>6</w:t>
      </w:r>
      <w:r>
        <w:rPr>
          <w:sz w:val="20"/>
          <w:szCs w:val="20"/>
        </w:rPr>
        <w:t xml:space="preserve"> million for the year ended</w:t>
      </w:r>
      <w:r>
        <w:rPr>
          <w:sz w:val="20"/>
          <w:szCs w:val="20"/>
        </w:rPr>
        <w:t xml:space="preserve"> </w:t>
      </w:r>
      <w:r>
        <w:rPr>
          <w:sz w:val="20"/>
          <w:szCs w:val="20"/>
        </w:rPr>
        <w:t>December 31, 2021</w:t>
      </w:r>
      <w:r>
        <w:rPr>
          <w:sz w:val="20"/>
          <w:szCs w:val="20"/>
        </w:rPr>
        <w:t>.</w:t>
      </w:r>
      <w:r>
        <w:rPr>
          <w:sz w:val="20"/>
          <w:szCs w:val="20"/>
        </w:rPr>
        <w:t xml:space="preserve"> </w:t>
      </w:r>
    </w:p>
    <w:p w:rsidR="00000000" w:rsidRDefault="00F83A7A">
      <w:pPr>
        <w:pStyle w:val="a3"/>
        <w:spacing w:before="200" w:beforeAutospacing="0" w:after="0" w:afterAutospacing="0"/>
        <w:jc w:val="both"/>
        <w:divId w:val="173226385"/>
        <w:rPr>
          <w:sz w:val="20"/>
          <w:szCs w:val="20"/>
        </w:rPr>
      </w:pPr>
      <w:r>
        <w:rPr>
          <w:sz w:val="20"/>
          <w:szCs w:val="20"/>
        </w:rPr>
        <w:t xml:space="preserve">Although the Company recorded net income of </w:t>
      </w:r>
      <w:r>
        <w:rPr>
          <w:sz w:val="20"/>
          <w:szCs w:val="20"/>
        </w:rPr>
        <w:t>$</w:t>
      </w:r>
      <w:r>
        <w:rPr>
          <w:sz w:val="20"/>
          <w:szCs w:val="20"/>
        </w:rPr>
        <w:t>122.</w:t>
      </w:r>
      <w:r>
        <w:rPr>
          <w:sz w:val="20"/>
          <w:szCs w:val="20"/>
        </w:rPr>
        <w:t>8</w:t>
      </w:r>
      <w:r>
        <w:rPr>
          <w:sz w:val="20"/>
          <w:szCs w:val="20"/>
        </w:rPr>
        <w:t xml:space="preserve"> milli</w:t>
      </w:r>
      <w:r>
        <w:rPr>
          <w:sz w:val="20"/>
          <w:szCs w:val="20"/>
        </w:rPr>
        <w:t>on during the fiscal year ended December 31, 2021, the Company expects to incur losses in subsequent periods for at least the next several years and is highly dependent on its ability to find additional sources of funding through either equity offerings, d</w:t>
      </w:r>
      <w:r>
        <w:rPr>
          <w:sz w:val="20"/>
          <w:szCs w:val="20"/>
        </w:rPr>
        <w:t>ebt financings, collaborations, strategic alliances, licensing agreements or a combination of any such transactions. Management believes that the Company’s existing cash and cash equivalents as of December 31, 2021 will be sufficient to fund its current op</w:t>
      </w:r>
      <w:r>
        <w:rPr>
          <w:sz w:val="20"/>
          <w:szCs w:val="20"/>
        </w:rPr>
        <w:t>erating plans through at least the next 12 months from the date of filing of the Company’s Annual Report on Form 10-K. Adequate additional funding may not be available to the Company on acceptable terms or at all. The failure to raise capital as and when n</w:t>
      </w:r>
      <w:r>
        <w:rPr>
          <w:sz w:val="20"/>
          <w:szCs w:val="20"/>
        </w:rPr>
        <w:t>eeded could have a negative impact on the Company’s financial condition and ability to pursue its business strategy. The Company may be required to delay, reduce the scope of or eliminate research and development programs, or obtain funds through arrangeme</w:t>
      </w:r>
      <w:r>
        <w:rPr>
          <w:sz w:val="20"/>
          <w:szCs w:val="20"/>
        </w:rPr>
        <w:t>nts with collaborators or others that may require the Company to relinquish rights to certain drug candidates that the Company might otherwise seek to develop or commercialize independently</w:t>
      </w:r>
      <w:r>
        <w:rPr>
          <w:sz w:val="20"/>
          <w:szCs w:val="20"/>
        </w:rPr>
        <w:t>.</w:t>
      </w:r>
      <w:r>
        <w:rPr>
          <w:sz w:val="20"/>
          <w:szCs w:val="20"/>
        </w:rPr>
        <w:t xml:space="preserve"> </w:t>
      </w:r>
    </w:p>
    <w:p w:rsidR="00000000" w:rsidRDefault="00F83A7A">
      <w:pPr>
        <w:pStyle w:val="a3"/>
        <w:spacing w:before="200" w:beforeAutospacing="0" w:after="0" w:afterAutospacing="0"/>
        <w:jc w:val="both"/>
        <w:divId w:val="173226385"/>
        <w:rPr>
          <w:sz w:val="20"/>
          <w:szCs w:val="20"/>
        </w:rPr>
      </w:pPr>
      <w:r>
        <w:rPr>
          <w:sz w:val="20"/>
          <w:szCs w:val="20"/>
        </w:rPr>
        <w:t>The Company has implemented business continuity plans designed t</w:t>
      </w:r>
      <w:r>
        <w:rPr>
          <w:sz w:val="20"/>
          <w:szCs w:val="20"/>
        </w:rPr>
        <w:t>o address and mitigate the impact of the COVID-19 pandemic on our business. The extent to which the ongoing COVID-19 pandemic impacts the Company's business, clinical development and regulatory efforts, corporate development objectives and the value of and</w:t>
      </w:r>
      <w:r>
        <w:rPr>
          <w:sz w:val="20"/>
          <w:szCs w:val="20"/>
        </w:rPr>
        <w:t xml:space="preserve"> market for the Company's common stock, will depend on future developments that are highly uncertain and cannot be predicted with confidence at this time, such as the ultimate duration of the pandemic in the United States, Europe and other countries, and t</w:t>
      </w:r>
      <w:r>
        <w:rPr>
          <w:sz w:val="20"/>
          <w:szCs w:val="20"/>
        </w:rPr>
        <w:t xml:space="preserve">he effectiveness of actions taken globally to contain and treat the disease. The global economic slowdown, the overall disruption of global healthcare systems and the other risks and uncertainties associated with the pandemic could have a material adverse </w:t>
      </w:r>
      <w:r>
        <w:rPr>
          <w:sz w:val="20"/>
          <w:szCs w:val="20"/>
        </w:rPr>
        <w:t>effect on the Company's business, financial condition, results of operations and growth prospects</w:t>
      </w:r>
      <w:r>
        <w:rPr>
          <w:sz w:val="20"/>
          <w:szCs w:val="20"/>
        </w:rPr>
        <w:t>.</w:t>
      </w:r>
    </w:p>
    <w:p w:rsidR="00000000" w:rsidRDefault="00F83A7A">
      <w:pPr>
        <w:pStyle w:val="a3"/>
        <w:spacing w:before="200" w:beforeAutospacing="0" w:after="0" w:afterAutospacing="0"/>
        <w:jc w:val="both"/>
        <w:divId w:val="173226385"/>
        <w:rPr>
          <w:sz w:val="20"/>
          <w:szCs w:val="20"/>
        </w:rPr>
      </w:pPr>
      <w:r>
        <w:rPr>
          <w:sz w:val="20"/>
          <w:szCs w:val="20"/>
        </w:rPr>
        <w:t>In addition, the Company is subject to other challenges and risks specific to the Company's business and its ability to execute on its strategy, as well as r</w:t>
      </w:r>
      <w:r>
        <w:rPr>
          <w:sz w:val="20"/>
          <w:szCs w:val="20"/>
        </w:rPr>
        <w:t>isks and uncertainties common to companies in the pharmaceutical industry with development and commercial operations, including, without limitation, risks and uncertainties associated with: delays or problems in the supply of the Company's product candidat</w:t>
      </w:r>
      <w:r>
        <w:rPr>
          <w:sz w:val="20"/>
          <w:szCs w:val="20"/>
        </w:rPr>
        <w:t xml:space="preserve">es, loss of single source suppliers or failure to comply with manufacturing regulations; identifying, acquiring or in-licensing additional products or product candidates; pharmaceutical product development and the inherent uncertainty of clinical success; </w:t>
      </w:r>
      <w:r>
        <w:rPr>
          <w:sz w:val="20"/>
          <w:szCs w:val="20"/>
        </w:rPr>
        <w:t>and the challenges of protecting and enhancing the Company's intellectual property rights; complying with applicable regulatory requirements; and obtaining regulatory approval of any of the Company's product candidates. In addition, to the extent the ongoi</w:t>
      </w:r>
      <w:r>
        <w:rPr>
          <w:sz w:val="20"/>
          <w:szCs w:val="20"/>
        </w:rPr>
        <w:t>ng COVID-19 pandemic adversely affects the Company's business and results of operations, it may also have the effect of heightening many of the other risks and uncertainties discussed above</w:t>
      </w:r>
      <w:r>
        <w:rPr>
          <w:sz w:val="20"/>
          <w:szCs w:val="20"/>
        </w:rPr>
        <w:t>.</w:t>
      </w:r>
    </w:p>
    <w:p w:rsidR="00000000" w:rsidRDefault="00F83A7A">
      <w:pPr>
        <w:pStyle w:val="a3"/>
        <w:spacing w:before="240" w:beforeAutospacing="0" w:after="0" w:afterAutospacing="0"/>
        <w:jc w:val="center"/>
        <w:rPr>
          <w:sz w:val="20"/>
          <w:szCs w:val="20"/>
        </w:rPr>
      </w:pPr>
      <w:r>
        <w:rPr>
          <w:sz w:val="20"/>
          <w:szCs w:val="20"/>
        </w:rPr>
        <w:t>F</w:t>
      </w:r>
      <w:r>
        <w:rPr>
          <w:sz w:val="20"/>
          <w:szCs w:val="20"/>
        </w:rPr>
        <w:t>-</w:t>
      </w:r>
      <w:r>
        <w:rPr>
          <w:sz w:val="20"/>
          <w:szCs w:val="20"/>
        </w:rPr>
        <w:t>8</w:t>
      </w:r>
    </w:p>
    <w:p w:rsidR="00000000" w:rsidRDefault="00F83A7A">
      <w:pPr>
        <w:rPr>
          <w:rFonts w:eastAsia="Times New Roman"/>
        </w:rPr>
      </w:pPr>
      <w:r>
        <w:rPr>
          <w:rFonts w:eastAsia="Times New Roman"/>
        </w:rPr>
        <w:pict>
          <v:rect id="_x0000_i1104"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jc w:val="both"/>
        <w:divId w:val="135225415"/>
        <w:rPr>
          <w:sz w:val="20"/>
          <w:szCs w:val="20"/>
        </w:rPr>
      </w:pPr>
      <w:r>
        <w:rPr>
          <w:b/>
          <w:bCs/>
          <w:sz w:val="20"/>
          <w:szCs w:val="20"/>
        </w:rPr>
        <w:t>NOTE 2 – SUMMARY OF SI</w:t>
      </w:r>
      <w:r>
        <w:rPr>
          <w:b/>
          <w:bCs/>
          <w:sz w:val="20"/>
          <w:szCs w:val="20"/>
        </w:rPr>
        <w:t>GNIFICANT ACCOUNTING POLICIE</w:t>
      </w:r>
      <w:r>
        <w:rPr>
          <w:b/>
          <w:bCs/>
          <w:sz w:val="20"/>
          <w:szCs w:val="20"/>
        </w:rPr>
        <w:t>S</w:t>
      </w:r>
    </w:p>
    <w:p w:rsidR="00000000" w:rsidRDefault="00F83A7A">
      <w:pPr>
        <w:pStyle w:val="a3"/>
        <w:spacing w:before="200" w:beforeAutospacing="0" w:after="0" w:afterAutospacing="0"/>
        <w:jc w:val="both"/>
        <w:divId w:val="2010599137"/>
        <w:rPr>
          <w:sz w:val="20"/>
          <w:szCs w:val="20"/>
        </w:rPr>
      </w:pPr>
      <w:r>
        <w:rPr>
          <w:b/>
          <w:bCs/>
          <w:i/>
          <w:iCs/>
          <w:sz w:val="20"/>
          <w:szCs w:val="20"/>
        </w:rPr>
        <w:t>(A) Basis of Presentation and Consolidatio</w:t>
      </w:r>
      <w:r>
        <w:rPr>
          <w:b/>
          <w:bCs/>
          <w:i/>
          <w:iCs/>
          <w:sz w:val="20"/>
          <w:szCs w:val="20"/>
        </w:rPr>
        <w:t>n</w:t>
      </w:r>
    </w:p>
    <w:p w:rsidR="00000000" w:rsidRDefault="00F83A7A">
      <w:pPr>
        <w:pStyle w:val="a3"/>
        <w:spacing w:before="200" w:beforeAutospacing="0" w:after="0" w:afterAutospacing="0"/>
        <w:jc w:val="both"/>
        <w:divId w:val="2010599137"/>
        <w:rPr>
          <w:sz w:val="20"/>
          <w:szCs w:val="20"/>
        </w:rPr>
      </w:pPr>
      <w:r>
        <w:rPr>
          <w:sz w:val="20"/>
          <w:szCs w:val="20"/>
        </w:rPr>
        <w:t>The accompanying consolidated financial statements have been prepared in conformity with accounting principles generally accepted in the United States of America ("GAAP") and include</w:t>
      </w:r>
      <w:r>
        <w:rPr>
          <w:sz w:val="20"/>
          <w:szCs w:val="20"/>
        </w:rPr>
        <w:t xml:space="preserve"> the accounts of Ovid Therapeutics Inc. and its wholly-owned subsidiary, Ovid Therapeutics Hong Kong Limited. All intercompany transactions and balances have been eliminated in consolidation</w:t>
      </w:r>
      <w:r>
        <w:rPr>
          <w:sz w:val="20"/>
          <w:szCs w:val="20"/>
        </w:rPr>
        <w:t>.</w:t>
      </w:r>
    </w:p>
    <w:p w:rsidR="00000000" w:rsidRDefault="00F83A7A">
      <w:pPr>
        <w:pStyle w:val="a3"/>
        <w:spacing w:before="200" w:beforeAutospacing="0" w:after="0" w:afterAutospacing="0"/>
        <w:jc w:val="both"/>
        <w:divId w:val="1014579470"/>
        <w:rPr>
          <w:sz w:val="20"/>
          <w:szCs w:val="20"/>
        </w:rPr>
      </w:pPr>
      <w:r>
        <w:rPr>
          <w:b/>
          <w:bCs/>
          <w:i/>
          <w:iCs/>
          <w:sz w:val="20"/>
          <w:szCs w:val="20"/>
        </w:rPr>
        <w:t>(B) Use of Estimate</w:t>
      </w:r>
      <w:r>
        <w:rPr>
          <w:b/>
          <w:bCs/>
          <w:i/>
          <w:iCs/>
          <w:sz w:val="20"/>
          <w:szCs w:val="20"/>
        </w:rPr>
        <w:t>s</w:t>
      </w:r>
    </w:p>
    <w:p w:rsidR="00000000" w:rsidRDefault="00F83A7A">
      <w:pPr>
        <w:pStyle w:val="a3"/>
        <w:spacing w:before="200" w:beforeAutospacing="0" w:after="0" w:afterAutospacing="0"/>
        <w:jc w:val="both"/>
        <w:divId w:val="1014579470"/>
        <w:rPr>
          <w:sz w:val="20"/>
          <w:szCs w:val="20"/>
        </w:rPr>
      </w:pPr>
      <w:r>
        <w:rPr>
          <w:sz w:val="20"/>
          <w:szCs w:val="20"/>
        </w:rPr>
        <w:t xml:space="preserve">The preparation of financial statements in </w:t>
      </w:r>
      <w:r>
        <w:rPr>
          <w:sz w:val="20"/>
          <w:szCs w:val="20"/>
        </w:rPr>
        <w:t>conformity with GAAP requires management to make estimates and assumptions that affect the reported amounts of assets and liabilities and disclosure of contingent assets and liabilities at the date of the financial statements and the reported amounts of ex</w:t>
      </w:r>
      <w:r>
        <w:rPr>
          <w:sz w:val="20"/>
          <w:szCs w:val="20"/>
        </w:rPr>
        <w:t>penses during the reporting period. Actual results could differ materially from those estimates</w:t>
      </w:r>
      <w:r>
        <w:rPr>
          <w:sz w:val="20"/>
          <w:szCs w:val="20"/>
        </w:rPr>
        <w:t>.</w:t>
      </w:r>
    </w:p>
    <w:p w:rsidR="00000000" w:rsidRDefault="00F83A7A">
      <w:pPr>
        <w:pStyle w:val="a3"/>
        <w:spacing w:before="200" w:beforeAutospacing="0" w:after="0" w:afterAutospacing="0"/>
        <w:jc w:val="both"/>
        <w:divId w:val="1393962361"/>
        <w:rPr>
          <w:sz w:val="20"/>
          <w:szCs w:val="20"/>
        </w:rPr>
      </w:pPr>
      <w:r>
        <w:rPr>
          <w:b/>
          <w:bCs/>
          <w:i/>
          <w:iCs/>
          <w:sz w:val="20"/>
          <w:szCs w:val="20"/>
        </w:rPr>
        <w:t>(C) Risks and Uncertaintie</w:t>
      </w:r>
      <w:r>
        <w:rPr>
          <w:b/>
          <w:bCs/>
          <w:i/>
          <w:iCs/>
          <w:sz w:val="20"/>
          <w:szCs w:val="20"/>
        </w:rPr>
        <w:t>s</w:t>
      </w:r>
    </w:p>
    <w:p w:rsidR="00000000" w:rsidRDefault="00F83A7A">
      <w:pPr>
        <w:pStyle w:val="a3"/>
        <w:spacing w:before="200" w:beforeAutospacing="0" w:after="0" w:afterAutospacing="0"/>
        <w:jc w:val="both"/>
        <w:divId w:val="1393962361"/>
        <w:rPr>
          <w:sz w:val="20"/>
          <w:szCs w:val="20"/>
        </w:rPr>
      </w:pPr>
      <w:r>
        <w:rPr>
          <w:sz w:val="20"/>
          <w:szCs w:val="20"/>
        </w:rPr>
        <w:t>The Company is subject to risks common to companies in the development stage including, but not limited to, dependency on the clini</w:t>
      </w:r>
      <w:r>
        <w:rPr>
          <w:sz w:val="20"/>
          <w:szCs w:val="20"/>
        </w:rPr>
        <w:t>cal and commercial success of its drug candidates, ability to obtain regulatory approval of its drug candidates, the need for substantial additional financing to achieve its goals, uncertainty of broad adoption of its approved products, if any, by physicia</w:t>
      </w:r>
      <w:r>
        <w:rPr>
          <w:sz w:val="20"/>
          <w:szCs w:val="20"/>
        </w:rPr>
        <w:t>ns and consumers, and significant competition and untested manufacturing capabilities</w:t>
      </w:r>
      <w:r>
        <w:rPr>
          <w:sz w:val="20"/>
          <w:szCs w:val="20"/>
        </w:rPr>
        <w:t>.</w:t>
      </w:r>
    </w:p>
    <w:p w:rsidR="00000000" w:rsidRDefault="00F83A7A">
      <w:pPr>
        <w:pStyle w:val="a3"/>
        <w:spacing w:before="200" w:beforeAutospacing="0" w:after="0" w:afterAutospacing="0"/>
        <w:jc w:val="both"/>
        <w:divId w:val="135225415"/>
        <w:rPr>
          <w:sz w:val="20"/>
          <w:szCs w:val="20"/>
        </w:rPr>
      </w:pPr>
      <w:r>
        <w:rPr>
          <w:b/>
          <w:bCs/>
          <w:i/>
          <w:iCs/>
          <w:sz w:val="20"/>
          <w:szCs w:val="20"/>
        </w:rPr>
        <w:t>(</w:t>
      </w:r>
      <w:r>
        <w:rPr>
          <w:b/>
          <w:bCs/>
          <w:i/>
          <w:iCs/>
          <w:sz w:val="20"/>
          <w:szCs w:val="20"/>
        </w:rPr>
        <w:t>D) Deferred Transaction Cost</w:t>
      </w:r>
      <w:r>
        <w:rPr>
          <w:b/>
          <w:bCs/>
          <w:i/>
          <w:iCs/>
          <w:sz w:val="20"/>
          <w:szCs w:val="20"/>
        </w:rPr>
        <w:t>s</w:t>
      </w:r>
    </w:p>
    <w:p w:rsidR="00000000" w:rsidRDefault="00F83A7A">
      <w:pPr>
        <w:pStyle w:val="a3"/>
        <w:spacing w:before="200" w:beforeAutospacing="0" w:after="0" w:afterAutospacing="0"/>
        <w:jc w:val="both"/>
        <w:divId w:val="322322491"/>
        <w:rPr>
          <w:sz w:val="20"/>
          <w:szCs w:val="20"/>
        </w:rPr>
      </w:pPr>
      <w:r>
        <w:rPr>
          <w:sz w:val="20"/>
          <w:szCs w:val="20"/>
        </w:rPr>
        <w:t xml:space="preserve">Deferred transaction costs, primarily consisted of direct incremental legal, accounting, and other fees related to the Company’s offering </w:t>
      </w:r>
      <w:r>
        <w:rPr>
          <w:sz w:val="20"/>
          <w:szCs w:val="20"/>
        </w:rPr>
        <w:t>of its capital stock and are capitalized as incurred. The deferred transaction costs are offset against proceeds upon the consummation of an offering</w:t>
      </w:r>
      <w:r>
        <w:rPr>
          <w:sz w:val="20"/>
          <w:szCs w:val="20"/>
        </w:rPr>
        <w:t>.</w:t>
      </w:r>
    </w:p>
    <w:p w:rsidR="00000000" w:rsidRDefault="00F83A7A">
      <w:pPr>
        <w:pStyle w:val="a3"/>
        <w:spacing w:before="200" w:beforeAutospacing="0" w:after="0" w:afterAutospacing="0"/>
        <w:jc w:val="both"/>
        <w:divId w:val="1130441061"/>
        <w:rPr>
          <w:sz w:val="20"/>
          <w:szCs w:val="20"/>
        </w:rPr>
      </w:pPr>
      <w:r>
        <w:rPr>
          <w:b/>
          <w:bCs/>
          <w:i/>
          <w:iCs/>
          <w:sz w:val="20"/>
          <w:szCs w:val="20"/>
        </w:rPr>
        <w:t>(E) Comprehensive Income (Loss</w:t>
      </w:r>
      <w:r>
        <w:rPr>
          <w:b/>
          <w:bCs/>
          <w:i/>
          <w:iCs/>
          <w:sz w:val="20"/>
          <w:szCs w:val="20"/>
        </w:rPr>
        <w:t>)</w:t>
      </w:r>
    </w:p>
    <w:p w:rsidR="00000000" w:rsidRDefault="00F83A7A">
      <w:pPr>
        <w:pStyle w:val="a3"/>
        <w:spacing w:before="200" w:beforeAutospacing="0" w:after="0" w:afterAutospacing="0"/>
        <w:jc w:val="both"/>
        <w:divId w:val="1130441061"/>
        <w:rPr>
          <w:sz w:val="20"/>
          <w:szCs w:val="20"/>
        </w:rPr>
      </w:pPr>
      <w:r>
        <w:rPr>
          <w:sz w:val="20"/>
          <w:szCs w:val="20"/>
        </w:rPr>
        <w:t>Comprehensive income (loss) includes net income (loss) as well as other changes in stockholders’ equity that result from transactions and economic events other than those with stockholders</w:t>
      </w:r>
      <w:r>
        <w:rPr>
          <w:sz w:val="20"/>
          <w:szCs w:val="20"/>
        </w:rPr>
        <w:t>.</w:t>
      </w:r>
      <w:r>
        <w:rPr>
          <w:sz w:val="20"/>
          <w:szCs w:val="20"/>
        </w:rPr>
        <w:t xml:space="preserve"> </w:t>
      </w:r>
    </w:p>
    <w:p w:rsidR="00000000" w:rsidRDefault="00F83A7A">
      <w:pPr>
        <w:pStyle w:val="a3"/>
        <w:spacing w:before="200" w:beforeAutospacing="0" w:after="0" w:afterAutospacing="0"/>
        <w:jc w:val="both"/>
        <w:divId w:val="652874273"/>
        <w:rPr>
          <w:sz w:val="20"/>
          <w:szCs w:val="20"/>
        </w:rPr>
      </w:pPr>
      <w:r>
        <w:rPr>
          <w:b/>
          <w:bCs/>
          <w:i/>
          <w:iCs/>
          <w:sz w:val="20"/>
          <w:szCs w:val="20"/>
        </w:rPr>
        <w:t>(F) Collaboration Arrangemen</w:t>
      </w:r>
      <w:r>
        <w:rPr>
          <w:b/>
          <w:bCs/>
          <w:i/>
          <w:iCs/>
          <w:sz w:val="20"/>
          <w:szCs w:val="20"/>
        </w:rPr>
        <w:t>t</w:t>
      </w:r>
    </w:p>
    <w:p w:rsidR="00000000" w:rsidRDefault="00F83A7A">
      <w:pPr>
        <w:pStyle w:val="a3"/>
        <w:spacing w:before="200" w:beforeAutospacing="0" w:after="0" w:afterAutospacing="0"/>
        <w:jc w:val="both"/>
        <w:divId w:val="652874273"/>
        <w:rPr>
          <w:sz w:val="20"/>
          <w:szCs w:val="20"/>
        </w:rPr>
      </w:pPr>
      <w:r>
        <w:rPr>
          <w:sz w:val="20"/>
          <w:szCs w:val="20"/>
        </w:rPr>
        <w:t xml:space="preserve">Under the terms of the license and </w:t>
      </w:r>
      <w:r>
        <w:rPr>
          <w:sz w:val="20"/>
          <w:szCs w:val="20"/>
        </w:rPr>
        <w:t>collaboration agreement with Takeda that was terminated in March 2021,</w:t>
      </w:r>
      <w:r>
        <w:rPr>
          <w:sz w:val="20"/>
          <w:szCs w:val="20"/>
        </w:rPr>
        <w:t xml:space="preserve"> </w:t>
      </w:r>
      <w:r>
        <w:rPr>
          <w:sz w:val="20"/>
          <w:szCs w:val="20"/>
        </w:rPr>
        <w:t>the Company and Takeda were equally sharing in the costs of development for soticlesta</w:t>
      </w:r>
      <w:r>
        <w:rPr>
          <w:sz w:val="20"/>
          <w:szCs w:val="20"/>
        </w:rPr>
        <w:t>t</w:t>
      </w:r>
      <w:r>
        <w:rPr>
          <w:sz w:val="20"/>
          <w:szCs w:val="20"/>
        </w:rPr>
        <w:t>. The Company recorded half of the incurred development costs in research and development. When th</w:t>
      </w:r>
      <w:r>
        <w:rPr>
          <w:sz w:val="20"/>
          <w:szCs w:val="20"/>
        </w:rPr>
        <w:t>e Company would incur the majority of the development costs, Takeda would transfer a payment to the Company to equalize the costs. The Company would then record the payment from Takeda as a reduction of its research and development expense. When Takeda wou</w:t>
      </w:r>
      <w:r>
        <w:rPr>
          <w:sz w:val="20"/>
          <w:szCs w:val="20"/>
        </w:rPr>
        <w:t>ld incur the majority of the development costs, the Company would transfer a payment to Takeda to equalize the costs. The Company would record the payment to Takeda as research and development expense</w:t>
      </w:r>
      <w:r>
        <w:rPr>
          <w:sz w:val="20"/>
          <w:szCs w:val="20"/>
        </w:rPr>
        <w:t>.</w:t>
      </w:r>
      <w:r>
        <w:rPr>
          <w:sz w:val="20"/>
          <w:szCs w:val="20"/>
        </w:rPr>
        <w:t xml:space="preserve"> </w:t>
      </w:r>
    </w:p>
    <w:p w:rsidR="00000000" w:rsidRDefault="00F83A7A">
      <w:pPr>
        <w:pStyle w:val="a3"/>
        <w:spacing w:before="200" w:beforeAutospacing="0" w:after="0" w:afterAutospacing="0"/>
        <w:jc w:val="both"/>
        <w:divId w:val="11273340"/>
        <w:rPr>
          <w:sz w:val="20"/>
          <w:szCs w:val="20"/>
        </w:rPr>
      </w:pPr>
      <w:r>
        <w:rPr>
          <w:b/>
          <w:bCs/>
          <w:i/>
          <w:iCs/>
          <w:sz w:val="20"/>
          <w:szCs w:val="20"/>
        </w:rPr>
        <w:t>(G) Cash and Cash Equivalent</w:t>
      </w:r>
      <w:r>
        <w:rPr>
          <w:b/>
          <w:bCs/>
          <w:i/>
          <w:iCs/>
          <w:sz w:val="20"/>
          <w:szCs w:val="20"/>
        </w:rPr>
        <w:t>s</w:t>
      </w:r>
      <w:r>
        <w:rPr>
          <w:sz w:val="20"/>
          <w:szCs w:val="20"/>
        </w:rPr>
        <w:t xml:space="preserve"> </w:t>
      </w:r>
    </w:p>
    <w:p w:rsidR="00000000" w:rsidRDefault="00F83A7A">
      <w:pPr>
        <w:pStyle w:val="a3"/>
        <w:spacing w:before="200" w:beforeAutospacing="0" w:after="0" w:afterAutospacing="0"/>
        <w:jc w:val="both"/>
        <w:divId w:val="11273340"/>
        <w:rPr>
          <w:sz w:val="20"/>
          <w:szCs w:val="20"/>
        </w:rPr>
      </w:pPr>
      <w:r>
        <w:rPr>
          <w:sz w:val="20"/>
          <w:szCs w:val="20"/>
        </w:rPr>
        <w:t>The Company’s cash and</w:t>
      </w:r>
      <w:r>
        <w:rPr>
          <w:sz w:val="20"/>
          <w:szCs w:val="20"/>
        </w:rPr>
        <w:t xml:space="preserve"> cash equivalents consist of cash held in checking accounts and money market funds. The Company considers all highly liquid investments with an original maturity date of three months or less to be cash and cash equivalents. Accounts held at U.S. financial </w:t>
      </w:r>
      <w:r>
        <w:rPr>
          <w:sz w:val="20"/>
          <w:szCs w:val="20"/>
        </w:rPr>
        <w:t xml:space="preserve">institutions are insured by the FDIC up to </w:t>
      </w:r>
      <w:r>
        <w:rPr>
          <w:sz w:val="20"/>
          <w:szCs w:val="20"/>
        </w:rPr>
        <w:t>$</w:t>
      </w:r>
      <w:r>
        <w:rPr>
          <w:sz w:val="20"/>
          <w:szCs w:val="20"/>
        </w:rPr>
        <w:t>250,00</w:t>
      </w:r>
      <w:r>
        <w:rPr>
          <w:sz w:val="20"/>
          <w:szCs w:val="20"/>
        </w:rPr>
        <w:t>0</w:t>
      </w:r>
      <w:r>
        <w:rPr>
          <w:sz w:val="20"/>
          <w:szCs w:val="20"/>
        </w:rPr>
        <w:t>. Cash balances could exceed insured amounts at any given time</w:t>
      </w:r>
      <w:r>
        <w:rPr>
          <w:sz w:val="20"/>
          <w:szCs w:val="20"/>
        </w:rPr>
        <w:t>.</w:t>
      </w:r>
    </w:p>
    <w:p w:rsidR="00000000" w:rsidRDefault="00F83A7A">
      <w:pPr>
        <w:pStyle w:val="a3"/>
        <w:spacing w:before="200" w:beforeAutospacing="0" w:after="0" w:afterAutospacing="0"/>
        <w:jc w:val="both"/>
        <w:divId w:val="19818847"/>
        <w:rPr>
          <w:sz w:val="20"/>
          <w:szCs w:val="20"/>
        </w:rPr>
      </w:pPr>
      <w:r>
        <w:rPr>
          <w:b/>
          <w:bCs/>
          <w:i/>
          <w:iCs/>
          <w:sz w:val="20"/>
          <w:szCs w:val="20"/>
        </w:rPr>
        <w:t>(H) Restricted Cas</w:t>
      </w:r>
      <w:r>
        <w:rPr>
          <w:b/>
          <w:bCs/>
          <w:i/>
          <w:iCs/>
          <w:sz w:val="20"/>
          <w:szCs w:val="20"/>
        </w:rPr>
        <w:t>h</w:t>
      </w:r>
    </w:p>
    <w:p w:rsidR="00000000" w:rsidRDefault="00F83A7A">
      <w:pPr>
        <w:pStyle w:val="a3"/>
        <w:spacing w:before="200" w:beforeAutospacing="0" w:after="0" w:afterAutospacing="0"/>
        <w:jc w:val="both"/>
        <w:divId w:val="19818847"/>
        <w:rPr>
          <w:sz w:val="20"/>
          <w:szCs w:val="20"/>
        </w:rPr>
      </w:pPr>
      <w:r>
        <w:rPr>
          <w:sz w:val="20"/>
          <w:szCs w:val="20"/>
        </w:rPr>
        <w:t>The Company classifies as restricted cash all cash pledged as collateral to secure long-term obligations and all cash who</w:t>
      </w:r>
      <w:r>
        <w:rPr>
          <w:sz w:val="20"/>
          <w:szCs w:val="20"/>
        </w:rPr>
        <w:t>se use is otherwise limited by contractual provisions. Amounts are reported as non-current unless restrictions are expected to be released in the next 12 months</w:t>
      </w:r>
      <w:r>
        <w:rPr>
          <w:sz w:val="20"/>
          <w:szCs w:val="20"/>
        </w:rPr>
        <w:t>.</w:t>
      </w:r>
    </w:p>
    <w:p w:rsidR="00000000" w:rsidRDefault="00F83A7A">
      <w:pPr>
        <w:pStyle w:val="a3"/>
        <w:spacing w:before="200" w:beforeAutospacing="0" w:after="0" w:afterAutospacing="0"/>
        <w:jc w:val="both"/>
        <w:divId w:val="272175489"/>
        <w:rPr>
          <w:sz w:val="20"/>
          <w:szCs w:val="20"/>
        </w:rPr>
      </w:pPr>
      <w:r>
        <w:rPr>
          <w:b/>
          <w:bCs/>
          <w:i/>
          <w:iCs/>
          <w:sz w:val="20"/>
          <w:szCs w:val="20"/>
        </w:rPr>
        <w:t>(I) Short-term Investment</w:t>
      </w:r>
      <w:r>
        <w:rPr>
          <w:b/>
          <w:bCs/>
          <w:i/>
          <w:iCs/>
          <w:sz w:val="20"/>
          <w:szCs w:val="20"/>
        </w:rPr>
        <w:t>s</w:t>
      </w:r>
    </w:p>
    <w:p w:rsidR="00000000" w:rsidRDefault="00F83A7A">
      <w:pPr>
        <w:pStyle w:val="a3"/>
        <w:spacing w:before="200" w:beforeAutospacing="0" w:after="0" w:afterAutospacing="0"/>
        <w:jc w:val="both"/>
        <w:divId w:val="272175489"/>
        <w:rPr>
          <w:sz w:val="20"/>
          <w:szCs w:val="20"/>
        </w:rPr>
      </w:pPr>
      <w:r>
        <w:rPr>
          <w:sz w:val="20"/>
          <w:szCs w:val="20"/>
        </w:rPr>
        <w:t>Short-term investments consist of debt securities with maturities g</w:t>
      </w:r>
      <w:r>
        <w:rPr>
          <w:sz w:val="20"/>
          <w:szCs w:val="20"/>
        </w:rPr>
        <w:t>reater than</w:t>
      </w:r>
      <w:r>
        <w:rPr>
          <w:sz w:val="20"/>
          <w:szCs w:val="20"/>
        </w:rPr>
        <w:t xml:space="preserve"> </w:t>
      </w:r>
      <w:r>
        <w:rPr>
          <w:sz w:val="20"/>
          <w:szCs w:val="20"/>
        </w:rPr>
        <w:t>three month</w:t>
      </w:r>
      <w:r>
        <w:rPr>
          <w:sz w:val="20"/>
          <w:szCs w:val="20"/>
        </w:rPr>
        <w:t>s</w:t>
      </w:r>
      <w:r>
        <w:rPr>
          <w:sz w:val="20"/>
          <w:szCs w:val="20"/>
        </w:rPr>
        <w:t xml:space="preserve"> from the date of purchase. The Company classifies all of its investments as available-for-sale securities. Debt securities are recorded at fair value with unrealized gains and losses included in other comprehensive income (loss) as</w:t>
      </w:r>
      <w:r>
        <w:rPr>
          <w:sz w:val="20"/>
          <w:szCs w:val="20"/>
        </w:rPr>
        <w:t xml:space="preserve"> a component of stockholders’ equity until realized. Realized gains and losses, amortization and accretion of premiums and discounts are included within net loss</w:t>
      </w:r>
      <w:r>
        <w:rPr>
          <w:sz w:val="20"/>
          <w:szCs w:val="20"/>
        </w:rPr>
        <w:t>.</w:t>
      </w:r>
    </w:p>
    <w:p w:rsidR="00000000" w:rsidRDefault="00F83A7A">
      <w:pPr>
        <w:pStyle w:val="a3"/>
        <w:spacing w:before="0" w:beforeAutospacing="0" w:after="0" w:afterAutospacing="0"/>
        <w:divId w:val="135225415"/>
        <w:rPr>
          <w:sz w:val="20"/>
          <w:szCs w:val="20"/>
        </w:rPr>
      </w:pPr>
      <w:r>
        <w:rPr>
          <w:sz w:val="20"/>
          <w:szCs w:val="20"/>
        </w:rPr>
        <w:t> </w:t>
      </w:r>
    </w:p>
    <w:p w:rsidR="00000000" w:rsidRDefault="00F83A7A">
      <w:pPr>
        <w:pStyle w:val="a3"/>
        <w:spacing w:before="240" w:beforeAutospacing="0" w:after="0" w:afterAutospacing="0"/>
        <w:jc w:val="center"/>
        <w:divId w:val="135225415"/>
        <w:rPr>
          <w:sz w:val="20"/>
          <w:szCs w:val="20"/>
        </w:rPr>
      </w:pPr>
      <w:r>
        <w:rPr>
          <w:sz w:val="20"/>
          <w:szCs w:val="20"/>
        </w:rPr>
        <w:t>F</w:t>
      </w:r>
      <w:r>
        <w:rPr>
          <w:sz w:val="20"/>
          <w:szCs w:val="20"/>
        </w:rPr>
        <w:t>-</w:t>
      </w:r>
      <w:r>
        <w:rPr>
          <w:sz w:val="20"/>
          <w:szCs w:val="20"/>
        </w:rPr>
        <w:t>9</w:t>
      </w:r>
    </w:p>
    <w:p w:rsidR="00000000" w:rsidRDefault="00F83A7A">
      <w:pPr>
        <w:divId w:val="135225415"/>
        <w:rPr>
          <w:rFonts w:eastAsia="Times New Roman"/>
        </w:rPr>
      </w:pPr>
      <w:r>
        <w:rPr>
          <w:rFonts w:eastAsia="Times New Roman"/>
        </w:rPr>
        <w:pict>
          <v:rect id="_x0000_i1105" style="width:0;height:1.5pt" o:hralign="center" o:hrstd="t" o:hr="t" fillcolor="#a0a0a0" stroked="f"/>
        </w:pict>
      </w:r>
    </w:p>
    <w:p w:rsidR="00000000" w:rsidRDefault="00F83A7A">
      <w:pPr>
        <w:pStyle w:val="a3"/>
        <w:spacing w:before="0" w:beforeAutospacing="0" w:after="0" w:afterAutospacing="0"/>
        <w:ind w:left="1547"/>
        <w:divId w:val="135225415"/>
        <w:rPr>
          <w:sz w:val="20"/>
          <w:szCs w:val="20"/>
        </w:rPr>
      </w:pPr>
      <w:r>
        <w:rPr>
          <w:sz w:val="20"/>
          <w:szCs w:val="20"/>
        </w:rPr>
        <w:t> </w:t>
      </w:r>
    </w:p>
    <w:p w:rsidR="00000000" w:rsidRDefault="00F83A7A">
      <w:pPr>
        <w:pStyle w:val="a3"/>
        <w:spacing w:before="200" w:beforeAutospacing="0" w:after="0" w:afterAutospacing="0"/>
        <w:jc w:val="both"/>
        <w:divId w:val="51663885"/>
        <w:rPr>
          <w:sz w:val="20"/>
          <w:szCs w:val="20"/>
        </w:rPr>
      </w:pPr>
      <w:r>
        <w:rPr>
          <w:b/>
          <w:bCs/>
          <w:i/>
          <w:iCs/>
          <w:sz w:val="20"/>
          <w:szCs w:val="20"/>
        </w:rPr>
        <w:t>(J) Long-term Equity Investmen</w:t>
      </w:r>
      <w:r>
        <w:rPr>
          <w:b/>
          <w:bCs/>
          <w:i/>
          <w:iCs/>
          <w:sz w:val="20"/>
          <w:szCs w:val="20"/>
        </w:rPr>
        <w:t>t</w:t>
      </w:r>
    </w:p>
    <w:p w:rsidR="00000000" w:rsidRDefault="00F83A7A">
      <w:pPr>
        <w:pStyle w:val="a3"/>
        <w:spacing w:before="200" w:beforeAutospacing="0" w:after="0" w:afterAutospacing="0"/>
        <w:jc w:val="both"/>
        <w:divId w:val="51663885"/>
        <w:rPr>
          <w:sz w:val="20"/>
          <w:szCs w:val="20"/>
        </w:rPr>
      </w:pPr>
      <w:r>
        <w:rPr>
          <w:sz w:val="20"/>
          <w:szCs w:val="20"/>
        </w:rPr>
        <w:t>Long-term equity</w:t>
      </w:r>
      <w:r>
        <w:rPr>
          <w:sz w:val="20"/>
          <w:szCs w:val="20"/>
        </w:rPr>
        <w:t xml:space="preserve"> investment consists of an equity investment in a private company through preferred shares, which are not considered in-substance common stock, that is accounted for at cost, with adjustments for observable changes in prices or impairments, and is classifi</w:t>
      </w:r>
      <w:r>
        <w:rPr>
          <w:sz w:val="20"/>
          <w:szCs w:val="20"/>
        </w:rPr>
        <w:t>ed as long-term equity investment on our consolidated balance sheets with adjustments recognized in other (expense) income, net on our consolidated statements of operations. The Company has determined that the equity investment does not have a readily dete</w:t>
      </w:r>
      <w:r>
        <w:rPr>
          <w:sz w:val="20"/>
          <w:szCs w:val="20"/>
        </w:rPr>
        <w:t>rminable fair value and elected the measurement alternative. Therefore, the equity investment’s carrying amount will be adjusted to fair value at the time of the next observable price change for the identical or similar investment of the same issuer or whe</w:t>
      </w:r>
      <w:r>
        <w:rPr>
          <w:sz w:val="20"/>
          <w:szCs w:val="20"/>
        </w:rPr>
        <w:t>n an impairment is recognized. Each reporting period, the Company performs a qualitative assessment to evaluate whether the investment is impaired. The assessment includes a review of recent operating results and trends, recent sales/acquisitions of the in</w:t>
      </w:r>
      <w:r>
        <w:rPr>
          <w:sz w:val="20"/>
          <w:szCs w:val="20"/>
        </w:rPr>
        <w:t>vestee securities, and other publicly available data. If the investment is impaired, the Company writes it down to its estimated fair value. As of December 31, 2021 and 202</w:t>
      </w:r>
      <w:r>
        <w:rPr>
          <w:sz w:val="20"/>
          <w:szCs w:val="20"/>
        </w:rPr>
        <w:t>0</w:t>
      </w:r>
      <w:r>
        <w:rPr>
          <w:sz w:val="20"/>
          <w:szCs w:val="20"/>
        </w:rPr>
        <w:t xml:space="preserve"> the long-term equity investment had a carrying value of </w:t>
      </w:r>
      <w:r>
        <w:rPr>
          <w:sz w:val="20"/>
          <w:szCs w:val="20"/>
        </w:rPr>
        <w:t>$</w:t>
      </w:r>
      <w:r>
        <w:rPr>
          <w:sz w:val="20"/>
          <w:szCs w:val="20"/>
        </w:rPr>
        <w:t>1.</w:t>
      </w:r>
      <w:r>
        <w:rPr>
          <w:sz w:val="20"/>
          <w:szCs w:val="20"/>
        </w:rPr>
        <w:t>6</w:t>
      </w:r>
      <w:r>
        <w:rPr>
          <w:sz w:val="20"/>
          <w:szCs w:val="20"/>
        </w:rPr>
        <w:t xml:space="preserve"> million and</w:t>
      </w:r>
      <w:r>
        <w:rPr>
          <w:sz w:val="20"/>
          <w:szCs w:val="20"/>
        </w:rPr>
        <w:t xml:space="preserve"> </w:t>
      </w:r>
      <w:r>
        <w:rPr>
          <w:sz w:val="20"/>
          <w:szCs w:val="20"/>
        </w:rPr>
        <w:t>zer</w:t>
      </w:r>
      <w:r>
        <w:rPr>
          <w:sz w:val="20"/>
          <w:szCs w:val="20"/>
        </w:rPr>
        <w:t>o</w:t>
      </w:r>
      <w:r>
        <w:rPr>
          <w:sz w:val="20"/>
          <w:szCs w:val="20"/>
        </w:rPr>
        <w:t>, res</w:t>
      </w:r>
      <w:r>
        <w:rPr>
          <w:sz w:val="20"/>
          <w:szCs w:val="20"/>
        </w:rPr>
        <w:t>pectively</w:t>
      </w:r>
      <w:r>
        <w:rPr>
          <w:sz w:val="20"/>
          <w:szCs w:val="20"/>
        </w:rPr>
        <w:t>.</w:t>
      </w:r>
    </w:p>
    <w:p w:rsidR="00000000" w:rsidRDefault="00F83A7A">
      <w:pPr>
        <w:pStyle w:val="a3"/>
        <w:spacing w:before="200" w:beforeAutospacing="0" w:after="0" w:afterAutospacing="0"/>
        <w:jc w:val="both"/>
        <w:divId w:val="158624492"/>
        <w:rPr>
          <w:sz w:val="20"/>
          <w:szCs w:val="20"/>
        </w:rPr>
      </w:pPr>
      <w:r>
        <w:rPr>
          <w:b/>
          <w:bCs/>
          <w:i/>
          <w:iCs/>
          <w:sz w:val="20"/>
          <w:szCs w:val="20"/>
        </w:rPr>
        <w:t>(K) Property and Equipmen</w:t>
      </w:r>
      <w:r>
        <w:rPr>
          <w:b/>
          <w:bCs/>
          <w:i/>
          <w:iCs/>
          <w:sz w:val="20"/>
          <w:szCs w:val="20"/>
        </w:rPr>
        <w:t>t</w:t>
      </w:r>
    </w:p>
    <w:p w:rsidR="00000000" w:rsidRDefault="00F83A7A">
      <w:pPr>
        <w:pStyle w:val="a3"/>
        <w:spacing w:before="0" w:beforeAutospacing="0" w:after="0" w:afterAutospacing="0"/>
        <w:jc w:val="both"/>
        <w:divId w:val="158624492"/>
        <w:rPr>
          <w:sz w:val="20"/>
          <w:szCs w:val="20"/>
        </w:rPr>
      </w:pPr>
      <w:r>
        <w:rPr>
          <w:sz w:val="20"/>
          <w:szCs w:val="20"/>
        </w:rPr>
        <w:t> </w:t>
      </w:r>
    </w:p>
    <w:p w:rsidR="00000000" w:rsidRDefault="00F83A7A">
      <w:pPr>
        <w:pStyle w:val="a3"/>
        <w:spacing w:before="0" w:beforeAutospacing="0" w:after="0" w:afterAutospacing="0"/>
        <w:jc w:val="both"/>
        <w:divId w:val="158624492"/>
        <w:rPr>
          <w:sz w:val="20"/>
          <w:szCs w:val="20"/>
        </w:rPr>
      </w:pPr>
      <w:r>
        <w:rPr>
          <w:sz w:val="20"/>
          <w:szCs w:val="20"/>
        </w:rPr>
        <w:t>Property and equipment are stated at cost and depreciated over their estimated useful lives of</w:t>
      </w:r>
      <w:r>
        <w:rPr>
          <w:sz w:val="20"/>
          <w:szCs w:val="20"/>
        </w:rPr>
        <w:t xml:space="preserve"> </w:t>
      </w:r>
      <w:r>
        <w:rPr>
          <w:sz w:val="20"/>
          <w:szCs w:val="20"/>
        </w:rPr>
        <w:t>three year</w:t>
      </w:r>
      <w:r>
        <w:rPr>
          <w:sz w:val="20"/>
          <w:szCs w:val="20"/>
        </w:rPr>
        <w:t>s</w:t>
      </w:r>
      <w:r>
        <w:rPr>
          <w:sz w:val="20"/>
          <w:szCs w:val="20"/>
        </w:rPr>
        <w:t xml:space="preserve"> using the straight-line method</w:t>
      </w:r>
      <w:r>
        <w:rPr>
          <w:sz w:val="20"/>
          <w:szCs w:val="20"/>
        </w:rPr>
        <w:t>.</w:t>
      </w:r>
      <w:r>
        <w:rPr>
          <w:sz w:val="20"/>
          <w:szCs w:val="20"/>
        </w:rPr>
        <w:t xml:space="preserve"> Repairs and maintenance costs are expensed. The Company reviews the recoverab</w:t>
      </w:r>
      <w:r>
        <w:rPr>
          <w:sz w:val="20"/>
          <w:szCs w:val="20"/>
        </w:rPr>
        <w:t>ility of all long-lived assets, including the related useful life, whenever events or changes in circumstances indicate that the carrying amount of a long-lived asset might not be recoverable</w:t>
      </w:r>
      <w:r>
        <w:rPr>
          <w:sz w:val="20"/>
          <w:szCs w:val="20"/>
        </w:rPr>
        <w:t>.</w:t>
      </w:r>
    </w:p>
    <w:p w:rsidR="00000000" w:rsidRDefault="00F83A7A">
      <w:pPr>
        <w:pStyle w:val="a3"/>
        <w:spacing w:before="200" w:beforeAutospacing="0" w:after="0" w:afterAutospacing="0"/>
        <w:jc w:val="both"/>
        <w:divId w:val="2053653286"/>
        <w:rPr>
          <w:sz w:val="20"/>
          <w:szCs w:val="20"/>
        </w:rPr>
      </w:pPr>
      <w:r>
        <w:rPr>
          <w:b/>
          <w:bCs/>
          <w:i/>
          <w:iCs/>
          <w:sz w:val="20"/>
          <w:szCs w:val="20"/>
        </w:rPr>
        <w:t>(L) Research and Development Expense</w:t>
      </w:r>
      <w:r>
        <w:rPr>
          <w:b/>
          <w:bCs/>
          <w:i/>
          <w:iCs/>
          <w:sz w:val="20"/>
          <w:szCs w:val="20"/>
        </w:rPr>
        <w:t>s</w:t>
      </w:r>
    </w:p>
    <w:p w:rsidR="00000000" w:rsidRDefault="00F83A7A">
      <w:pPr>
        <w:pStyle w:val="a3"/>
        <w:spacing w:before="200" w:beforeAutospacing="0" w:after="0" w:afterAutospacing="0"/>
        <w:jc w:val="both"/>
        <w:divId w:val="2053653286"/>
        <w:rPr>
          <w:sz w:val="20"/>
          <w:szCs w:val="20"/>
        </w:rPr>
      </w:pPr>
      <w:r>
        <w:rPr>
          <w:sz w:val="20"/>
          <w:szCs w:val="20"/>
        </w:rPr>
        <w:t xml:space="preserve">The Company expenses the </w:t>
      </w:r>
      <w:r>
        <w:rPr>
          <w:sz w:val="20"/>
          <w:szCs w:val="20"/>
        </w:rPr>
        <w:t>cost of research and development as incurred. Research and development expenses comprise costs incurred in performing research and development activities, including clinical trial costs, manufacturing costs for both clinical and pre-clinical materials as w</w:t>
      </w:r>
      <w:r>
        <w:rPr>
          <w:sz w:val="20"/>
          <w:szCs w:val="20"/>
        </w:rPr>
        <w:t>ell as other contracted services, license fees, and other external costs. Research and development expenses also include the cost of licensing agreements acquired from third-parties such as the acquisition of OV350 from AstraZeneca AB. Nonrefundable advanc</w:t>
      </w:r>
      <w:r>
        <w:rPr>
          <w:sz w:val="20"/>
          <w:szCs w:val="20"/>
        </w:rPr>
        <w:t xml:space="preserve">e payments for goods and services that will be used in future research and development activities are expensed when the activity is performed or when the goods have been received, rather than when the cost is incurred, in accordance with ASC 730, Research </w:t>
      </w:r>
      <w:r>
        <w:rPr>
          <w:sz w:val="20"/>
          <w:szCs w:val="20"/>
        </w:rPr>
        <w:t>and Development</w:t>
      </w:r>
      <w:r>
        <w:rPr>
          <w:sz w:val="20"/>
          <w:szCs w:val="20"/>
        </w:rPr>
        <w:t>.</w:t>
      </w:r>
    </w:p>
    <w:p w:rsidR="00000000" w:rsidRDefault="00F83A7A">
      <w:pPr>
        <w:pStyle w:val="a3"/>
        <w:spacing w:before="200" w:beforeAutospacing="0" w:after="0" w:afterAutospacing="0"/>
        <w:jc w:val="both"/>
        <w:divId w:val="451173984"/>
        <w:rPr>
          <w:sz w:val="20"/>
          <w:szCs w:val="20"/>
        </w:rPr>
      </w:pPr>
      <w:r>
        <w:rPr>
          <w:b/>
          <w:bCs/>
          <w:i/>
          <w:iCs/>
          <w:sz w:val="20"/>
          <w:szCs w:val="20"/>
        </w:rPr>
        <w:t>(M) Stock-based Compensatio</w:t>
      </w:r>
      <w:r>
        <w:rPr>
          <w:b/>
          <w:bCs/>
          <w:i/>
          <w:iCs/>
          <w:sz w:val="20"/>
          <w:szCs w:val="20"/>
        </w:rPr>
        <w:t>n</w:t>
      </w:r>
    </w:p>
    <w:p w:rsidR="00000000" w:rsidRDefault="00F83A7A">
      <w:pPr>
        <w:pStyle w:val="a3"/>
        <w:spacing w:before="200" w:beforeAutospacing="0" w:after="0" w:afterAutospacing="0"/>
        <w:jc w:val="both"/>
        <w:divId w:val="451173984"/>
        <w:rPr>
          <w:sz w:val="20"/>
          <w:szCs w:val="20"/>
        </w:rPr>
      </w:pPr>
      <w:r>
        <w:rPr>
          <w:sz w:val="20"/>
          <w:szCs w:val="20"/>
        </w:rPr>
        <w:t>The Company accounts for its stock-based compensation in accordance with ASC 718, Compensation—</w:t>
      </w:r>
      <w:r>
        <w:rPr>
          <w:sz w:val="20"/>
          <w:szCs w:val="20"/>
        </w:rPr>
        <w:t xml:space="preserve">Stock Compensation, which establishes accounting for stock-based awards granted to employees for services and requires companies to expense the estimated fair value of these awards over the requisite service period. The Company estimates the fair value of </w:t>
      </w:r>
      <w:r>
        <w:rPr>
          <w:sz w:val="20"/>
          <w:szCs w:val="20"/>
        </w:rPr>
        <w:t>all awards granted using the Black-Scholes valuation model. Key inputs and assumptions include the expected term of the option, stock price volatility, risk-free interest rate, dividend yield, stock price and exercise price. Many of the assumptions require</w:t>
      </w:r>
      <w:r>
        <w:rPr>
          <w:sz w:val="20"/>
          <w:szCs w:val="20"/>
        </w:rPr>
        <w:t xml:space="preserve"> significant judgment and any changes could have a material impact in the determination of stock-based compensation expense. The Company elected an accounting policy to record forfeitures as they occur. The Company recognizes employee stock-based compensat</w:t>
      </w:r>
      <w:r>
        <w:rPr>
          <w:sz w:val="20"/>
          <w:szCs w:val="20"/>
        </w:rPr>
        <w:t>ion expense based on the fair value of the award on the date of the grant. The compensation expense is recognized over the vesting period under the straight-line method</w:t>
      </w:r>
      <w:r>
        <w:rPr>
          <w:sz w:val="20"/>
          <w:szCs w:val="20"/>
        </w:rPr>
        <w:t>.</w:t>
      </w:r>
    </w:p>
    <w:p w:rsidR="00000000" w:rsidRDefault="00F83A7A">
      <w:pPr>
        <w:pStyle w:val="a3"/>
        <w:spacing w:before="200" w:beforeAutospacing="0" w:after="0" w:afterAutospacing="0"/>
        <w:jc w:val="both"/>
        <w:divId w:val="451173984"/>
        <w:rPr>
          <w:sz w:val="20"/>
          <w:szCs w:val="20"/>
        </w:rPr>
      </w:pPr>
      <w:r>
        <w:rPr>
          <w:sz w:val="20"/>
          <w:szCs w:val="20"/>
        </w:rPr>
        <w:t>The Company accounts for option awards granted to nonemployee consultants and director</w:t>
      </w:r>
      <w:r>
        <w:rPr>
          <w:sz w:val="20"/>
          <w:szCs w:val="20"/>
        </w:rPr>
        <w:t>s in accordance with ASU 2018-07, Compensation – Stock Compensation (Topic 718): Improvements to Nonemployee Share-Based Payment Accounting. The fair value of the option issued or committed to be issued is used to measure the transaction, as this is more r</w:t>
      </w:r>
      <w:r>
        <w:rPr>
          <w:sz w:val="20"/>
          <w:szCs w:val="20"/>
        </w:rPr>
        <w:t>eliable than the fair value of the services received. The fair value is measured at the value of the Company’s common stock award at the earlier of the date that the commitment for performance by the counterparty has been reached or the counterparty’s perf</w:t>
      </w:r>
      <w:r>
        <w:rPr>
          <w:sz w:val="20"/>
          <w:szCs w:val="20"/>
        </w:rPr>
        <w:t>ormance is complete</w:t>
      </w:r>
      <w:r>
        <w:rPr>
          <w:sz w:val="20"/>
          <w:szCs w:val="20"/>
        </w:rPr>
        <w:t>.</w:t>
      </w:r>
    </w:p>
    <w:p w:rsidR="00000000" w:rsidRDefault="00F83A7A">
      <w:pPr>
        <w:pStyle w:val="a3"/>
        <w:spacing w:before="200" w:beforeAutospacing="0" w:after="0" w:afterAutospacing="0"/>
        <w:jc w:val="both"/>
        <w:divId w:val="174420397"/>
        <w:rPr>
          <w:sz w:val="20"/>
          <w:szCs w:val="20"/>
        </w:rPr>
      </w:pPr>
      <w:r>
        <w:rPr>
          <w:b/>
          <w:bCs/>
          <w:i/>
          <w:iCs/>
          <w:sz w:val="20"/>
          <w:szCs w:val="20"/>
        </w:rPr>
        <w:t>(N) Fair Value of Financial Instrument</w:t>
      </w:r>
      <w:r>
        <w:rPr>
          <w:b/>
          <w:bCs/>
          <w:i/>
          <w:iCs/>
          <w:sz w:val="20"/>
          <w:szCs w:val="20"/>
        </w:rPr>
        <w:t>s</w:t>
      </w:r>
    </w:p>
    <w:p w:rsidR="00000000" w:rsidRDefault="00F83A7A">
      <w:pPr>
        <w:pStyle w:val="a3"/>
        <w:spacing w:before="200" w:beforeAutospacing="0" w:after="0" w:afterAutospacing="0"/>
        <w:jc w:val="both"/>
        <w:divId w:val="174420397"/>
        <w:rPr>
          <w:sz w:val="20"/>
          <w:szCs w:val="20"/>
        </w:rPr>
      </w:pPr>
      <w:r>
        <w:rPr>
          <w:sz w:val="20"/>
          <w:szCs w:val="20"/>
        </w:rPr>
        <w:t>Financial Accounting Standards Board (“FASB”) guidance specifies a hierarchy of valuation techniques based on whether the inputs to those valuation techniques are observable or unobservable. Obse</w:t>
      </w:r>
      <w:r>
        <w:rPr>
          <w:sz w:val="20"/>
          <w:szCs w:val="20"/>
        </w:rPr>
        <w:t>rvable inputs reflect market data obtained from independent sources, while unobservable inputs reflect market assumptions. The hierarchy gives the highest priority to unadjusted quoted prices in active markets for identical assets or liabilities (Level 1 m</w:t>
      </w:r>
      <w:r>
        <w:rPr>
          <w:sz w:val="20"/>
          <w:szCs w:val="20"/>
        </w:rPr>
        <w:t>easurement) and the lowest priority to unobservable inputs (Level 3 measurement)</w:t>
      </w:r>
      <w:r>
        <w:rPr>
          <w:sz w:val="20"/>
          <w:szCs w:val="20"/>
        </w:rPr>
        <w:t>.</w:t>
      </w:r>
      <w:r>
        <w:rPr>
          <w:sz w:val="20"/>
          <w:szCs w:val="20"/>
        </w:rPr>
        <w:t xml:space="preserve"> </w:t>
      </w:r>
    </w:p>
    <w:p w:rsidR="00000000" w:rsidRDefault="00F83A7A">
      <w:pPr>
        <w:pStyle w:val="a3"/>
        <w:spacing w:before="120" w:beforeAutospacing="0" w:after="0" w:afterAutospacing="0"/>
        <w:jc w:val="both"/>
        <w:divId w:val="174420397"/>
        <w:rPr>
          <w:sz w:val="20"/>
          <w:szCs w:val="20"/>
        </w:rPr>
      </w:pPr>
      <w:r>
        <w:rPr>
          <w:sz w:val="20"/>
          <w:szCs w:val="20"/>
        </w:rPr>
        <w:t>The three levels of the fair value hierarchy are as follows</w:t>
      </w:r>
      <w:r>
        <w:rPr>
          <w:sz w:val="20"/>
          <w:szCs w:val="20"/>
        </w:rPr>
        <w:t>:</w:t>
      </w:r>
    </w:p>
    <w:p w:rsidR="00000000" w:rsidRDefault="00F83A7A">
      <w:pPr>
        <w:jc w:val="both"/>
        <w:divId w:val="100610712"/>
        <w:rPr>
          <w:rFonts w:eastAsia="Times New Roman"/>
          <w:sz w:val="20"/>
          <w:szCs w:val="20"/>
        </w:rPr>
      </w:pPr>
      <w:r>
        <w:rPr>
          <w:rFonts w:eastAsia="Times New Roman"/>
          <w:sz w:val="20"/>
          <w:szCs w:val="20"/>
        </w:rPr>
        <w:t>•</w:t>
      </w:r>
    </w:p>
    <w:p w:rsidR="00000000" w:rsidRDefault="00F83A7A">
      <w:pPr>
        <w:jc w:val="both"/>
        <w:divId w:val="628585440"/>
        <w:rPr>
          <w:rFonts w:eastAsia="Times New Roman"/>
          <w:sz w:val="20"/>
          <w:szCs w:val="20"/>
        </w:rPr>
      </w:pPr>
      <w:r>
        <w:rPr>
          <w:rFonts w:eastAsia="Times New Roman"/>
          <w:sz w:val="20"/>
          <w:szCs w:val="20"/>
        </w:rPr>
        <w:t>Level 1—Unadjusted quoted prices in active markets for identical assets or liabilities that the reporting enti</w:t>
      </w:r>
      <w:r>
        <w:rPr>
          <w:rFonts w:eastAsia="Times New Roman"/>
          <w:sz w:val="20"/>
          <w:szCs w:val="20"/>
        </w:rPr>
        <w:t xml:space="preserve">ty has the ability to access at the measurement date. Level 1 primarily consists of financial instruments whose value is based on quoted market prices such as exchange-traded instruments and listed equities. The Company’s Level 1 assets consisted of money </w:t>
      </w:r>
      <w:r>
        <w:rPr>
          <w:rFonts w:eastAsia="Times New Roman"/>
          <w:sz w:val="20"/>
          <w:szCs w:val="20"/>
        </w:rPr>
        <w:t xml:space="preserve">market funds and short-term investments totaling </w:t>
      </w:r>
      <w:r>
        <w:rPr>
          <w:rFonts w:eastAsia="Times New Roman"/>
          <w:sz w:val="20"/>
          <w:szCs w:val="20"/>
        </w:rPr>
        <w:t>$</w:t>
      </w:r>
      <w:r>
        <w:rPr>
          <w:rFonts w:eastAsia="Times New Roman"/>
          <w:sz w:val="20"/>
          <w:szCs w:val="20"/>
        </w:rPr>
        <w:t>187.</w:t>
      </w:r>
      <w:r>
        <w:rPr>
          <w:rFonts w:eastAsia="Times New Roman"/>
          <w:sz w:val="20"/>
          <w:szCs w:val="20"/>
        </w:rPr>
        <w:t>6</w:t>
      </w:r>
      <w:r>
        <w:rPr>
          <w:rFonts w:eastAsia="Times New Roman"/>
          <w:sz w:val="20"/>
          <w:szCs w:val="20"/>
        </w:rPr>
        <w:t xml:space="preserve"> million and </w:t>
      </w:r>
      <w:r>
        <w:rPr>
          <w:rFonts w:eastAsia="Times New Roman"/>
          <w:sz w:val="20"/>
          <w:szCs w:val="20"/>
        </w:rPr>
        <w:t>$</w:t>
      </w:r>
      <w:r>
        <w:rPr>
          <w:rFonts w:eastAsia="Times New Roman"/>
          <w:sz w:val="20"/>
          <w:szCs w:val="20"/>
        </w:rPr>
        <w:t>72.</w:t>
      </w:r>
      <w:r>
        <w:rPr>
          <w:rFonts w:eastAsia="Times New Roman"/>
          <w:sz w:val="20"/>
          <w:szCs w:val="20"/>
        </w:rPr>
        <w:t>0</w:t>
      </w:r>
      <w:r>
        <w:rPr>
          <w:rFonts w:eastAsia="Times New Roman"/>
          <w:sz w:val="20"/>
          <w:szCs w:val="20"/>
        </w:rPr>
        <w:t xml:space="preserve"> million as of December 31, 2021 and 2020, respectively</w:t>
      </w:r>
      <w:r>
        <w:rPr>
          <w:rFonts w:eastAsia="Times New Roman"/>
          <w:sz w:val="20"/>
          <w:szCs w:val="20"/>
        </w:rPr>
        <w:t>.</w:t>
      </w:r>
      <w:r>
        <w:rPr>
          <w:rFonts w:eastAsia="Times New Roman"/>
          <w:sz w:val="12"/>
          <w:szCs w:val="12"/>
        </w:rPr>
        <w:t xml:space="preserve"> </w:t>
      </w:r>
    </w:p>
    <w:p w:rsidR="00000000" w:rsidRDefault="00F83A7A">
      <w:pPr>
        <w:jc w:val="both"/>
        <w:divId w:val="1923369641"/>
        <w:rPr>
          <w:rFonts w:eastAsia="Times New Roman"/>
          <w:sz w:val="20"/>
          <w:szCs w:val="20"/>
        </w:rPr>
      </w:pPr>
      <w:r>
        <w:rPr>
          <w:rFonts w:eastAsia="Times New Roman"/>
          <w:sz w:val="20"/>
          <w:szCs w:val="20"/>
        </w:rPr>
        <w:t>•</w:t>
      </w:r>
    </w:p>
    <w:p w:rsidR="00000000" w:rsidRDefault="00F83A7A">
      <w:pPr>
        <w:jc w:val="both"/>
        <w:divId w:val="216012080"/>
        <w:rPr>
          <w:rFonts w:eastAsia="Times New Roman"/>
          <w:sz w:val="20"/>
          <w:szCs w:val="20"/>
        </w:rPr>
      </w:pPr>
      <w:r>
        <w:rPr>
          <w:rFonts w:eastAsia="Times New Roman"/>
          <w:sz w:val="20"/>
          <w:szCs w:val="20"/>
        </w:rPr>
        <w:t>Level</w:t>
      </w:r>
      <w:r>
        <w:rPr>
          <w:rFonts w:eastAsia="Times New Roman"/>
          <w:sz w:val="20"/>
          <w:szCs w:val="20"/>
        </w:rPr>
        <w:t xml:space="preserve"> </w:t>
      </w:r>
      <w:r>
        <w:rPr>
          <w:rFonts w:eastAsia="Times New Roman"/>
          <w:sz w:val="20"/>
          <w:szCs w:val="20"/>
        </w:rPr>
        <w:t>2—Inputs other than quoted prices included within Level 1 that are observable for the asset or liability, either dire</w:t>
      </w:r>
      <w:r>
        <w:rPr>
          <w:rFonts w:eastAsia="Times New Roman"/>
          <w:sz w:val="20"/>
          <w:szCs w:val="20"/>
        </w:rPr>
        <w:t>ctly or indirectly (e.g., quoted prices of similar assets or liabilities in active markets, or quoted prices for identical or similar</w:t>
      </w:r>
      <w:r>
        <w:rPr>
          <w:rFonts w:eastAsia="Times New Roman"/>
          <w:sz w:val="20"/>
          <w:szCs w:val="20"/>
        </w:rPr>
        <w:t xml:space="preserve"> </w:t>
      </w:r>
    </w:p>
    <w:p w:rsidR="00000000" w:rsidRDefault="00F83A7A">
      <w:pPr>
        <w:pStyle w:val="a3"/>
        <w:spacing w:before="240" w:beforeAutospacing="0" w:after="0" w:afterAutospacing="0"/>
        <w:jc w:val="center"/>
        <w:divId w:val="174420397"/>
        <w:rPr>
          <w:sz w:val="20"/>
          <w:szCs w:val="20"/>
        </w:rPr>
      </w:pPr>
      <w:r>
        <w:rPr>
          <w:sz w:val="20"/>
          <w:szCs w:val="20"/>
        </w:rPr>
        <w:t>F</w:t>
      </w:r>
      <w:r>
        <w:rPr>
          <w:sz w:val="20"/>
          <w:szCs w:val="20"/>
        </w:rPr>
        <w:t>-</w:t>
      </w:r>
      <w:r>
        <w:rPr>
          <w:sz w:val="20"/>
          <w:szCs w:val="20"/>
        </w:rPr>
        <w:t>1</w:t>
      </w:r>
      <w:r>
        <w:rPr>
          <w:sz w:val="20"/>
          <w:szCs w:val="20"/>
        </w:rPr>
        <w:t>0</w:t>
      </w:r>
    </w:p>
    <w:p w:rsidR="00000000" w:rsidRDefault="00F83A7A">
      <w:pPr>
        <w:divId w:val="174420397"/>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F83A7A">
      <w:pPr>
        <w:pStyle w:val="a3"/>
        <w:spacing w:before="0" w:beforeAutospacing="0" w:after="0" w:afterAutospacing="0"/>
        <w:ind w:left="1547"/>
        <w:divId w:val="174420397"/>
        <w:rPr>
          <w:sz w:val="20"/>
          <w:szCs w:val="20"/>
        </w:rPr>
      </w:pPr>
      <w:r>
        <w:rPr>
          <w:sz w:val="20"/>
          <w:szCs w:val="20"/>
        </w:rPr>
        <w:t> </w:t>
      </w:r>
    </w:p>
    <w:p w:rsidR="00000000" w:rsidRDefault="00F83A7A">
      <w:pPr>
        <w:jc w:val="both"/>
        <w:divId w:val="1445539870"/>
        <w:rPr>
          <w:rFonts w:eastAsia="Times New Roman"/>
          <w:sz w:val="20"/>
          <w:szCs w:val="20"/>
        </w:rPr>
      </w:pPr>
      <w:r>
        <w:rPr>
          <w:rFonts w:eastAsia="Times New Roman"/>
          <w:sz w:val="20"/>
          <w:szCs w:val="20"/>
        </w:rPr>
        <w:t>assets</w:t>
      </w:r>
      <w:r>
        <w:rPr>
          <w:rFonts w:eastAsia="Times New Roman"/>
          <w:sz w:val="20"/>
          <w:szCs w:val="20"/>
        </w:rPr>
        <w:t xml:space="preserve"> </w:t>
      </w:r>
      <w:r>
        <w:rPr>
          <w:rFonts w:eastAsia="Times New Roman"/>
          <w:sz w:val="20"/>
          <w:szCs w:val="20"/>
        </w:rPr>
        <w:t>or liabilities in markets that are not active). Level 2 includes financial instruments that are valued using models or other valuation methodologies. The Company had</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Level 2 assets or liabilities as of</w:t>
      </w:r>
      <w:r>
        <w:rPr>
          <w:rFonts w:eastAsia="Times New Roman"/>
          <w:sz w:val="20"/>
          <w:szCs w:val="20"/>
        </w:rPr>
        <w:t xml:space="preserve"> </w:t>
      </w:r>
      <w:r>
        <w:rPr>
          <w:rFonts w:eastAsia="Times New Roman"/>
          <w:sz w:val="20"/>
          <w:szCs w:val="20"/>
        </w:rPr>
        <w:t>December 31, 2021 and 2020</w:t>
      </w:r>
      <w:r>
        <w:rPr>
          <w:rFonts w:eastAsia="Times New Roman"/>
          <w:sz w:val="20"/>
          <w:szCs w:val="20"/>
        </w:rPr>
        <w:t>.</w:t>
      </w:r>
      <w:r>
        <w:rPr>
          <w:rFonts w:eastAsia="Times New Roman"/>
          <w:sz w:val="12"/>
          <w:szCs w:val="12"/>
        </w:rPr>
        <w:t xml:space="preserve"> </w:t>
      </w:r>
    </w:p>
    <w:p w:rsidR="00000000" w:rsidRDefault="00F83A7A">
      <w:pPr>
        <w:jc w:val="both"/>
        <w:divId w:val="1587760601"/>
        <w:rPr>
          <w:rFonts w:eastAsia="Times New Roman"/>
          <w:sz w:val="20"/>
          <w:szCs w:val="20"/>
        </w:rPr>
      </w:pPr>
      <w:r>
        <w:rPr>
          <w:rFonts w:eastAsia="Times New Roman"/>
          <w:sz w:val="20"/>
          <w:szCs w:val="20"/>
        </w:rPr>
        <w:t>•</w:t>
      </w:r>
    </w:p>
    <w:p w:rsidR="00000000" w:rsidRDefault="00F83A7A">
      <w:pPr>
        <w:jc w:val="both"/>
        <w:divId w:val="1376202150"/>
        <w:rPr>
          <w:rFonts w:eastAsia="Times New Roman"/>
          <w:sz w:val="20"/>
          <w:szCs w:val="20"/>
        </w:rPr>
      </w:pPr>
      <w:r>
        <w:rPr>
          <w:rFonts w:eastAsia="Times New Roman"/>
          <w:sz w:val="20"/>
          <w:szCs w:val="20"/>
        </w:rPr>
        <w:t>Level 3—Unobservable</w:t>
      </w:r>
      <w:r>
        <w:rPr>
          <w:rFonts w:eastAsia="Times New Roman"/>
          <w:sz w:val="20"/>
          <w:szCs w:val="20"/>
        </w:rPr>
        <w:t xml:space="preserve"> inputs for the asset or liability. Financial instruments are considered Level 3 when the fair values are determined using pricing models, discounted cash flows or similar techniques and at least one significant model assumption or input is unobservable. T</w:t>
      </w:r>
      <w:r>
        <w:rPr>
          <w:rFonts w:eastAsia="Times New Roman"/>
          <w:sz w:val="20"/>
          <w:szCs w:val="20"/>
        </w:rPr>
        <w:t>he Company had</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Level 3 assets or liabilities as of</w:t>
      </w:r>
      <w:r>
        <w:rPr>
          <w:rFonts w:eastAsia="Times New Roman"/>
          <w:sz w:val="20"/>
          <w:szCs w:val="20"/>
        </w:rPr>
        <w:t xml:space="preserve"> </w:t>
      </w:r>
      <w:r>
        <w:rPr>
          <w:rFonts w:eastAsia="Times New Roman"/>
          <w:sz w:val="20"/>
          <w:szCs w:val="20"/>
        </w:rPr>
        <w:t>December 31, 2021 and 2020</w:t>
      </w:r>
      <w:r>
        <w:rPr>
          <w:rFonts w:eastAsia="Times New Roman"/>
          <w:sz w:val="20"/>
          <w:szCs w:val="20"/>
        </w:rPr>
        <w:t>.</w:t>
      </w:r>
    </w:p>
    <w:p w:rsidR="00000000" w:rsidRDefault="00F83A7A">
      <w:pPr>
        <w:pStyle w:val="a3"/>
        <w:spacing w:before="200" w:beforeAutospacing="0" w:after="0" w:afterAutospacing="0"/>
        <w:jc w:val="both"/>
        <w:divId w:val="174420397"/>
        <w:rPr>
          <w:sz w:val="20"/>
          <w:szCs w:val="20"/>
        </w:rPr>
      </w:pPr>
      <w:r>
        <w:rPr>
          <w:sz w:val="20"/>
          <w:szCs w:val="20"/>
        </w:rPr>
        <w:t>The carrying amounts reported in the balance sheet for cash and cash equivalents, related-party receivables, other current assets, accounts payable, accrued expenses, and cur</w:t>
      </w:r>
      <w:r>
        <w:rPr>
          <w:sz w:val="20"/>
          <w:szCs w:val="20"/>
        </w:rPr>
        <w:t>rent related-party payables approximate their fair values based on the short-term maturity of these instruments</w:t>
      </w:r>
      <w:r>
        <w:rPr>
          <w:sz w:val="20"/>
          <w:szCs w:val="20"/>
        </w:rPr>
        <w:t>.</w:t>
      </w:r>
    </w:p>
    <w:p w:rsidR="00000000" w:rsidRDefault="00F83A7A">
      <w:pPr>
        <w:pStyle w:val="a3"/>
        <w:spacing w:before="200" w:beforeAutospacing="0" w:after="0" w:afterAutospacing="0"/>
        <w:jc w:val="both"/>
        <w:divId w:val="686912037"/>
        <w:rPr>
          <w:sz w:val="20"/>
          <w:szCs w:val="20"/>
        </w:rPr>
      </w:pPr>
      <w:r>
        <w:rPr>
          <w:b/>
          <w:bCs/>
          <w:i/>
          <w:iCs/>
          <w:sz w:val="20"/>
          <w:szCs w:val="20"/>
        </w:rPr>
        <w:t>(O) Income Taxe</w:t>
      </w:r>
      <w:r>
        <w:rPr>
          <w:b/>
          <w:bCs/>
          <w:i/>
          <w:iCs/>
          <w:sz w:val="20"/>
          <w:szCs w:val="20"/>
        </w:rPr>
        <w:t>s</w:t>
      </w:r>
    </w:p>
    <w:p w:rsidR="00000000" w:rsidRDefault="00F83A7A">
      <w:pPr>
        <w:pStyle w:val="a3"/>
        <w:spacing w:before="200" w:beforeAutospacing="0" w:after="0" w:afterAutospacing="0"/>
        <w:jc w:val="both"/>
        <w:divId w:val="686912037"/>
        <w:rPr>
          <w:sz w:val="20"/>
          <w:szCs w:val="20"/>
        </w:rPr>
      </w:pPr>
      <w:r>
        <w:rPr>
          <w:sz w:val="20"/>
          <w:szCs w:val="20"/>
        </w:rPr>
        <w:t>The Company accounts for income taxes under the asset and liability method, which requires deferred tax assets and liabilities</w:t>
      </w:r>
      <w:r>
        <w:rPr>
          <w:sz w:val="20"/>
          <w:szCs w:val="20"/>
        </w:rPr>
        <w:t xml:space="preserve"> to be recognized for the estimated future tax consequences attributable to differences between financial statement carrying amounts and respective tax bases of existing assets and liabilities, as well as for net operating loss carryforwards and research a</w:t>
      </w:r>
      <w:r>
        <w:rPr>
          <w:sz w:val="20"/>
          <w:szCs w:val="20"/>
        </w:rPr>
        <w:t>nd development credits. Valuation allowances are provided if it is more likely than not that some portion or all of the deferred tax assets will not be realized. The impact of a change in the tax laws is recorded in the period in which the law is enacted</w:t>
      </w:r>
      <w:r>
        <w:rPr>
          <w:sz w:val="20"/>
          <w:szCs w:val="20"/>
        </w:rPr>
        <w:t>.</w:t>
      </w:r>
    </w:p>
    <w:p w:rsidR="00000000" w:rsidRDefault="00F83A7A">
      <w:pPr>
        <w:pStyle w:val="a3"/>
        <w:spacing w:before="200" w:beforeAutospacing="0" w:after="0" w:afterAutospacing="0"/>
        <w:jc w:val="both"/>
        <w:divId w:val="204483695"/>
        <w:rPr>
          <w:sz w:val="20"/>
          <w:szCs w:val="20"/>
        </w:rPr>
      </w:pPr>
      <w:r>
        <w:rPr>
          <w:b/>
          <w:bCs/>
          <w:i/>
          <w:iCs/>
          <w:sz w:val="20"/>
          <w:szCs w:val="20"/>
        </w:rPr>
        <w:t>(P) Net Income (Loss) Per Common Shar</w:t>
      </w:r>
      <w:r>
        <w:rPr>
          <w:b/>
          <w:bCs/>
          <w:i/>
          <w:iCs/>
          <w:sz w:val="20"/>
          <w:szCs w:val="20"/>
        </w:rPr>
        <w:t>e</w:t>
      </w:r>
    </w:p>
    <w:p w:rsidR="00000000" w:rsidRDefault="00F83A7A">
      <w:pPr>
        <w:pStyle w:val="a3"/>
        <w:spacing w:before="200" w:beforeAutospacing="0" w:after="0" w:afterAutospacing="0"/>
        <w:jc w:val="both"/>
        <w:divId w:val="204483695"/>
        <w:rPr>
          <w:sz w:val="20"/>
          <w:szCs w:val="20"/>
        </w:rPr>
      </w:pPr>
      <w:r>
        <w:rPr>
          <w:sz w:val="20"/>
          <w:szCs w:val="20"/>
        </w:rPr>
        <w:t>Net income (loss) per common share is determined by dividing net income (loss) attributable to common stockholders by the basic and diluted weighted-average common shares outstanding during the period. The Company app</w:t>
      </w:r>
      <w:r>
        <w:rPr>
          <w:sz w:val="20"/>
          <w:szCs w:val="20"/>
        </w:rPr>
        <w:t>lies the two-class method to allocate earnings between common stock and participating securities</w:t>
      </w:r>
      <w:r>
        <w:rPr>
          <w:sz w:val="20"/>
          <w:szCs w:val="20"/>
        </w:rPr>
        <w:t>.</w:t>
      </w:r>
      <w:r>
        <w:rPr>
          <w:sz w:val="20"/>
          <w:szCs w:val="20"/>
        </w:rPr>
        <w:t xml:space="preserve"> </w:t>
      </w:r>
    </w:p>
    <w:p w:rsidR="00000000" w:rsidRDefault="00F83A7A">
      <w:pPr>
        <w:pStyle w:val="a3"/>
        <w:spacing w:before="200" w:beforeAutospacing="0" w:after="0" w:afterAutospacing="0"/>
        <w:jc w:val="both"/>
        <w:divId w:val="204483695"/>
        <w:rPr>
          <w:sz w:val="20"/>
          <w:szCs w:val="20"/>
        </w:rPr>
      </w:pPr>
      <w:r>
        <w:rPr>
          <w:sz w:val="20"/>
          <w:szCs w:val="20"/>
        </w:rPr>
        <w:t>Net income (loss) per diluted share attributable to common stockholders adjusts the basic earnings per share attributable to common stockholders and the weig</w:t>
      </w:r>
      <w:r>
        <w:rPr>
          <w:sz w:val="20"/>
          <w:szCs w:val="20"/>
        </w:rPr>
        <w:t>hted-average number of shares of common stock outstanding for the potential dilutive impact of stock options using the treasury-stock method</w:t>
      </w:r>
      <w:r>
        <w:rPr>
          <w:sz w:val="20"/>
          <w:szCs w:val="20"/>
        </w:rPr>
        <w:t>.</w:t>
      </w:r>
    </w:p>
    <w:p w:rsidR="00000000" w:rsidRDefault="00F83A7A">
      <w:pPr>
        <w:pStyle w:val="a3"/>
        <w:spacing w:before="200" w:beforeAutospacing="0" w:after="0" w:afterAutospacing="0"/>
        <w:jc w:val="both"/>
        <w:divId w:val="346910364"/>
        <w:rPr>
          <w:sz w:val="20"/>
          <w:szCs w:val="20"/>
        </w:rPr>
      </w:pPr>
      <w:r>
        <w:rPr>
          <w:sz w:val="20"/>
          <w:szCs w:val="20"/>
        </w:rPr>
        <w:t>The following potentially dilutive securities have been excluded from the computations of diluted weighted-average</w:t>
      </w:r>
      <w:r>
        <w:rPr>
          <w:sz w:val="20"/>
          <w:szCs w:val="20"/>
        </w:rPr>
        <w:t xml:space="preserve"> shares outstanding as they would be anti-dilutive</w:t>
      </w:r>
      <w:r>
        <w:rPr>
          <w:sz w:val="20"/>
          <w:szCs w:val="20"/>
        </w:rPr>
        <w:t>:</w:t>
      </w:r>
    </w:p>
    <w:p w:rsidR="00000000" w:rsidRDefault="00F83A7A">
      <w:pPr>
        <w:pStyle w:val="a3"/>
        <w:spacing w:before="0" w:beforeAutospacing="0" w:after="0" w:afterAutospacing="0"/>
        <w:jc w:val="both"/>
        <w:divId w:val="346910364"/>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14"/>
        <w:gridCol w:w="115"/>
        <w:gridCol w:w="110"/>
        <w:gridCol w:w="960"/>
        <w:gridCol w:w="110"/>
        <w:gridCol w:w="110"/>
        <w:gridCol w:w="110"/>
        <w:gridCol w:w="960"/>
        <w:gridCol w:w="125"/>
      </w:tblGrid>
      <w:tr w:rsidR="00000000">
        <w:trPr>
          <w:divId w:val="346910364"/>
          <w:tblCellSpacing w:w="15" w:type="dxa"/>
        </w:trPr>
        <w:tc>
          <w:tcPr>
            <w:tcW w:w="3093" w:type="pct"/>
            <w:vAlign w:val="center"/>
            <w:hideMark/>
          </w:tcPr>
          <w:p w:rsidR="00000000" w:rsidRDefault="00F83A7A">
            <w:pPr>
              <w:rPr>
                <w:sz w:val="20"/>
                <w:szCs w:val="20"/>
              </w:rPr>
            </w:pPr>
          </w:p>
        </w:tc>
        <w:tc>
          <w:tcPr>
            <w:tcW w:w="78" w:type="pct"/>
            <w:vAlign w:val="center"/>
            <w:hideMark/>
          </w:tcPr>
          <w:p w:rsidR="00000000" w:rsidRDefault="00F83A7A">
            <w:pPr>
              <w:rPr>
                <w:rFonts w:eastAsia="Times New Roman"/>
                <w:sz w:val="20"/>
                <w:szCs w:val="20"/>
              </w:rPr>
            </w:pPr>
          </w:p>
        </w:tc>
        <w:tc>
          <w:tcPr>
            <w:tcW w:w="41" w:type="pct"/>
            <w:vAlign w:val="center"/>
            <w:hideMark/>
          </w:tcPr>
          <w:p w:rsidR="00000000" w:rsidRDefault="00F83A7A">
            <w:pPr>
              <w:rPr>
                <w:rFonts w:eastAsia="Times New Roman"/>
                <w:sz w:val="20"/>
                <w:szCs w:val="20"/>
              </w:rPr>
            </w:pPr>
          </w:p>
        </w:tc>
        <w:tc>
          <w:tcPr>
            <w:tcW w:w="793" w:type="pct"/>
            <w:vAlign w:val="center"/>
            <w:hideMark/>
          </w:tcPr>
          <w:p w:rsidR="00000000" w:rsidRDefault="00F83A7A">
            <w:pPr>
              <w:rPr>
                <w:rFonts w:eastAsia="Times New Roman"/>
                <w:sz w:val="20"/>
                <w:szCs w:val="20"/>
              </w:rPr>
            </w:pPr>
          </w:p>
        </w:tc>
        <w:tc>
          <w:tcPr>
            <w:tcW w:w="41" w:type="pct"/>
            <w:vAlign w:val="center"/>
            <w:hideMark/>
          </w:tcPr>
          <w:p w:rsidR="00000000" w:rsidRDefault="00F83A7A">
            <w:pPr>
              <w:rPr>
                <w:rFonts w:eastAsia="Times New Roman"/>
                <w:sz w:val="20"/>
                <w:szCs w:val="20"/>
              </w:rPr>
            </w:pPr>
          </w:p>
        </w:tc>
        <w:tc>
          <w:tcPr>
            <w:tcW w:w="78" w:type="pct"/>
            <w:vAlign w:val="center"/>
            <w:hideMark/>
          </w:tcPr>
          <w:p w:rsidR="00000000" w:rsidRDefault="00F83A7A">
            <w:pPr>
              <w:rPr>
                <w:rFonts w:eastAsia="Times New Roman"/>
                <w:sz w:val="20"/>
                <w:szCs w:val="20"/>
              </w:rPr>
            </w:pPr>
          </w:p>
        </w:tc>
        <w:tc>
          <w:tcPr>
            <w:tcW w:w="41" w:type="pct"/>
            <w:vAlign w:val="center"/>
            <w:hideMark/>
          </w:tcPr>
          <w:p w:rsidR="00000000" w:rsidRDefault="00F83A7A">
            <w:pPr>
              <w:rPr>
                <w:rFonts w:eastAsia="Times New Roman"/>
                <w:sz w:val="20"/>
                <w:szCs w:val="20"/>
              </w:rPr>
            </w:pPr>
          </w:p>
        </w:tc>
        <w:tc>
          <w:tcPr>
            <w:tcW w:w="793" w:type="pct"/>
            <w:vAlign w:val="center"/>
            <w:hideMark/>
          </w:tcPr>
          <w:p w:rsidR="00000000" w:rsidRDefault="00F83A7A">
            <w:pPr>
              <w:rPr>
                <w:rFonts w:eastAsia="Times New Roman"/>
                <w:sz w:val="20"/>
                <w:szCs w:val="20"/>
              </w:rPr>
            </w:pPr>
          </w:p>
        </w:tc>
        <w:tc>
          <w:tcPr>
            <w:tcW w:w="41" w:type="pct"/>
            <w:vAlign w:val="center"/>
            <w:hideMark/>
          </w:tcPr>
          <w:p w:rsidR="00000000" w:rsidRDefault="00F83A7A">
            <w:pPr>
              <w:rPr>
                <w:rFonts w:eastAsia="Times New Roman"/>
                <w:sz w:val="20"/>
                <w:szCs w:val="20"/>
              </w:rPr>
            </w:pPr>
          </w:p>
        </w:tc>
      </w:tr>
      <w:tr w:rsidR="00000000">
        <w:trPr>
          <w:divId w:val="346910364"/>
          <w:trHeight w:val="160"/>
          <w:tblCellSpacing w:w="15" w:type="dxa"/>
        </w:trPr>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F83A7A">
            <w:pPr>
              <w:pStyle w:val="a3"/>
              <w:spacing w:before="0" w:beforeAutospacing="0" w:after="0" w:afterAutospacing="0"/>
              <w:jc w:val="center"/>
              <w:rPr>
                <w:sz w:val="16"/>
                <w:szCs w:val="16"/>
              </w:rPr>
            </w:pPr>
            <w:r>
              <w:rPr>
                <w:b/>
                <w:bCs/>
                <w:sz w:val="16"/>
                <w:szCs w:val="16"/>
              </w:rPr>
              <w:t>For the Year Ended 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346910364"/>
          <w:trHeight w:val="160"/>
          <w:tblCellSpacing w:w="15" w:type="dxa"/>
        </w:trPr>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346910364"/>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Stock options to purchase common stoc</w:t>
            </w:r>
            <w:r>
              <w:rPr>
                <w:sz w:val="20"/>
                <w:szCs w:val="20"/>
              </w:rPr>
              <w:t>k</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10,776,75</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10,403,42</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divId w:val="346910364"/>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Series A convertible preferred stoc</w:t>
            </w:r>
            <w:r>
              <w:rPr>
                <w:sz w:val="20"/>
                <w:szCs w:val="20"/>
              </w:rPr>
              <w:t>k</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1,25</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3,25</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bl>
    <w:p w:rsidR="00000000" w:rsidRDefault="00F83A7A">
      <w:pPr>
        <w:pStyle w:val="a3"/>
        <w:spacing w:before="200" w:beforeAutospacing="0" w:after="0" w:afterAutospacing="0"/>
        <w:jc w:val="both"/>
        <w:divId w:val="845023281"/>
        <w:rPr>
          <w:sz w:val="20"/>
          <w:szCs w:val="20"/>
        </w:rPr>
      </w:pPr>
      <w:r>
        <w:rPr>
          <w:b/>
          <w:bCs/>
          <w:i/>
          <w:iCs/>
          <w:sz w:val="20"/>
          <w:szCs w:val="20"/>
        </w:rPr>
        <w:t>(Q) Segment Dat</w:t>
      </w:r>
      <w:r>
        <w:rPr>
          <w:b/>
          <w:bCs/>
          <w:i/>
          <w:iCs/>
          <w:sz w:val="20"/>
          <w:szCs w:val="20"/>
        </w:rPr>
        <w:t>a</w:t>
      </w:r>
    </w:p>
    <w:p w:rsidR="00000000" w:rsidRDefault="00F83A7A">
      <w:pPr>
        <w:pStyle w:val="a3"/>
        <w:spacing w:before="200" w:beforeAutospacing="0" w:after="0" w:afterAutospacing="0"/>
        <w:jc w:val="both"/>
        <w:divId w:val="845023281"/>
        <w:rPr>
          <w:sz w:val="20"/>
          <w:szCs w:val="20"/>
        </w:rPr>
      </w:pPr>
      <w:r>
        <w:rPr>
          <w:sz w:val="20"/>
          <w:szCs w:val="20"/>
        </w:rPr>
        <w:t>The Company manages its operations as a single segment for the purposes of assessing performance and making operating decisions</w:t>
      </w:r>
      <w:r>
        <w:rPr>
          <w:sz w:val="20"/>
          <w:szCs w:val="20"/>
        </w:rPr>
        <w:t>.</w:t>
      </w:r>
    </w:p>
    <w:p w:rsidR="00000000" w:rsidRDefault="00F83A7A">
      <w:pPr>
        <w:pStyle w:val="a3"/>
        <w:spacing w:before="200" w:beforeAutospacing="0" w:after="0" w:afterAutospacing="0"/>
        <w:jc w:val="both"/>
        <w:divId w:val="976690574"/>
        <w:rPr>
          <w:sz w:val="20"/>
          <w:szCs w:val="20"/>
        </w:rPr>
      </w:pPr>
      <w:r>
        <w:rPr>
          <w:b/>
          <w:bCs/>
          <w:i/>
          <w:iCs/>
          <w:sz w:val="20"/>
          <w:szCs w:val="20"/>
        </w:rPr>
        <w:t>(R) Retirement Pla</w:t>
      </w:r>
      <w:r>
        <w:rPr>
          <w:b/>
          <w:bCs/>
          <w:i/>
          <w:iCs/>
          <w:sz w:val="20"/>
          <w:szCs w:val="20"/>
        </w:rPr>
        <w:t>n</w:t>
      </w:r>
    </w:p>
    <w:p w:rsidR="00000000" w:rsidRDefault="00F83A7A">
      <w:pPr>
        <w:pStyle w:val="a3"/>
        <w:spacing w:before="200" w:beforeAutospacing="0" w:after="0" w:afterAutospacing="0"/>
        <w:jc w:val="both"/>
        <w:divId w:val="976690574"/>
        <w:rPr>
          <w:sz w:val="20"/>
          <w:szCs w:val="20"/>
        </w:rPr>
      </w:pPr>
      <w:r>
        <w:rPr>
          <w:sz w:val="20"/>
          <w:szCs w:val="20"/>
        </w:rPr>
        <w:t>The Company maintains a</w:t>
      </w:r>
      <w:r>
        <w:rPr>
          <w:sz w:val="20"/>
          <w:szCs w:val="20"/>
        </w:rPr>
        <w:t xml:space="preserve"> </w:t>
      </w:r>
      <w:r>
        <w:rPr>
          <w:sz w:val="20"/>
          <w:szCs w:val="20"/>
        </w:rPr>
        <w:t>401(k)-retirement pla</w:t>
      </w:r>
      <w:r>
        <w:rPr>
          <w:sz w:val="20"/>
          <w:szCs w:val="20"/>
        </w:rPr>
        <w:t>n</w:t>
      </w:r>
      <w:r>
        <w:rPr>
          <w:sz w:val="20"/>
          <w:szCs w:val="20"/>
        </w:rPr>
        <w:t xml:space="preserve"> for its employees that is intended to qualify under Sections</w:t>
      </w:r>
      <w:r>
        <w:rPr>
          <w:sz w:val="20"/>
          <w:szCs w:val="20"/>
        </w:rPr>
        <w:t xml:space="preserve"> 401(a) and 501(a) of the U.S. Internal Revenue Code of 1986, as amended (“Code”). The Company provides all active employees with a</w:t>
      </w:r>
      <w:r>
        <w:rPr>
          <w:sz w:val="20"/>
          <w:szCs w:val="20"/>
        </w:rPr>
        <w:t xml:space="preserve"> </w:t>
      </w:r>
      <w:r>
        <w:rPr>
          <w:sz w:val="20"/>
          <w:szCs w:val="20"/>
        </w:rPr>
        <w:t>10</w:t>
      </w:r>
      <w:r>
        <w:rPr>
          <w:sz w:val="20"/>
          <w:szCs w:val="20"/>
        </w:rPr>
        <w:t>0</w:t>
      </w:r>
      <w:r>
        <w:rPr>
          <w:sz w:val="20"/>
          <w:szCs w:val="20"/>
        </w:rPr>
        <w:t>% matching contribution equal to</w:t>
      </w:r>
      <w:r>
        <w:rPr>
          <w:sz w:val="20"/>
          <w:szCs w:val="20"/>
        </w:rPr>
        <w:t xml:space="preserve"> </w:t>
      </w:r>
      <w:r>
        <w:rPr>
          <w:sz w:val="20"/>
          <w:szCs w:val="20"/>
        </w:rPr>
        <w:t>3</w:t>
      </w:r>
      <w:r>
        <w:rPr>
          <w:sz w:val="20"/>
          <w:szCs w:val="20"/>
        </w:rPr>
        <w:t>% of an employee’s eligible compensation deferred and</w:t>
      </w:r>
      <w:r>
        <w:rPr>
          <w:sz w:val="20"/>
          <w:szCs w:val="20"/>
        </w:rPr>
        <w:t xml:space="preserve"> </w:t>
      </w:r>
      <w:r>
        <w:rPr>
          <w:sz w:val="20"/>
          <w:szCs w:val="20"/>
        </w:rPr>
        <w:t>5</w:t>
      </w:r>
      <w:r>
        <w:rPr>
          <w:sz w:val="20"/>
          <w:szCs w:val="20"/>
        </w:rPr>
        <w:t>0</w:t>
      </w:r>
      <w:r>
        <w:rPr>
          <w:sz w:val="20"/>
          <w:szCs w:val="20"/>
        </w:rPr>
        <w:t>% matching contributions on emp</w:t>
      </w:r>
      <w:r>
        <w:rPr>
          <w:sz w:val="20"/>
          <w:szCs w:val="20"/>
        </w:rPr>
        <w:t>loyee contributions that are between</w:t>
      </w:r>
      <w:r>
        <w:rPr>
          <w:sz w:val="20"/>
          <w:szCs w:val="20"/>
        </w:rPr>
        <w:t xml:space="preserve"> </w:t>
      </w:r>
      <w:r>
        <w:rPr>
          <w:sz w:val="20"/>
          <w:szCs w:val="20"/>
        </w:rPr>
        <w:t>3</w:t>
      </w:r>
      <w:r>
        <w:rPr>
          <w:sz w:val="20"/>
          <w:szCs w:val="20"/>
        </w:rPr>
        <w:t>% and</w:t>
      </w:r>
      <w:r>
        <w:rPr>
          <w:sz w:val="20"/>
          <w:szCs w:val="20"/>
        </w:rPr>
        <w:t xml:space="preserve"> </w:t>
      </w:r>
      <w:r>
        <w:rPr>
          <w:sz w:val="20"/>
          <w:szCs w:val="20"/>
        </w:rPr>
        <w:t>5</w:t>
      </w:r>
      <w:r>
        <w:rPr>
          <w:sz w:val="20"/>
          <w:szCs w:val="20"/>
        </w:rPr>
        <w:t>% of an employee’s eligible compensation deferred. These safe harbor contributions vest immediately. For the years ended</w:t>
      </w:r>
      <w:r>
        <w:rPr>
          <w:sz w:val="20"/>
          <w:szCs w:val="20"/>
        </w:rPr>
        <w:t xml:space="preserve"> </w:t>
      </w:r>
      <w:r>
        <w:rPr>
          <w:sz w:val="20"/>
          <w:szCs w:val="20"/>
        </w:rPr>
        <w:t>December 31, 2021 and 202</w:t>
      </w:r>
      <w:r>
        <w:rPr>
          <w:sz w:val="20"/>
          <w:szCs w:val="20"/>
        </w:rPr>
        <w:t>0</w:t>
      </w:r>
      <w:r>
        <w:rPr>
          <w:sz w:val="20"/>
          <w:szCs w:val="20"/>
        </w:rPr>
        <w:t xml:space="preserve"> the Company contributed </w:t>
      </w:r>
      <w:r>
        <w:rPr>
          <w:sz w:val="20"/>
          <w:szCs w:val="20"/>
        </w:rPr>
        <w:t>$</w:t>
      </w:r>
      <w:r>
        <w:rPr>
          <w:sz w:val="20"/>
          <w:szCs w:val="20"/>
        </w:rPr>
        <w:t>438,00</w:t>
      </w:r>
      <w:r>
        <w:rPr>
          <w:sz w:val="20"/>
          <w:szCs w:val="20"/>
        </w:rPr>
        <w:t>0</w:t>
      </w:r>
      <w:r>
        <w:rPr>
          <w:sz w:val="20"/>
          <w:szCs w:val="20"/>
        </w:rPr>
        <w:t xml:space="preserve"> and </w:t>
      </w:r>
      <w:r>
        <w:rPr>
          <w:sz w:val="20"/>
          <w:szCs w:val="20"/>
        </w:rPr>
        <w:t>$</w:t>
      </w:r>
      <w:r>
        <w:rPr>
          <w:sz w:val="20"/>
          <w:szCs w:val="20"/>
        </w:rPr>
        <w:t>321,00</w:t>
      </w:r>
      <w:r>
        <w:rPr>
          <w:sz w:val="20"/>
          <w:szCs w:val="20"/>
        </w:rPr>
        <w:t>0</w:t>
      </w:r>
      <w:r>
        <w:rPr>
          <w:sz w:val="20"/>
          <w:szCs w:val="20"/>
        </w:rPr>
        <w:t>, respectively</w:t>
      </w:r>
      <w:r>
        <w:rPr>
          <w:sz w:val="20"/>
          <w:szCs w:val="20"/>
        </w:rPr>
        <w:t>.</w:t>
      </w:r>
      <w:r>
        <w:rPr>
          <w:sz w:val="20"/>
          <w:szCs w:val="20"/>
        </w:rPr>
        <w:t xml:space="preserve"> </w:t>
      </w:r>
    </w:p>
    <w:p w:rsidR="00000000" w:rsidRDefault="00F83A7A">
      <w:pPr>
        <w:pStyle w:val="a3"/>
        <w:spacing w:before="240" w:beforeAutospacing="0" w:after="0" w:afterAutospacing="0"/>
        <w:jc w:val="both"/>
        <w:divId w:val="1745033565"/>
        <w:rPr>
          <w:sz w:val="20"/>
          <w:szCs w:val="20"/>
        </w:rPr>
      </w:pPr>
      <w:r>
        <w:rPr>
          <w:b/>
          <w:bCs/>
          <w:i/>
          <w:iCs/>
          <w:sz w:val="20"/>
          <w:szCs w:val="20"/>
        </w:rPr>
        <w:t>(</w:t>
      </w:r>
      <w:r>
        <w:rPr>
          <w:b/>
          <w:bCs/>
          <w:i/>
          <w:iCs/>
          <w:sz w:val="20"/>
          <w:szCs w:val="20"/>
        </w:rPr>
        <w:t>S) Revenue Recognitio</w:t>
      </w:r>
      <w:r>
        <w:rPr>
          <w:b/>
          <w:bCs/>
          <w:i/>
          <w:iCs/>
          <w:sz w:val="20"/>
          <w:szCs w:val="20"/>
        </w:rPr>
        <w:t>n</w:t>
      </w:r>
    </w:p>
    <w:p w:rsidR="00000000" w:rsidRDefault="00F83A7A">
      <w:pPr>
        <w:pStyle w:val="a3"/>
        <w:spacing w:before="200" w:beforeAutospacing="0" w:after="0" w:afterAutospacing="0"/>
        <w:jc w:val="both"/>
        <w:divId w:val="1745033565"/>
        <w:rPr>
          <w:sz w:val="20"/>
          <w:szCs w:val="20"/>
        </w:rPr>
      </w:pPr>
      <w:r>
        <w:rPr>
          <w:sz w:val="20"/>
          <w:szCs w:val="20"/>
        </w:rPr>
        <w:t xml:space="preserve">Under ASC 606, an entity recognizes revenue when its customer obtains control of promised goods or services, in an amount that reflects the consideration that the entity expects to receive in exchange for those goods or services. In </w:t>
      </w:r>
      <w:r>
        <w:rPr>
          <w:sz w:val="20"/>
          <w:szCs w:val="20"/>
        </w:rPr>
        <w:t>applying ASC 606, the Company performs the following five steps: (i) identify the contract(s) with a customer; (ii) identify the promises and performance obligations in the contract; (iii) determine the transaction price; (iv) allocate the transaction pric</w:t>
      </w:r>
      <w:r>
        <w:rPr>
          <w:sz w:val="20"/>
          <w:szCs w:val="20"/>
        </w:rPr>
        <w:t>e to the performance obligations in the contract; and (v) recognize revenue when (or as) the performance obligations are satisfied. The Company only applies the five-step model to contracts when it is probable that it will collect the consideration to whic</w:t>
      </w:r>
      <w:r>
        <w:rPr>
          <w:sz w:val="20"/>
          <w:szCs w:val="20"/>
        </w:rPr>
        <w:t>h it is entitled in exchange for the goods or services transferred to the customer. At contract inception, once the contract is determined to be within the scope of ASC 606, the Company assesses the goods or services promised within each contract, determin</w:t>
      </w:r>
      <w:r>
        <w:rPr>
          <w:sz w:val="20"/>
          <w:szCs w:val="20"/>
        </w:rPr>
        <w:t>es those that are performance obligations and assesses whether each promised good or service is distinct. The Company then recognizes as revenue the amount of the transaction price that is allocated to the respective performance obligation when (or as) the</w:t>
      </w:r>
      <w:r>
        <w:rPr>
          <w:sz w:val="20"/>
          <w:szCs w:val="20"/>
        </w:rPr>
        <w:t xml:space="preserve"> performance obligation is satisfied</w:t>
      </w:r>
      <w:r>
        <w:rPr>
          <w:sz w:val="20"/>
          <w:szCs w:val="20"/>
        </w:rPr>
        <w:t>.</w:t>
      </w:r>
    </w:p>
    <w:p w:rsidR="00000000" w:rsidRDefault="00F83A7A">
      <w:pPr>
        <w:pStyle w:val="a3"/>
        <w:spacing w:before="240" w:beforeAutospacing="0" w:after="0" w:afterAutospacing="0"/>
        <w:jc w:val="center"/>
        <w:divId w:val="1745033565"/>
        <w:rPr>
          <w:sz w:val="20"/>
          <w:szCs w:val="20"/>
        </w:rPr>
      </w:pPr>
      <w:r>
        <w:rPr>
          <w:sz w:val="20"/>
          <w:szCs w:val="20"/>
        </w:rPr>
        <w:t>F</w:t>
      </w:r>
      <w:r>
        <w:rPr>
          <w:sz w:val="20"/>
          <w:szCs w:val="20"/>
        </w:rPr>
        <w:t>-</w:t>
      </w:r>
      <w:r>
        <w:rPr>
          <w:sz w:val="20"/>
          <w:szCs w:val="20"/>
        </w:rPr>
        <w:t>1</w:t>
      </w:r>
      <w:r>
        <w:rPr>
          <w:sz w:val="20"/>
          <w:szCs w:val="20"/>
        </w:rPr>
        <w:t>1</w:t>
      </w:r>
    </w:p>
    <w:p w:rsidR="00000000" w:rsidRDefault="00F83A7A">
      <w:pPr>
        <w:divId w:val="1745033565"/>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F83A7A">
      <w:pPr>
        <w:pStyle w:val="a3"/>
        <w:spacing w:before="0" w:beforeAutospacing="0" w:after="0" w:afterAutospacing="0"/>
        <w:ind w:left="1547"/>
        <w:divId w:val="1745033565"/>
        <w:rPr>
          <w:sz w:val="20"/>
          <w:szCs w:val="20"/>
        </w:rPr>
      </w:pPr>
      <w:r>
        <w:rPr>
          <w:sz w:val="20"/>
          <w:szCs w:val="20"/>
        </w:rPr>
        <w:t> </w:t>
      </w:r>
    </w:p>
    <w:p w:rsidR="00000000" w:rsidRDefault="00F83A7A">
      <w:pPr>
        <w:pStyle w:val="a3"/>
        <w:spacing w:before="200" w:beforeAutospacing="0" w:after="0" w:afterAutospacing="0"/>
        <w:jc w:val="both"/>
        <w:divId w:val="1745033565"/>
        <w:rPr>
          <w:sz w:val="20"/>
          <w:szCs w:val="20"/>
        </w:rPr>
      </w:pPr>
      <w:r>
        <w:rPr>
          <w:sz w:val="20"/>
          <w:szCs w:val="20"/>
        </w:rPr>
        <w:t>Prior to recognizing revenue, the Company makes estimates of the transaction price, including variable consideration that is subject to a constraint. Amounts of variable cons</w:t>
      </w:r>
      <w:r>
        <w:rPr>
          <w:sz w:val="20"/>
          <w:szCs w:val="20"/>
        </w:rPr>
        <w:t xml:space="preserve">ideration are included in the transaction price to the extent that it is probable that a significant reversal in the amount of cumulative revenue recognized will not occur and when the uncertainty associated with the variable consideration is subsequently </w:t>
      </w:r>
      <w:r>
        <w:rPr>
          <w:sz w:val="20"/>
          <w:szCs w:val="20"/>
        </w:rPr>
        <w:t>resolved</w:t>
      </w:r>
      <w:r>
        <w:rPr>
          <w:sz w:val="20"/>
          <w:szCs w:val="20"/>
        </w:rPr>
        <w:t>.</w:t>
      </w:r>
    </w:p>
    <w:p w:rsidR="00000000" w:rsidRDefault="00F83A7A">
      <w:pPr>
        <w:pStyle w:val="a3"/>
        <w:spacing w:before="200" w:beforeAutospacing="0" w:after="0" w:afterAutospacing="0"/>
        <w:jc w:val="both"/>
        <w:divId w:val="1745033565"/>
        <w:rPr>
          <w:sz w:val="20"/>
          <w:szCs w:val="20"/>
        </w:rPr>
      </w:pPr>
      <w:r>
        <w:rPr>
          <w:sz w:val="20"/>
          <w:szCs w:val="20"/>
        </w:rPr>
        <w:t>If there are multiple distinct performance obligations, the Company allocates the transaction price to each distinct performance obligation based on its relative standalone selling price. The standalone selling price is generally determined using</w:t>
      </w:r>
      <w:r>
        <w:rPr>
          <w:sz w:val="20"/>
          <w:szCs w:val="20"/>
        </w:rPr>
        <w:t xml:space="preserve"> expected cost and comparable transactions. Revenue for performance obligations recognized over time is recognized by measuring the progress toward complete satisfaction of the performance obligations using an input measure</w:t>
      </w:r>
      <w:r>
        <w:rPr>
          <w:sz w:val="20"/>
          <w:szCs w:val="20"/>
        </w:rPr>
        <w:t>.</w:t>
      </w:r>
    </w:p>
    <w:p w:rsidR="00000000" w:rsidRDefault="00F83A7A">
      <w:pPr>
        <w:pStyle w:val="a3"/>
        <w:spacing w:before="200" w:beforeAutospacing="0" w:after="0" w:afterAutospacing="0"/>
        <w:jc w:val="both"/>
        <w:divId w:val="1745033565"/>
        <w:rPr>
          <w:sz w:val="20"/>
          <w:szCs w:val="20"/>
        </w:rPr>
      </w:pPr>
      <w:r>
        <w:rPr>
          <w:sz w:val="20"/>
          <w:szCs w:val="20"/>
        </w:rPr>
        <w:t>Non-refundable upfront fees all</w:t>
      </w:r>
      <w:r>
        <w:rPr>
          <w:sz w:val="20"/>
          <w:szCs w:val="20"/>
        </w:rPr>
        <w:t>ocated to licenses that are not contingent on any future performance and require no consequential continuing involvement by the Company, are recognized as revenue when the license term commences and the licensed data, technology or product is delivered. Th</w:t>
      </w:r>
      <w:r>
        <w:rPr>
          <w:sz w:val="20"/>
          <w:szCs w:val="20"/>
        </w:rPr>
        <w:t>e Company defers recognition of upfront license fees if the performance obligations are not satisfied</w:t>
      </w:r>
      <w:r>
        <w:rPr>
          <w:sz w:val="20"/>
          <w:szCs w:val="20"/>
        </w:rPr>
        <w:t>.</w:t>
      </w:r>
    </w:p>
    <w:p w:rsidR="00000000" w:rsidRDefault="00F83A7A">
      <w:pPr>
        <w:pStyle w:val="a3"/>
        <w:spacing w:before="200" w:beforeAutospacing="0" w:after="0" w:afterAutospacing="0"/>
        <w:jc w:val="both"/>
        <w:divId w:val="493646506"/>
        <w:rPr>
          <w:sz w:val="20"/>
          <w:szCs w:val="20"/>
        </w:rPr>
      </w:pPr>
      <w:r>
        <w:rPr>
          <w:b/>
          <w:bCs/>
          <w:i/>
          <w:iCs/>
          <w:sz w:val="20"/>
          <w:szCs w:val="20"/>
        </w:rPr>
        <w:t>(T) Recent Accounting Pronouncement</w:t>
      </w:r>
      <w:r>
        <w:rPr>
          <w:b/>
          <w:bCs/>
          <w:i/>
          <w:iCs/>
          <w:sz w:val="20"/>
          <w:szCs w:val="20"/>
        </w:rPr>
        <w:t>s</w:t>
      </w:r>
    </w:p>
    <w:p w:rsidR="00000000" w:rsidRDefault="00F83A7A">
      <w:pPr>
        <w:pStyle w:val="a3"/>
        <w:spacing w:before="200" w:beforeAutospacing="0" w:after="0" w:afterAutospacing="0"/>
        <w:jc w:val="both"/>
        <w:divId w:val="493646506"/>
        <w:rPr>
          <w:sz w:val="20"/>
          <w:szCs w:val="20"/>
        </w:rPr>
      </w:pPr>
      <w:r>
        <w:rPr>
          <w:sz w:val="20"/>
          <w:szCs w:val="20"/>
          <w:u w:val="single"/>
        </w:rPr>
        <w:t>Recent accounting standards which have been adopte</w:t>
      </w:r>
      <w:r>
        <w:rPr>
          <w:sz w:val="20"/>
          <w:szCs w:val="20"/>
          <w:u w:val="single"/>
        </w:rPr>
        <w:t>d</w:t>
      </w:r>
    </w:p>
    <w:p w:rsidR="00000000" w:rsidRDefault="00F83A7A">
      <w:pPr>
        <w:pStyle w:val="a3"/>
        <w:spacing w:before="240" w:beforeAutospacing="0" w:after="0" w:afterAutospacing="0"/>
        <w:jc w:val="both"/>
        <w:divId w:val="493646506"/>
        <w:rPr>
          <w:sz w:val="20"/>
          <w:szCs w:val="20"/>
        </w:rPr>
      </w:pPr>
      <w:r>
        <w:rPr>
          <w:sz w:val="20"/>
          <w:szCs w:val="20"/>
        </w:rPr>
        <w:t>In June 2016, the FASB issued ASU No. 2016-13, Financial Instrum</w:t>
      </w:r>
      <w:r>
        <w:rPr>
          <w:sz w:val="20"/>
          <w:szCs w:val="20"/>
        </w:rPr>
        <w:t>ents – Credit Losses (Topic 326): Measurement of Credit Losses on Financial Instruments. This new standard requires the measurement and recognition of expected credit losses for financial assets held at amortized cost, including loans and trade and other r</w:t>
      </w:r>
      <w:r>
        <w:rPr>
          <w:sz w:val="20"/>
          <w:szCs w:val="20"/>
        </w:rPr>
        <w:t>eceivables. ASU 2016-13 replaces the existing incurred loss impairment model with an expected loss methodology, which will result in more timely recognition of credit losses. The standard also amends the impairment model for available-for-sale debt securit</w:t>
      </w:r>
      <w:r>
        <w:rPr>
          <w:sz w:val="20"/>
          <w:szCs w:val="20"/>
        </w:rPr>
        <w:t>ies and requires entities to determine whether all or a portion of the unrealized loss on an available-for-sale debt security is a credit loss. Under the new guidance, an entity recognizes an allowance for credit losses on available-for-sale debt securitie</w:t>
      </w:r>
      <w:r>
        <w:rPr>
          <w:sz w:val="20"/>
          <w:szCs w:val="20"/>
        </w:rPr>
        <w:t>s as a contra-account to the amortized cost basis rather than as a direct reduction of the amortized cost basis of the investment, as was previously required. ASU 2016-13 is effective for annual reporting periods, and interim periods within those years, be</w:t>
      </w:r>
      <w:r>
        <w:rPr>
          <w:sz w:val="20"/>
          <w:szCs w:val="20"/>
        </w:rPr>
        <w:t>ginning after December 15, 2019. As of December 31, 2021, the Company did not hold any debt securities with credit losses, nor does it have any trade receivables. The adoption of this standard effective January 1, 2020 did not have a material impact on the</w:t>
      </w:r>
      <w:r>
        <w:rPr>
          <w:sz w:val="20"/>
          <w:szCs w:val="20"/>
        </w:rPr>
        <w:t xml:space="preserve"> Company’s consolidated financial statements</w:t>
      </w:r>
      <w:r>
        <w:rPr>
          <w:sz w:val="20"/>
          <w:szCs w:val="20"/>
        </w:rPr>
        <w:t>.</w:t>
      </w:r>
    </w:p>
    <w:p w:rsidR="00000000" w:rsidRDefault="00F83A7A">
      <w:pPr>
        <w:pStyle w:val="a3"/>
        <w:spacing w:before="240" w:beforeAutospacing="0" w:after="0" w:afterAutospacing="0"/>
        <w:jc w:val="both"/>
        <w:divId w:val="493646506"/>
        <w:rPr>
          <w:sz w:val="20"/>
          <w:szCs w:val="20"/>
        </w:rPr>
      </w:pPr>
      <w:r>
        <w:rPr>
          <w:sz w:val="20"/>
          <w:szCs w:val="20"/>
        </w:rPr>
        <w:t>On August 29, 2018, the FASB issued ASU No. 2018-15, Intangibles – Goodwill and Other - Internal-Use Software (Subtopic 350-40) - which amends ASC 350-40 to address a customer’s accounting for implementation co</w:t>
      </w:r>
      <w:r>
        <w:rPr>
          <w:sz w:val="20"/>
          <w:szCs w:val="20"/>
        </w:rPr>
        <w:t>sts incurred in a cloud computing arrangement (“CCA”) that is a service contract. ASU No. 2018-15 aligns the accounting for costs incurred to implement a CCA that is a service arrangement with the guidance on capitalizing costs associated with developing o</w:t>
      </w:r>
      <w:r>
        <w:rPr>
          <w:sz w:val="20"/>
          <w:szCs w:val="20"/>
        </w:rPr>
        <w:t>r obtaining internal-use software. Specifically, the ASU amends ASC 350 to include in its scope, implementation costs of a CCA that is a service contract and clarifies that a customer should apply ASC 350-40 to determine which implementation costs should b</w:t>
      </w:r>
      <w:r>
        <w:rPr>
          <w:sz w:val="20"/>
          <w:szCs w:val="20"/>
        </w:rPr>
        <w:t>e capitalized in a CCA that is considered a service contract. According to the standard, the balance sheet line item for the presentation of capitalized implementation costs should be the same as that for the prepayment of fees related to the hosting arran</w:t>
      </w:r>
      <w:r>
        <w:rPr>
          <w:sz w:val="20"/>
          <w:szCs w:val="20"/>
        </w:rPr>
        <w:t>gement and the manner in which an entity classifies the cash flows related to capitalized implementation costs should be the same as that in which it classifies the cash flows for the fees related to the hosting arrangement. ASU 2018-15 is effective for th</w:t>
      </w:r>
      <w:r>
        <w:rPr>
          <w:sz w:val="20"/>
          <w:szCs w:val="20"/>
        </w:rPr>
        <w:t>e Company for fiscal years beginning after December 15, 2019, including interim periods therein. Entities are permitted to apply either a retrospective or prospective transition approach to adopt the guidance. The adoption of this standard effective Januar</w:t>
      </w:r>
      <w:r>
        <w:rPr>
          <w:sz w:val="20"/>
          <w:szCs w:val="20"/>
        </w:rPr>
        <w:t>y 1, 2020 did not have a material impact on the Company’s consolidated financial statements and was adopted prospectively</w:t>
      </w:r>
      <w:r>
        <w:rPr>
          <w:sz w:val="20"/>
          <w:szCs w:val="20"/>
        </w:rPr>
        <w:t>.</w:t>
      </w:r>
    </w:p>
    <w:p w:rsidR="00000000" w:rsidRDefault="00F83A7A">
      <w:pPr>
        <w:pStyle w:val="a3"/>
        <w:spacing w:before="200" w:beforeAutospacing="0" w:after="0" w:afterAutospacing="0"/>
        <w:jc w:val="both"/>
        <w:divId w:val="493646506"/>
        <w:rPr>
          <w:sz w:val="20"/>
          <w:szCs w:val="20"/>
        </w:rPr>
      </w:pPr>
      <w:r>
        <w:rPr>
          <w:sz w:val="20"/>
          <w:szCs w:val="20"/>
        </w:rPr>
        <w:t>On November 5, 2018, the FASB issued ASU 2018-18, Collaborative Arrangements (Topic 808), which amends ASC 808 to clarify when transactions between participants in a collaborative arrangement under ASC 808 are within the scope of the FASB’s new revenue sta</w:t>
      </w:r>
      <w:r>
        <w:rPr>
          <w:sz w:val="20"/>
          <w:szCs w:val="20"/>
        </w:rPr>
        <w:t>ndard, ASU 2014-09 (codified in ASC 606). The amendments require the application of ASC 606 existing guidance to determine the units of account that are distinct in a collaborative arrangement for purposes of identifying transactions with customers. If a u</w:t>
      </w:r>
      <w:r>
        <w:rPr>
          <w:sz w:val="20"/>
          <w:szCs w:val="20"/>
        </w:rPr>
        <w:t>nit of account within the collaborative arrangement is distinct and is with a customer, an entity shall apply the guidance in Topic 606 to that unit of account. In a transaction between collaborative participants, an entity is precluded by ASU 2018-18 from</w:t>
      </w:r>
      <w:r>
        <w:rPr>
          <w:sz w:val="20"/>
          <w:szCs w:val="20"/>
        </w:rPr>
        <w:t xml:space="preserve"> presenting a transaction together with “revenue from contracts with customers” unless the unit of account is within the scope of ASC 606 and the entity applies the guidance in ASC 606 to such unit of account. The amended guidance is effective for public b</w:t>
      </w:r>
      <w:r>
        <w:rPr>
          <w:sz w:val="20"/>
          <w:szCs w:val="20"/>
        </w:rPr>
        <w:t>usiness entities for fiscal years beginning after December 15, 2019, and interim periods within those fiscal years. The retrospective adoption of this standard effective January 1, 2020 did not have a material impact on the Company’s consolidated financial</w:t>
      </w:r>
      <w:r>
        <w:rPr>
          <w:sz w:val="20"/>
          <w:szCs w:val="20"/>
        </w:rPr>
        <w:t xml:space="preserve"> statements</w:t>
      </w:r>
      <w:r>
        <w:rPr>
          <w:sz w:val="20"/>
          <w:szCs w:val="20"/>
        </w:rPr>
        <w:t>.</w:t>
      </w:r>
    </w:p>
    <w:p w:rsidR="00000000" w:rsidRDefault="00F83A7A">
      <w:pPr>
        <w:pStyle w:val="a3"/>
        <w:spacing w:before="200" w:beforeAutospacing="0" w:after="0" w:afterAutospacing="0"/>
        <w:jc w:val="both"/>
        <w:divId w:val="493646506"/>
        <w:rPr>
          <w:sz w:val="20"/>
          <w:szCs w:val="20"/>
        </w:rPr>
      </w:pPr>
      <w:r>
        <w:rPr>
          <w:sz w:val="20"/>
          <w:szCs w:val="20"/>
        </w:rPr>
        <w:t>In October 2020, the FASB issued ASU 2020-10, Codification Improvements, which updates various codification topics by clarifying or improving disclosure requirements. ASU 2020-10 is effective for annual and interim periods beginning after Dece</w:t>
      </w:r>
      <w:r>
        <w:rPr>
          <w:sz w:val="20"/>
          <w:szCs w:val="20"/>
        </w:rPr>
        <w:t>mber 15, 2020. The Company early adopted ASU 2020-10 for the reporting period ending December 31, 2020. The adoption of this update did not have a material effect on the Company s consolidated financial statements</w:t>
      </w:r>
      <w:r>
        <w:rPr>
          <w:sz w:val="20"/>
          <w:szCs w:val="20"/>
        </w:rPr>
        <w:t>.</w:t>
      </w:r>
      <w:r>
        <w:rPr>
          <w:sz w:val="20"/>
          <w:szCs w:val="20"/>
        </w:rPr>
        <w:t> </w:t>
      </w:r>
    </w:p>
    <w:p w:rsidR="00000000" w:rsidRDefault="00F83A7A">
      <w:pPr>
        <w:pStyle w:val="a3"/>
        <w:spacing w:before="240" w:beforeAutospacing="0" w:after="0" w:afterAutospacing="0"/>
        <w:jc w:val="center"/>
        <w:rPr>
          <w:sz w:val="20"/>
          <w:szCs w:val="20"/>
        </w:rPr>
      </w:pPr>
      <w:r>
        <w:rPr>
          <w:sz w:val="20"/>
          <w:szCs w:val="20"/>
        </w:rPr>
        <w:t>F</w:t>
      </w:r>
      <w:r>
        <w:rPr>
          <w:sz w:val="20"/>
          <w:szCs w:val="20"/>
        </w:rPr>
        <w:t>-</w:t>
      </w:r>
      <w:r>
        <w:rPr>
          <w:sz w:val="20"/>
          <w:szCs w:val="20"/>
        </w:rPr>
        <w:t>1</w:t>
      </w:r>
      <w:r>
        <w:rPr>
          <w:sz w:val="20"/>
          <w:szCs w:val="20"/>
        </w:rPr>
        <w:t>2</w:t>
      </w:r>
    </w:p>
    <w:p w:rsidR="00000000" w:rsidRDefault="00F83A7A">
      <w:pPr>
        <w:rPr>
          <w:rFonts w:eastAsia="Times New Roman"/>
        </w:rPr>
      </w:pPr>
      <w:r>
        <w:rPr>
          <w:rFonts w:eastAsia="Times New Roman"/>
        </w:rPr>
        <w:pict>
          <v:rect id="_x0000_i1108"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200" w:beforeAutospacing="0" w:after="0" w:afterAutospacing="0"/>
        <w:divId w:val="1689866661"/>
        <w:rPr>
          <w:sz w:val="20"/>
          <w:szCs w:val="20"/>
        </w:rPr>
      </w:pPr>
      <w:r>
        <w:rPr>
          <w:sz w:val="20"/>
          <w:szCs w:val="20"/>
        </w:rPr>
        <w:t>N</w:t>
      </w:r>
      <w:r>
        <w:rPr>
          <w:b/>
          <w:bCs/>
          <w:sz w:val="20"/>
          <w:szCs w:val="20"/>
        </w:rPr>
        <w:t>OTE 3 – CASH AND CASH EQUIVALENT</w:t>
      </w:r>
      <w:r>
        <w:rPr>
          <w:b/>
          <w:bCs/>
          <w:sz w:val="20"/>
          <w:szCs w:val="20"/>
        </w:rPr>
        <w:t>S</w:t>
      </w:r>
    </w:p>
    <w:p w:rsidR="00000000" w:rsidRDefault="00F83A7A">
      <w:pPr>
        <w:pStyle w:val="a3"/>
        <w:spacing w:before="120" w:beforeAutospacing="0" w:after="0" w:afterAutospacing="0"/>
        <w:jc w:val="both"/>
        <w:divId w:val="1689866661"/>
        <w:rPr>
          <w:sz w:val="20"/>
          <w:szCs w:val="20"/>
        </w:rPr>
      </w:pPr>
      <w:r>
        <w:rPr>
          <w:sz w:val="20"/>
          <w:szCs w:val="20"/>
        </w:rPr>
        <w:t>All short-term investments are classified as available-for-sale.</w:t>
      </w:r>
      <w:r>
        <w:rPr>
          <w:sz w:val="20"/>
          <w:szCs w:val="20"/>
        </w:rPr>
        <w:t xml:space="preserve"> </w:t>
      </w:r>
      <w:r>
        <w:rPr>
          <w:sz w:val="20"/>
          <w:szCs w:val="20"/>
        </w:rPr>
        <w:t>The following tables summarize the fair value of cash and cash equivalents, as well as gross unrealized holding gains and losses as of</w:t>
      </w:r>
      <w:r>
        <w:rPr>
          <w:sz w:val="20"/>
          <w:szCs w:val="20"/>
        </w:rPr>
        <w:t xml:space="preserve"> </w:t>
      </w:r>
      <w:r>
        <w:rPr>
          <w:sz w:val="20"/>
          <w:szCs w:val="20"/>
        </w:rPr>
        <w:t>December 31, 2021</w:t>
      </w:r>
      <w:r>
        <w:rPr>
          <w:sz w:val="20"/>
          <w:szCs w:val="20"/>
        </w:rPr>
        <w:t xml:space="preserve"> and December 31, 2020</w:t>
      </w:r>
      <w:r>
        <w:rPr>
          <w:sz w:val="20"/>
          <w:szCs w:val="20"/>
        </w:rPr>
        <w:t>:</w:t>
      </w:r>
    </w:p>
    <w:p w:rsidR="00000000" w:rsidRDefault="00F83A7A">
      <w:pPr>
        <w:pStyle w:val="a3"/>
        <w:spacing w:before="120" w:beforeAutospacing="0" w:after="0" w:afterAutospacing="0"/>
        <w:jc w:val="both"/>
        <w:divId w:val="896169054"/>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986"/>
        <w:gridCol w:w="110"/>
        <w:gridCol w:w="160"/>
        <w:gridCol w:w="1060"/>
        <w:gridCol w:w="110"/>
        <w:gridCol w:w="110"/>
        <w:gridCol w:w="161"/>
        <w:gridCol w:w="763"/>
        <w:gridCol w:w="110"/>
        <w:gridCol w:w="110"/>
        <w:gridCol w:w="161"/>
        <w:gridCol w:w="763"/>
        <w:gridCol w:w="110"/>
        <w:gridCol w:w="110"/>
        <w:gridCol w:w="160"/>
        <w:gridCol w:w="1060"/>
        <w:gridCol w:w="125"/>
      </w:tblGrid>
      <w:tr w:rsidR="00000000">
        <w:trPr>
          <w:divId w:val="896169054"/>
          <w:tblCellSpacing w:w="15" w:type="dxa"/>
        </w:trPr>
        <w:tc>
          <w:tcPr>
            <w:tcW w:w="1462" w:type="pct"/>
            <w:vAlign w:val="center"/>
            <w:hideMark/>
          </w:tcPr>
          <w:p w:rsidR="00000000" w:rsidRDefault="00F83A7A">
            <w:pPr>
              <w:rPr>
                <w:sz w:val="20"/>
                <w:szCs w:val="20"/>
              </w:rPr>
            </w:pPr>
          </w:p>
        </w:tc>
        <w:tc>
          <w:tcPr>
            <w:tcW w:w="49" w:type="pct"/>
            <w:vAlign w:val="center"/>
            <w:hideMark/>
          </w:tcPr>
          <w:p w:rsidR="00000000" w:rsidRDefault="00F83A7A">
            <w:pPr>
              <w:rPr>
                <w:rFonts w:eastAsia="Times New Roman"/>
                <w:sz w:val="20"/>
                <w:szCs w:val="20"/>
              </w:rPr>
            </w:pPr>
          </w:p>
        </w:tc>
        <w:tc>
          <w:tcPr>
            <w:tcW w:w="90" w:type="pct"/>
            <w:vAlign w:val="center"/>
            <w:hideMark/>
          </w:tcPr>
          <w:p w:rsidR="00000000" w:rsidRDefault="00F83A7A">
            <w:pPr>
              <w:rPr>
                <w:rFonts w:eastAsia="Times New Roman"/>
                <w:sz w:val="20"/>
                <w:szCs w:val="20"/>
              </w:rPr>
            </w:pPr>
          </w:p>
        </w:tc>
        <w:tc>
          <w:tcPr>
            <w:tcW w:w="765" w:type="pct"/>
            <w:vAlign w:val="center"/>
            <w:hideMark/>
          </w:tcPr>
          <w:p w:rsidR="00000000" w:rsidRDefault="00F83A7A">
            <w:pPr>
              <w:rPr>
                <w:rFonts w:eastAsia="Times New Roman"/>
                <w:sz w:val="20"/>
                <w:szCs w:val="20"/>
              </w:rPr>
            </w:pPr>
          </w:p>
        </w:tc>
        <w:tc>
          <w:tcPr>
            <w:tcW w:w="31" w:type="pct"/>
            <w:vAlign w:val="center"/>
            <w:hideMark/>
          </w:tcPr>
          <w:p w:rsidR="00000000" w:rsidRDefault="00F83A7A">
            <w:pPr>
              <w:rPr>
                <w:rFonts w:eastAsia="Times New Roman"/>
                <w:sz w:val="20"/>
                <w:szCs w:val="20"/>
              </w:rPr>
            </w:pPr>
          </w:p>
        </w:tc>
        <w:tc>
          <w:tcPr>
            <w:tcW w:w="49" w:type="pct"/>
            <w:vAlign w:val="center"/>
            <w:hideMark/>
          </w:tcPr>
          <w:p w:rsidR="00000000" w:rsidRDefault="00F83A7A">
            <w:pPr>
              <w:rPr>
                <w:rFonts w:eastAsia="Times New Roman"/>
                <w:sz w:val="20"/>
                <w:szCs w:val="20"/>
              </w:rPr>
            </w:pPr>
          </w:p>
        </w:tc>
        <w:tc>
          <w:tcPr>
            <w:tcW w:w="90" w:type="pct"/>
            <w:vAlign w:val="center"/>
            <w:hideMark/>
          </w:tcPr>
          <w:p w:rsidR="00000000" w:rsidRDefault="00F83A7A">
            <w:pPr>
              <w:rPr>
                <w:rFonts w:eastAsia="Times New Roman"/>
                <w:sz w:val="20"/>
                <w:szCs w:val="20"/>
              </w:rPr>
            </w:pPr>
          </w:p>
        </w:tc>
        <w:tc>
          <w:tcPr>
            <w:tcW w:w="661" w:type="pct"/>
            <w:vAlign w:val="center"/>
            <w:hideMark/>
          </w:tcPr>
          <w:p w:rsidR="00000000" w:rsidRDefault="00F83A7A">
            <w:pPr>
              <w:rPr>
                <w:rFonts w:eastAsia="Times New Roman"/>
                <w:sz w:val="20"/>
                <w:szCs w:val="20"/>
              </w:rPr>
            </w:pPr>
          </w:p>
        </w:tc>
        <w:tc>
          <w:tcPr>
            <w:tcW w:w="31" w:type="pct"/>
            <w:vAlign w:val="center"/>
            <w:hideMark/>
          </w:tcPr>
          <w:p w:rsidR="00000000" w:rsidRDefault="00F83A7A">
            <w:pPr>
              <w:rPr>
                <w:rFonts w:eastAsia="Times New Roman"/>
                <w:sz w:val="20"/>
                <w:szCs w:val="20"/>
              </w:rPr>
            </w:pPr>
          </w:p>
        </w:tc>
        <w:tc>
          <w:tcPr>
            <w:tcW w:w="49" w:type="pct"/>
            <w:vAlign w:val="center"/>
            <w:hideMark/>
          </w:tcPr>
          <w:p w:rsidR="00000000" w:rsidRDefault="00F83A7A">
            <w:pPr>
              <w:rPr>
                <w:rFonts w:eastAsia="Times New Roman"/>
                <w:sz w:val="20"/>
                <w:szCs w:val="20"/>
              </w:rPr>
            </w:pPr>
          </w:p>
        </w:tc>
        <w:tc>
          <w:tcPr>
            <w:tcW w:w="90" w:type="pct"/>
            <w:vAlign w:val="center"/>
            <w:hideMark/>
          </w:tcPr>
          <w:p w:rsidR="00000000" w:rsidRDefault="00F83A7A">
            <w:pPr>
              <w:rPr>
                <w:rFonts w:eastAsia="Times New Roman"/>
                <w:sz w:val="20"/>
                <w:szCs w:val="20"/>
              </w:rPr>
            </w:pPr>
          </w:p>
        </w:tc>
        <w:tc>
          <w:tcPr>
            <w:tcW w:w="661" w:type="pct"/>
            <w:vAlign w:val="center"/>
            <w:hideMark/>
          </w:tcPr>
          <w:p w:rsidR="00000000" w:rsidRDefault="00F83A7A">
            <w:pPr>
              <w:rPr>
                <w:rFonts w:eastAsia="Times New Roman"/>
                <w:sz w:val="20"/>
                <w:szCs w:val="20"/>
              </w:rPr>
            </w:pPr>
          </w:p>
        </w:tc>
        <w:tc>
          <w:tcPr>
            <w:tcW w:w="31" w:type="pct"/>
            <w:vAlign w:val="center"/>
            <w:hideMark/>
          </w:tcPr>
          <w:p w:rsidR="00000000" w:rsidRDefault="00F83A7A">
            <w:pPr>
              <w:rPr>
                <w:rFonts w:eastAsia="Times New Roman"/>
                <w:sz w:val="20"/>
                <w:szCs w:val="20"/>
              </w:rPr>
            </w:pPr>
          </w:p>
        </w:tc>
        <w:tc>
          <w:tcPr>
            <w:tcW w:w="49" w:type="pct"/>
            <w:vAlign w:val="center"/>
            <w:hideMark/>
          </w:tcPr>
          <w:p w:rsidR="00000000" w:rsidRDefault="00F83A7A">
            <w:pPr>
              <w:rPr>
                <w:rFonts w:eastAsia="Times New Roman"/>
                <w:sz w:val="20"/>
                <w:szCs w:val="20"/>
              </w:rPr>
            </w:pPr>
          </w:p>
        </w:tc>
        <w:tc>
          <w:tcPr>
            <w:tcW w:w="90" w:type="pct"/>
            <w:vAlign w:val="center"/>
            <w:hideMark/>
          </w:tcPr>
          <w:p w:rsidR="00000000" w:rsidRDefault="00F83A7A">
            <w:pPr>
              <w:rPr>
                <w:rFonts w:eastAsia="Times New Roman"/>
                <w:sz w:val="20"/>
                <w:szCs w:val="20"/>
              </w:rPr>
            </w:pPr>
          </w:p>
        </w:tc>
        <w:tc>
          <w:tcPr>
            <w:tcW w:w="765" w:type="pct"/>
            <w:vAlign w:val="center"/>
            <w:hideMark/>
          </w:tcPr>
          <w:p w:rsidR="00000000" w:rsidRDefault="00F83A7A">
            <w:pPr>
              <w:rPr>
                <w:rFonts w:eastAsia="Times New Roman"/>
                <w:sz w:val="20"/>
                <w:szCs w:val="20"/>
              </w:rPr>
            </w:pPr>
          </w:p>
        </w:tc>
        <w:tc>
          <w:tcPr>
            <w:tcW w:w="31" w:type="pct"/>
            <w:vAlign w:val="center"/>
            <w:hideMark/>
          </w:tcPr>
          <w:p w:rsidR="00000000" w:rsidRDefault="00F83A7A">
            <w:pPr>
              <w:rPr>
                <w:rFonts w:eastAsia="Times New Roman"/>
                <w:sz w:val="20"/>
                <w:szCs w:val="20"/>
              </w:rPr>
            </w:pPr>
          </w:p>
        </w:tc>
      </w:tr>
      <w:tr w:rsidR="00000000">
        <w:trPr>
          <w:divId w:val="896169054"/>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14"/>
            <w:vAlign w:val="center"/>
            <w:hideMark/>
          </w:tcPr>
          <w:p w:rsidR="00000000" w:rsidRDefault="00F83A7A">
            <w:pPr>
              <w:pStyle w:val="a3"/>
              <w:spacing w:before="0" w:beforeAutospacing="0" w:after="0" w:afterAutospacing="0"/>
              <w:jc w:val="center"/>
              <w:rPr>
                <w:sz w:val="20"/>
                <w:szCs w:val="20"/>
              </w:rPr>
            </w:pPr>
            <w:r>
              <w:rPr>
                <w:b/>
                <w:bCs/>
                <w:sz w:val="20"/>
                <w:szCs w:val="20"/>
              </w:rPr>
              <w:t>December 31, 202</w:t>
            </w:r>
            <w:r>
              <w:rPr>
                <w:b/>
                <w:bCs/>
                <w:sz w:val="20"/>
                <w:szCs w:val="20"/>
              </w:rPr>
              <w:t>1</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r>
      <w:tr w:rsidR="00000000">
        <w:trPr>
          <w:divId w:val="896169054"/>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Amortize</w:t>
            </w:r>
            <w:r>
              <w:rPr>
                <w:sz w:val="20"/>
                <w:szCs w:val="20"/>
              </w:rPr>
              <w:t>d</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Gross unrealize</w:t>
            </w:r>
            <w:r>
              <w:rPr>
                <w:sz w:val="20"/>
                <w:szCs w:val="20"/>
              </w:rPr>
              <w:t>d</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Gross unrealize</w:t>
            </w:r>
            <w:r>
              <w:rPr>
                <w:sz w:val="20"/>
                <w:szCs w:val="20"/>
              </w:rPr>
              <w:t>d</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Fai</w:t>
            </w:r>
            <w:r>
              <w:rPr>
                <w:sz w:val="20"/>
                <w:szCs w:val="20"/>
              </w:rPr>
              <w:t>r</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r>
      <w:tr w:rsidR="00000000">
        <w:trPr>
          <w:divId w:val="896169054"/>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cos</w:t>
            </w:r>
            <w:r>
              <w:rPr>
                <w:sz w:val="20"/>
                <w:szCs w:val="20"/>
              </w:rPr>
              <w:t>t</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holding gain</w:t>
            </w:r>
            <w:r>
              <w:rPr>
                <w:sz w:val="20"/>
                <w:szCs w:val="20"/>
              </w:rPr>
              <w:t>s</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holding losse</w:t>
            </w:r>
            <w:r>
              <w:rPr>
                <w:sz w:val="20"/>
                <w:szCs w:val="20"/>
              </w:rPr>
              <w:t>s</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valu</w:t>
            </w:r>
            <w:r>
              <w:rPr>
                <w:sz w:val="20"/>
                <w:szCs w:val="20"/>
              </w:rPr>
              <w:t>e</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r>
      <w:tr w:rsidR="00000000">
        <w:trPr>
          <w:divId w:val="896169054"/>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  Cas</w:t>
            </w:r>
            <w:r>
              <w:rPr>
                <w:sz w:val="20"/>
                <w:szCs w:val="20"/>
              </w:rPr>
              <w:t>h</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205,55</w:t>
            </w:r>
            <w:r>
              <w:rPr>
                <w:sz w:val="20"/>
                <w:szCs w:val="20"/>
              </w:rPr>
              <w:t>5</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205,55</w:t>
            </w:r>
            <w:r>
              <w:rPr>
                <w:sz w:val="20"/>
                <w:szCs w:val="20"/>
              </w:rPr>
              <w:t>5</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896169054"/>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  Money market fund</w:t>
            </w:r>
            <w:r>
              <w:rPr>
                <w:sz w:val="20"/>
                <w:szCs w:val="20"/>
              </w:rPr>
              <w:t>s</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187,591,97</w:t>
            </w:r>
            <w:r>
              <w:rPr>
                <w:sz w:val="20"/>
                <w:szCs w:val="20"/>
              </w:rPr>
              <w:t>7</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187,591,97</w:t>
            </w:r>
            <w:r>
              <w:rPr>
                <w:sz w:val="20"/>
                <w:szCs w:val="20"/>
              </w:rPr>
              <w:t>7</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896169054"/>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Total cash and cash equivalent</w:t>
            </w:r>
            <w:r>
              <w:rPr>
                <w:sz w:val="20"/>
                <w:szCs w:val="20"/>
              </w:rPr>
              <w:t>s</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187,797,53</w:t>
            </w:r>
            <w:r>
              <w:rPr>
                <w:sz w:val="20"/>
                <w:szCs w:val="20"/>
              </w:rPr>
              <w:t>2</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187,797,53</w:t>
            </w:r>
            <w:r>
              <w:rPr>
                <w:sz w:val="20"/>
                <w:szCs w:val="20"/>
              </w:rPr>
              <w:t>2</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bl>
    <w:p w:rsidR="00000000" w:rsidRDefault="00F83A7A">
      <w:pPr>
        <w:pStyle w:val="a3"/>
        <w:spacing w:before="120" w:beforeAutospacing="0" w:after="0" w:afterAutospacing="0"/>
        <w:jc w:val="both"/>
        <w:divId w:val="896169054"/>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986"/>
        <w:gridCol w:w="110"/>
        <w:gridCol w:w="160"/>
        <w:gridCol w:w="960"/>
        <w:gridCol w:w="110"/>
        <w:gridCol w:w="110"/>
        <w:gridCol w:w="161"/>
        <w:gridCol w:w="764"/>
        <w:gridCol w:w="110"/>
        <w:gridCol w:w="110"/>
        <w:gridCol w:w="161"/>
        <w:gridCol w:w="764"/>
        <w:gridCol w:w="110"/>
        <w:gridCol w:w="110"/>
        <w:gridCol w:w="160"/>
        <w:gridCol w:w="960"/>
        <w:gridCol w:w="125"/>
      </w:tblGrid>
      <w:tr w:rsidR="00000000">
        <w:trPr>
          <w:divId w:val="896169054"/>
          <w:tblCellSpacing w:w="15" w:type="dxa"/>
        </w:trPr>
        <w:tc>
          <w:tcPr>
            <w:tcW w:w="1499" w:type="pct"/>
            <w:vAlign w:val="center"/>
            <w:hideMark/>
          </w:tcPr>
          <w:p w:rsidR="00000000" w:rsidRDefault="00F83A7A">
            <w:pPr>
              <w:rPr>
                <w:sz w:val="20"/>
                <w:szCs w:val="20"/>
              </w:rPr>
            </w:pPr>
          </w:p>
        </w:tc>
        <w:tc>
          <w:tcPr>
            <w:tcW w:w="50" w:type="pct"/>
            <w:vAlign w:val="center"/>
            <w:hideMark/>
          </w:tcPr>
          <w:p w:rsidR="00000000" w:rsidRDefault="00F83A7A">
            <w:pPr>
              <w:rPr>
                <w:rFonts w:eastAsia="Times New Roman"/>
                <w:sz w:val="20"/>
                <w:szCs w:val="20"/>
              </w:rPr>
            </w:pPr>
          </w:p>
        </w:tc>
        <w:tc>
          <w:tcPr>
            <w:tcW w:w="90" w:type="pct"/>
            <w:vAlign w:val="center"/>
            <w:hideMark/>
          </w:tcPr>
          <w:p w:rsidR="00000000" w:rsidRDefault="00F83A7A">
            <w:pPr>
              <w:rPr>
                <w:rFonts w:eastAsia="Times New Roman"/>
                <w:sz w:val="20"/>
                <w:szCs w:val="20"/>
              </w:rPr>
            </w:pPr>
          </w:p>
        </w:tc>
        <w:tc>
          <w:tcPr>
            <w:tcW w:w="732" w:type="pct"/>
            <w:vAlign w:val="center"/>
            <w:hideMark/>
          </w:tcPr>
          <w:p w:rsidR="00000000" w:rsidRDefault="00F83A7A">
            <w:pPr>
              <w:rPr>
                <w:rFonts w:eastAsia="Times New Roman"/>
                <w:sz w:val="20"/>
                <w:szCs w:val="20"/>
              </w:rPr>
            </w:pPr>
          </w:p>
        </w:tc>
        <w:tc>
          <w:tcPr>
            <w:tcW w:w="32" w:type="pct"/>
            <w:vAlign w:val="center"/>
            <w:hideMark/>
          </w:tcPr>
          <w:p w:rsidR="00000000" w:rsidRDefault="00F83A7A">
            <w:pPr>
              <w:rPr>
                <w:rFonts w:eastAsia="Times New Roman"/>
                <w:sz w:val="20"/>
                <w:szCs w:val="20"/>
              </w:rPr>
            </w:pPr>
          </w:p>
        </w:tc>
        <w:tc>
          <w:tcPr>
            <w:tcW w:w="50" w:type="pct"/>
            <w:vAlign w:val="center"/>
            <w:hideMark/>
          </w:tcPr>
          <w:p w:rsidR="00000000" w:rsidRDefault="00F83A7A">
            <w:pPr>
              <w:rPr>
                <w:rFonts w:eastAsia="Times New Roman"/>
                <w:sz w:val="20"/>
                <w:szCs w:val="20"/>
              </w:rPr>
            </w:pPr>
          </w:p>
        </w:tc>
        <w:tc>
          <w:tcPr>
            <w:tcW w:w="90" w:type="pct"/>
            <w:vAlign w:val="center"/>
            <w:hideMark/>
          </w:tcPr>
          <w:p w:rsidR="00000000" w:rsidRDefault="00F83A7A">
            <w:pPr>
              <w:rPr>
                <w:rFonts w:eastAsia="Times New Roman"/>
                <w:sz w:val="20"/>
                <w:szCs w:val="20"/>
              </w:rPr>
            </w:pPr>
          </w:p>
        </w:tc>
        <w:tc>
          <w:tcPr>
            <w:tcW w:w="670" w:type="pct"/>
            <w:vAlign w:val="center"/>
            <w:hideMark/>
          </w:tcPr>
          <w:p w:rsidR="00000000" w:rsidRDefault="00F83A7A">
            <w:pPr>
              <w:rPr>
                <w:rFonts w:eastAsia="Times New Roman"/>
                <w:sz w:val="20"/>
                <w:szCs w:val="20"/>
              </w:rPr>
            </w:pPr>
          </w:p>
        </w:tc>
        <w:tc>
          <w:tcPr>
            <w:tcW w:w="32" w:type="pct"/>
            <w:vAlign w:val="center"/>
            <w:hideMark/>
          </w:tcPr>
          <w:p w:rsidR="00000000" w:rsidRDefault="00F83A7A">
            <w:pPr>
              <w:rPr>
                <w:rFonts w:eastAsia="Times New Roman"/>
                <w:sz w:val="20"/>
                <w:szCs w:val="20"/>
              </w:rPr>
            </w:pPr>
          </w:p>
        </w:tc>
        <w:tc>
          <w:tcPr>
            <w:tcW w:w="50" w:type="pct"/>
            <w:vAlign w:val="center"/>
            <w:hideMark/>
          </w:tcPr>
          <w:p w:rsidR="00000000" w:rsidRDefault="00F83A7A">
            <w:pPr>
              <w:rPr>
                <w:rFonts w:eastAsia="Times New Roman"/>
                <w:sz w:val="20"/>
                <w:szCs w:val="20"/>
              </w:rPr>
            </w:pPr>
          </w:p>
        </w:tc>
        <w:tc>
          <w:tcPr>
            <w:tcW w:w="90" w:type="pct"/>
            <w:vAlign w:val="center"/>
            <w:hideMark/>
          </w:tcPr>
          <w:p w:rsidR="00000000" w:rsidRDefault="00F83A7A">
            <w:pPr>
              <w:rPr>
                <w:rFonts w:eastAsia="Times New Roman"/>
                <w:sz w:val="20"/>
                <w:szCs w:val="20"/>
              </w:rPr>
            </w:pPr>
          </w:p>
        </w:tc>
        <w:tc>
          <w:tcPr>
            <w:tcW w:w="670" w:type="pct"/>
            <w:vAlign w:val="center"/>
            <w:hideMark/>
          </w:tcPr>
          <w:p w:rsidR="00000000" w:rsidRDefault="00F83A7A">
            <w:pPr>
              <w:rPr>
                <w:rFonts w:eastAsia="Times New Roman"/>
                <w:sz w:val="20"/>
                <w:szCs w:val="20"/>
              </w:rPr>
            </w:pPr>
          </w:p>
        </w:tc>
        <w:tc>
          <w:tcPr>
            <w:tcW w:w="32" w:type="pct"/>
            <w:vAlign w:val="center"/>
            <w:hideMark/>
          </w:tcPr>
          <w:p w:rsidR="00000000" w:rsidRDefault="00F83A7A">
            <w:pPr>
              <w:rPr>
                <w:rFonts w:eastAsia="Times New Roman"/>
                <w:sz w:val="20"/>
                <w:szCs w:val="20"/>
              </w:rPr>
            </w:pPr>
          </w:p>
        </w:tc>
        <w:tc>
          <w:tcPr>
            <w:tcW w:w="50" w:type="pct"/>
            <w:vAlign w:val="center"/>
            <w:hideMark/>
          </w:tcPr>
          <w:p w:rsidR="00000000" w:rsidRDefault="00F83A7A">
            <w:pPr>
              <w:rPr>
                <w:rFonts w:eastAsia="Times New Roman"/>
                <w:sz w:val="20"/>
                <w:szCs w:val="20"/>
              </w:rPr>
            </w:pPr>
          </w:p>
        </w:tc>
        <w:tc>
          <w:tcPr>
            <w:tcW w:w="90" w:type="pct"/>
            <w:vAlign w:val="center"/>
            <w:hideMark/>
          </w:tcPr>
          <w:p w:rsidR="00000000" w:rsidRDefault="00F83A7A">
            <w:pPr>
              <w:rPr>
                <w:rFonts w:eastAsia="Times New Roman"/>
                <w:sz w:val="20"/>
                <w:szCs w:val="20"/>
              </w:rPr>
            </w:pPr>
          </w:p>
        </w:tc>
        <w:tc>
          <w:tcPr>
            <w:tcW w:w="732" w:type="pct"/>
            <w:vAlign w:val="center"/>
            <w:hideMark/>
          </w:tcPr>
          <w:p w:rsidR="00000000" w:rsidRDefault="00F83A7A">
            <w:pPr>
              <w:rPr>
                <w:rFonts w:eastAsia="Times New Roman"/>
                <w:sz w:val="20"/>
                <w:szCs w:val="20"/>
              </w:rPr>
            </w:pPr>
          </w:p>
        </w:tc>
        <w:tc>
          <w:tcPr>
            <w:tcW w:w="32" w:type="pct"/>
            <w:vAlign w:val="center"/>
            <w:hideMark/>
          </w:tcPr>
          <w:p w:rsidR="00000000" w:rsidRDefault="00F83A7A">
            <w:pPr>
              <w:rPr>
                <w:rFonts w:eastAsia="Times New Roman"/>
                <w:sz w:val="20"/>
                <w:szCs w:val="20"/>
              </w:rPr>
            </w:pPr>
          </w:p>
        </w:tc>
      </w:tr>
      <w:tr w:rsidR="00000000">
        <w:trPr>
          <w:divId w:val="896169054"/>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14"/>
            <w:vAlign w:val="center"/>
            <w:hideMark/>
          </w:tcPr>
          <w:p w:rsidR="00000000" w:rsidRDefault="00F83A7A">
            <w:pPr>
              <w:pStyle w:val="a3"/>
              <w:spacing w:before="0" w:beforeAutospacing="0" w:after="0" w:afterAutospacing="0"/>
              <w:jc w:val="center"/>
              <w:rPr>
                <w:sz w:val="20"/>
                <w:szCs w:val="20"/>
              </w:rPr>
            </w:pPr>
            <w:r>
              <w:rPr>
                <w:b/>
                <w:bCs/>
                <w:sz w:val="20"/>
                <w:szCs w:val="20"/>
              </w:rPr>
              <w:t>December 31, 202</w:t>
            </w:r>
            <w:r>
              <w:rPr>
                <w:b/>
                <w:bCs/>
                <w:sz w:val="20"/>
                <w:szCs w:val="20"/>
              </w:rPr>
              <w:t>0</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r>
      <w:tr w:rsidR="00000000">
        <w:trPr>
          <w:divId w:val="896169054"/>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Amortize</w:t>
            </w:r>
            <w:r>
              <w:rPr>
                <w:sz w:val="20"/>
                <w:szCs w:val="20"/>
              </w:rPr>
              <w:t>d</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Gross unrealize</w:t>
            </w:r>
            <w:r>
              <w:rPr>
                <w:sz w:val="20"/>
                <w:szCs w:val="20"/>
              </w:rPr>
              <w:t>d</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Gross unrealize</w:t>
            </w:r>
            <w:r>
              <w:rPr>
                <w:sz w:val="20"/>
                <w:szCs w:val="20"/>
              </w:rPr>
              <w:t>d</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Fai</w:t>
            </w:r>
            <w:r>
              <w:rPr>
                <w:sz w:val="20"/>
                <w:szCs w:val="20"/>
              </w:rPr>
              <w:t>r</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r>
      <w:tr w:rsidR="00000000">
        <w:trPr>
          <w:divId w:val="896169054"/>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cos</w:t>
            </w:r>
            <w:r>
              <w:rPr>
                <w:sz w:val="20"/>
                <w:szCs w:val="20"/>
              </w:rPr>
              <w:t>t</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holding gain</w:t>
            </w:r>
            <w:r>
              <w:rPr>
                <w:sz w:val="20"/>
                <w:szCs w:val="20"/>
              </w:rPr>
              <w:t>s</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holding losse</w:t>
            </w:r>
            <w:r>
              <w:rPr>
                <w:sz w:val="20"/>
                <w:szCs w:val="20"/>
              </w:rPr>
              <w:t>s</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valu</w:t>
            </w:r>
            <w:r>
              <w:rPr>
                <w:sz w:val="20"/>
                <w:szCs w:val="20"/>
              </w:rPr>
              <w:t>e</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r>
      <w:tr w:rsidR="00000000">
        <w:trPr>
          <w:divId w:val="896169054"/>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  Cas</w:t>
            </w:r>
            <w:r>
              <w:rPr>
                <w:sz w:val="20"/>
                <w:szCs w:val="20"/>
              </w:rPr>
              <w:t>h</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1,977,32</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1,977,32</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896169054"/>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  Money market fund</w:t>
            </w:r>
            <w:r>
              <w:rPr>
                <w:sz w:val="20"/>
                <w:szCs w:val="20"/>
              </w:rPr>
              <w:t>s</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70,056,61</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70,056,61</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896169054"/>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Total cash and cash equivalent</w:t>
            </w:r>
            <w:r>
              <w:rPr>
                <w:sz w:val="20"/>
                <w:szCs w:val="20"/>
              </w:rPr>
              <w:t>s</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72,033,93</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72,033,93</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bl>
    <w:p w:rsidR="00000000" w:rsidRDefault="00F83A7A">
      <w:pPr>
        <w:pStyle w:val="a3"/>
        <w:spacing w:before="200" w:beforeAutospacing="0" w:after="0" w:afterAutospacing="0"/>
        <w:jc w:val="both"/>
        <w:divId w:val="1689866661"/>
        <w:rPr>
          <w:sz w:val="20"/>
          <w:szCs w:val="20"/>
        </w:rPr>
      </w:pPr>
      <w:r>
        <w:rPr>
          <w:sz w:val="20"/>
          <w:szCs w:val="20"/>
        </w:rPr>
        <w:t xml:space="preserve">The Company also holds restricted cash of </w:t>
      </w:r>
      <w:r>
        <w:rPr>
          <w:sz w:val="20"/>
          <w:szCs w:val="20"/>
        </w:rPr>
        <w:t>$</w:t>
      </w:r>
      <w:r>
        <w:rPr>
          <w:sz w:val="20"/>
          <w:szCs w:val="20"/>
        </w:rPr>
        <w:t>1.</w:t>
      </w:r>
      <w:r>
        <w:rPr>
          <w:sz w:val="20"/>
          <w:szCs w:val="20"/>
        </w:rPr>
        <w:t>9</w:t>
      </w:r>
      <w:r>
        <w:rPr>
          <w:sz w:val="20"/>
          <w:szCs w:val="20"/>
        </w:rPr>
        <w:t xml:space="preserve"> </w:t>
      </w:r>
      <w:r>
        <w:rPr>
          <w:sz w:val="20"/>
          <w:szCs w:val="20"/>
        </w:rPr>
        <w:t>million pursuant to a letter of credit relating to the new office space, which is included in noncurrent assets</w:t>
      </w:r>
      <w:r>
        <w:rPr>
          <w:sz w:val="20"/>
          <w:szCs w:val="20"/>
        </w:rPr>
        <w:t>.</w:t>
      </w:r>
    </w:p>
    <w:p w:rsidR="00000000" w:rsidRDefault="00F83A7A">
      <w:pPr>
        <w:pStyle w:val="a3"/>
        <w:spacing w:before="200" w:beforeAutospacing="0" w:after="0" w:afterAutospacing="0"/>
        <w:jc w:val="both"/>
        <w:divId w:val="1689866661"/>
        <w:rPr>
          <w:sz w:val="20"/>
          <w:szCs w:val="20"/>
        </w:rPr>
      </w:pPr>
      <w:r>
        <w:rPr>
          <w:sz w:val="20"/>
          <w:szCs w:val="20"/>
        </w:rPr>
        <w:t>The Company did</w:t>
      </w:r>
      <w:r>
        <w:rPr>
          <w:sz w:val="20"/>
          <w:szCs w:val="20"/>
        </w:rPr>
        <w:t xml:space="preserve"> </w:t>
      </w:r>
      <w:r>
        <w:rPr>
          <w:sz w:val="20"/>
          <w:szCs w:val="20"/>
        </w:rPr>
        <w:t>n</w:t>
      </w:r>
      <w:r>
        <w:rPr>
          <w:sz w:val="20"/>
          <w:szCs w:val="20"/>
        </w:rPr>
        <w:t>o</w:t>
      </w:r>
      <w:r>
        <w:rPr>
          <w:sz w:val="20"/>
          <w:szCs w:val="20"/>
        </w:rPr>
        <w:t>t hold any securities that were in an unrealized loss position for more than 12 months as of</w:t>
      </w:r>
      <w:r>
        <w:rPr>
          <w:sz w:val="20"/>
          <w:szCs w:val="20"/>
        </w:rPr>
        <w:t xml:space="preserve"> </w:t>
      </w:r>
      <w:r>
        <w:rPr>
          <w:sz w:val="20"/>
          <w:szCs w:val="20"/>
        </w:rPr>
        <w:t>December 31, 2021 and 2020</w:t>
      </w:r>
      <w:r>
        <w:rPr>
          <w:sz w:val="20"/>
          <w:szCs w:val="20"/>
        </w:rPr>
        <w:t>.</w:t>
      </w:r>
    </w:p>
    <w:p w:rsidR="00000000" w:rsidRDefault="00F83A7A">
      <w:pPr>
        <w:pStyle w:val="a3"/>
        <w:spacing w:before="200" w:beforeAutospacing="0" w:after="0" w:afterAutospacing="0"/>
        <w:jc w:val="both"/>
        <w:divId w:val="1689866661"/>
        <w:rPr>
          <w:sz w:val="20"/>
          <w:szCs w:val="20"/>
        </w:rPr>
      </w:pPr>
      <w:r>
        <w:rPr>
          <w:sz w:val="20"/>
          <w:szCs w:val="20"/>
        </w:rPr>
        <w:t>Ther</w:t>
      </w:r>
      <w:r>
        <w:rPr>
          <w:sz w:val="20"/>
          <w:szCs w:val="20"/>
        </w:rPr>
        <w:t>e were</w:t>
      </w:r>
      <w:r>
        <w:rPr>
          <w:sz w:val="20"/>
          <w:szCs w:val="20"/>
        </w:rPr>
        <w:t xml:space="preserve"> </w:t>
      </w:r>
      <w:r>
        <w:rPr>
          <w:sz w:val="20"/>
          <w:szCs w:val="20"/>
        </w:rPr>
        <w:t>n</w:t>
      </w:r>
      <w:r>
        <w:rPr>
          <w:sz w:val="20"/>
          <w:szCs w:val="20"/>
        </w:rPr>
        <w:t>o</w:t>
      </w:r>
      <w:r>
        <w:rPr>
          <w:sz w:val="20"/>
          <w:szCs w:val="20"/>
        </w:rPr>
        <w:t xml:space="preserve"> material realized gains or losses on available-for-sale securities during the years ended</w:t>
      </w:r>
      <w:r>
        <w:rPr>
          <w:sz w:val="20"/>
          <w:szCs w:val="20"/>
        </w:rPr>
        <w:t xml:space="preserve"> </w:t>
      </w:r>
      <w:r>
        <w:rPr>
          <w:sz w:val="20"/>
          <w:szCs w:val="20"/>
        </w:rPr>
        <w:t>December 31, 2021 and 202</w:t>
      </w:r>
      <w:r>
        <w:rPr>
          <w:sz w:val="20"/>
          <w:szCs w:val="20"/>
        </w:rPr>
        <w:t>0</w:t>
      </w:r>
      <w:r>
        <w:rPr>
          <w:sz w:val="20"/>
          <w:szCs w:val="20"/>
        </w:rPr>
        <w:t>.</w:t>
      </w:r>
    </w:p>
    <w:p w:rsidR="00000000" w:rsidRDefault="00F83A7A">
      <w:pPr>
        <w:pStyle w:val="a3"/>
        <w:spacing w:before="200" w:beforeAutospacing="0" w:after="0" w:afterAutospacing="0"/>
        <w:jc w:val="both"/>
        <w:divId w:val="1331325340"/>
        <w:rPr>
          <w:sz w:val="20"/>
          <w:szCs w:val="20"/>
        </w:rPr>
      </w:pPr>
      <w:r>
        <w:rPr>
          <w:b/>
          <w:bCs/>
          <w:sz w:val="20"/>
          <w:szCs w:val="20"/>
        </w:rPr>
        <w:t>NOT</w:t>
      </w:r>
      <w:r>
        <w:rPr>
          <w:b/>
          <w:bCs/>
          <w:sz w:val="20"/>
          <w:szCs w:val="20"/>
        </w:rPr>
        <w:t>E</w:t>
      </w:r>
      <w:r>
        <w:rPr>
          <w:b/>
          <w:bCs/>
          <w:sz w:val="20"/>
          <w:szCs w:val="20"/>
        </w:rPr>
        <w:t xml:space="preserve"> 4 – PROPERTY AND EQUIPMENT AND INTANGIBLE ASSET</w:t>
      </w:r>
      <w:r>
        <w:rPr>
          <w:b/>
          <w:bCs/>
          <w:sz w:val="20"/>
          <w:szCs w:val="20"/>
        </w:rPr>
        <w:t>S</w:t>
      </w:r>
    </w:p>
    <w:p w:rsidR="00000000" w:rsidRDefault="00F83A7A">
      <w:pPr>
        <w:pStyle w:val="a3"/>
        <w:spacing w:before="200" w:beforeAutospacing="0" w:after="0" w:afterAutospacing="0"/>
        <w:jc w:val="both"/>
        <w:divId w:val="25450991"/>
        <w:rPr>
          <w:sz w:val="20"/>
          <w:szCs w:val="20"/>
        </w:rPr>
      </w:pPr>
      <w:r>
        <w:rPr>
          <w:sz w:val="20"/>
          <w:szCs w:val="20"/>
        </w:rPr>
        <w:t>Property and equipment is summarized as follows</w:t>
      </w:r>
      <w:r>
        <w:rPr>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425"/>
        <w:gridCol w:w="110"/>
        <w:gridCol w:w="160"/>
        <w:gridCol w:w="790"/>
        <w:gridCol w:w="127"/>
        <w:gridCol w:w="110"/>
        <w:gridCol w:w="160"/>
        <w:gridCol w:w="790"/>
        <w:gridCol w:w="142"/>
      </w:tblGrid>
      <w:tr w:rsidR="00000000">
        <w:trPr>
          <w:divId w:val="25450991"/>
          <w:tblCellSpacing w:w="15" w:type="dxa"/>
        </w:trPr>
        <w:tc>
          <w:tcPr>
            <w:tcW w:w="3102" w:type="pct"/>
            <w:vAlign w:val="center"/>
            <w:hideMark/>
          </w:tcPr>
          <w:p w:rsidR="00000000" w:rsidRDefault="00F83A7A">
            <w:pPr>
              <w:rPr>
                <w:sz w:val="20"/>
                <w:szCs w:val="20"/>
              </w:rPr>
            </w:pPr>
          </w:p>
        </w:tc>
        <w:tc>
          <w:tcPr>
            <w:tcW w:w="55" w:type="pct"/>
            <w:vAlign w:val="center"/>
            <w:hideMark/>
          </w:tcPr>
          <w:p w:rsidR="00000000" w:rsidRDefault="00F83A7A">
            <w:pPr>
              <w:rPr>
                <w:rFonts w:eastAsia="Times New Roman"/>
                <w:sz w:val="20"/>
                <w:szCs w:val="20"/>
              </w:rPr>
            </w:pPr>
          </w:p>
        </w:tc>
        <w:tc>
          <w:tcPr>
            <w:tcW w:w="100" w:type="pct"/>
            <w:vAlign w:val="center"/>
            <w:hideMark/>
          </w:tcPr>
          <w:p w:rsidR="00000000" w:rsidRDefault="00F83A7A">
            <w:pPr>
              <w:rPr>
                <w:rFonts w:eastAsia="Times New Roman"/>
                <w:sz w:val="20"/>
                <w:szCs w:val="20"/>
              </w:rPr>
            </w:pPr>
          </w:p>
        </w:tc>
        <w:tc>
          <w:tcPr>
            <w:tcW w:w="726" w:type="pct"/>
            <w:vAlign w:val="center"/>
            <w:hideMark/>
          </w:tcPr>
          <w:p w:rsidR="00000000" w:rsidRDefault="00F83A7A">
            <w:pPr>
              <w:rPr>
                <w:rFonts w:eastAsia="Times New Roman"/>
                <w:sz w:val="20"/>
                <w:szCs w:val="20"/>
              </w:rPr>
            </w:pPr>
          </w:p>
        </w:tc>
        <w:tc>
          <w:tcPr>
            <w:tcW w:w="66" w:type="pct"/>
            <w:vAlign w:val="center"/>
            <w:hideMark/>
          </w:tcPr>
          <w:p w:rsidR="00000000" w:rsidRDefault="00F83A7A">
            <w:pPr>
              <w:rPr>
                <w:rFonts w:eastAsia="Times New Roman"/>
                <w:sz w:val="20"/>
                <w:szCs w:val="20"/>
              </w:rPr>
            </w:pPr>
          </w:p>
        </w:tc>
        <w:tc>
          <w:tcPr>
            <w:tcW w:w="55" w:type="pct"/>
            <w:vAlign w:val="center"/>
            <w:hideMark/>
          </w:tcPr>
          <w:p w:rsidR="00000000" w:rsidRDefault="00F83A7A">
            <w:pPr>
              <w:rPr>
                <w:rFonts w:eastAsia="Times New Roman"/>
                <w:sz w:val="20"/>
                <w:szCs w:val="20"/>
              </w:rPr>
            </w:pPr>
          </w:p>
        </w:tc>
        <w:tc>
          <w:tcPr>
            <w:tcW w:w="100" w:type="pct"/>
            <w:vAlign w:val="center"/>
            <w:hideMark/>
          </w:tcPr>
          <w:p w:rsidR="00000000" w:rsidRDefault="00F83A7A">
            <w:pPr>
              <w:rPr>
                <w:rFonts w:eastAsia="Times New Roman"/>
                <w:sz w:val="20"/>
                <w:szCs w:val="20"/>
              </w:rPr>
            </w:pPr>
          </w:p>
        </w:tc>
        <w:tc>
          <w:tcPr>
            <w:tcW w:w="726" w:type="pct"/>
            <w:vAlign w:val="center"/>
            <w:hideMark/>
          </w:tcPr>
          <w:p w:rsidR="00000000" w:rsidRDefault="00F83A7A">
            <w:pPr>
              <w:rPr>
                <w:rFonts w:eastAsia="Times New Roman"/>
                <w:sz w:val="20"/>
                <w:szCs w:val="20"/>
              </w:rPr>
            </w:pPr>
          </w:p>
        </w:tc>
        <w:tc>
          <w:tcPr>
            <w:tcW w:w="66" w:type="pct"/>
            <w:vAlign w:val="center"/>
            <w:hideMark/>
          </w:tcPr>
          <w:p w:rsidR="00000000" w:rsidRDefault="00F83A7A">
            <w:pPr>
              <w:rPr>
                <w:rFonts w:eastAsia="Times New Roman"/>
                <w:sz w:val="20"/>
                <w:szCs w:val="20"/>
              </w:rPr>
            </w:pPr>
          </w:p>
        </w:tc>
      </w:tr>
      <w:tr w:rsidR="00000000">
        <w:trPr>
          <w:divId w:val="25450991"/>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center"/>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25450991"/>
          <w:trHeight w:val="160"/>
          <w:tblCellSpacing w:w="15" w:type="dxa"/>
        </w:trPr>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25450991"/>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Furniture and equipmen</w:t>
            </w:r>
            <w:r>
              <w:rPr>
                <w:sz w:val="20"/>
                <w:szCs w:val="20"/>
              </w:rPr>
              <w:t>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504,96</w:t>
            </w:r>
            <w:r>
              <w:rPr>
                <w:sz w:val="20"/>
                <w:szCs w:val="20"/>
              </w:rPr>
              <w:t>5</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320,95</w:t>
            </w:r>
            <w:r>
              <w:rPr>
                <w:sz w:val="20"/>
                <w:szCs w:val="20"/>
              </w:rPr>
              <w:t>7</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25450991"/>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r>
              <w:rPr>
                <w:sz w:val="20"/>
                <w:szCs w:val="20"/>
              </w:rPr>
              <w:t>262,20</w:t>
            </w:r>
            <w:r>
              <w:rPr>
                <w:sz w:val="20"/>
                <w:szCs w:val="20"/>
              </w:rPr>
              <w:t>8</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185,33</w:t>
            </w:r>
            <w:r>
              <w:rPr>
                <w:sz w:val="20"/>
                <w:szCs w:val="20"/>
              </w:rPr>
              <w:t>7</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r>
      <w:tr w:rsidR="00000000">
        <w:trPr>
          <w:divId w:val="25450991"/>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Total property, plant and equipment, ne</w:t>
            </w:r>
            <w:r>
              <w:rPr>
                <w:sz w:val="20"/>
                <w:szCs w:val="20"/>
              </w:rPr>
              <w:t>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242,75</w:t>
            </w:r>
            <w:r>
              <w:rPr>
                <w:sz w:val="20"/>
                <w:szCs w:val="20"/>
              </w:rPr>
              <w:t>7</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135,62</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bl>
    <w:p w:rsidR="00000000" w:rsidRDefault="00F83A7A">
      <w:pPr>
        <w:pStyle w:val="a3"/>
        <w:spacing w:before="0" w:beforeAutospacing="0" w:after="0" w:afterAutospacing="0"/>
        <w:jc w:val="both"/>
        <w:divId w:val="1331325340"/>
        <w:rPr>
          <w:sz w:val="20"/>
          <w:szCs w:val="20"/>
        </w:rPr>
      </w:pPr>
      <w:r>
        <w:rPr>
          <w:sz w:val="20"/>
          <w:szCs w:val="20"/>
        </w:rPr>
        <w:t> </w:t>
      </w:r>
    </w:p>
    <w:p w:rsidR="00000000" w:rsidRDefault="00F83A7A">
      <w:pPr>
        <w:pStyle w:val="a3"/>
        <w:spacing w:before="0" w:beforeAutospacing="0" w:after="0" w:afterAutospacing="0"/>
        <w:jc w:val="both"/>
        <w:divId w:val="1331325340"/>
        <w:rPr>
          <w:sz w:val="20"/>
          <w:szCs w:val="20"/>
        </w:rPr>
      </w:pPr>
      <w:r>
        <w:rPr>
          <w:sz w:val="20"/>
          <w:szCs w:val="20"/>
        </w:rPr>
        <w:t xml:space="preserve">Depreciation expense was </w:t>
      </w:r>
      <w:r>
        <w:rPr>
          <w:sz w:val="20"/>
          <w:szCs w:val="20"/>
        </w:rPr>
        <w:t>$</w:t>
      </w:r>
      <w:r>
        <w:rPr>
          <w:sz w:val="20"/>
          <w:szCs w:val="20"/>
        </w:rPr>
        <w:t>77,00</w:t>
      </w:r>
      <w:r>
        <w:rPr>
          <w:sz w:val="20"/>
          <w:szCs w:val="20"/>
        </w:rPr>
        <w:t>0</w:t>
      </w:r>
      <w:r>
        <w:rPr>
          <w:sz w:val="20"/>
          <w:szCs w:val="20"/>
        </w:rPr>
        <w:t xml:space="preserve"> and </w:t>
      </w:r>
      <w:r>
        <w:rPr>
          <w:sz w:val="20"/>
          <w:szCs w:val="20"/>
        </w:rPr>
        <w:t>$</w:t>
      </w:r>
      <w:r>
        <w:rPr>
          <w:sz w:val="20"/>
          <w:szCs w:val="20"/>
        </w:rPr>
        <w:t>60,00</w:t>
      </w:r>
      <w:r>
        <w:rPr>
          <w:sz w:val="20"/>
          <w:szCs w:val="20"/>
        </w:rPr>
        <w:t>0</w:t>
      </w:r>
      <w:r>
        <w:rPr>
          <w:sz w:val="20"/>
          <w:szCs w:val="20"/>
        </w:rPr>
        <w:t xml:space="preserve"> for the years ended</w:t>
      </w:r>
      <w:r>
        <w:rPr>
          <w:sz w:val="20"/>
          <w:szCs w:val="20"/>
        </w:rPr>
        <w:t xml:space="preserve"> </w:t>
      </w:r>
      <w:r>
        <w:rPr>
          <w:sz w:val="20"/>
          <w:szCs w:val="20"/>
        </w:rPr>
        <w:t>December 31, 2021 and 2020 respectively</w:t>
      </w:r>
      <w:r>
        <w:rPr>
          <w:sz w:val="20"/>
          <w:szCs w:val="20"/>
        </w:rPr>
        <w:t>.</w:t>
      </w:r>
    </w:p>
    <w:p w:rsidR="00000000" w:rsidRDefault="00F83A7A">
      <w:pPr>
        <w:pStyle w:val="a3"/>
        <w:spacing w:before="200" w:beforeAutospacing="0" w:after="0" w:afterAutospacing="0"/>
        <w:jc w:val="both"/>
        <w:divId w:val="1331325340"/>
        <w:rPr>
          <w:sz w:val="20"/>
          <w:szCs w:val="20"/>
        </w:rPr>
      </w:pPr>
      <w:r>
        <w:rPr>
          <w:sz w:val="20"/>
          <w:szCs w:val="20"/>
        </w:rPr>
        <w:t xml:space="preserve">Intangible assets, net of accumulated amortization, were </w:t>
      </w:r>
      <w:r>
        <w:rPr>
          <w:sz w:val="20"/>
          <w:szCs w:val="20"/>
        </w:rPr>
        <w:t>$</w:t>
      </w:r>
      <w:r>
        <w:rPr>
          <w:sz w:val="20"/>
          <w:szCs w:val="20"/>
        </w:rPr>
        <w:t>164,00</w:t>
      </w:r>
      <w:r>
        <w:rPr>
          <w:sz w:val="20"/>
          <w:szCs w:val="20"/>
        </w:rPr>
        <w:t>0</w:t>
      </w:r>
      <w:r>
        <w:rPr>
          <w:sz w:val="20"/>
          <w:szCs w:val="20"/>
        </w:rPr>
        <w:t xml:space="preserve"> and </w:t>
      </w:r>
      <w:r>
        <w:rPr>
          <w:sz w:val="20"/>
          <w:szCs w:val="20"/>
        </w:rPr>
        <w:t>$</w:t>
      </w:r>
      <w:r>
        <w:rPr>
          <w:sz w:val="20"/>
          <w:szCs w:val="20"/>
        </w:rPr>
        <w:t>319,00</w:t>
      </w:r>
      <w:r>
        <w:rPr>
          <w:sz w:val="20"/>
          <w:szCs w:val="20"/>
        </w:rPr>
        <w:t>0</w:t>
      </w:r>
      <w:r>
        <w:rPr>
          <w:sz w:val="20"/>
          <w:szCs w:val="20"/>
        </w:rPr>
        <w:t xml:space="preserve"> as of</w:t>
      </w:r>
      <w:r>
        <w:rPr>
          <w:sz w:val="20"/>
          <w:szCs w:val="20"/>
        </w:rPr>
        <w:t xml:space="preserve"> </w:t>
      </w:r>
      <w:r>
        <w:rPr>
          <w:sz w:val="20"/>
          <w:szCs w:val="20"/>
        </w:rPr>
        <w:t>December 31, 2021 and 2020, respectively, and are included in oth</w:t>
      </w:r>
      <w:r>
        <w:rPr>
          <w:sz w:val="20"/>
          <w:szCs w:val="20"/>
        </w:rPr>
        <w:t xml:space="preserve">er assets. Amortization expense was </w:t>
      </w:r>
      <w:r>
        <w:rPr>
          <w:sz w:val="20"/>
          <w:szCs w:val="20"/>
        </w:rPr>
        <w:t>$</w:t>
      </w:r>
      <w:r>
        <w:rPr>
          <w:sz w:val="20"/>
          <w:szCs w:val="20"/>
        </w:rPr>
        <w:t>160,00</w:t>
      </w:r>
      <w:r>
        <w:rPr>
          <w:sz w:val="20"/>
          <w:szCs w:val="20"/>
        </w:rPr>
        <w:t>0</w:t>
      </w:r>
      <w:r>
        <w:rPr>
          <w:sz w:val="20"/>
          <w:szCs w:val="20"/>
        </w:rPr>
        <w:t xml:space="preserve"> and </w:t>
      </w:r>
      <w:r>
        <w:rPr>
          <w:sz w:val="20"/>
          <w:szCs w:val="20"/>
        </w:rPr>
        <w:t>$</w:t>
      </w:r>
      <w:r>
        <w:rPr>
          <w:sz w:val="20"/>
          <w:szCs w:val="20"/>
        </w:rPr>
        <w:t>247,00</w:t>
      </w:r>
      <w:r>
        <w:rPr>
          <w:sz w:val="20"/>
          <w:szCs w:val="20"/>
        </w:rPr>
        <w:t>0</w:t>
      </w:r>
      <w:r>
        <w:rPr>
          <w:sz w:val="20"/>
          <w:szCs w:val="20"/>
        </w:rPr>
        <w:t xml:space="preserve"> for the years ended</w:t>
      </w:r>
      <w:r>
        <w:rPr>
          <w:sz w:val="20"/>
          <w:szCs w:val="20"/>
        </w:rPr>
        <w:t xml:space="preserve"> </w:t>
      </w:r>
      <w:r>
        <w:rPr>
          <w:sz w:val="20"/>
          <w:szCs w:val="20"/>
        </w:rPr>
        <w:t>December 31, 2021 and 202</w:t>
      </w:r>
      <w:r>
        <w:rPr>
          <w:sz w:val="20"/>
          <w:szCs w:val="20"/>
        </w:rPr>
        <w:t>0</w:t>
      </w:r>
      <w:r>
        <w:rPr>
          <w:sz w:val="20"/>
          <w:szCs w:val="20"/>
        </w:rPr>
        <w:t>, respectively</w:t>
      </w:r>
      <w:r>
        <w:rPr>
          <w:sz w:val="20"/>
          <w:szCs w:val="20"/>
        </w:rPr>
        <w:t>.</w:t>
      </w:r>
    </w:p>
    <w:p w:rsidR="00000000" w:rsidRDefault="00F83A7A">
      <w:pPr>
        <w:pStyle w:val="a3"/>
        <w:spacing w:before="200" w:beforeAutospacing="0" w:after="0" w:afterAutospacing="0"/>
        <w:jc w:val="both"/>
        <w:divId w:val="1629555413"/>
        <w:rPr>
          <w:sz w:val="20"/>
          <w:szCs w:val="20"/>
        </w:rPr>
      </w:pPr>
      <w:r>
        <w:rPr>
          <w:b/>
          <w:bCs/>
          <w:sz w:val="20"/>
          <w:szCs w:val="20"/>
        </w:rPr>
        <w:t>NOTE 5 – ACCRUED EXPENSE</w:t>
      </w:r>
      <w:r>
        <w:rPr>
          <w:b/>
          <w:bCs/>
          <w:sz w:val="20"/>
          <w:szCs w:val="20"/>
        </w:rPr>
        <w:t>S</w:t>
      </w:r>
    </w:p>
    <w:p w:rsidR="00000000" w:rsidRDefault="00F83A7A">
      <w:pPr>
        <w:pStyle w:val="a3"/>
        <w:spacing w:before="200" w:beforeAutospacing="0" w:after="0" w:afterAutospacing="0"/>
        <w:divId w:val="1389646336"/>
        <w:rPr>
          <w:sz w:val="20"/>
          <w:szCs w:val="20"/>
        </w:rPr>
      </w:pPr>
      <w:r>
        <w:rPr>
          <w:sz w:val="20"/>
          <w:szCs w:val="20"/>
        </w:rPr>
        <w:t>Accrued expenses consist of the following</w:t>
      </w:r>
      <w:r>
        <w:rPr>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19"/>
        <w:gridCol w:w="110"/>
        <w:gridCol w:w="160"/>
        <w:gridCol w:w="860"/>
        <w:gridCol w:w="110"/>
        <w:gridCol w:w="110"/>
        <w:gridCol w:w="160"/>
        <w:gridCol w:w="960"/>
        <w:gridCol w:w="125"/>
      </w:tblGrid>
      <w:tr w:rsidR="00000000">
        <w:trPr>
          <w:divId w:val="1389646336"/>
          <w:tblCellSpacing w:w="15" w:type="dxa"/>
        </w:trPr>
        <w:tc>
          <w:tcPr>
            <w:tcW w:w="3049" w:type="pct"/>
            <w:vAlign w:val="center"/>
            <w:hideMark/>
          </w:tcPr>
          <w:p w:rsidR="00000000" w:rsidRDefault="00F83A7A">
            <w:pPr>
              <w:rPr>
                <w:sz w:val="20"/>
                <w:szCs w:val="20"/>
              </w:rPr>
            </w:pPr>
          </w:p>
        </w:tc>
        <w:tc>
          <w:tcPr>
            <w:tcW w:w="68" w:type="pct"/>
            <w:vAlign w:val="center"/>
            <w:hideMark/>
          </w:tcPr>
          <w:p w:rsidR="00000000" w:rsidRDefault="00F83A7A">
            <w:pPr>
              <w:rPr>
                <w:rFonts w:eastAsia="Times New Roman"/>
                <w:sz w:val="20"/>
                <w:szCs w:val="20"/>
              </w:rPr>
            </w:pPr>
          </w:p>
        </w:tc>
        <w:tc>
          <w:tcPr>
            <w:tcW w:w="99" w:type="pct"/>
            <w:vAlign w:val="center"/>
            <w:hideMark/>
          </w:tcPr>
          <w:p w:rsidR="00000000" w:rsidRDefault="00F83A7A">
            <w:pPr>
              <w:rPr>
                <w:rFonts w:eastAsia="Times New Roman"/>
                <w:sz w:val="20"/>
                <w:szCs w:val="20"/>
              </w:rPr>
            </w:pPr>
          </w:p>
        </w:tc>
        <w:tc>
          <w:tcPr>
            <w:tcW w:w="753" w:type="pct"/>
            <w:vAlign w:val="center"/>
            <w:hideMark/>
          </w:tcPr>
          <w:p w:rsidR="00000000" w:rsidRDefault="00F83A7A">
            <w:pPr>
              <w:rPr>
                <w:rFonts w:eastAsia="Times New Roman"/>
                <w:sz w:val="20"/>
                <w:szCs w:val="20"/>
              </w:rPr>
            </w:pPr>
          </w:p>
        </w:tc>
        <w:tc>
          <w:tcPr>
            <w:tcW w:w="39" w:type="pct"/>
            <w:vAlign w:val="center"/>
            <w:hideMark/>
          </w:tcPr>
          <w:p w:rsidR="00000000" w:rsidRDefault="00F83A7A">
            <w:pPr>
              <w:rPr>
                <w:rFonts w:eastAsia="Times New Roman"/>
                <w:sz w:val="20"/>
                <w:szCs w:val="20"/>
              </w:rPr>
            </w:pPr>
          </w:p>
        </w:tc>
        <w:tc>
          <w:tcPr>
            <w:tcW w:w="68" w:type="pct"/>
            <w:vAlign w:val="center"/>
            <w:hideMark/>
          </w:tcPr>
          <w:p w:rsidR="00000000" w:rsidRDefault="00F83A7A">
            <w:pPr>
              <w:rPr>
                <w:rFonts w:eastAsia="Times New Roman"/>
                <w:sz w:val="20"/>
                <w:szCs w:val="20"/>
              </w:rPr>
            </w:pPr>
          </w:p>
        </w:tc>
        <w:tc>
          <w:tcPr>
            <w:tcW w:w="99" w:type="pct"/>
            <w:vAlign w:val="center"/>
            <w:hideMark/>
          </w:tcPr>
          <w:p w:rsidR="00000000" w:rsidRDefault="00F83A7A">
            <w:pPr>
              <w:rPr>
                <w:rFonts w:eastAsia="Times New Roman"/>
                <w:sz w:val="20"/>
                <w:szCs w:val="20"/>
              </w:rPr>
            </w:pPr>
          </w:p>
        </w:tc>
        <w:tc>
          <w:tcPr>
            <w:tcW w:w="781" w:type="pct"/>
            <w:vAlign w:val="center"/>
            <w:hideMark/>
          </w:tcPr>
          <w:p w:rsidR="00000000" w:rsidRDefault="00F83A7A">
            <w:pPr>
              <w:rPr>
                <w:rFonts w:eastAsia="Times New Roman"/>
                <w:sz w:val="20"/>
                <w:szCs w:val="20"/>
              </w:rPr>
            </w:pPr>
          </w:p>
        </w:tc>
        <w:tc>
          <w:tcPr>
            <w:tcW w:w="39" w:type="pct"/>
            <w:vAlign w:val="center"/>
            <w:hideMark/>
          </w:tcPr>
          <w:p w:rsidR="00000000" w:rsidRDefault="00F83A7A">
            <w:pPr>
              <w:rPr>
                <w:rFonts w:eastAsia="Times New Roman"/>
                <w:sz w:val="20"/>
                <w:szCs w:val="20"/>
              </w:rPr>
            </w:pPr>
          </w:p>
        </w:tc>
      </w:tr>
      <w:tr w:rsidR="00000000">
        <w:trPr>
          <w:divId w:val="1389646336"/>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1389646336"/>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1389646336"/>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Clinical trials accrua</w:t>
            </w:r>
            <w:r>
              <w:rPr>
                <w:sz w:val="20"/>
                <w:szCs w:val="20"/>
              </w:rPr>
              <w:t>l</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1,795,19</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4,175,49</w:t>
            </w:r>
            <w:r>
              <w:rPr>
                <w:sz w:val="20"/>
                <w:szCs w:val="20"/>
              </w:rPr>
              <w:t>7</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1389646336"/>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Payroll and bonus accrua</w:t>
            </w:r>
            <w:r>
              <w:rPr>
                <w:sz w:val="20"/>
                <w:szCs w:val="20"/>
              </w:rPr>
              <w:t>l</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3,764,66</w:t>
            </w:r>
            <w:r>
              <w:rPr>
                <w:sz w:val="20"/>
                <w:szCs w:val="20"/>
              </w:rPr>
              <w:t>6</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3,845,44</w:t>
            </w:r>
            <w:r>
              <w:rPr>
                <w:sz w:val="20"/>
                <w:szCs w:val="20"/>
              </w:rPr>
              <w:t>1</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1389646336"/>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Professional fees accrua</w:t>
            </w:r>
            <w:r>
              <w:rPr>
                <w:sz w:val="20"/>
                <w:szCs w:val="20"/>
              </w:rPr>
              <w:t>l</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1,564,95</w:t>
            </w:r>
            <w:r>
              <w:rPr>
                <w:sz w:val="20"/>
                <w:szCs w:val="20"/>
              </w:rPr>
              <w:t>5</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3,846,21</w:t>
            </w:r>
            <w:r>
              <w:rPr>
                <w:sz w:val="20"/>
                <w:szCs w:val="20"/>
              </w:rPr>
              <w:t>1</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1389646336"/>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Othe</w:t>
            </w:r>
            <w:r>
              <w:rPr>
                <w:sz w:val="20"/>
                <w:szCs w:val="20"/>
              </w:rPr>
              <w:t>r</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546,46</w:t>
            </w:r>
            <w:r>
              <w:rPr>
                <w:sz w:val="20"/>
                <w:szCs w:val="20"/>
              </w:rPr>
              <w:t>4</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165,53</w:t>
            </w:r>
            <w:r>
              <w:rPr>
                <w:sz w:val="20"/>
                <w:szCs w:val="20"/>
              </w:rPr>
              <w:t>6</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1389646336"/>
          <w:trHeight w:val="200"/>
          <w:tblCellSpacing w:w="15" w:type="dxa"/>
        </w:trPr>
        <w:tc>
          <w:tcPr>
            <w:tcW w:w="0" w:type="auto"/>
            <w:vAlign w:val="center"/>
            <w:hideMark/>
          </w:tcPr>
          <w:p w:rsidR="00000000" w:rsidRDefault="00F83A7A">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7,671,27</w:t>
            </w:r>
            <w:r>
              <w:rPr>
                <w:sz w:val="20"/>
                <w:szCs w:val="20"/>
              </w:rPr>
              <w:t>5</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12,032,68</w:t>
            </w:r>
            <w:r>
              <w:rPr>
                <w:sz w:val="20"/>
                <w:szCs w:val="20"/>
              </w:rPr>
              <w:t>5</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bl>
    <w:p w:rsidR="00000000" w:rsidRDefault="00F83A7A">
      <w:pPr>
        <w:pStyle w:val="a3"/>
        <w:spacing w:before="0" w:beforeAutospacing="0" w:after="0" w:afterAutospacing="0"/>
        <w:jc w:val="both"/>
        <w:divId w:val="1629555413"/>
        <w:rPr>
          <w:sz w:val="20"/>
          <w:szCs w:val="20"/>
        </w:rPr>
      </w:pPr>
      <w:r>
        <w:rPr>
          <w:sz w:val="20"/>
          <w:szCs w:val="20"/>
        </w:rPr>
        <w:t> </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F</w:t>
      </w:r>
      <w:r>
        <w:rPr>
          <w:sz w:val="20"/>
          <w:szCs w:val="20"/>
        </w:rPr>
        <w:t>-</w:t>
      </w:r>
      <w:r>
        <w:rPr>
          <w:sz w:val="20"/>
          <w:szCs w:val="20"/>
        </w:rPr>
        <w:t>1</w:t>
      </w:r>
      <w:r>
        <w:rPr>
          <w:sz w:val="20"/>
          <w:szCs w:val="20"/>
        </w:rPr>
        <w:t>3</w:t>
      </w:r>
    </w:p>
    <w:p w:rsidR="00000000" w:rsidRDefault="00F83A7A">
      <w:pPr>
        <w:rPr>
          <w:rFonts w:eastAsia="Times New Roman"/>
        </w:rPr>
      </w:pPr>
      <w:r>
        <w:rPr>
          <w:rFonts w:eastAsia="Times New Roman"/>
        </w:rPr>
        <w:pict>
          <v:rect id="_x0000_i1109"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0" w:beforeAutospacing="0" w:after="0" w:afterAutospacing="0"/>
        <w:jc w:val="both"/>
        <w:divId w:val="660279915"/>
        <w:rPr>
          <w:sz w:val="20"/>
          <w:szCs w:val="20"/>
        </w:rPr>
      </w:pPr>
      <w:r>
        <w:rPr>
          <w:b/>
          <w:bCs/>
          <w:sz w:val="20"/>
          <w:szCs w:val="20"/>
        </w:rPr>
        <w:t>NOTE 6 – STOCKHOLDERS’ EQUITY AND PREFERRED STOC</w:t>
      </w:r>
      <w:r>
        <w:rPr>
          <w:b/>
          <w:bCs/>
          <w:sz w:val="20"/>
          <w:szCs w:val="20"/>
        </w:rPr>
        <w:t>K</w:t>
      </w:r>
    </w:p>
    <w:p w:rsidR="00000000" w:rsidRDefault="00F83A7A">
      <w:pPr>
        <w:pStyle w:val="a3"/>
        <w:spacing w:before="132" w:beforeAutospacing="0" w:after="0" w:afterAutospacing="0"/>
        <w:jc w:val="both"/>
        <w:divId w:val="660279915"/>
        <w:rPr>
          <w:sz w:val="20"/>
          <w:szCs w:val="20"/>
        </w:rPr>
      </w:pPr>
      <w:r>
        <w:rPr>
          <w:sz w:val="20"/>
          <w:szCs w:val="20"/>
        </w:rPr>
        <w:t>The Company’</w:t>
      </w:r>
      <w:r>
        <w:rPr>
          <w:sz w:val="20"/>
          <w:szCs w:val="20"/>
        </w:rPr>
        <w:t>s capital structure consists of common stock and Preferred Stock. Pursuant to the Company’s amended and restated certificate of incorporation, as amended, the Company is authorized to issue up to</w:t>
      </w:r>
      <w:r>
        <w:rPr>
          <w:sz w:val="20"/>
          <w:szCs w:val="20"/>
        </w:rPr>
        <w:t xml:space="preserve"> </w:t>
      </w:r>
      <w:r>
        <w:rPr>
          <w:sz w:val="20"/>
          <w:szCs w:val="20"/>
        </w:rPr>
        <w:t>125,000,00</w:t>
      </w:r>
      <w:r>
        <w:rPr>
          <w:sz w:val="20"/>
          <w:szCs w:val="20"/>
        </w:rPr>
        <w:t>0</w:t>
      </w:r>
      <w:r>
        <w:rPr>
          <w:sz w:val="20"/>
          <w:szCs w:val="20"/>
        </w:rPr>
        <w:t xml:space="preserve"> shares of common stock and</w:t>
      </w:r>
      <w:r>
        <w:rPr>
          <w:sz w:val="20"/>
          <w:szCs w:val="20"/>
        </w:rPr>
        <w:t xml:space="preserve"> </w:t>
      </w:r>
      <w:r>
        <w:rPr>
          <w:sz w:val="20"/>
          <w:szCs w:val="20"/>
        </w:rPr>
        <w:t>10,000,00</w:t>
      </w:r>
      <w:r>
        <w:rPr>
          <w:sz w:val="20"/>
          <w:szCs w:val="20"/>
        </w:rPr>
        <w:t>0</w:t>
      </w:r>
      <w:r>
        <w:rPr>
          <w:sz w:val="20"/>
          <w:szCs w:val="20"/>
        </w:rPr>
        <w:t xml:space="preserve"> shares of </w:t>
      </w:r>
      <w:r>
        <w:rPr>
          <w:sz w:val="20"/>
          <w:szCs w:val="20"/>
        </w:rPr>
        <w:t>Preferred Stock. The Company has designated</w:t>
      </w:r>
      <w:r>
        <w:rPr>
          <w:sz w:val="20"/>
          <w:szCs w:val="20"/>
        </w:rPr>
        <w:t xml:space="preserve"> </w:t>
      </w:r>
      <w:r>
        <w:rPr>
          <w:sz w:val="20"/>
          <w:szCs w:val="20"/>
        </w:rPr>
        <w:t>10,00</w:t>
      </w:r>
      <w:r>
        <w:rPr>
          <w:sz w:val="20"/>
          <w:szCs w:val="20"/>
        </w:rPr>
        <w:t>0</w:t>
      </w:r>
      <w:r>
        <w:rPr>
          <w:sz w:val="20"/>
          <w:szCs w:val="20"/>
        </w:rPr>
        <w:t xml:space="preserve"> of the 10,000,000 authorized shares of Preferred Stock as non-voting Series A Convertible Preferred Stock (“Series A Preferred Stock”)</w:t>
      </w:r>
      <w:r>
        <w:rPr>
          <w:sz w:val="20"/>
          <w:szCs w:val="20"/>
        </w:rPr>
        <w:t>.</w:t>
      </w:r>
    </w:p>
    <w:p w:rsidR="00000000" w:rsidRDefault="00F83A7A">
      <w:pPr>
        <w:pStyle w:val="a3"/>
        <w:spacing w:before="200" w:beforeAutospacing="0" w:after="0" w:afterAutospacing="0"/>
        <w:jc w:val="both"/>
        <w:divId w:val="660279915"/>
        <w:rPr>
          <w:sz w:val="20"/>
          <w:szCs w:val="20"/>
        </w:rPr>
      </w:pPr>
      <w:r>
        <w:rPr>
          <w:sz w:val="20"/>
          <w:szCs w:val="20"/>
        </w:rPr>
        <w:t>The holders of common stock are entitled to</w:t>
      </w:r>
      <w:r>
        <w:rPr>
          <w:sz w:val="20"/>
          <w:szCs w:val="20"/>
        </w:rPr>
        <w:t xml:space="preserve"> </w:t>
      </w:r>
      <w:r>
        <w:rPr>
          <w:sz w:val="20"/>
          <w:szCs w:val="20"/>
        </w:rPr>
        <w:t>one vote for each share h</w:t>
      </w:r>
      <w:r>
        <w:rPr>
          <w:sz w:val="20"/>
          <w:szCs w:val="20"/>
        </w:rPr>
        <w:t>el</w:t>
      </w:r>
      <w:r>
        <w:rPr>
          <w:sz w:val="20"/>
          <w:szCs w:val="20"/>
        </w:rPr>
        <w:t>d</w:t>
      </w:r>
      <w:r>
        <w:rPr>
          <w:sz w:val="20"/>
          <w:szCs w:val="20"/>
        </w:rPr>
        <w:t>. The holders of common stock have no preemptive or other subscription rights, and there are no redemption or sinking fund provisions with respect to such shares. Subject to preferences that may apply to any outstanding series of Preferred Stock, holder</w:t>
      </w:r>
      <w:r>
        <w:rPr>
          <w:sz w:val="20"/>
          <w:szCs w:val="20"/>
        </w:rPr>
        <w:t>s of the common stock are entitled to</w:t>
      </w:r>
      <w:r>
        <w:rPr>
          <w:sz w:val="20"/>
          <w:szCs w:val="20"/>
        </w:rPr>
        <w:t xml:space="preserve"> </w:t>
      </w:r>
      <w:r>
        <w:rPr>
          <w:sz w:val="20"/>
          <w:szCs w:val="20"/>
        </w:rPr>
        <w:t>receive ratably any dividends declared on a non-cumulative basis. Shares of Series A Preferred Stock will be entitled to receive dividends at a rate equal to (on an as-if-converted-to-common stock basis), and in the sa</w:t>
      </w:r>
      <w:r>
        <w:rPr>
          <w:sz w:val="20"/>
          <w:szCs w:val="20"/>
        </w:rPr>
        <w:t>me form and manner as, dividends actually paid on shares of common stock.</w:t>
      </w:r>
      <w:r>
        <w:rPr>
          <w:sz w:val="20"/>
          <w:szCs w:val="20"/>
        </w:rPr>
        <w:t xml:space="preserve"> </w:t>
      </w:r>
      <w:r>
        <w:rPr>
          <w:sz w:val="20"/>
          <w:szCs w:val="20"/>
        </w:rPr>
        <w:t>The common stock is subordinate to all series of Preferred Stock with respect to rights upon liquidation, winding up and dissolution of the Company. The holders of common stock are e</w:t>
      </w:r>
      <w:r>
        <w:rPr>
          <w:sz w:val="20"/>
          <w:szCs w:val="20"/>
        </w:rPr>
        <w:t>ntitled to liquidation proceeds after all liquidation preferences for the Preferred Stock are satisfied</w:t>
      </w:r>
      <w:r>
        <w:rPr>
          <w:sz w:val="20"/>
          <w:szCs w:val="20"/>
        </w:rPr>
        <w:t>.</w:t>
      </w:r>
    </w:p>
    <w:p w:rsidR="00000000" w:rsidRDefault="00F83A7A">
      <w:pPr>
        <w:pStyle w:val="a3"/>
        <w:spacing w:before="200" w:beforeAutospacing="0" w:after="0" w:afterAutospacing="0"/>
        <w:jc w:val="both"/>
        <w:divId w:val="660279915"/>
        <w:rPr>
          <w:sz w:val="20"/>
          <w:szCs w:val="20"/>
        </w:rPr>
      </w:pPr>
      <w:r>
        <w:rPr>
          <w:sz w:val="20"/>
          <w:szCs w:val="20"/>
        </w:rPr>
        <w:t>In November 2020, the Company entered into a sales agreement (the “2020 ATM agreement”) with Cowen and Company, LLC ("Cowen") under which the Company m</w:t>
      </w:r>
      <w:r>
        <w:rPr>
          <w:sz w:val="20"/>
          <w:szCs w:val="20"/>
        </w:rPr>
        <w:t xml:space="preserve">ay offer and sell in “at the market offerings,” from time to time at its sole discretion, shares of its common stock having an aggregate offering price of up to </w:t>
      </w:r>
      <w:r>
        <w:rPr>
          <w:sz w:val="20"/>
          <w:szCs w:val="20"/>
        </w:rPr>
        <w:t>$</w:t>
      </w:r>
      <w:r>
        <w:rPr>
          <w:sz w:val="20"/>
          <w:szCs w:val="20"/>
        </w:rPr>
        <w:t>75.</w:t>
      </w:r>
      <w:r>
        <w:rPr>
          <w:sz w:val="20"/>
          <w:szCs w:val="20"/>
        </w:rPr>
        <w:t>0</w:t>
      </w:r>
      <w:r>
        <w:rPr>
          <w:sz w:val="20"/>
          <w:szCs w:val="20"/>
        </w:rPr>
        <w:t xml:space="preserve"> million through Cowen acting as sales agent. As of December 31, 2021, the Company has not</w:t>
      </w:r>
      <w:r>
        <w:rPr>
          <w:sz w:val="20"/>
          <w:szCs w:val="20"/>
        </w:rPr>
        <w:t xml:space="preserve"> sold any shares of its common stock under the 2020 ATM agreement</w:t>
      </w:r>
      <w:r>
        <w:rPr>
          <w:sz w:val="20"/>
          <w:szCs w:val="20"/>
        </w:rPr>
        <w:t>.</w:t>
      </w:r>
      <w:r>
        <w:rPr>
          <w:sz w:val="20"/>
          <w:szCs w:val="20"/>
        </w:rPr>
        <w:t xml:space="preserve"> </w:t>
      </w:r>
    </w:p>
    <w:p w:rsidR="00000000" w:rsidRDefault="00F83A7A">
      <w:pPr>
        <w:pStyle w:val="a3"/>
        <w:spacing w:before="200" w:beforeAutospacing="0" w:after="0" w:afterAutospacing="0"/>
        <w:jc w:val="both"/>
        <w:divId w:val="660279915"/>
        <w:rPr>
          <w:sz w:val="20"/>
          <w:szCs w:val="20"/>
        </w:rPr>
      </w:pPr>
      <w:r>
        <w:rPr>
          <w:sz w:val="20"/>
          <w:szCs w:val="20"/>
        </w:rPr>
        <w:t>There were</w:t>
      </w:r>
      <w:r>
        <w:rPr>
          <w:sz w:val="20"/>
          <w:szCs w:val="20"/>
        </w:rPr>
        <w:t xml:space="preserve"> </w:t>
      </w:r>
      <w:r>
        <w:rPr>
          <w:sz w:val="20"/>
          <w:szCs w:val="20"/>
        </w:rPr>
        <w:t>1,25</w:t>
      </w:r>
      <w:r>
        <w:rPr>
          <w:sz w:val="20"/>
          <w:szCs w:val="20"/>
        </w:rPr>
        <w:t>0</w:t>
      </w:r>
      <w:r>
        <w:rPr>
          <w:sz w:val="20"/>
          <w:szCs w:val="20"/>
        </w:rPr>
        <w:t xml:space="preserve"> and</w:t>
      </w:r>
      <w:r>
        <w:rPr>
          <w:sz w:val="20"/>
          <w:szCs w:val="20"/>
        </w:rPr>
        <w:t xml:space="preserve"> </w:t>
      </w:r>
      <w:r>
        <w:rPr>
          <w:sz w:val="20"/>
          <w:szCs w:val="20"/>
        </w:rPr>
        <w:t>3,25</w:t>
      </w:r>
      <w:r>
        <w:rPr>
          <w:sz w:val="20"/>
          <w:szCs w:val="20"/>
        </w:rPr>
        <w:t>0</w:t>
      </w:r>
      <w:r>
        <w:rPr>
          <w:sz w:val="20"/>
          <w:szCs w:val="20"/>
        </w:rPr>
        <w:t xml:space="preserve"> shares of Series A Preferred Stock outstanding as of December 31, 2021 and December 31, 2020, respectively. Each share of Series A Preferred Stock is convertible</w:t>
      </w:r>
      <w:r>
        <w:rPr>
          <w:sz w:val="20"/>
          <w:szCs w:val="20"/>
        </w:rPr>
        <w:t xml:space="preserve"> into</w:t>
      </w:r>
      <w:r>
        <w:rPr>
          <w:sz w:val="20"/>
          <w:szCs w:val="20"/>
        </w:rPr>
        <w:t xml:space="preserve"> </w:t>
      </w:r>
      <w:r>
        <w:rPr>
          <w:sz w:val="20"/>
          <w:szCs w:val="20"/>
        </w:rPr>
        <w:t>1,00</w:t>
      </w:r>
      <w:r>
        <w:rPr>
          <w:sz w:val="20"/>
          <w:szCs w:val="20"/>
        </w:rPr>
        <w:t>0</w:t>
      </w:r>
      <w:r>
        <w:rPr>
          <w:sz w:val="20"/>
          <w:szCs w:val="20"/>
        </w:rPr>
        <w:t xml:space="preserve"> shares of common stock at any time at the holder’s option. However, the holder will be prohibited, subject to certain exceptions, from converting shares of Series A Preferred Stock into shares of common stock if, as a result of such conversion,</w:t>
      </w:r>
      <w:r>
        <w:rPr>
          <w:sz w:val="20"/>
          <w:szCs w:val="20"/>
        </w:rPr>
        <w:t xml:space="preserve"> the holder, together with its affiliates, would own more than, at the written election of the holder, either</w:t>
      </w:r>
      <w:r>
        <w:rPr>
          <w:sz w:val="20"/>
          <w:szCs w:val="20"/>
        </w:rPr>
        <w:t xml:space="preserve"> </w:t>
      </w:r>
      <w:r>
        <w:rPr>
          <w:sz w:val="20"/>
          <w:szCs w:val="20"/>
        </w:rPr>
        <w:t>9.9</w:t>
      </w:r>
      <w:r>
        <w:rPr>
          <w:sz w:val="20"/>
          <w:szCs w:val="20"/>
        </w:rPr>
        <w:t>9</w:t>
      </w:r>
      <w:r>
        <w:rPr>
          <w:sz w:val="20"/>
          <w:szCs w:val="20"/>
        </w:rPr>
        <w:t>% or</w:t>
      </w:r>
      <w:r>
        <w:rPr>
          <w:sz w:val="20"/>
          <w:szCs w:val="20"/>
        </w:rPr>
        <w:t xml:space="preserve"> </w:t>
      </w:r>
      <w:r>
        <w:rPr>
          <w:sz w:val="20"/>
          <w:szCs w:val="20"/>
        </w:rPr>
        <w:t>14.9</w:t>
      </w:r>
      <w:r>
        <w:rPr>
          <w:sz w:val="20"/>
          <w:szCs w:val="20"/>
        </w:rPr>
        <w:t>9</w:t>
      </w:r>
      <w:r>
        <w:rPr>
          <w:sz w:val="20"/>
          <w:szCs w:val="20"/>
        </w:rPr>
        <w:t>% of the total number of shares of common stock then issued and outstanding, which</w:t>
      </w:r>
      <w:r>
        <w:rPr>
          <w:sz w:val="20"/>
          <w:szCs w:val="20"/>
        </w:rPr>
        <w:t xml:space="preserve"> </w:t>
      </w:r>
      <w:r>
        <w:rPr>
          <w:sz w:val="20"/>
          <w:szCs w:val="20"/>
        </w:rPr>
        <w:t>percentage may be changed at the holder’s electio</w:t>
      </w:r>
      <w:r>
        <w:rPr>
          <w:sz w:val="20"/>
          <w:szCs w:val="20"/>
        </w:rPr>
        <w:t>n to any other number less than or equal to 19.99% upon 61 days’ notice to the Company; provided, however, that effective 61 days after delivery of such notice, such beneficial ownership limitations shall not be applicable to any holder that beneficially o</w:t>
      </w:r>
      <w:r>
        <w:rPr>
          <w:sz w:val="20"/>
          <w:szCs w:val="20"/>
        </w:rPr>
        <w:t>wns either 10.0% or 15.0</w:t>
      </w:r>
      <w:r>
        <w:rPr>
          <w:sz w:val="20"/>
          <w:szCs w:val="20"/>
        </w:rPr>
        <w:t>%</w:t>
      </w:r>
      <w:r>
        <w:rPr>
          <w:sz w:val="20"/>
          <w:szCs w:val="20"/>
        </w:rPr>
        <w:t>, as applicable based on the holder’s initial written election noted above, of the total number of shares of common stock issued and outstanding immediately prior to delivery of such notice. In the event of a liquidation, dissoluti</w:t>
      </w:r>
      <w:r>
        <w:rPr>
          <w:sz w:val="20"/>
          <w:szCs w:val="20"/>
        </w:rPr>
        <w:t xml:space="preserve">on, or winding up of the Company, holders of Series A Preferred Stock will receive a payment equal to </w:t>
      </w:r>
      <w:r>
        <w:rPr>
          <w:sz w:val="20"/>
          <w:szCs w:val="20"/>
        </w:rPr>
        <w:t>$</w:t>
      </w:r>
      <w:r>
        <w:rPr>
          <w:sz w:val="20"/>
          <w:szCs w:val="20"/>
        </w:rPr>
        <w:t>0.00</w:t>
      </w:r>
      <w:r>
        <w:rPr>
          <w:sz w:val="20"/>
          <w:szCs w:val="20"/>
        </w:rPr>
        <w:t>1</w:t>
      </w:r>
      <w:r>
        <w:rPr>
          <w:sz w:val="20"/>
          <w:szCs w:val="20"/>
        </w:rPr>
        <w:t xml:space="preserve"> per share of Series A Preferred Stock before any proceeds are distributed to the holders of common stock</w:t>
      </w:r>
      <w:r>
        <w:rPr>
          <w:sz w:val="20"/>
          <w:szCs w:val="20"/>
        </w:rPr>
        <w:t>.</w:t>
      </w:r>
    </w:p>
    <w:p w:rsidR="00000000" w:rsidRDefault="00F83A7A">
      <w:pPr>
        <w:pStyle w:val="a3"/>
        <w:spacing w:before="0" w:beforeAutospacing="0" w:after="0" w:afterAutospacing="0"/>
        <w:jc w:val="both"/>
        <w:divId w:val="660279915"/>
        <w:rPr>
          <w:sz w:val="20"/>
          <w:szCs w:val="20"/>
        </w:rPr>
      </w:pPr>
      <w:r>
        <w:rPr>
          <w:sz w:val="20"/>
          <w:szCs w:val="20"/>
        </w:rPr>
        <w:t> </w:t>
      </w:r>
    </w:p>
    <w:p w:rsidR="00000000" w:rsidRDefault="00F83A7A">
      <w:pPr>
        <w:pStyle w:val="a3"/>
        <w:spacing w:before="0" w:beforeAutospacing="0" w:after="0" w:afterAutospacing="0"/>
        <w:jc w:val="both"/>
        <w:divId w:val="660279915"/>
        <w:rPr>
          <w:sz w:val="20"/>
          <w:szCs w:val="20"/>
        </w:rPr>
      </w:pPr>
      <w:r>
        <w:rPr>
          <w:sz w:val="20"/>
          <w:szCs w:val="20"/>
        </w:rPr>
        <w:t>In March 2021, certain of the Company's</w:t>
      </w:r>
      <w:r>
        <w:rPr>
          <w:sz w:val="20"/>
          <w:szCs w:val="20"/>
        </w:rPr>
        <w:t xml:space="preserve"> stockholders elected to convert an aggregate of</w:t>
      </w:r>
      <w:r>
        <w:rPr>
          <w:sz w:val="20"/>
          <w:szCs w:val="20"/>
        </w:rPr>
        <w:t xml:space="preserve"> </w:t>
      </w:r>
      <w:r>
        <w:rPr>
          <w:sz w:val="20"/>
          <w:szCs w:val="20"/>
        </w:rPr>
        <w:t>2,00</w:t>
      </w:r>
      <w:r>
        <w:rPr>
          <w:sz w:val="20"/>
          <w:szCs w:val="20"/>
        </w:rPr>
        <w:t>0</w:t>
      </w:r>
      <w:r>
        <w:rPr>
          <w:sz w:val="20"/>
          <w:szCs w:val="20"/>
        </w:rPr>
        <w:t xml:space="preserve"> shares of Series A Preferred Stock owned by such holders into an aggregate of</w:t>
      </w:r>
      <w:r>
        <w:rPr>
          <w:sz w:val="20"/>
          <w:szCs w:val="20"/>
        </w:rPr>
        <w:t xml:space="preserve"> </w:t>
      </w:r>
      <w:r>
        <w:rPr>
          <w:sz w:val="20"/>
          <w:szCs w:val="20"/>
        </w:rPr>
        <w:t>2,000,00</w:t>
      </w:r>
      <w:r>
        <w:rPr>
          <w:sz w:val="20"/>
          <w:szCs w:val="20"/>
        </w:rPr>
        <w:t>0</w:t>
      </w:r>
      <w:r>
        <w:rPr>
          <w:sz w:val="20"/>
          <w:szCs w:val="20"/>
        </w:rPr>
        <w:t xml:space="preserve"> shares of the Company's common stock</w:t>
      </w:r>
      <w:r>
        <w:rPr>
          <w:sz w:val="20"/>
          <w:szCs w:val="20"/>
        </w:rPr>
        <w:t>.</w:t>
      </w:r>
    </w:p>
    <w:p w:rsidR="00000000" w:rsidRDefault="00F83A7A">
      <w:pPr>
        <w:pStyle w:val="a3"/>
        <w:spacing w:before="0" w:beforeAutospacing="0" w:after="0" w:afterAutospacing="0"/>
        <w:jc w:val="both"/>
        <w:divId w:val="660279915"/>
        <w:rPr>
          <w:sz w:val="20"/>
          <w:szCs w:val="20"/>
        </w:rPr>
      </w:pPr>
      <w:r>
        <w:rPr>
          <w:sz w:val="20"/>
          <w:szCs w:val="20"/>
        </w:rPr>
        <w:t> </w:t>
      </w:r>
    </w:p>
    <w:p w:rsidR="00000000" w:rsidRDefault="00F83A7A">
      <w:pPr>
        <w:pStyle w:val="a3"/>
        <w:spacing w:before="0" w:beforeAutospacing="0" w:after="0" w:afterAutospacing="0"/>
        <w:jc w:val="both"/>
        <w:divId w:val="660279915"/>
        <w:rPr>
          <w:sz w:val="20"/>
          <w:szCs w:val="20"/>
        </w:rPr>
      </w:pPr>
      <w:r>
        <w:rPr>
          <w:sz w:val="20"/>
          <w:szCs w:val="20"/>
        </w:rPr>
        <w:t>In December 2020, entities affiliated with Biotechnology Value Fund, L.P.</w:t>
      </w:r>
      <w:r>
        <w:rPr>
          <w:sz w:val="20"/>
          <w:szCs w:val="20"/>
        </w:rPr>
        <w:t xml:space="preserve"> elected to convert an aggregate of</w:t>
      </w:r>
      <w:r>
        <w:rPr>
          <w:sz w:val="20"/>
          <w:szCs w:val="20"/>
        </w:rPr>
        <w:t xml:space="preserve"> </w:t>
      </w:r>
      <w:r>
        <w:rPr>
          <w:sz w:val="20"/>
          <w:szCs w:val="20"/>
        </w:rPr>
        <w:t>2,25</w:t>
      </w:r>
      <w:r>
        <w:rPr>
          <w:sz w:val="20"/>
          <w:szCs w:val="20"/>
        </w:rPr>
        <w:t>6</w:t>
      </w:r>
      <w:r>
        <w:rPr>
          <w:sz w:val="20"/>
          <w:szCs w:val="20"/>
        </w:rPr>
        <w:t xml:space="preserve"> shares of Series A Preferred Stock owned by such holders into an aggregate of</w:t>
      </w:r>
      <w:r>
        <w:rPr>
          <w:sz w:val="20"/>
          <w:szCs w:val="20"/>
        </w:rPr>
        <w:t xml:space="preserve"> </w:t>
      </w:r>
      <w:r>
        <w:rPr>
          <w:sz w:val="20"/>
          <w:szCs w:val="20"/>
        </w:rPr>
        <w:t>2,256,00</w:t>
      </w:r>
      <w:r>
        <w:rPr>
          <w:sz w:val="20"/>
          <w:szCs w:val="20"/>
        </w:rPr>
        <w:t>0</w:t>
      </w:r>
      <w:r>
        <w:rPr>
          <w:sz w:val="20"/>
          <w:szCs w:val="20"/>
        </w:rPr>
        <w:t xml:space="preserve"> shares of the Company’s common stock</w:t>
      </w:r>
      <w:r>
        <w:rPr>
          <w:sz w:val="20"/>
          <w:szCs w:val="20"/>
        </w:rPr>
        <w:t>.</w:t>
      </w:r>
    </w:p>
    <w:p w:rsidR="00000000" w:rsidRDefault="00F83A7A">
      <w:pPr>
        <w:pStyle w:val="a3"/>
        <w:spacing w:before="200" w:beforeAutospacing="0" w:after="0" w:afterAutospacing="0"/>
        <w:jc w:val="both"/>
        <w:divId w:val="660279915"/>
        <w:rPr>
          <w:sz w:val="20"/>
          <w:szCs w:val="20"/>
        </w:rPr>
      </w:pPr>
      <w:r>
        <w:rPr>
          <w:sz w:val="20"/>
          <w:szCs w:val="20"/>
        </w:rPr>
        <w:t>In August 2020, the Company sold</w:t>
      </w:r>
      <w:r>
        <w:rPr>
          <w:sz w:val="20"/>
          <w:szCs w:val="20"/>
        </w:rPr>
        <w:t xml:space="preserve"> </w:t>
      </w:r>
      <w:r>
        <w:rPr>
          <w:sz w:val="20"/>
          <w:szCs w:val="20"/>
        </w:rPr>
        <w:t>6,250,00</w:t>
      </w:r>
      <w:r>
        <w:rPr>
          <w:sz w:val="20"/>
          <w:szCs w:val="20"/>
        </w:rPr>
        <w:t>0</w:t>
      </w:r>
      <w:r>
        <w:rPr>
          <w:sz w:val="20"/>
          <w:szCs w:val="20"/>
        </w:rPr>
        <w:t xml:space="preserve"> shares of its common stock at a public offeri</w:t>
      </w:r>
      <w:r>
        <w:rPr>
          <w:sz w:val="20"/>
          <w:szCs w:val="20"/>
        </w:rPr>
        <w:t xml:space="preserve">ng price of </w:t>
      </w:r>
      <w:r>
        <w:rPr>
          <w:sz w:val="20"/>
          <w:szCs w:val="20"/>
        </w:rPr>
        <w:t>$</w:t>
      </w:r>
      <w:r>
        <w:rPr>
          <w:sz w:val="20"/>
          <w:szCs w:val="20"/>
        </w:rPr>
        <w:t>8.0</w:t>
      </w:r>
      <w:r>
        <w:rPr>
          <w:sz w:val="20"/>
          <w:szCs w:val="20"/>
        </w:rPr>
        <w:t>0</w:t>
      </w:r>
      <w:r>
        <w:rPr>
          <w:sz w:val="20"/>
          <w:szCs w:val="20"/>
        </w:rPr>
        <w:t xml:space="preserve"> per share, for net proceeds of </w:t>
      </w:r>
      <w:r>
        <w:rPr>
          <w:sz w:val="20"/>
          <w:szCs w:val="20"/>
        </w:rPr>
        <w:t>$</w:t>
      </w:r>
      <w:r>
        <w:rPr>
          <w:sz w:val="20"/>
          <w:szCs w:val="20"/>
        </w:rPr>
        <w:t>46.</w:t>
      </w:r>
      <w:r>
        <w:rPr>
          <w:sz w:val="20"/>
          <w:szCs w:val="20"/>
        </w:rPr>
        <w:t>7</w:t>
      </w:r>
      <w:r>
        <w:rPr>
          <w:sz w:val="20"/>
          <w:szCs w:val="20"/>
        </w:rPr>
        <w:t xml:space="preserve"> million after deducting underwriting discounts and commissions and other offering expenses payable by the Company, (the “August 2020 Offering”)</w:t>
      </w:r>
      <w:r>
        <w:rPr>
          <w:sz w:val="20"/>
          <w:szCs w:val="20"/>
        </w:rPr>
        <w:t>.</w:t>
      </w:r>
    </w:p>
    <w:p w:rsidR="00000000" w:rsidRDefault="00F83A7A">
      <w:pPr>
        <w:pStyle w:val="a3"/>
        <w:spacing w:before="200" w:beforeAutospacing="0" w:after="0" w:afterAutospacing="0"/>
        <w:jc w:val="both"/>
        <w:divId w:val="660279915"/>
        <w:rPr>
          <w:sz w:val="20"/>
          <w:szCs w:val="20"/>
        </w:rPr>
      </w:pPr>
      <w:r>
        <w:rPr>
          <w:sz w:val="20"/>
          <w:szCs w:val="20"/>
        </w:rPr>
        <w:t>In May 2020, entities affiliated with Biotechnology Valu</w:t>
      </w:r>
      <w:r>
        <w:rPr>
          <w:sz w:val="20"/>
          <w:szCs w:val="20"/>
        </w:rPr>
        <w:t>e Fund, L.P. elected to convert an aggregate of</w:t>
      </w:r>
      <w:r>
        <w:rPr>
          <w:sz w:val="20"/>
          <w:szCs w:val="20"/>
        </w:rPr>
        <w:t xml:space="preserve"> </w:t>
      </w:r>
      <w:r>
        <w:rPr>
          <w:sz w:val="20"/>
          <w:szCs w:val="20"/>
        </w:rPr>
        <w:t>2,25</w:t>
      </w:r>
      <w:r>
        <w:rPr>
          <w:sz w:val="20"/>
          <w:szCs w:val="20"/>
        </w:rPr>
        <w:t>6</w:t>
      </w:r>
      <w:r>
        <w:rPr>
          <w:sz w:val="20"/>
          <w:szCs w:val="20"/>
        </w:rPr>
        <w:t xml:space="preserve"> shares of Series A Preferred Stock owned by such holders into an aggregate of</w:t>
      </w:r>
      <w:r>
        <w:rPr>
          <w:sz w:val="20"/>
          <w:szCs w:val="20"/>
        </w:rPr>
        <w:t xml:space="preserve"> </w:t>
      </w:r>
      <w:r>
        <w:rPr>
          <w:sz w:val="20"/>
          <w:szCs w:val="20"/>
        </w:rPr>
        <w:t>2,256,00</w:t>
      </w:r>
      <w:r>
        <w:rPr>
          <w:sz w:val="20"/>
          <w:szCs w:val="20"/>
        </w:rPr>
        <w:t>0</w:t>
      </w:r>
      <w:r>
        <w:rPr>
          <w:sz w:val="20"/>
          <w:szCs w:val="20"/>
        </w:rPr>
        <w:t xml:space="preserve"> shares of the Company’s common stock</w:t>
      </w:r>
      <w:r>
        <w:rPr>
          <w:sz w:val="20"/>
          <w:szCs w:val="20"/>
        </w:rPr>
        <w:t>.</w:t>
      </w:r>
    </w:p>
    <w:p w:rsidR="00000000" w:rsidRDefault="00F83A7A">
      <w:pPr>
        <w:pStyle w:val="a3"/>
        <w:spacing w:before="0" w:beforeAutospacing="0" w:after="0" w:afterAutospacing="0"/>
        <w:jc w:val="both"/>
        <w:divId w:val="660279915"/>
        <w:rPr>
          <w:sz w:val="20"/>
          <w:szCs w:val="20"/>
        </w:rPr>
      </w:pPr>
      <w:r>
        <w:rPr>
          <w:sz w:val="20"/>
          <w:szCs w:val="20"/>
        </w:rPr>
        <w:t> </w:t>
      </w:r>
    </w:p>
    <w:p w:rsidR="00000000" w:rsidRDefault="00F83A7A">
      <w:pPr>
        <w:pStyle w:val="a3"/>
        <w:spacing w:before="0" w:beforeAutospacing="0" w:after="0" w:afterAutospacing="0"/>
        <w:jc w:val="both"/>
        <w:divId w:val="660279915"/>
        <w:rPr>
          <w:sz w:val="20"/>
          <w:szCs w:val="20"/>
        </w:rPr>
      </w:pPr>
      <w:r>
        <w:rPr>
          <w:b/>
          <w:bCs/>
          <w:sz w:val="20"/>
          <w:szCs w:val="20"/>
        </w:rPr>
        <w:t>Dividend</w:t>
      </w:r>
      <w:r>
        <w:rPr>
          <w:b/>
          <w:bCs/>
          <w:sz w:val="20"/>
          <w:szCs w:val="20"/>
        </w:rPr>
        <w:t>s</w:t>
      </w:r>
    </w:p>
    <w:p w:rsidR="00000000" w:rsidRDefault="00F83A7A">
      <w:pPr>
        <w:pStyle w:val="a3"/>
        <w:spacing w:before="200" w:beforeAutospacing="0" w:after="0" w:afterAutospacing="0"/>
        <w:jc w:val="both"/>
        <w:divId w:val="660279915"/>
        <w:rPr>
          <w:sz w:val="20"/>
          <w:szCs w:val="20"/>
        </w:rPr>
      </w:pPr>
      <w:r>
        <w:rPr>
          <w:sz w:val="20"/>
          <w:szCs w:val="20"/>
        </w:rPr>
        <w:t>No dividends on the common stock shall be declared and paid unle</w:t>
      </w:r>
      <w:r>
        <w:rPr>
          <w:sz w:val="20"/>
          <w:szCs w:val="20"/>
        </w:rPr>
        <w:t>ss dividends on the Preferred Stock have been declared and paid</w:t>
      </w:r>
      <w:r>
        <w:rPr>
          <w:sz w:val="20"/>
          <w:szCs w:val="20"/>
        </w:rPr>
        <w:t>.</w:t>
      </w:r>
      <w:r>
        <w:rPr>
          <w:sz w:val="20"/>
          <w:szCs w:val="20"/>
        </w:rPr>
        <w:t xml:space="preserve"> Through</w:t>
      </w:r>
      <w:r>
        <w:rPr>
          <w:sz w:val="20"/>
          <w:szCs w:val="20"/>
        </w:rPr>
        <w:t xml:space="preserve"> </w:t>
      </w:r>
      <w:r>
        <w:rPr>
          <w:sz w:val="20"/>
          <w:szCs w:val="20"/>
        </w:rPr>
        <w:t>December 31, 202</w:t>
      </w:r>
      <w:r>
        <w:rPr>
          <w:sz w:val="20"/>
          <w:szCs w:val="20"/>
        </w:rPr>
        <w:t>1</w:t>
      </w:r>
      <w:r>
        <w:rPr>
          <w:sz w:val="20"/>
          <w:szCs w:val="20"/>
        </w:rPr>
        <w:t>, the Company has</w:t>
      </w:r>
      <w:r>
        <w:rPr>
          <w:sz w:val="20"/>
          <w:szCs w:val="20"/>
        </w:rPr>
        <w:t xml:space="preserve"> </w:t>
      </w:r>
      <w:r>
        <w:rPr>
          <w:sz w:val="20"/>
          <w:szCs w:val="20"/>
        </w:rPr>
        <w:t>n</w:t>
      </w:r>
      <w:r>
        <w:rPr>
          <w:sz w:val="20"/>
          <w:szCs w:val="20"/>
        </w:rPr>
        <w:t>o</w:t>
      </w:r>
      <w:r>
        <w:rPr>
          <w:sz w:val="20"/>
          <w:szCs w:val="20"/>
        </w:rPr>
        <w:t>t declared any dividends</w:t>
      </w:r>
      <w:r>
        <w:rPr>
          <w:sz w:val="20"/>
          <w:szCs w:val="20"/>
        </w:rPr>
        <w:t>.</w:t>
      </w:r>
    </w:p>
    <w:p w:rsidR="00000000" w:rsidRDefault="00F83A7A">
      <w:pPr>
        <w:pStyle w:val="a3"/>
        <w:spacing w:before="200" w:beforeAutospacing="0" w:after="0" w:afterAutospacing="0"/>
        <w:jc w:val="both"/>
        <w:divId w:val="1715539600"/>
        <w:rPr>
          <w:sz w:val="20"/>
          <w:szCs w:val="20"/>
        </w:rPr>
      </w:pPr>
      <w:r>
        <w:rPr>
          <w:b/>
          <w:bCs/>
          <w:sz w:val="20"/>
          <w:szCs w:val="20"/>
        </w:rPr>
        <w:t>NOTE 7 – STOCK-BASED COMPENSATIO</w:t>
      </w:r>
      <w:r>
        <w:rPr>
          <w:b/>
          <w:bCs/>
          <w:sz w:val="20"/>
          <w:szCs w:val="20"/>
        </w:rPr>
        <w:t>N</w:t>
      </w:r>
    </w:p>
    <w:p w:rsidR="00000000" w:rsidRDefault="00F83A7A">
      <w:pPr>
        <w:pStyle w:val="a3"/>
        <w:spacing w:before="200" w:beforeAutospacing="0" w:after="0" w:afterAutospacing="0"/>
        <w:jc w:val="both"/>
        <w:divId w:val="1715539600"/>
        <w:rPr>
          <w:sz w:val="20"/>
          <w:szCs w:val="20"/>
        </w:rPr>
      </w:pPr>
      <w:r>
        <w:rPr>
          <w:sz w:val="20"/>
          <w:szCs w:val="20"/>
        </w:rPr>
        <w:t>The Company’s Board of Directors adopted and approved the 2014 Equity Incentive Plan (</w:t>
      </w:r>
      <w:r>
        <w:rPr>
          <w:sz w:val="20"/>
          <w:szCs w:val="20"/>
        </w:rPr>
        <w:t>the “2014 Plan”), which authorized the Company to grant shares of common stock in the form of incentive stock options, nonstatutory stock options, stock appreciation rights, restricted stock and restricted stock units. The types of stock-based awards, incl</w:t>
      </w:r>
      <w:r>
        <w:rPr>
          <w:sz w:val="20"/>
          <w:szCs w:val="20"/>
        </w:rPr>
        <w:t>uding share purchase rights amount, terms, and exercisability provisions of grants were determined by the Company’s Board of Directors</w:t>
      </w:r>
      <w:r>
        <w:rPr>
          <w:sz w:val="20"/>
          <w:szCs w:val="20"/>
        </w:rPr>
        <w:t>.</w:t>
      </w:r>
    </w:p>
    <w:p w:rsidR="00000000" w:rsidRDefault="00F83A7A">
      <w:pPr>
        <w:pStyle w:val="a3"/>
        <w:spacing w:before="200" w:beforeAutospacing="0" w:after="0" w:afterAutospacing="0"/>
        <w:jc w:val="both"/>
        <w:divId w:val="1715539600"/>
        <w:rPr>
          <w:sz w:val="20"/>
          <w:szCs w:val="20"/>
        </w:rPr>
      </w:pPr>
      <w:r>
        <w:rPr>
          <w:sz w:val="20"/>
          <w:szCs w:val="20"/>
        </w:rPr>
        <w:t xml:space="preserve">The Company's Board of Directors adopted, and the Company's stockholders approved the 2017 equity incentive plan (“2017 </w:t>
      </w:r>
      <w:r>
        <w:rPr>
          <w:sz w:val="20"/>
          <w:szCs w:val="20"/>
        </w:rPr>
        <w:t>Plan”), which became effective on May 4, 2017. The initial reserve of shares of common stock under the 2017 Plan was</w:t>
      </w:r>
      <w:r>
        <w:rPr>
          <w:sz w:val="20"/>
          <w:szCs w:val="20"/>
        </w:rPr>
        <w:t xml:space="preserve"> </w:t>
      </w:r>
      <w:r>
        <w:rPr>
          <w:sz w:val="20"/>
          <w:szCs w:val="20"/>
        </w:rPr>
        <w:t>3,052,05</w:t>
      </w:r>
      <w:r>
        <w:rPr>
          <w:sz w:val="20"/>
          <w:szCs w:val="20"/>
        </w:rPr>
        <w:t>9</w:t>
      </w:r>
      <w:r>
        <w:rPr>
          <w:sz w:val="20"/>
          <w:szCs w:val="20"/>
        </w:rPr>
        <w:t xml:space="preserve"> shares.</w:t>
      </w:r>
      <w:r>
        <w:rPr>
          <w:sz w:val="20"/>
          <w:szCs w:val="20"/>
        </w:rPr>
        <w:t xml:space="preserve"> </w:t>
      </w:r>
      <w:r>
        <w:rPr>
          <w:sz w:val="20"/>
          <w:szCs w:val="20"/>
        </w:rPr>
        <w:t>The 2017 Plan provides for the grant of incentive stock options, non-statutory stock options, restricted stock awards, re</w:t>
      </w:r>
      <w:r>
        <w:rPr>
          <w:sz w:val="20"/>
          <w:szCs w:val="20"/>
        </w:rPr>
        <w:t>stricted stock unit awards, stock appreciation rights, performance-based stock awards, and other forms of stock-based awards. Additionally, the 2017 Pla</w:t>
      </w:r>
      <w:r>
        <w:rPr>
          <w:sz w:val="20"/>
          <w:szCs w:val="20"/>
        </w:rPr>
        <w:t>n</w:t>
      </w:r>
      <w:r>
        <w:rPr>
          <w:sz w:val="20"/>
          <w:szCs w:val="20"/>
        </w:rPr>
        <w:t xml:space="preserve"> </w:t>
      </w:r>
    </w:p>
    <w:p w:rsidR="00000000" w:rsidRDefault="00F83A7A">
      <w:pPr>
        <w:pStyle w:val="a3"/>
        <w:spacing w:before="240" w:beforeAutospacing="0" w:after="0" w:afterAutospacing="0"/>
        <w:jc w:val="center"/>
        <w:divId w:val="1715539600"/>
        <w:rPr>
          <w:sz w:val="20"/>
          <w:szCs w:val="20"/>
        </w:rPr>
      </w:pPr>
      <w:r>
        <w:rPr>
          <w:sz w:val="20"/>
          <w:szCs w:val="20"/>
        </w:rPr>
        <w:t>F</w:t>
      </w:r>
      <w:r>
        <w:rPr>
          <w:sz w:val="20"/>
          <w:szCs w:val="20"/>
        </w:rPr>
        <w:t>-</w:t>
      </w:r>
      <w:r>
        <w:rPr>
          <w:sz w:val="20"/>
          <w:szCs w:val="20"/>
        </w:rPr>
        <w:t>1</w:t>
      </w:r>
      <w:r>
        <w:rPr>
          <w:sz w:val="20"/>
          <w:szCs w:val="20"/>
        </w:rPr>
        <w:t>4</w:t>
      </w:r>
    </w:p>
    <w:p w:rsidR="00000000" w:rsidRDefault="00F83A7A">
      <w:pPr>
        <w:divId w:val="1715539600"/>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F83A7A">
      <w:pPr>
        <w:pStyle w:val="a3"/>
        <w:spacing w:before="0" w:beforeAutospacing="0" w:after="0" w:afterAutospacing="0"/>
        <w:ind w:left="1547"/>
        <w:divId w:val="1715539600"/>
        <w:rPr>
          <w:sz w:val="20"/>
          <w:szCs w:val="20"/>
        </w:rPr>
      </w:pPr>
      <w:r>
        <w:rPr>
          <w:sz w:val="20"/>
          <w:szCs w:val="20"/>
        </w:rPr>
        <w:t> </w:t>
      </w:r>
    </w:p>
    <w:p w:rsidR="00000000" w:rsidRDefault="00F83A7A">
      <w:pPr>
        <w:pStyle w:val="a3"/>
        <w:spacing w:before="200" w:beforeAutospacing="0" w:after="0" w:afterAutospacing="0"/>
        <w:jc w:val="both"/>
        <w:divId w:val="1715539600"/>
        <w:rPr>
          <w:sz w:val="20"/>
          <w:szCs w:val="20"/>
        </w:rPr>
      </w:pPr>
      <w:r>
        <w:rPr>
          <w:sz w:val="20"/>
          <w:szCs w:val="20"/>
        </w:rPr>
        <w:t>provides</w:t>
      </w:r>
      <w:r>
        <w:rPr>
          <w:sz w:val="20"/>
          <w:szCs w:val="20"/>
        </w:rPr>
        <w:t xml:space="preserve"> </w:t>
      </w:r>
      <w:r>
        <w:rPr>
          <w:sz w:val="20"/>
          <w:szCs w:val="20"/>
        </w:rPr>
        <w:t>for the grant of performance cash awards. The Com</w:t>
      </w:r>
      <w:r>
        <w:rPr>
          <w:sz w:val="20"/>
          <w:szCs w:val="20"/>
        </w:rPr>
        <w:t>pany's employees, officers, directors and consultants and advisors are eligible to receive awards under the 2017 Plan. Upon the adoption of the 2017 Plan, no further awards will be granted under the 2014 Plan.</w:t>
      </w:r>
      <w:r>
        <w:rPr>
          <w:sz w:val="20"/>
          <w:szCs w:val="20"/>
        </w:rPr>
        <w:t xml:space="preserve"> </w:t>
      </w:r>
      <w:r>
        <w:rPr>
          <w:sz w:val="20"/>
          <w:szCs w:val="20"/>
        </w:rPr>
        <w:t>Pursuant to the terms of the 2017 Plan, on eac</w:t>
      </w:r>
      <w:r>
        <w:rPr>
          <w:sz w:val="20"/>
          <w:szCs w:val="20"/>
        </w:rPr>
        <w:t>h January 1st, the plan limit shall be increased by the lesser of (x)</w:t>
      </w:r>
      <w:r>
        <w:rPr>
          <w:sz w:val="20"/>
          <w:szCs w:val="20"/>
        </w:rPr>
        <w:t xml:space="preserve"> </w:t>
      </w:r>
      <w:r>
        <w:rPr>
          <w:sz w:val="20"/>
          <w:szCs w:val="20"/>
        </w:rPr>
        <w:t>5</w:t>
      </w:r>
      <w:r>
        <w:rPr>
          <w:sz w:val="20"/>
          <w:szCs w:val="20"/>
        </w:rPr>
        <w:t>% of the number of shares of common stock outstanding as of the immediately preceding December 31 and (y) such lesser number as the Board of Directors may determine in its discretion</w:t>
      </w:r>
      <w:r>
        <w:rPr>
          <w:sz w:val="20"/>
          <w:szCs w:val="20"/>
        </w:rPr>
        <w:t>.</w:t>
      </w:r>
      <w:r>
        <w:rPr>
          <w:sz w:val="20"/>
          <w:szCs w:val="20"/>
        </w:rPr>
        <w:t xml:space="preserve"> O</w:t>
      </w:r>
      <w:r>
        <w:rPr>
          <w:sz w:val="20"/>
          <w:szCs w:val="20"/>
        </w:rPr>
        <w:t>n January 1, 2021, an additional</w:t>
      </w:r>
      <w:r>
        <w:rPr>
          <w:sz w:val="20"/>
          <w:szCs w:val="20"/>
        </w:rPr>
        <w:t xml:space="preserve"> </w:t>
      </w:r>
      <w:r>
        <w:rPr>
          <w:sz w:val="20"/>
          <w:szCs w:val="20"/>
        </w:rPr>
        <w:t>3,287,15</w:t>
      </w:r>
      <w:r>
        <w:rPr>
          <w:sz w:val="20"/>
          <w:szCs w:val="20"/>
        </w:rPr>
        <w:t>8</w:t>
      </w:r>
      <w:r>
        <w:rPr>
          <w:sz w:val="20"/>
          <w:szCs w:val="20"/>
        </w:rPr>
        <w:t xml:space="preserve"> shares were reserved for issuance under the 2017 Plan. As of</w:t>
      </w:r>
      <w:r>
        <w:rPr>
          <w:sz w:val="20"/>
          <w:szCs w:val="20"/>
        </w:rPr>
        <w:t xml:space="preserve"> </w:t>
      </w:r>
      <w:r>
        <w:rPr>
          <w:sz w:val="20"/>
          <w:szCs w:val="20"/>
        </w:rPr>
        <w:t>December 31, 202</w:t>
      </w:r>
      <w:r>
        <w:rPr>
          <w:sz w:val="20"/>
          <w:szCs w:val="20"/>
        </w:rPr>
        <w:t>1</w:t>
      </w:r>
      <w:r>
        <w:rPr>
          <w:sz w:val="20"/>
          <w:szCs w:val="20"/>
        </w:rPr>
        <w:t>, there were</w:t>
      </w:r>
      <w:r>
        <w:rPr>
          <w:sz w:val="20"/>
          <w:szCs w:val="20"/>
        </w:rPr>
        <w:t xml:space="preserve"> </w:t>
      </w:r>
      <w:r>
        <w:rPr>
          <w:sz w:val="20"/>
          <w:szCs w:val="20"/>
        </w:rPr>
        <w:t>4,397,06</w:t>
      </w:r>
      <w:r>
        <w:rPr>
          <w:sz w:val="20"/>
          <w:szCs w:val="20"/>
        </w:rPr>
        <w:t>7</w:t>
      </w:r>
      <w:r>
        <w:rPr>
          <w:sz w:val="20"/>
          <w:szCs w:val="20"/>
        </w:rPr>
        <w:t xml:space="preserve"> shares of the Company’s common stock reserved for issuance under the 2017 Plan</w:t>
      </w:r>
      <w:r>
        <w:rPr>
          <w:sz w:val="20"/>
          <w:szCs w:val="20"/>
        </w:rPr>
        <w:t>.</w:t>
      </w:r>
      <w:r>
        <w:rPr>
          <w:sz w:val="20"/>
          <w:szCs w:val="20"/>
        </w:rPr>
        <w:t xml:space="preserve"> </w:t>
      </w:r>
    </w:p>
    <w:p w:rsidR="00000000" w:rsidRDefault="00F83A7A">
      <w:pPr>
        <w:pStyle w:val="a3"/>
        <w:spacing w:before="200" w:beforeAutospacing="0" w:after="0" w:afterAutospacing="0"/>
        <w:jc w:val="both"/>
        <w:divId w:val="1715539600"/>
        <w:rPr>
          <w:sz w:val="20"/>
          <w:szCs w:val="20"/>
        </w:rPr>
      </w:pPr>
      <w:r>
        <w:rPr>
          <w:sz w:val="20"/>
          <w:szCs w:val="20"/>
        </w:rPr>
        <w:t>The Company's Board of Directors adopted, and the Company's stockholders approved the 2017 employee stock purchase plan (the “2017 ESPP”), which became effective on May 4, 2017. The initial reserve of shares of common stock that may be issued under the 201</w:t>
      </w:r>
      <w:r>
        <w:rPr>
          <w:sz w:val="20"/>
          <w:szCs w:val="20"/>
        </w:rPr>
        <w:t>7 ESPP was</w:t>
      </w:r>
      <w:r>
        <w:rPr>
          <w:sz w:val="20"/>
          <w:szCs w:val="20"/>
        </w:rPr>
        <w:t xml:space="preserve"> </w:t>
      </w:r>
      <w:r>
        <w:rPr>
          <w:sz w:val="20"/>
          <w:szCs w:val="20"/>
        </w:rPr>
        <w:t>279,06</w:t>
      </w:r>
      <w:r>
        <w:rPr>
          <w:sz w:val="20"/>
          <w:szCs w:val="20"/>
        </w:rPr>
        <w:t>9</w:t>
      </w:r>
      <w:r>
        <w:rPr>
          <w:sz w:val="20"/>
          <w:szCs w:val="20"/>
        </w:rPr>
        <w:t xml:space="preserve"> shares. The ESPP allows employees to purchase common stock of the Company at a</w:t>
      </w:r>
      <w:r>
        <w:rPr>
          <w:sz w:val="20"/>
          <w:szCs w:val="20"/>
        </w:rPr>
        <w:t xml:space="preserve"> </w:t>
      </w:r>
      <w:r>
        <w:rPr>
          <w:sz w:val="20"/>
          <w:szCs w:val="20"/>
        </w:rPr>
        <w:t>1</w:t>
      </w:r>
      <w:r>
        <w:rPr>
          <w:sz w:val="20"/>
          <w:szCs w:val="20"/>
        </w:rPr>
        <w:t>5</w:t>
      </w:r>
      <w:r>
        <w:rPr>
          <w:sz w:val="20"/>
          <w:szCs w:val="20"/>
        </w:rPr>
        <w:t>% discount to the market price on designated purchase dates. During the years ended</w:t>
      </w:r>
      <w:r>
        <w:rPr>
          <w:sz w:val="20"/>
          <w:szCs w:val="20"/>
        </w:rPr>
        <w:t xml:space="preserve"> </w:t>
      </w:r>
      <w:r>
        <w:rPr>
          <w:sz w:val="20"/>
          <w:szCs w:val="20"/>
        </w:rPr>
        <w:t>December 31, 2021 and 202</w:t>
      </w:r>
      <w:r>
        <w:rPr>
          <w:sz w:val="20"/>
          <w:szCs w:val="20"/>
        </w:rPr>
        <w:t>0</w:t>
      </w:r>
      <w:r>
        <w:rPr>
          <w:sz w:val="20"/>
          <w:szCs w:val="20"/>
        </w:rPr>
        <w:t>,</w:t>
      </w:r>
      <w:r>
        <w:rPr>
          <w:sz w:val="20"/>
          <w:szCs w:val="20"/>
        </w:rPr>
        <w:t xml:space="preserve"> </w:t>
      </w:r>
      <w:r>
        <w:rPr>
          <w:sz w:val="20"/>
          <w:szCs w:val="20"/>
        </w:rPr>
        <w:t>60,49</w:t>
      </w:r>
      <w:r>
        <w:rPr>
          <w:sz w:val="20"/>
          <w:szCs w:val="20"/>
        </w:rPr>
        <w:t>0</w:t>
      </w:r>
      <w:r>
        <w:rPr>
          <w:sz w:val="20"/>
          <w:szCs w:val="20"/>
        </w:rPr>
        <w:t xml:space="preserve"> and</w:t>
      </w:r>
      <w:r>
        <w:rPr>
          <w:sz w:val="20"/>
          <w:szCs w:val="20"/>
        </w:rPr>
        <w:t xml:space="preserve"> </w:t>
      </w:r>
      <w:r>
        <w:rPr>
          <w:sz w:val="20"/>
          <w:szCs w:val="20"/>
        </w:rPr>
        <w:t>105,46</w:t>
      </w:r>
      <w:r>
        <w:rPr>
          <w:sz w:val="20"/>
          <w:szCs w:val="20"/>
        </w:rPr>
        <w:t>4</w:t>
      </w:r>
      <w:r>
        <w:rPr>
          <w:sz w:val="20"/>
          <w:szCs w:val="20"/>
        </w:rPr>
        <w:t xml:space="preserve"> shares were purchased und</w:t>
      </w:r>
      <w:r>
        <w:rPr>
          <w:sz w:val="20"/>
          <w:szCs w:val="20"/>
        </w:rPr>
        <w:t xml:space="preserve">er the ESPP and the Company recorded expense of </w:t>
      </w:r>
      <w:r>
        <w:rPr>
          <w:sz w:val="20"/>
          <w:szCs w:val="20"/>
        </w:rPr>
        <w:t>$</w:t>
      </w:r>
      <w:r>
        <w:rPr>
          <w:sz w:val="20"/>
          <w:szCs w:val="20"/>
        </w:rPr>
        <w:t>83,78</w:t>
      </w:r>
      <w:r>
        <w:rPr>
          <w:sz w:val="20"/>
          <w:szCs w:val="20"/>
        </w:rPr>
        <w:t>7</w:t>
      </w:r>
      <w:r>
        <w:rPr>
          <w:sz w:val="20"/>
          <w:szCs w:val="20"/>
        </w:rPr>
        <w:t xml:space="preserve"> and </w:t>
      </w:r>
      <w:r>
        <w:rPr>
          <w:sz w:val="20"/>
          <w:szCs w:val="20"/>
        </w:rPr>
        <w:t>$</w:t>
      </w:r>
      <w:r>
        <w:rPr>
          <w:sz w:val="20"/>
          <w:szCs w:val="20"/>
        </w:rPr>
        <w:t>152,97</w:t>
      </w:r>
      <w:r>
        <w:rPr>
          <w:sz w:val="20"/>
          <w:szCs w:val="20"/>
        </w:rPr>
        <w:t>3</w:t>
      </w:r>
      <w:r>
        <w:rPr>
          <w:sz w:val="20"/>
          <w:szCs w:val="20"/>
        </w:rPr>
        <w:t>, respectively.</w:t>
      </w:r>
      <w:r>
        <w:rPr>
          <w:sz w:val="20"/>
          <w:szCs w:val="20"/>
        </w:rPr>
        <w:t xml:space="preserve"> </w:t>
      </w:r>
      <w:r>
        <w:rPr>
          <w:sz w:val="20"/>
          <w:szCs w:val="20"/>
        </w:rPr>
        <w:t>The number of shares of common stock reserved for issuance under the 2017 ESPP will automatically increase on January 1 of each year, beginning on January 1, 2018 and conti</w:t>
      </w:r>
      <w:r>
        <w:rPr>
          <w:sz w:val="20"/>
          <w:szCs w:val="20"/>
        </w:rPr>
        <w:t>nuing through and including January 1, 2027, by the lesser of (i)</w:t>
      </w:r>
      <w:r>
        <w:rPr>
          <w:sz w:val="20"/>
          <w:szCs w:val="20"/>
        </w:rPr>
        <w:t xml:space="preserve"> </w:t>
      </w:r>
      <w:r>
        <w:rPr>
          <w:sz w:val="20"/>
          <w:szCs w:val="20"/>
        </w:rPr>
        <w:t>1</w:t>
      </w:r>
      <w:r>
        <w:rPr>
          <w:sz w:val="20"/>
          <w:szCs w:val="20"/>
        </w:rPr>
        <w:t>% of the total number of shares of the Company’s capital stock outstanding on December 31 of the preceding calendar year, (ii)</w:t>
      </w:r>
      <w:r>
        <w:rPr>
          <w:sz w:val="20"/>
          <w:szCs w:val="20"/>
        </w:rPr>
        <w:t xml:space="preserve"> </w:t>
      </w:r>
      <w:r>
        <w:rPr>
          <w:sz w:val="20"/>
          <w:szCs w:val="20"/>
        </w:rPr>
        <w:t>550,00</w:t>
      </w:r>
      <w:r>
        <w:rPr>
          <w:sz w:val="20"/>
          <w:szCs w:val="20"/>
        </w:rPr>
        <w:t>0</w:t>
      </w:r>
      <w:r>
        <w:rPr>
          <w:sz w:val="20"/>
          <w:szCs w:val="20"/>
        </w:rPr>
        <w:t xml:space="preserve"> shares or (iii) such lesser number of shares determine</w:t>
      </w:r>
      <w:r>
        <w:rPr>
          <w:sz w:val="20"/>
          <w:szCs w:val="20"/>
        </w:rPr>
        <w:t>d by our Board</w:t>
      </w:r>
      <w:r>
        <w:rPr>
          <w:sz w:val="20"/>
          <w:szCs w:val="20"/>
        </w:rPr>
        <w:t>.</w:t>
      </w:r>
      <w:r>
        <w:rPr>
          <w:sz w:val="20"/>
          <w:szCs w:val="20"/>
        </w:rPr>
        <w:t xml:space="preserve"> The Board acted prior to January 1, 2021 to provide that there be</w:t>
      </w:r>
      <w:r>
        <w:rPr>
          <w:sz w:val="20"/>
          <w:szCs w:val="20"/>
        </w:rPr>
        <w:t xml:space="preserve"> </w:t>
      </w:r>
      <w:r>
        <w:rPr>
          <w:sz w:val="20"/>
          <w:szCs w:val="20"/>
        </w:rPr>
        <w:t>n</w:t>
      </w:r>
      <w:r>
        <w:rPr>
          <w:sz w:val="20"/>
          <w:szCs w:val="20"/>
        </w:rPr>
        <w:t>o</w:t>
      </w:r>
      <w:r>
        <w:rPr>
          <w:sz w:val="20"/>
          <w:szCs w:val="20"/>
        </w:rPr>
        <w:t xml:space="preserve"> increase in the number of shares reserved for issuance under the 2017 ESPP on either such date. As of</w:t>
      </w:r>
      <w:r>
        <w:rPr>
          <w:sz w:val="20"/>
          <w:szCs w:val="20"/>
        </w:rPr>
        <w:t xml:space="preserve"> </w:t>
      </w:r>
      <w:r>
        <w:rPr>
          <w:sz w:val="20"/>
          <w:szCs w:val="20"/>
        </w:rPr>
        <w:t>December 31, 202</w:t>
      </w:r>
      <w:r>
        <w:rPr>
          <w:sz w:val="20"/>
          <w:szCs w:val="20"/>
        </w:rPr>
        <w:t>1</w:t>
      </w:r>
      <w:r>
        <w:rPr>
          <w:sz w:val="20"/>
          <w:szCs w:val="20"/>
        </w:rPr>
        <w:t>, there were</w:t>
      </w:r>
      <w:r>
        <w:rPr>
          <w:sz w:val="20"/>
          <w:szCs w:val="20"/>
        </w:rPr>
        <w:t xml:space="preserve"> </w:t>
      </w:r>
      <w:r>
        <w:rPr>
          <w:sz w:val="20"/>
          <w:szCs w:val="20"/>
        </w:rPr>
        <w:t>493,06</w:t>
      </w:r>
      <w:r>
        <w:rPr>
          <w:sz w:val="20"/>
          <w:szCs w:val="20"/>
        </w:rPr>
        <w:t>2</w:t>
      </w:r>
      <w:r>
        <w:rPr>
          <w:sz w:val="20"/>
          <w:szCs w:val="20"/>
        </w:rPr>
        <w:t xml:space="preserve"> shares of the Company’s common </w:t>
      </w:r>
      <w:r>
        <w:rPr>
          <w:sz w:val="20"/>
          <w:szCs w:val="20"/>
        </w:rPr>
        <w:t>stock reserved for issuance under the 2017 ESPP</w:t>
      </w:r>
      <w:r>
        <w:rPr>
          <w:sz w:val="20"/>
          <w:szCs w:val="20"/>
        </w:rPr>
        <w:t>.</w:t>
      </w:r>
      <w:r>
        <w:rPr>
          <w:sz w:val="20"/>
          <w:szCs w:val="20"/>
        </w:rPr>
        <w:t xml:space="preserve"> </w:t>
      </w:r>
    </w:p>
    <w:p w:rsidR="00000000" w:rsidRDefault="00F83A7A">
      <w:pPr>
        <w:pStyle w:val="a3"/>
        <w:spacing w:before="200" w:beforeAutospacing="0" w:after="0" w:afterAutospacing="0"/>
        <w:jc w:val="both"/>
        <w:divId w:val="1715539600"/>
        <w:rPr>
          <w:sz w:val="20"/>
          <w:szCs w:val="20"/>
        </w:rPr>
      </w:pPr>
      <w:r>
        <w:rPr>
          <w:sz w:val="20"/>
          <w:szCs w:val="20"/>
        </w:rPr>
        <w:t>Unless specified otherwise in an individual option agreement, stock options granted under the 2014 Plan and 2017 Plan generally have a</w:t>
      </w:r>
      <w:r>
        <w:rPr>
          <w:sz w:val="20"/>
          <w:szCs w:val="20"/>
        </w:rPr>
        <w:t xml:space="preserve"> </w:t>
      </w:r>
      <w:r>
        <w:rPr>
          <w:sz w:val="20"/>
          <w:szCs w:val="20"/>
        </w:rPr>
        <w:t>ten-yea</w:t>
      </w:r>
      <w:r>
        <w:rPr>
          <w:sz w:val="20"/>
          <w:szCs w:val="20"/>
        </w:rPr>
        <w:t>r</w:t>
      </w:r>
      <w:r>
        <w:rPr>
          <w:sz w:val="20"/>
          <w:szCs w:val="20"/>
        </w:rPr>
        <w:t xml:space="preserve"> term and a</w:t>
      </w:r>
      <w:r>
        <w:rPr>
          <w:sz w:val="20"/>
          <w:szCs w:val="20"/>
        </w:rPr>
        <w:t xml:space="preserve"> </w:t>
      </w:r>
      <w:r>
        <w:rPr>
          <w:sz w:val="20"/>
          <w:szCs w:val="20"/>
        </w:rPr>
        <w:t>four-yea</w:t>
      </w:r>
      <w:r>
        <w:rPr>
          <w:sz w:val="20"/>
          <w:szCs w:val="20"/>
        </w:rPr>
        <w:t>r</w:t>
      </w:r>
      <w:r>
        <w:rPr>
          <w:sz w:val="20"/>
          <w:szCs w:val="20"/>
        </w:rPr>
        <w:t xml:space="preserve"> graded vesting period. The vesting requir</w:t>
      </w:r>
      <w:r>
        <w:rPr>
          <w:sz w:val="20"/>
          <w:szCs w:val="20"/>
        </w:rPr>
        <w:t>ement is generally conditioned upon the grantee’s continued service with the Company during the vesting period. Once vested, all awards are exercisable from the date of grant until they expire. The option grants are non-transferable. Vested options general</w:t>
      </w:r>
      <w:r>
        <w:rPr>
          <w:sz w:val="20"/>
          <w:szCs w:val="20"/>
        </w:rPr>
        <w:t>ly remain exercisable for</w:t>
      </w:r>
      <w:r>
        <w:rPr>
          <w:sz w:val="20"/>
          <w:szCs w:val="20"/>
        </w:rPr>
        <w:t xml:space="preserve"> </w:t>
      </w:r>
      <w:r>
        <w:rPr>
          <w:sz w:val="20"/>
          <w:szCs w:val="20"/>
        </w:rPr>
        <w:t>9</w:t>
      </w:r>
      <w:r>
        <w:rPr>
          <w:sz w:val="20"/>
          <w:szCs w:val="20"/>
        </w:rPr>
        <w:t>0</w:t>
      </w:r>
      <w:r>
        <w:rPr>
          <w:sz w:val="20"/>
          <w:szCs w:val="20"/>
        </w:rPr>
        <w:t xml:space="preserve"> days subsequent to the termination of the option holder’s service with the Company. In the event of option holder’s death or disability while employed by or providing service to the Company, the exercisable period extends to 12</w:t>
      </w:r>
      <w:r>
        <w:rPr>
          <w:sz w:val="20"/>
          <w:szCs w:val="20"/>
        </w:rPr>
        <w:t xml:space="preserve"> months</w:t>
      </w:r>
      <w:r>
        <w:rPr>
          <w:sz w:val="20"/>
          <w:szCs w:val="20"/>
        </w:rPr>
        <w:t>.</w:t>
      </w:r>
      <w:r>
        <w:rPr>
          <w:sz w:val="20"/>
          <w:szCs w:val="20"/>
        </w:rPr>
        <w:t xml:space="preserve"> </w:t>
      </w:r>
    </w:p>
    <w:p w:rsidR="00000000" w:rsidRDefault="00F83A7A">
      <w:pPr>
        <w:pStyle w:val="a3"/>
        <w:spacing w:before="200" w:beforeAutospacing="0" w:after="0" w:afterAutospacing="0"/>
        <w:jc w:val="both"/>
        <w:divId w:val="1715539600"/>
        <w:rPr>
          <w:sz w:val="20"/>
          <w:szCs w:val="20"/>
        </w:rPr>
      </w:pPr>
      <w:r>
        <w:rPr>
          <w:sz w:val="20"/>
          <w:szCs w:val="20"/>
        </w:rPr>
        <w:t>Performance-based option awards generally have similar vesting terms, with vesting occurring on the date the performance condition is achieved and expire in accordance to the specific terms of the agreement. At December 31, 202</w:t>
      </w:r>
      <w:r>
        <w:rPr>
          <w:sz w:val="20"/>
          <w:szCs w:val="20"/>
        </w:rPr>
        <w:t>1</w:t>
      </w:r>
      <w:r>
        <w:rPr>
          <w:sz w:val="20"/>
          <w:szCs w:val="20"/>
        </w:rPr>
        <w:t>, there were</w:t>
      </w:r>
      <w:r>
        <w:rPr>
          <w:sz w:val="20"/>
          <w:szCs w:val="20"/>
        </w:rPr>
        <w:t xml:space="preserve"> </w:t>
      </w:r>
      <w:r>
        <w:rPr>
          <w:sz w:val="20"/>
          <w:szCs w:val="20"/>
        </w:rPr>
        <w:t>150,0</w:t>
      </w:r>
      <w:r>
        <w:rPr>
          <w:sz w:val="20"/>
          <w:szCs w:val="20"/>
        </w:rPr>
        <w:t>0</w:t>
      </w:r>
      <w:r>
        <w:rPr>
          <w:sz w:val="20"/>
          <w:szCs w:val="20"/>
        </w:rPr>
        <w:t>0</w:t>
      </w:r>
      <w:r>
        <w:rPr>
          <w:sz w:val="20"/>
          <w:szCs w:val="20"/>
        </w:rPr>
        <w:t xml:space="preserve"> performance-based options outstanding and unvested that include options to vest upon the achievement of certain research and development milestones</w:t>
      </w:r>
      <w:r>
        <w:rPr>
          <w:sz w:val="20"/>
          <w:szCs w:val="20"/>
        </w:rPr>
        <w:t>.</w:t>
      </w:r>
      <w:r>
        <w:rPr>
          <w:sz w:val="20"/>
          <w:szCs w:val="20"/>
        </w:rPr>
        <w:t xml:space="preserve"> </w:t>
      </w:r>
    </w:p>
    <w:p w:rsidR="00000000" w:rsidRDefault="00F83A7A">
      <w:pPr>
        <w:pStyle w:val="a3"/>
        <w:spacing w:before="200" w:beforeAutospacing="0" w:after="0" w:afterAutospacing="0"/>
        <w:jc w:val="both"/>
        <w:divId w:val="1715539600"/>
        <w:rPr>
          <w:sz w:val="20"/>
          <w:szCs w:val="20"/>
        </w:rPr>
      </w:pPr>
      <w:r>
        <w:rPr>
          <w:sz w:val="20"/>
          <w:szCs w:val="20"/>
        </w:rPr>
        <w:t>The fair value of options granted during the years ended December 31, 2021 and 2020 was estimated using</w:t>
      </w:r>
      <w:r>
        <w:rPr>
          <w:sz w:val="20"/>
          <w:szCs w:val="20"/>
        </w:rPr>
        <w:t xml:space="preserve"> the Black-Scholes option valuation model. The inputs for the Black-Scholes option valuation model require significant assumptions made by management and are detailed in the table below. The risk-free interest rates were based on the rate for U.S. Treasury</w:t>
      </w:r>
      <w:r>
        <w:rPr>
          <w:sz w:val="20"/>
          <w:szCs w:val="20"/>
        </w:rPr>
        <w:t xml:space="preserve"> securities at the date of grant with maturity dates approximately equal to the expected life at the grant date. The expected life was based on the simplified method in accordance with the SEC Staff Accounting Bulletin No. Topic 14D. The expected volatilit</w:t>
      </w:r>
      <w:r>
        <w:rPr>
          <w:sz w:val="20"/>
          <w:szCs w:val="20"/>
        </w:rPr>
        <w:t>y was estimated based on historical volatility information of peer companies that is publicly available</w:t>
      </w:r>
      <w:r>
        <w:rPr>
          <w:sz w:val="20"/>
          <w:szCs w:val="20"/>
        </w:rPr>
        <w:t>.</w:t>
      </w:r>
      <w:r>
        <w:rPr>
          <w:sz w:val="20"/>
          <w:szCs w:val="20"/>
        </w:rPr>
        <w:t xml:space="preserve"> </w:t>
      </w:r>
    </w:p>
    <w:p w:rsidR="00000000" w:rsidRDefault="00F83A7A">
      <w:pPr>
        <w:pStyle w:val="a3"/>
        <w:spacing w:before="200" w:beforeAutospacing="0" w:after="0" w:afterAutospacing="0"/>
        <w:jc w:val="both"/>
        <w:divId w:val="1715539600"/>
        <w:rPr>
          <w:sz w:val="20"/>
          <w:szCs w:val="20"/>
        </w:rPr>
      </w:pPr>
      <w:r>
        <w:rPr>
          <w:sz w:val="20"/>
          <w:szCs w:val="20"/>
        </w:rPr>
        <w:t>All assumptions used to calculate the grant date fair value of nonemployee options are generally consistent with the assumptions used for options gran</w:t>
      </w:r>
      <w:r>
        <w:rPr>
          <w:sz w:val="20"/>
          <w:szCs w:val="20"/>
        </w:rPr>
        <w:t>ted to employees. In the event the Company terminates any of its consulting agreements, the unvested options underlying the agreements would also be cancelled</w:t>
      </w:r>
      <w:r>
        <w:rPr>
          <w:sz w:val="20"/>
          <w:szCs w:val="20"/>
        </w:rPr>
        <w:t>.</w:t>
      </w:r>
    </w:p>
    <w:p w:rsidR="00000000" w:rsidRDefault="00F83A7A">
      <w:pPr>
        <w:pStyle w:val="a3"/>
        <w:spacing w:before="200" w:beforeAutospacing="0" w:after="0" w:afterAutospacing="0"/>
        <w:jc w:val="both"/>
        <w:divId w:val="1715539600"/>
        <w:rPr>
          <w:sz w:val="20"/>
          <w:szCs w:val="20"/>
        </w:rPr>
      </w:pPr>
      <w:r>
        <w:rPr>
          <w:sz w:val="20"/>
          <w:szCs w:val="20"/>
        </w:rPr>
        <w:t>The Company granted</w:t>
      </w:r>
      <w:r>
        <w:rPr>
          <w:sz w:val="20"/>
          <w:szCs w:val="20"/>
        </w:rPr>
        <w:t xml:space="preserve"> </w:t>
      </w:r>
      <w:r>
        <w:rPr>
          <w:sz w:val="20"/>
          <w:szCs w:val="20"/>
        </w:rPr>
        <w:t>170,00</w:t>
      </w:r>
      <w:r>
        <w:rPr>
          <w:sz w:val="20"/>
          <w:szCs w:val="20"/>
        </w:rPr>
        <w:t>0</w:t>
      </w:r>
      <w:r>
        <w:rPr>
          <w:sz w:val="20"/>
          <w:szCs w:val="20"/>
        </w:rPr>
        <w:t xml:space="preserve"> and</w:t>
      </w:r>
      <w:r>
        <w:rPr>
          <w:sz w:val="20"/>
          <w:szCs w:val="20"/>
        </w:rPr>
        <w:t xml:space="preserve"> </w:t>
      </w:r>
      <w:r>
        <w:rPr>
          <w:sz w:val="20"/>
          <w:szCs w:val="20"/>
        </w:rPr>
        <w:t>10,00</w:t>
      </w:r>
      <w:r>
        <w:rPr>
          <w:sz w:val="20"/>
          <w:szCs w:val="20"/>
        </w:rPr>
        <w:t>0</w:t>
      </w:r>
      <w:r>
        <w:rPr>
          <w:sz w:val="20"/>
          <w:szCs w:val="20"/>
        </w:rPr>
        <w:t xml:space="preserve"> stock options to nonemployee consultants for services ren</w:t>
      </w:r>
      <w:r>
        <w:rPr>
          <w:sz w:val="20"/>
          <w:szCs w:val="20"/>
        </w:rPr>
        <w:t>dered during the years ended</w:t>
      </w:r>
      <w:r>
        <w:rPr>
          <w:sz w:val="20"/>
          <w:szCs w:val="20"/>
        </w:rPr>
        <w:t xml:space="preserve"> </w:t>
      </w:r>
      <w:r>
        <w:rPr>
          <w:sz w:val="20"/>
          <w:szCs w:val="20"/>
        </w:rPr>
        <w:t>December 31, 2021 and 202</w:t>
      </w:r>
      <w:r>
        <w:rPr>
          <w:sz w:val="20"/>
          <w:szCs w:val="20"/>
        </w:rPr>
        <w:t>0</w:t>
      </w:r>
      <w:r>
        <w:rPr>
          <w:sz w:val="20"/>
          <w:szCs w:val="20"/>
        </w:rPr>
        <w:t>, respectively. There were</w:t>
      </w:r>
      <w:r>
        <w:rPr>
          <w:sz w:val="20"/>
          <w:szCs w:val="20"/>
        </w:rPr>
        <w:t xml:space="preserve"> </w:t>
      </w:r>
      <w:r>
        <w:rPr>
          <w:sz w:val="20"/>
          <w:szCs w:val="20"/>
        </w:rPr>
        <w:t>181,25</w:t>
      </w:r>
      <w:r>
        <w:rPr>
          <w:sz w:val="20"/>
          <w:szCs w:val="20"/>
        </w:rPr>
        <w:t>0</w:t>
      </w:r>
      <w:r>
        <w:rPr>
          <w:sz w:val="20"/>
          <w:szCs w:val="20"/>
        </w:rPr>
        <w:t xml:space="preserve"> and</w:t>
      </w:r>
      <w:r>
        <w:rPr>
          <w:sz w:val="20"/>
          <w:szCs w:val="20"/>
        </w:rPr>
        <w:t xml:space="preserve"> </w:t>
      </w:r>
      <w:r>
        <w:rPr>
          <w:sz w:val="20"/>
          <w:szCs w:val="20"/>
        </w:rPr>
        <w:t>32,50</w:t>
      </w:r>
      <w:r>
        <w:rPr>
          <w:sz w:val="20"/>
          <w:szCs w:val="20"/>
        </w:rPr>
        <w:t>0</w:t>
      </w:r>
      <w:r>
        <w:rPr>
          <w:sz w:val="20"/>
          <w:szCs w:val="20"/>
        </w:rPr>
        <w:t xml:space="preserve"> unvested nonemployee options outstanding as of</w:t>
      </w:r>
      <w:r>
        <w:rPr>
          <w:sz w:val="20"/>
          <w:szCs w:val="20"/>
        </w:rPr>
        <w:t xml:space="preserve"> </w:t>
      </w:r>
      <w:r>
        <w:rPr>
          <w:sz w:val="20"/>
          <w:szCs w:val="20"/>
        </w:rPr>
        <w:t>December 31, 2021 and 202</w:t>
      </w:r>
      <w:r>
        <w:rPr>
          <w:sz w:val="20"/>
          <w:szCs w:val="20"/>
        </w:rPr>
        <w:t>0</w:t>
      </w:r>
      <w:r>
        <w:rPr>
          <w:sz w:val="20"/>
          <w:szCs w:val="20"/>
        </w:rPr>
        <w:t xml:space="preserve">, respectively. Total expense recognized related to the nonemployee stock options </w:t>
      </w:r>
      <w:r>
        <w:rPr>
          <w:sz w:val="20"/>
          <w:szCs w:val="20"/>
        </w:rPr>
        <w:t xml:space="preserve">for the years ended December 31, 2021 and 2020 was </w:t>
      </w:r>
      <w:r>
        <w:rPr>
          <w:sz w:val="20"/>
          <w:szCs w:val="20"/>
        </w:rPr>
        <w:t>$</w:t>
      </w:r>
      <w:r>
        <w:rPr>
          <w:sz w:val="20"/>
          <w:szCs w:val="20"/>
        </w:rPr>
        <w:t>584,09</w:t>
      </w:r>
      <w:r>
        <w:rPr>
          <w:sz w:val="20"/>
          <w:szCs w:val="20"/>
        </w:rPr>
        <w:t>2</w:t>
      </w:r>
      <w:r>
        <w:rPr>
          <w:sz w:val="20"/>
          <w:szCs w:val="20"/>
        </w:rPr>
        <w:t xml:space="preserve"> and </w:t>
      </w:r>
      <w:r>
        <w:rPr>
          <w:sz w:val="20"/>
          <w:szCs w:val="20"/>
        </w:rPr>
        <w:t>$</w:t>
      </w:r>
      <w:r>
        <w:rPr>
          <w:sz w:val="20"/>
          <w:szCs w:val="20"/>
        </w:rPr>
        <w:t>257,43</w:t>
      </w:r>
      <w:r>
        <w:rPr>
          <w:sz w:val="20"/>
          <w:szCs w:val="20"/>
        </w:rPr>
        <w:t>1</w:t>
      </w:r>
      <w:r>
        <w:rPr>
          <w:sz w:val="20"/>
          <w:szCs w:val="20"/>
        </w:rPr>
        <w:t xml:space="preserve">, respectively. Total unrecognized compensation expenses related to the nonemployee stock options was </w:t>
      </w:r>
      <w:r>
        <w:rPr>
          <w:sz w:val="20"/>
          <w:szCs w:val="20"/>
        </w:rPr>
        <w:t>$</w:t>
      </w:r>
      <w:r>
        <w:rPr>
          <w:sz w:val="20"/>
          <w:szCs w:val="20"/>
        </w:rPr>
        <w:t>67,47</w:t>
      </w:r>
      <w:r>
        <w:rPr>
          <w:sz w:val="20"/>
          <w:szCs w:val="20"/>
        </w:rPr>
        <w:t>1</w:t>
      </w:r>
      <w:r>
        <w:rPr>
          <w:sz w:val="20"/>
          <w:szCs w:val="20"/>
        </w:rPr>
        <w:t xml:space="preserve"> as of</w:t>
      </w:r>
      <w:r>
        <w:rPr>
          <w:sz w:val="20"/>
          <w:szCs w:val="20"/>
        </w:rPr>
        <w:t xml:space="preserve"> </w:t>
      </w:r>
      <w:r>
        <w:rPr>
          <w:sz w:val="20"/>
          <w:szCs w:val="20"/>
        </w:rPr>
        <w:t>December 31, 2021. During the years ended December 31, 2021, and 202</w:t>
      </w:r>
      <w:r>
        <w:rPr>
          <w:sz w:val="20"/>
          <w:szCs w:val="20"/>
        </w:rPr>
        <w:t>0</w:t>
      </w:r>
      <w:r>
        <w:rPr>
          <w:sz w:val="20"/>
          <w:szCs w:val="20"/>
        </w:rPr>
        <w:t>, the Company recognized</w:t>
      </w:r>
      <w:r>
        <w:rPr>
          <w:sz w:val="20"/>
          <w:szCs w:val="20"/>
        </w:rPr>
        <w:t xml:space="preserve"> </w:t>
      </w:r>
      <w:r>
        <w:rPr>
          <w:sz w:val="20"/>
          <w:szCs w:val="20"/>
        </w:rPr>
        <w:t>zer</w:t>
      </w:r>
      <w:r>
        <w:rPr>
          <w:sz w:val="20"/>
          <w:szCs w:val="20"/>
        </w:rPr>
        <w:t>o</w:t>
      </w:r>
      <w:r>
        <w:rPr>
          <w:sz w:val="20"/>
          <w:szCs w:val="20"/>
        </w:rPr>
        <w:t xml:space="preserve"> and </w:t>
      </w:r>
      <w:r>
        <w:rPr>
          <w:sz w:val="20"/>
          <w:szCs w:val="20"/>
        </w:rPr>
        <w:t>$</w:t>
      </w:r>
      <w:r>
        <w:rPr>
          <w:sz w:val="20"/>
          <w:szCs w:val="20"/>
        </w:rPr>
        <w:t>115,24</w:t>
      </w:r>
      <w:r>
        <w:rPr>
          <w:sz w:val="20"/>
          <w:szCs w:val="20"/>
        </w:rPr>
        <w:t>0</w:t>
      </w:r>
      <w:r>
        <w:rPr>
          <w:sz w:val="20"/>
          <w:szCs w:val="20"/>
        </w:rPr>
        <w:t>, respectively, in expenses for nonemployee performance-based option awards</w:t>
      </w:r>
      <w:r>
        <w:rPr>
          <w:sz w:val="20"/>
          <w:szCs w:val="20"/>
        </w:rPr>
        <w:t>.</w:t>
      </w:r>
    </w:p>
    <w:p w:rsidR="00000000" w:rsidRDefault="00F83A7A">
      <w:pPr>
        <w:pStyle w:val="a3"/>
        <w:spacing w:before="200" w:beforeAutospacing="0" w:after="0" w:afterAutospacing="0"/>
        <w:jc w:val="both"/>
        <w:divId w:val="1715539600"/>
        <w:rPr>
          <w:sz w:val="20"/>
          <w:szCs w:val="20"/>
        </w:rPr>
      </w:pPr>
      <w:r>
        <w:rPr>
          <w:sz w:val="20"/>
          <w:szCs w:val="20"/>
        </w:rPr>
        <w:t>The Company granted</w:t>
      </w:r>
      <w:r>
        <w:rPr>
          <w:sz w:val="20"/>
          <w:szCs w:val="20"/>
        </w:rPr>
        <w:t xml:space="preserve"> </w:t>
      </w:r>
      <w:r>
        <w:rPr>
          <w:sz w:val="20"/>
          <w:szCs w:val="20"/>
        </w:rPr>
        <w:t>1,875,91</w:t>
      </w:r>
      <w:r>
        <w:rPr>
          <w:sz w:val="20"/>
          <w:szCs w:val="20"/>
        </w:rPr>
        <w:t>3</w:t>
      </w:r>
      <w:r>
        <w:rPr>
          <w:sz w:val="20"/>
          <w:szCs w:val="20"/>
        </w:rPr>
        <w:t xml:space="preserve"> and</w:t>
      </w:r>
      <w:r>
        <w:rPr>
          <w:sz w:val="20"/>
          <w:szCs w:val="20"/>
        </w:rPr>
        <w:t xml:space="preserve"> </w:t>
      </w:r>
      <w:r>
        <w:rPr>
          <w:sz w:val="20"/>
          <w:szCs w:val="20"/>
        </w:rPr>
        <w:t>3,573,16</w:t>
      </w:r>
      <w:r>
        <w:rPr>
          <w:sz w:val="20"/>
          <w:szCs w:val="20"/>
        </w:rPr>
        <w:t>0</w:t>
      </w:r>
      <w:r>
        <w:rPr>
          <w:sz w:val="20"/>
          <w:szCs w:val="20"/>
        </w:rPr>
        <w:t xml:space="preserve"> stock options to employees during the years ended</w:t>
      </w:r>
      <w:r>
        <w:rPr>
          <w:sz w:val="20"/>
          <w:szCs w:val="20"/>
        </w:rPr>
        <w:t xml:space="preserve"> </w:t>
      </w:r>
      <w:r>
        <w:rPr>
          <w:sz w:val="20"/>
          <w:szCs w:val="20"/>
        </w:rPr>
        <w:t>December 31, 2021 and 202</w:t>
      </w:r>
      <w:r>
        <w:rPr>
          <w:sz w:val="20"/>
          <w:szCs w:val="20"/>
        </w:rPr>
        <w:t>0</w:t>
      </w:r>
      <w:r>
        <w:rPr>
          <w:sz w:val="20"/>
          <w:szCs w:val="20"/>
        </w:rPr>
        <w:t xml:space="preserve">, respectively. </w:t>
      </w:r>
      <w:r>
        <w:rPr>
          <w:sz w:val="20"/>
          <w:szCs w:val="20"/>
        </w:rPr>
        <w:t>There were</w:t>
      </w:r>
      <w:r>
        <w:rPr>
          <w:sz w:val="20"/>
          <w:szCs w:val="20"/>
        </w:rPr>
        <w:t xml:space="preserve"> </w:t>
      </w:r>
      <w:r>
        <w:rPr>
          <w:sz w:val="20"/>
          <w:szCs w:val="20"/>
        </w:rPr>
        <w:t>4,407,30</w:t>
      </w:r>
      <w:r>
        <w:rPr>
          <w:sz w:val="20"/>
          <w:szCs w:val="20"/>
        </w:rPr>
        <w:t>8</w:t>
      </w:r>
      <w:r>
        <w:rPr>
          <w:sz w:val="20"/>
          <w:szCs w:val="20"/>
        </w:rPr>
        <w:t xml:space="preserve"> and</w:t>
      </w:r>
      <w:r>
        <w:rPr>
          <w:sz w:val="20"/>
          <w:szCs w:val="20"/>
        </w:rPr>
        <w:t xml:space="preserve"> </w:t>
      </w:r>
      <w:r>
        <w:rPr>
          <w:sz w:val="20"/>
          <w:szCs w:val="20"/>
        </w:rPr>
        <w:t>4,975,26</w:t>
      </w:r>
      <w:r>
        <w:rPr>
          <w:sz w:val="20"/>
          <w:szCs w:val="20"/>
        </w:rPr>
        <w:t>2</w:t>
      </w:r>
      <w:r>
        <w:rPr>
          <w:sz w:val="20"/>
          <w:szCs w:val="20"/>
        </w:rPr>
        <w:t xml:space="preserve"> unvested employee options outstanding as of</w:t>
      </w:r>
      <w:r>
        <w:rPr>
          <w:sz w:val="20"/>
          <w:szCs w:val="20"/>
        </w:rPr>
        <w:t xml:space="preserve"> </w:t>
      </w:r>
      <w:r>
        <w:rPr>
          <w:sz w:val="20"/>
          <w:szCs w:val="20"/>
        </w:rPr>
        <w:t>December 31, 2021 and 2020, respectively. Total expense recognized related to the employee stock options for the years ended December 31, 2021 and 202</w:t>
      </w:r>
      <w:r>
        <w:rPr>
          <w:sz w:val="20"/>
          <w:szCs w:val="20"/>
        </w:rPr>
        <w:t>0</w:t>
      </w:r>
      <w:r>
        <w:rPr>
          <w:sz w:val="20"/>
          <w:szCs w:val="20"/>
        </w:rPr>
        <w:t xml:space="preserve"> was </w:t>
      </w:r>
      <w:r>
        <w:rPr>
          <w:sz w:val="20"/>
          <w:szCs w:val="20"/>
        </w:rPr>
        <w:t>$</w:t>
      </w:r>
      <w:r>
        <w:rPr>
          <w:sz w:val="20"/>
          <w:szCs w:val="20"/>
        </w:rPr>
        <w:t>4.</w:t>
      </w:r>
      <w:r>
        <w:rPr>
          <w:sz w:val="20"/>
          <w:szCs w:val="20"/>
        </w:rPr>
        <w:t>4</w:t>
      </w:r>
      <w:r>
        <w:rPr>
          <w:sz w:val="20"/>
          <w:szCs w:val="20"/>
        </w:rPr>
        <w:t xml:space="preserve"> million and </w:t>
      </w:r>
      <w:r>
        <w:rPr>
          <w:sz w:val="20"/>
          <w:szCs w:val="20"/>
        </w:rPr>
        <w:t>$</w:t>
      </w:r>
      <w:r>
        <w:rPr>
          <w:sz w:val="20"/>
          <w:szCs w:val="20"/>
        </w:rPr>
        <w:t>7.</w:t>
      </w:r>
      <w:r>
        <w:rPr>
          <w:sz w:val="20"/>
          <w:szCs w:val="20"/>
        </w:rPr>
        <w:t>1</w:t>
      </w:r>
      <w:r>
        <w:rPr>
          <w:sz w:val="20"/>
          <w:szCs w:val="20"/>
        </w:rPr>
        <w:t xml:space="preserve"> million, respectively. Total unrecognized compensation expense related to employee stock options was </w:t>
      </w:r>
      <w:r>
        <w:rPr>
          <w:sz w:val="20"/>
          <w:szCs w:val="20"/>
        </w:rPr>
        <w:t>$</w:t>
      </w:r>
      <w:r>
        <w:rPr>
          <w:sz w:val="20"/>
          <w:szCs w:val="20"/>
        </w:rPr>
        <w:t>10.</w:t>
      </w:r>
      <w:r>
        <w:rPr>
          <w:sz w:val="20"/>
          <w:szCs w:val="20"/>
        </w:rPr>
        <w:t>3</w:t>
      </w:r>
    </w:p>
    <w:p w:rsidR="00000000" w:rsidRDefault="00F83A7A">
      <w:pPr>
        <w:pStyle w:val="a3"/>
        <w:spacing w:before="240" w:beforeAutospacing="0" w:after="0" w:afterAutospacing="0"/>
        <w:jc w:val="center"/>
        <w:divId w:val="1715539600"/>
        <w:rPr>
          <w:sz w:val="20"/>
          <w:szCs w:val="20"/>
        </w:rPr>
      </w:pPr>
      <w:r>
        <w:rPr>
          <w:sz w:val="20"/>
          <w:szCs w:val="20"/>
        </w:rPr>
        <w:t>F</w:t>
      </w:r>
      <w:r>
        <w:rPr>
          <w:sz w:val="20"/>
          <w:szCs w:val="20"/>
        </w:rPr>
        <w:t>-</w:t>
      </w:r>
      <w:r>
        <w:rPr>
          <w:sz w:val="20"/>
          <w:szCs w:val="20"/>
        </w:rPr>
        <w:t>1</w:t>
      </w:r>
      <w:r>
        <w:rPr>
          <w:sz w:val="20"/>
          <w:szCs w:val="20"/>
        </w:rPr>
        <w:t>5</w:t>
      </w:r>
    </w:p>
    <w:p w:rsidR="00000000" w:rsidRDefault="00F83A7A">
      <w:pPr>
        <w:divId w:val="1715539600"/>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F83A7A">
      <w:pPr>
        <w:pStyle w:val="a3"/>
        <w:spacing w:before="0" w:beforeAutospacing="0" w:after="0" w:afterAutospacing="0"/>
        <w:ind w:left="1547"/>
        <w:divId w:val="1715539600"/>
        <w:rPr>
          <w:sz w:val="20"/>
          <w:szCs w:val="20"/>
        </w:rPr>
      </w:pPr>
      <w:r>
        <w:rPr>
          <w:sz w:val="20"/>
          <w:szCs w:val="20"/>
        </w:rPr>
        <w:t> </w:t>
      </w:r>
    </w:p>
    <w:p w:rsidR="00000000" w:rsidRDefault="00F83A7A">
      <w:pPr>
        <w:pStyle w:val="a3"/>
        <w:spacing w:before="200" w:beforeAutospacing="0" w:after="0" w:afterAutospacing="0"/>
        <w:jc w:val="both"/>
        <w:divId w:val="1715539600"/>
        <w:rPr>
          <w:sz w:val="20"/>
          <w:szCs w:val="20"/>
        </w:rPr>
      </w:pPr>
      <w:r>
        <w:rPr>
          <w:sz w:val="20"/>
          <w:szCs w:val="20"/>
        </w:rPr>
        <w:t>million</w:t>
      </w:r>
      <w:r>
        <w:rPr>
          <w:sz w:val="20"/>
          <w:szCs w:val="20"/>
        </w:rPr>
        <w:t xml:space="preserve"> </w:t>
      </w:r>
      <w:r>
        <w:rPr>
          <w:sz w:val="20"/>
          <w:szCs w:val="20"/>
        </w:rPr>
        <w:t>as of December 31, 2021. During the years ended December 31, 2021 and 202</w:t>
      </w:r>
      <w:r>
        <w:rPr>
          <w:sz w:val="20"/>
          <w:szCs w:val="20"/>
        </w:rPr>
        <w:t>0</w:t>
      </w:r>
      <w:r>
        <w:rPr>
          <w:sz w:val="20"/>
          <w:szCs w:val="20"/>
        </w:rPr>
        <w:t>, the Company recogniz</w:t>
      </w:r>
      <w:r>
        <w:rPr>
          <w:sz w:val="20"/>
          <w:szCs w:val="20"/>
        </w:rPr>
        <w:t>ed</w:t>
      </w:r>
      <w:r>
        <w:rPr>
          <w:sz w:val="20"/>
          <w:szCs w:val="20"/>
        </w:rPr>
        <w:t xml:space="preserve"> </w:t>
      </w:r>
      <w:r>
        <w:rPr>
          <w:sz w:val="20"/>
          <w:szCs w:val="20"/>
        </w:rPr>
        <w:t>zer</w:t>
      </w:r>
      <w:r>
        <w:rPr>
          <w:sz w:val="20"/>
          <w:szCs w:val="20"/>
        </w:rPr>
        <w:t>o</w:t>
      </w:r>
      <w:r>
        <w:rPr>
          <w:sz w:val="20"/>
          <w:szCs w:val="20"/>
        </w:rPr>
        <w:t xml:space="preserve"> and </w:t>
      </w:r>
      <w:r>
        <w:rPr>
          <w:sz w:val="20"/>
          <w:szCs w:val="20"/>
        </w:rPr>
        <w:t>$</w:t>
      </w:r>
      <w:r>
        <w:rPr>
          <w:sz w:val="20"/>
          <w:szCs w:val="20"/>
        </w:rPr>
        <w:t>2.</w:t>
      </w:r>
      <w:r>
        <w:rPr>
          <w:sz w:val="20"/>
          <w:szCs w:val="20"/>
        </w:rPr>
        <w:t>3</w:t>
      </w:r>
      <w:r>
        <w:rPr>
          <w:sz w:val="20"/>
          <w:szCs w:val="20"/>
        </w:rPr>
        <w:t xml:space="preserve"> million in expenses for employee performance-based option awards</w:t>
      </w:r>
      <w:r>
        <w:rPr>
          <w:sz w:val="20"/>
          <w:szCs w:val="20"/>
        </w:rPr>
        <w:t>.</w:t>
      </w:r>
      <w:r>
        <w:rPr>
          <w:sz w:val="20"/>
          <w:szCs w:val="20"/>
        </w:rPr>
        <w:t xml:space="preserve"> </w:t>
      </w:r>
    </w:p>
    <w:p w:rsidR="00000000" w:rsidRDefault="00F83A7A">
      <w:pPr>
        <w:pStyle w:val="a3"/>
        <w:spacing w:before="200" w:beforeAutospacing="0" w:after="0" w:afterAutospacing="0"/>
        <w:divId w:val="451755281"/>
        <w:rPr>
          <w:sz w:val="20"/>
          <w:szCs w:val="20"/>
        </w:rPr>
      </w:pPr>
      <w:r>
        <w:rPr>
          <w:sz w:val="20"/>
          <w:szCs w:val="20"/>
        </w:rPr>
        <w:t>The Company’s stock-based compensation expense was recognized in operating expenses as follows</w:t>
      </w:r>
      <w:r>
        <w:rPr>
          <w:sz w:val="20"/>
          <w:szCs w:val="20"/>
        </w:rPr>
        <w:t>:</w:t>
      </w:r>
    </w:p>
    <w:p w:rsidR="00000000" w:rsidRDefault="00F83A7A">
      <w:pPr>
        <w:pStyle w:val="a3"/>
        <w:spacing w:before="200" w:beforeAutospacing="0" w:after="0" w:afterAutospacing="0"/>
        <w:divId w:val="451755281"/>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319"/>
        <w:gridCol w:w="110"/>
        <w:gridCol w:w="160"/>
        <w:gridCol w:w="860"/>
        <w:gridCol w:w="110"/>
        <w:gridCol w:w="110"/>
        <w:gridCol w:w="160"/>
        <w:gridCol w:w="860"/>
        <w:gridCol w:w="125"/>
      </w:tblGrid>
      <w:tr w:rsidR="00000000">
        <w:trPr>
          <w:divId w:val="451755281"/>
          <w:tblCellSpacing w:w="15" w:type="dxa"/>
        </w:trPr>
        <w:tc>
          <w:tcPr>
            <w:tcW w:w="3091" w:type="pct"/>
            <w:vAlign w:val="center"/>
            <w:hideMark/>
          </w:tcPr>
          <w:p w:rsidR="00000000" w:rsidRDefault="00F83A7A">
            <w:pPr>
              <w:rPr>
                <w:sz w:val="20"/>
                <w:szCs w:val="20"/>
              </w:rPr>
            </w:pPr>
          </w:p>
        </w:tc>
        <w:tc>
          <w:tcPr>
            <w:tcW w:w="57" w:type="pct"/>
            <w:vAlign w:val="center"/>
            <w:hideMark/>
          </w:tcPr>
          <w:p w:rsidR="00000000" w:rsidRDefault="00F83A7A">
            <w:pPr>
              <w:rPr>
                <w:rFonts w:eastAsia="Times New Roman"/>
                <w:sz w:val="20"/>
                <w:szCs w:val="20"/>
              </w:rPr>
            </w:pPr>
          </w:p>
        </w:tc>
        <w:tc>
          <w:tcPr>
            <w:tcW w:w="99" w:type="pct"/>
            <w:vAlign w:val="center"/>
            <w:hideMark/>
          </w:tcPr>
          <w:p w:rsidR="00000000" w:rsidRDefault="00F83A7A">
            <w:pPr>
              <w:rPr>
                <w:rFonts w:eastAsia="Times New Roman"/>
                <w:sz w:val="20"/>
                <w:szCs w:val="20"/>
              </w:rPr>
            </w:pPr>
          </w:p>
        </w:tc>
        <w:tc>
          <w:tcPr>
            <w:tcW w:w="755" w:type="pct"/>
            <w:vAlign w:val="center"/>
            <w:hideMark/>
          </w:tcPr>
          <w:p w:rsidR="00000000" w:rsidRDefault="00F83A7A">
            <w:pPr>
              <w:rPr>
                <w:rFonts w:eastAsia="Times New Roman"/>
                <w:sz w:val="20"/>
                <w:szCs w:val="20"/>
              </w:rPr>
            </w:pPr>
          </w:p>
        </w:tc>
        <w:tc>
          <w:tcPr>
            <w:tcW w:w="39" w:type="pct"/>
            <w:vAlign w:val="center"/>
            <w:hideMark/>
          </w:tcPr>
          <w:p w:rsidR="00000000" w:rsidRDefault="00F83A7A">
            <w:pPr>
              <w:rPr>
                <w:rFonts w:eastAsia="Times New Roman"/>
                <w:sz w:val="20"/>
                <w:szCs w:val="20"/>
              </w:rPr>
            </w:pPr>
          </w:p>
        </w:tc>
        <w:tc>
          <w:tcPr>
            <w:tcW w:w="59" w:type="pct"/>
            <w:vAlign w:val="center"/>
            <w:hideMark/>
          </w:tcPr>
          <w:p w:rsidR="00000000" w:rsidRDefault="00F83A7A">
            <w:pPr>
              <w:rPr>
                <w:rFonts w:eastAsia="Times New Roman"/>
                <w:sz w:val="20"/>
                <w:szCs w:val="20"/>
              </w:rPr>
            </w:pPr>
          </w:p>
        </w:tc>
        <w:tc>
          <w:tcPr>
            <w:tcW w:w="99" w:type="pct"/>
            <w:vAlign w:val="center"/>
            <w:hideMark/>
          </w:tcPr>
          <w:p w:rsidR="00000000" w:rsidRDefault="00F83A7A">
            <w:pPr>
              <w:rPr>
                <w:rFonts w:eastAsia="Times New Roman"/>
                <w:sz w:val="20"/>
                <w:szCs w:val="20"/>
              </w:rPr>
            </w:pPr>
          </w:p>
        </w:tc>
        <w:tc>
          <w:tcPr>
            <w:tcW w:w="757" w:type="pct"/>
            <w:vAlign w:val="center"/>
            <w:hideMark/>
          </w:tcPr>
          <w:p w:rsidR="00000000" w:rsidRDefault="00F83A7A">
            <w:pPr>
              <w:rPr>
                <w:rFonts w:eastAsia="Times New Roman"/>
                <w:sz w:val="20"/>
                <w:szCs w:val="20"/>
              </w:rPr>
            </w:pPr>
          </w:p>
        </w:tc>
        <w:tc>
          <w:tcPr>
            <w:tcW w:w="39" w:type="pct"/>
            <w:vAlign w:val="center"/>
            <w:hideMark/>
          </w:tcPr>
          <w:p w:rsidR="00000000" w:rsidRDefault="00F83A7A">
            <w:pPr>
              <w:rPr>
                <w:rFonts w:eastAsia="Times New Roman"/>
                <w:sz w:val="20"/>
                <w:szCs w:val="20"/>
              </w:rPr>
            </w:pPr>
          </w:p>
        </w:tc>
      </w:tr>
      <w:tr w:rsidR="00000000">
        <w:trPr>
          <w:divId w:val="451755281"/>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F83A7A">
            <w:pPr>
              <w:pStyle w:val="a3"/>
              <w:spacing w:before="0" w:beforeAutospacing="0" w:after="0" w:afterAutospacing="0"/>
              <w:jc w:val="center"/>
              <w:rPr>
                <w:sz w:val="16"/>
                <w:szCs w:val="16"/>
              </w:rPr>
            </w:pPr>
            <w:r>
              <w:rPr>
                <w:b/>
                <w:bCs/>
                <w:sz w:val="16"/>
                <w:szCs w:val="16"/>
              </w:rPr>
              <w:t>For the Year Ended 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451755281"/>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451755281"/>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1,679,18</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2,779,75</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divId w:val="451755281"/>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3,375,27</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4,745,59</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divId w:val="451755281"/>
          <w:trHeight w:val="200"/>
          <w:tblCellSpacing w:w="15" w:type="dxa"/>
        </w:trPr>
        <w:tc>
          <w:tcPr>
            <w:tcW w:w="0" w:type="auto"/>
            <w:hideMark/>
          </w:tcPr>
          <w:p w:rsidR="00000000" w:rsidRDefault="00F83A7A">
            <w:pPr>
              <w:pStyle w:val="a3"/>
              <w:spacing w:before="0" w:beforeAutospacing="0" w:after="0" w:afterAutospacing="0"/>
              <w:ind w:left="200"/>
              <w:rPr>
                <w:sz w:val="20"/>
                <w:szCs w:val="20"/>
              </w:rPr>
            </w:pPr>
            <w:r>
              <w:rPr>
                <w:sz w:val="20"/>
                <w:szCs w:val="20"/>
              </w:rPr>
              <w:t>Tota</w:t>
            </w:r>
            <w:r>
              <w:rPr>
                <w:sz w:val="20"/>
                <w:szCs w:val="20"/>
              </w:rPr>
              <w:t>l</w:t>
            </w:r>
          </w:p>
        </w:tc>
        <w:tc>
          <w:tcPr>
            <w:tcW w:w="0" w:type="auto"/>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5,054,45</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7,525,35</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bl>
    <w:p w:rsidR="00000000" w:rsidRDefault="00F83A7A">
      <w:pPr>
        <w:pStyle w:val="a3"/>
        <w:spacing w:before="200" w:beforeAutospacing="0" w:after="0" w:afterAutospacing="0"/>
        <w:divId w:val="1715539600"/>
        <w:rPr>
          <w:sz w:val="20"/>
          <w:szCs w:val="20"/>
        </w:rPr>
      </w:pPr>
      <w:r>
        <w:rPr>
          <w:sz w:val="20"/>
          <w:szCs w:val="20"/>
        </w:rPr>
        <w:t> </w:t>
      </w:r>
    </w:p>
    <w:p w:rsidR="00000000" w:rsidRDefault="00F83A7A">
      <w:pPr>
        <w:pStyle w:val="a3"/>
        <w:spacing w:before="0" w:beforeAutospacing="0" w:after="0" w:afterAutospacing="0"/>
        <w:divId w:val="264118672"/>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319"/>
        <w:gridCol w:w="110"/>
        <w:gridCol w:w="160"/>
        <w:gridCol w:w="860"/>
        <w:gridCol w:w="110"/>
        <w:gridCol w:w="110"/>
        <w:gridCol w:w="160"/>
        <w:gridCol w:w="860"/>
        <w:gridCol w:w="125"/>
      </w:tblGrid>
      <w:tr w:rsidR="00000000">
        <w:trPr>
          <w:divId w:val="264118672"/>
          <w:tblCellSpacing w:w="15" w:type="dxa"/>
        </w:trPr>
        <w:tc>
          <w:tcPr>
            <w:tcW w:w="3076" w:type="pct"/>
            <w:vAlign w:val="center"/>
            <w:hideMark/>
          </w:tcPr>
          <w:p w:rsidR="00000000" w:rsidRDefault="00F83A7A">
            <w:pPr>
              <w:rPr>
                <w:sz w:val="20"/>
                <w:szCs w:val="20"/>
              </w:rPr>
            </w:pPr>
          </w:p>
        </w:tc>
        <w:tc>
          <w:tcPr>
            <w:tcW w:w="64" w:type="pct"/>
            <w:vAlign w:val="center"/>
            <w:hideMark/>
          </w:tcPr>
          <w:p w:rsidR="00000000" w:rsidRDefault="00F83A7A">
            <w:pPr>
              <w:rPr>
                <w:rFonts w:eastAsia="Times New Roman"/>
                <w:sz w:val="20"/>
                <w:szCs w:val="20"/>
              </w:rPr>
            </w:pPr>
          </w:p>
        </w:tc>
        <w:tc>
          <w:tcPr>
            <w:tcW w:w="100" w:type="pct"/>
            <w:vAlign w:val="center"/>
            <w:hideMark/>
          </w:tcPr>
          <w:p w:rsidR="00000000" w:rsidRDefault="00F83A7A">
            <w:pPr>
              <w:rPr>
                <w:rFonts w:eastAsia="Times New Roman"/>
                <w:sz w:val="20"/>
                <w:szCs w:val="20"/>
              </w:rPr>
            </w:pPr>
          </w:p>
        </w:tc>
        <w:tc>
          <w:tcPr>
            <w:tcW w:w="754" w:type="pct"/>
            <w:vAlign w:val="center"/>
            <w:hideMark/>
          </w:tcPr>
          <w:p w:rsidR="00000000" w:rsidRDefault="00F83A7A">
            <w:pPr>
              <w:rPr>
                <w:rFonts w:eastAsia="Times New Roman"/>
                <w:sz w:val="20"/>
                <w:szCs w:val="20"/>
              </w:rPr>
            </w:pPr>
          </w:p>
        </w:tc>
        <w:tc>
          <w:tcPr>
            <w:tcW w:w="41" w:type="pct"/>
            <w:vAlign w:val="center"/>
            <w:hideMark/>
          </w:tcPr>
          <w:p w:rsidR="00000000" w:rsidRDefault="00F83A7A">
            <w:pPr>
              <w:rPr>
                <w:rFonts w:eastAsia="Times New Roman"/>
                <w:sz w:val="20"/>
                <w:szCs w:val="20"/>
              </w:rPr>
            </w:pPr>
          </w:p>
        </w:tc>
        <w:tc>
          <w:tcPr>
            <w:tcW w:w="64" w:type="pct"/>
            <w:vAlign w:val="center"/>
            <w:hideMark/>
          </w:tcPr>
          <w:p w:rsidR="00000000" w:rsidRDefault="00F83A7A">
            <w:pPr>
              <w:rPr>
                <w:rFonts w:eastAsia="Times New Roman"/>
                <w:sz w:val="20"/>
                <w:szCs w:val="20"/>
              </w:rPr>
            </w:pPr>
          </w:p>
        </w:tc>
        <w:tc>
          <w:tcPr>
            <w:tcW w:w="100" w:type="pct"/>
            <w:vAlign w:val="center"/>
            <w:hideMark/>
          </w:tcPr>
          <w:p w:rsidR="00000000" w:rsidRDefault="00F83A7A">
            <w:pPr>
              <w:rPr>
                <w:rFonts w:eastAsia="Times New Roman"/>
                <w:sz w:val="20"/>
                <w:szCs w:val="20"/>
              </w:rPr>
            </w:pPr>
          </w:p>
        </w:tc>
        <w:tc>
          <w:tcPr>
            <w:tcW w:w="755" w:type="pct"/>
            <w:vAlign w:val="center"/>
            <w:hideMark/>
          </w:tcPr>
          <w:p w:rsidR="00000000" w:rsidRDefault="00F83A7A">
            <w:pPr>
              <w:rPr>
                <w:rFonts w:eastAsia="Times New Roman"/>
                <w:sz w:val="20"/>
                <w:szCs w:val="20"/>
              </w:rPr>
            </w:pPr>
          </w:p>
        </w:tc>
        <w:tc>
          <w:tcPr>
            <w:tcW w:w="41" w:type="pct"/>
            <w:vAlign w:val="center"/>
            <w:hideMark/>
          </w:tcPr>
          <w:p w:rsidR="00000000" w:rsidRDefault="00F83A7A">
            <w:pPr>
              <w:rPr>
                <w:rFonts w:eastAsia="Times New Roman"/>
                <w:sz w:val="20"/>
                <w:szCs w:val="20"/>
              </w:rPr>
            </w:pPr>
          </w:p>
        </w:tc>
      </w:tr>
      <w:tr w:rsidR="00000000">
        <w:trPr>
          <w:divId w:val="264118672"/>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F83A7A">
            <w:pPr>
              <w:pStyle w:val="a3"/>
              <w:spacing w:before="0" w:beforeAutospacing="0" w:after="0" w:afterAutospacing="0"/>
              <w:jc w:val="center"/>
              <w:rPr>
                <w:sz w:val="16"/>
                <w:szCs w:val="16"/>
              </w:rPr>
            </w:pPr>
            <w:r>
              <w:rPr>
                <w:b/>
                <w:bCs/>
                <w:sz w:val="16"/>
                <w:szCs w:val="16"/>
              </w:rPr>
              <w:t>For the Year Ended 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264118672"/>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264118672"/>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Stock option</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4,970,67</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7,372,38</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divId w:val="264118672"/>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Employee Stock Purchase Pla</w:t>
            </w:r>
            <w:r>
              <w:rPr>
                <w:sz w:val="20"/>
                <w:szCs w:val="20"/>
              </w:rPr>
              <w:t>n</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83,78</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152,97</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divId w:val="264118672"/>
          <w:trHeight w:val="200"/>
          <w:tblCellSpacing w:w="15" w:type="dxa"/>
        </w:trPr>
        <w:tc>
          <w:tcPr>
            <w:tcW w:w="0" w:type="auto"/>
            <w:hideMark/>
          </w:tcPr>
          <w:p w:rsidR="00000000" w:rsidRDefault="00F83A7A">
            <w:pPr>
              <w:pStyle w:val="a3"/>
              <w:spacing w:before="0" w:beforeAutospacing="0" w:after="0" w:afterAutospacing="0"/>
              <w:ind w:left="200"/>
              <w:rPr>
                <w:sz w:val="20"/>
                <w:szCs w:val="20"/>
              </w:rPr>
            </w:pPr>
            <w:r>
              <w:rPr>
                <w:sz w:val="20"/>
                <w:szCs w:val="20"/>
              </w:rPr>
              <w:t>Tota</w:t>
            </w:r>
            <w:r>
              <w:rPr>
                <w:sz w:val="20"/>
                <w:szCs w:val="20"/>
              </w:rPr>
              <w:t>l</w:t>
            </w:r>
          </w:p>
        </w:tc>
        <w:tc>
          <w:tcPr>
            <w:tcW w:w="0" w:type="auto"/>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5,054,45</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7,525,35</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bl>
    <w:p w:rsidR="00000000" w:rsidRDefault="00F83A7A">
      <w:pPr>
        <w:pStyle w:val="a3"/>
        <w:spacing w:before="0" w:beforeAutospacing="0" w:after="0" w:afterAutospacing="0"/>
        <w:jc w:val="both"/>
        <w:divId w:val="264118672"/>
        <w:rPr>
          <w:sz w:val="20"/>
          <w:szCs w:val="20"/>
        </w:rPr>
      </w:pPr>
      <w:r>
        <w:rPr>
          <w:sz w:val="20"/>
          <w:szCs w:val="20"/>
        </w:rPr>
        <w:t> </w:t>
      </w:r>
    </w:p>
    <w:p w:rsidR="00000000" w:rsidRDefault="00F83A7A">
      <w:pPr>
        <w:pStyle w:val="a3"/>
        <w:spacing w:before="0" w:beforeAutospacing="0" w:after="0" w:afterAutospacing="0"/>
        <w:jc w:val="both"/>
        <w:divId w:val="398212422"/>
        <w:rPr>
          <w:sz w:val="20"/>
          <w:szCs w:val="20"/>
        </w:rPr>
      </w:pPr>
      <w:r>
        <w:rPr>
          <w:sz w:val="20"/>
          <w:szCs w:val="20"/>
        </w:rPr>
        <w:t>The fair value of employee options granted during the years ended</w:t>
      </w:r>
      <w:r>
        <w:rPr>
          <w:sz w:val="20"/>
          <w:szCs w:val="20"/>
        </w:rPr>
        <w:t xml:space="preserve"> </w:t>
      </w:r>
      <w:r>
        <w:rPr>
          <w:sz w:val="20"/>
          <w:szCs w:val="20"/>
        </w:rPr>
        <w:t>December 31, 2021 and 2020, respectively, was estimated by utilizing the following assumptions</w:t>
      </w:r>
      <w:r>
        <w:rPr>
          <w:sz w:val="20"/>
          <w:szCs w:val="20"/>
        </w:rPr>
        <w:t>:</w:t>
      </w:r>
    </w:p>
    <w:p w:rsidR="00000000" w:rsidRDefault="00F83A7A">
      <w:pPr>
        <w:pStyle w:val="a3"/>
        <w:spacing w:before="0" w:beforeAutospacing="0" w:after="0" w:afterAutospacing="0"/>
        <w:jc w:val="both"/>
        <w:divId w:val="398212422"/>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361"/>
        <w:gridCol w:w="110"/>
        <w:gridCol w:w="161"/>
        <w:gridCol w:w="721"/>
        <w:gridCol w:w="227"/>
        <w:gridCol w:w="110"/>
        <w:gridCol w:w="161"/>
        <w:gridCol w:w="721"/>
        <w:gridCol w:w="242"/>
      </w:tblGrid>
      <w:tr w:rsidR="00000000">
        <w:trPr>
          <w:divId w:val="398212422"/>
          <w:tblCellSpacing w:w="15" w:type="dxa"/>
        </w:trPr>
        <w:tc>
          <w:tcPr>
            <w:tcW w:w="3051" w:type="pct"/>
            <w:vAlign w:val="center"/>
            <w:hideMark/>
          </w:tcPr>
          <w:p w:rsidR="00000000" w:rsidRDefault="00F83A7A">
            <w:pPr>
              <w:rPr>
                <w:sz w:val="20"/>
                <w:szCs w:val="20"/>
              </w:rPr>
            </w:pPr>
          </w:p>
        </w:tc>
        <w:tc>
          <w:tcPr>
            <w:tcW w:w="33" w:type="pct"/>
            <w:vAlign w:val="center"/>
            <w:hideMark/>
          </w:tcPr>
          <w:p w:rsidR="00000000" w:rsidRDefault="00F83A7A">
            <w:pPr>
              <w:rPr>
                <w:rFonts w:eastAsia="Times New Roman"/>
                <w:sz w:val="20"/>
                <w:szCs w:val="20"/>
              </w:rPr>
            </w:pPr>
          </w:p>
        </w:tc>
        <w:tc>
          <w:tcPr>
            <w:tcW w:w="100" w:type="pct"/>
            <w:vAlign w:val="center"/>
            <w:hideMark/>
          </w:tcPr>
          <w:p w:rsidR="00000000" w:rsidRDefault="00F83A7A">
            <w:pPr>
              <w:rPr>
                <w:rFonts w:eastAsia="Times New Roman"/>
                <w:sz w:val="20"/>
                <w:szCs w:val="20"/>
              </w:rPr>
            </w:pPr>
          </w:p>
        </w:tc>
        <w:tc>
          <w:tcPr>
            <w:tcW w:w="672" w:type="pct"/>
            <w:vAlign w:val="center"/>
            <w:hideMark/>
          </w:tcPr>
          <w:p w:rsidR="00000000" w:rsidRDefault="00F83A7A">
            <w:pPr>
              <w:rPr>
                <w:rFonts w:eastAsia="Times New Roman"/>
                <w:sz w:val="20"/>
                <w:szCs w:val="20"/>
              </w:rPr>
            </w:pPr>
          </w:p>
        </w:tc>
        <w:tc>
          <w:tcPr>
            <w:tcW w:w="167" w:type="pct"/>
            <w:vAlign w:val="center"/>
            <w:hideMark/>
          </w:tcPr>
          <w:p w:rsidR="00000000" w:rsidRDefault="00F83A7A">
            <w:pPr>
              <w:rPr>
                <w:rFonts w:eastAsia="Times New Roman"/>
                <w:sz w:val="20"/>
                <w:szCs w:val="20"/>
              </w:rPr>
            </w:pPr>
          </w:p>
        </w:tc>
        <w:tc>
          <w:tcPr>
            <w:tcW w:w="34" w:type="pct"/>
            <w:vAlign w:val="center"/>
            <w:hideMark/>
          </w:tcPr>
          <w:p w:rsidR="00000000" w:rsidRDefault="00F83A7A">
            <w:pPr>
              <w:rPr>
                <w:rFonts w:eastAsia="Times New Roman"/>
                <w:sz w:val="20"/>
                <w:szCs w:val="20"/>
              </w:rPr>
            </w:pPr>
          </w:p>
        </w:tc>
        <w:tc>
          <w:tcPr>
            <w:tcW w:w="100" w:type="pct"/>
            <w:vAlign w:val="center"/>
            <w:hideMark/>
          </w:tcPr>
          <w:p w:rsidR="00000000" w:rsidRDefault="00F83A7A">
            <w:pPr>
              <w:rPr>
                <w:rFonts w:eastAsia="Times New Roman"/>
                <w:sz w:val="20"/>
                <w:szCs w:val="20"/>
              </w:rPr>
            </w:pPr>
          </w:p>
        </w:tc>
        <w:tc>
          <w:tcPr>
            <w:tcW w:w="672" w:type="pct"/>
            <w:vAlign w:val="center"/>
            <w:hideMark/>
          </w:tcPr>
          <w:p w:rsidR="00000000" w:rsidRDefault="00F83A7A">
            <w:pPr>
              <w:rPr>
                <w:rFonts w:eastAsia="Times New Roman"/>
                <w:sz w:val="20"/>
                <w:szCs w:val="20"/>
              </w:rPr>
            </w:pPr>
          </w:p>
        </w:tc>
        <w:tc>
          <w:tcPr>
            <w:tcW w:w="167" w:type="pct"/>
            <w:vAlign w:val="center"/>
            <w:hideMark/>
          </w:tcPr>
          <w:p w:rsidR="00000000" w:rsidRDefault="00F83A7A">
            <w:pPr>
              <w:rPr>
                <w:rFonts w:eastAsia="Times New Roman"/>
                <w:sz w:val="20"/>
                <w:szCs w:val="20"/>
              </w:rPr>
            </w:pPr>
          </w:p>
        </w:tc>
      </w:tr>
      <w:tr w:rsidR="00000000">
        <w:trPr>
          <w:divId w:val="398212422"/>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F83A7A">
            <w:pPr>
              <w:pStyle w:val="a3"/>
              <w:spacing w:before="0" w:beforeAutospacing="0" w:after="0" w:afterAutospacing="0"/>
              <w:jc w:val="center"/>
              <w:rPr>
                <w:sz w:val="16"/>
                <w:szCs w:val="16"/>
              </w:rPr>
            </w:pPr>
            <w:r>
              <w:rPr>
                <w:b/>
                <w:bCs/>
                <w:sz w:val="16"/>
                <w:szCs w:val="16"/>
              </w:rPr>
              <w:t>For the Year Ended 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398212422"/>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398212422"/>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Weighted</w:t>
            </w:r>
            <w:r>
              <w:rPr>
                <w:b/>
                <w:bCs/>
                <w:sz w:val="16"/>
                <w:szCs w:val="16"/>
              </w:rPr>
              <w:br/>
              <w:t>Averag</w:t>
            </w:r>
            <w:r>
              <w:rPr>
                <w:b/>
                <w:bCs/>
                <w:sz w:val="16"/>
                <w:szCs w:val="16"/>
              </w:rPr>
              <w:t>e</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Weighted</w:t>
            </w:r>
            <w:r>
              <w:rPr>
                <w:b/>
                <w:bCs/>
                <w:sz w:val="16"/>
                <w:szCs w:val="16"/>
              </w:rPr>
              <w:br/>
              <w:t>Averag</w:t>
            </w:r>
            <w:r>
              <w:rPr>
                <w:b/>
                <w:bCs/>
                <w:sz w:val="16"/>
                <w:szCs w:val="16"/>
              </w:rPr>
              <w:t>e</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398212422"/>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Volatilit</w:t>
            </w:r>
            <w:r>
              <w:rPr>
                <w:sz w:val="20"/>
                <w:szCs w:val="20"/>
              </w:rPr>
              <w:t>y</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84.3</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81.4</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divId w:val="398212422"/>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Expected term in year</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6.0</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5.8</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divId w:val="398212422"/>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Dividend rat</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divId w:val="398212422"/>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Risk-free interest rat</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0.9</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0.5</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divId w:val="398212422"/>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Fair value of option on grant dat</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2.5</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2.6</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bl>
    <w:p w:rsidR="00000000" w:rsidRDefault="00F83A7A">
      <w:pPr>
        <w:pStyle w:val="a3"/>
        <w:spacing w:before="0" w:beforeAutospacing="0" w:after="0" w:afterAutospacing="0"/>
        <w:jc w:val="both"/>
        <w:divId w:val="1715539600"/>
        <w:rPr>
          <w:sz w:val="20"/>
          <w:szCs w:val="20"/>
        </w:rPr>
      </w:pPr>
      <w:r>
        <w:rPr>
          <w:sz w:val="20"/>
          <w:szCs w:val="20"/>
        </w:rPr>
        <w:t> </w:t>
      </w:r>
    </w:p>
    <w:p w:rsidR="00000000" w:rsidRDefault="00F83A7A">
      <w:pPr>
        <w:pStyle w:val="a3"/>
        <w:spacing w:before="0" w:beforeAutospacing="0" w:after="0" w:afterAutospacing="0"/>
        <w:jc w:val="both"/>
        <w:divId w:val="491483752"/>
        <w:rPr>
          <w:sz w:val="20"/>
          <w:szCs w:val="20"/>
        </w:rPr>
      </w:pPr>
      <w:r>
        <w:rPr>
          <w:sz w:val="20"/>
          <w:szCs w:val="20"/>
        </w:rPr>
        <w:t>The fair value of nonemployee options granted and remeasured during the years ended</w:t>
      </w:r>
      <w:r>
        <w:rPr>
          <w:sz w:val="20"/>
          <w:szCs w:val="20"/>
        </w:rPr>
        <w:t xml:space="preserve"> </w:t>
      </w:r>
      <w:r>
        <w:rPr>
          <w:sz w:val="20"/>
          <w:szCs w:val="20"/>
        </w:rPr>
        <w:t>December 31, 2021 and 2020, respectively, was estimated by utilizing the following assumptions</w:t>
      </w:r>
      <w:r>
        <w:rPr>
          <w:sz w:val="20"/>
          <w:szCs w:val="20"/>
        </w:rPr>
        <w:t>:</w:t>
      </w:r>
    </w:p>
    <w:p w:rsidR="00000000" w:rsidRDefault="00F83A7A">
      <w:pPr>
        <w:pStyle w:val="a3"/>
        <w:spacing w:before="0" w:beforeAutospacing="0" w:after="0" w:afterAutospacing="0"/>
        <w:jc w:val="both"/>
        <w:divId w:val="491483752"/>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361"/>
        <w:gridCol w:w="110"/>
        <w:gridCol w:w="161"/>
        <w:gridCol w:w="721"/>
        <w:gridCol w:w="227"/>
        <w:gridCol w:w="110"/>
        <w:gridCol w:w="161"/>
        <w:gridCol w:w="721"/>
        <w:gridCol w:w="242"/>
      </w:tblGrid>
      <w:tr w:rsidR="00000000">
        <w:trPr>
          <w:divId w:val="491483752"/>
          <w:tblCellSpacing w:w="15" w:type="dxa"/>
        </w:trPr>
        <w:tc>
          <w:tcPr>
            <w:tcW w:w="3051" w:type="pct"/>
            <w:vAlign w:val="center"/>
            <w:hideMark/>
          </w:tcPr>
          <w:p w:rsidR="00000000" w:rsidRDefault="00F83A7A">
            <w:pPr>
              <w:rPr>
                <w:sz w:val="20"/>
                <w:szCs w:val="20"/>
              </w:rPr>
            </w:pPr>
          </w:p>
        </w:tc>
        <w:tc>
          <w:tcPr>
            <w:tcW w:w="33" w:type="pct"/>
            <w:vAlign w:val="center"/>
            <w:hideMark/>
          </w:tcPr>
          <w:p w:rsidR="00000000" w:rsidRDefault="00F83A7A">
            <w:pPr>
              <w:rPr>
                <w:rFonts w:eastAsia="Times New Roman"/>
                <w:sz w:val="20"/>
                <w:szCs w:val="20"/>
              </w:rPr>
            </w:pPr>
          </w:p>
        </w:tc>
        <w:tc>
          <w:tcPr>
            <w:tcW w:w="100" w:type="pct"/>
            <w:vAlign w:val="center"/>
            <w:hideMark/>
          </w:tcPr>
          <w:p w:rsidR="00000000" w:rsidRDefault="00F83A7A">
            <w:pPr>
              <w:rPr>
                <w:rFonts w:eastAsia="Times New Roman"/>
                <w:sz w:val="20"/>
                <w:szCs w:val="20"/>
              </w:rPr>
            </w:pPr>
          </w:p>
        </w:tc>
        <w:tc>
          <w:tcPr>
            <w:tcW w:w="672" w:type="pct"/>
            <w:vAlign w:val="center"/>
            <w:hideMark/>
          </w:tcPr>
          <w:p w:rsidR="00000000" w:rsidRDefault="00F83A7A">
            <w:pPr>
              <w:rPr>
                <w:rFonts w:eastAsia="Times New Roman"/>
                <w:sz w:val="20"/>
                <w:szCs w:val="20"/>
              </w:rPr>
            </w:pPr>
          </w:p>
        </w:tc>
        <w:tc>
          <w:tcPr>
            <w:tcW w:w="167" w:type="pct"/>
            <w:vAlign w:val="center"/>
            <w:hideMark/>
          </w:tcPr>
          <w:p w:rsidR="00000000" w:rsidRDefault="00F83A7A">
            <w:pPr>
              <w:rPr>
                <w:rFonts w:eastAsia="Times New Roman"/>
                <w:sz w:val="20"/>
                <w:szCs w:val="20"/>
              </w:rPr>
            </w:pPr>
          </w:p>
        </w:tc>
        <w:tc>
          <w:tcPr>
            <w:tcW w:w="34" w:type="pct"/>
            <w:vAlign w:val="center"/>
            <w:hideMark/>
          </w:tcPr>
          <w:p w:rsidR="00000000" w:rsidRDefault="00F83A7A">
            <w:pPr>
              <w:rPr>
                <w:rFonts w:eastAsia="Times New Roman"/>
                <w:sz w:val="20"/>
                <w:szCs w:val="20"/>
              </w:rPr>
            </w:pPr>
          </w:p>
        </w:tc>
        <w:tc>
          <w:tcPr>
            <w:tcW w:w="100" w:type="pct"/>
            <w:vAlign w:val="center"/>
            <w:hideMark/>
          </w:tcPr>
          <w:p w:rsidR="00000000" w:rsidRDefault="00F83A7A">
            <w:pPr>
              <w:rPr>
                <w:rFonts w:eastAsia="Times New Roman"/>
                <w:sz w:val="20"/>
                <w:szCs w:val="20"/>
              </w:rPr>
            </w:pPr>
          </w:p>
        </w:tc>
        <w:tc>
          <w:tcPr>
            <w:tcW w:w="672" w:type="pct"/>
            <w:vAlign w:val="center"/>
            <w:hideMark/>
          </w:tcPr>
          <w:p w:rsidR="00000000" w:rsidRDefault="00F83A7A">
            <w:pPr>
              <w:rPr>
                <w:rFonts w:eastAsia="Times New Roman"/>
                <w:sz w:val="20"/>
                <w:szCs w:val="20"/>
              </w:rPr>
            </w:pPr>
          </w:p>
        </w:tc>
        <w:tc>
          <w:tcPr>
            <w:tcW w:w="167" w:type="pct"/>
            <w:vAlign w:val="center"/>
            <w:hideMark/>
          </w:tcPr>
          <w:p w:rsidR="00000000" w:rsidRDefault="00F83A7A">
            <w:pPr>
              <w:rPr>
                <w:rFonts w:eastAsia="Times New Roman"/>
                <w:sz w:val="20"/>
                <w:szCs w:val="20"/>
              </w:rPr>
            </w:pPr>
          </w:p>
        </w:tc>
      </w:tr>
      <w:tr w:rsidR="00000000">
        <w:trPr>
          <w:divId w:val="491483752"/>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F83A7A">
            <w:pPr>
              <w:pStyle w:val="a3"/>
              <w:spacing w:before="0" w:beforeAutospacing="0" w:after="0" w:afterAutospacing="0"/>
              <w:jc w:val="center"/>
              <w:rPr>
                <w:sz w:val="16"/>
                <w:szCs w:val="16"/>
              </w:rPr>
            </w:pPr>
            <w:r>
              <w:rPr>
                <w:b/>
                <w:bCs/>
                <w:sz w:val="16"/>
                <w:szCs w:val="16"/>
              </w:rPr>
              <w:t>For the Year Ended 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491483752"/>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491483752"/>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Weighted</w:t>
            </w:r>
            <w:r>
              <w:rPr>
                <w:b/>
                <w:bCs/>
                <w:sz w:val="16"/>
                <w:szCs w:val="16"/>
              </w:rPr>
              <w:br/>
              <w:t>Averag</w:t>
            </w:r>
            <w:r>
              <w:rPr>
                <w:b/>
                <w:bCs/>
                <w:sz w:val="16"/>
                <w:szCs w:val="16"/>
              </w:rPr>
              <w:t>e</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Weighted</w:t>
            </w:r>
            <w:r>
              <w:rPr>
                <w:b/>
                <w:bCs/>
                <w:sz w:val="16"/>
                <w:szCs w:val="16"/>
              </w:rPr>
              <w:br/>
              <w:t>Averag</w:t>
            </w:r>
            <w:r>
              <w:rPr>
                <w:b/>
                <w:bCs/>
                <w:sz w:val="16"/>
                <w:szCs w:val="16"/>
              </w:rPr>
              <w:t>e</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491483752"/>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Volatilit</w:t>
            </w:r>
            <w:r>
              <w:rPr>
                <w:sz w:val="20"/>
                <w:szCs w:val="20"/>
              </w:rPr>
              <w:t>y</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80.4</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74.3</w:t>
            </w:r>
            <w:r>
              <w:rPr>
                <w:sz w:val="20"/>
                <w:szCs w:val="20"/>
              </w:rPr>
              <w:t>7</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divId w:val="491483752"/>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Expected term in year</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6.2</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5.6</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divId w:val="491483752"/>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Dividend rat</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divId w:val="491483752"/>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Risk-free interest rat</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1.0</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2.3</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divId w:val="491483752"/>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Fair value of option on grant dat</w:t>
            </w:r>
            <w:r>
              <w:rPr>
                <w:sz w:val="20"/>
                <w:szCs w:val="20"/>
              </w:rPr>
              <w:t>e</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2.4</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1.1</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bl>
    <w:p w:rsidR="00000000" w:rsidRDefault="00F83A7A">
      <w:pPr>
        <w:pStyle w:val="a3"/>
        <w:spacing w:before="0" w:beforeAutospacing="0" w:after="0" w:afterAutospacing="0"/>
        <w:divId w:val="491483752"/>
        <w:rPr>
          <w:sz w:val="20"/>
          <w:szCs w:val="20"/>
        </w:rPr>
      </w:pPr>
      <w:r>
        <w:rPr>
          <w:sz w:val="20"/>
          <w:szCs w:val="20"/>
        </w:rPr>
        <w:t> </w:t>
      </w:r>
    </w:p>
    <w:p w:rsidR="00000000" w:rsidRDefault="00F83A7A">
      <w:pPr>
        <w:pStyle w:val="a3"/>
        <w:spacing w:before="240" w:beforeAutospacing="0" w:after="0" w:afterAutospacing="0"/>
        <w:jc w:val="center"/>
        <w:divId w:val="491483752"/>
        <w:rPr>
          <w:sz w:val="20"/>
          <w:szCs w:val="20"/>
        </w:rPr>
      </w:pPr>
      <w:r>
        <w:rPr>
          <w:sz w:val="20"/>
          <w:szCs w:val="20"/>
        </w:rPr>
        <w:t>F</w:t>
      </w:r>
      <w:r>
        <w:rPr>
          <w:sz w:val="20"/>
          <w:szCs w:val="20"/>
        </w:rPr>
        <w:t>-</w:t>
      </w:r>
      <w:r>
        <w:rPr>
          <w:sz w:val="20"/>
          <w:szCs w:val="20"/>
        </w:rPr>
        <w:t>1</w:t>
      </w:r>
      <w:r>
        <w:rPr>
          <w:sz w:val="20"/>
          <w:szCs w:val="20"/>
        </w:rPr>
        <w:t>6</w:t>
      </w:r>
    </w:p>
    <w:p w:rsidR="00000000" w:rsidRDefault="00F83A7A">
      <w:pPr>
        <w:divId w:val="491483752"/>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F83A7A">
      <w:pPr>
        <w:pStyle w:val="a3"/>
        <w:spacing w:before="0" w:beforeAutospacing="0" w:after="0" w:afterAutospacing="0"/>
        <w:ind w:left="1547"/>
        <w:divId w:val="491483752"/>
        <w:rPr>
          <w:sz w:val="20"/>
          <w:szCs w:val="20"/>
        </w:rPr>
      </w:pPr>
      <w:r>
        <w:rPr>
          <w:sz w:val="20"/>
          <w:szCs w:val="20"/>
        </w:rPr>
        <w:t> </w:t>
      </w:r>
    </w:p>
    <w:p w:rsidR="00000000" w:rsidRDefault="00F83A7A">
      <w:pPr>
        <w:pStyle w:val="a3"/>
        <w:spacing w:before="0" w:beforeAutospacing="0" w:after="0" w:afterAutospacing="0"/>
        <w:divId w:val="1715539600"/>
        <w:rPr>
          <w:sz w:val="20"/>
          <w:szCs w:val="20"/>
        </w:rPr>
      </w:pPr>
      <w:r>
        <w:rPr>
          <w:sz w:val="20"/>
          <w:szCs w:val="20"/>
        </w:rPr>
        <w:t> </w:t>
      </w:r>
    </w:p>
    <w:p w:rsidR="00000000" w:rsidRDefault="00F83A7A">
      <w:pPr>
        <w:pStyle w:val="a3"/>
        <w:spacing w:before="0" w:beforeAutospacing="0" w:after="0" w:afterAutospacing="0"/>
        <w:divId w:val="125661825"/>
        <w:rPr>
          <w:sz w:val="20"/>
          <w:szCs w:val="20"/>
        </w:rPr>
      </w:pPr>
      <w:r>
        <w:rPr>
          <w:sz w:val="20"/>
          <w:szCs w:val="20"/>
        </w:rPr>
        <w:t>The following table summarizes the number of options outstanding and the weighted average exercise price</w:t>
      </w:r>
      <w:r>
        <w:rPr>
          <w:sz w:val="20"/>
          <w:szCs w:val="20"/>
        </w:rPr>
        <w:t>:</w:t>
      </w:r>
    </w:p>
    <w:p w:rsidR="00000000" w:rsidRDefault="00F83A7A">
      <w:pPr>
        <w:pStyle w:val="a3"/>
        <w:spacing w:before="0" w:beforeAutospacing="0" w:after="0" w:afterAutospacing="0"/>
        <w:divId w:val="125661825"/>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1418"/>
        <w:gridCol w:w="110"/>
        <w:gridCol w:w="105"/>
        <w:gridCol w:w="870"/>
        <w:gridCol w:w="120"/>
        <w:gridCol w:w="105"/>
        <w:gridCol w:w="229"/>
        <w:gridCol w:w="489"/>
        <w:gridCol w:w="105"/>
        <w:gridCol w:w="105"/>
        <w:gridCol w:w="108"/>
        <w:gridCol w:w="790"/>
        <w:gridCol w:w="105"/>
        <w:gridCol w:w="105"/>
        <w:gridCol w:w="150"/>
        <w:gridCol w:w="780"/>
        <w:gridCol w:w="120"/>
      </w:tblGrid>
      <w:tr w:rsidR="00000000">
        <w:trPr>
          <w:divId w:val="125661825"/>
          <w:tblCellSpacing w:w="15" w:type="dxa"/>
        </w:trPr>
        <w:tc>
          <w:tcPr>
            <w:tcW w:w="1815" w:type="pct"/>
            <w:vAlign w:val="center"/>
            <w:hideMark/>
          </w:tcPr>
          <w:p w:rsidR="00000000" w:rsidRDefault="00F83A7A">
            <w:pPr>
              <w:rPr>
                <w:sz w:val="20"/>
                <w:szCs w:val="20"/>
              </w:rPr>
            </w:pPr>
          </w:p>
        </w:tc>
        <w:tc>
          <w:tcPr>
            <w:tcW w:w="59" w:type="pct"/>
            <w:vAlign w:val="center"/>
            <w:hideMark/>
          </w:tcPr>
          <w:p w:rsidR="00000000" w:rsidRDefault="00F83A7A">
            <w:pPr>
              <w:rPr>
                <w:rFonts w:eastAsia="Times New Roman"/>
                <w:sz w:val="20"/>
                <w:szCs w:val="20"/>
              </w:rPr>
            </w:pPr>
          </w:p>
        </w:tc>
        <w:tc>
          <w:tcPr>
            <w:tcW w:w="43" w:type="pct"/>
            <w:vAlign w:val="center"/>
            <w:hideMark/>
          </w:tcPr>
          <w:p w:rsidR="00000000" w:rsidRDefault="00F83A7A">
            <w:pPr>
              <w:rPr>
                <w:rFonts w:eastAsia="Times New Roman"/>
                <w:sz w:val="20"/>
                <w:szCs w:val="20"/>
              </w:rPr>
            </w:pPr>
          </w:p>
        </w:tc>
        <w:tc>
          <w:tcPr>
            <w:tcW w:w="688" w:type="pct"/>
            <w:vAlign w:val="center"/>
            <w:hideMark/>
          </w:tcPr>
          <w:p w:rsidR="00000000" w:rsidRDefault="00F83A7A">
            <w:pPr>
              <w:rPr>
                <w:rFonts w:eastAsia="Times New Roman"/>
                <w:sz w:val="20"/>
                <w:szCs w:val="20"/>
              </w:rPr>
            </w:pPr>
          </w:p>
        </w:tc>
        <w:tc>
          <w:tcPr>
            <w:tcW w:w="58" w:type="pct"/>
            <w:vAlign w:val="center"/>
            <w:hideMark/>
          </w:tcPr>
          <w:p w:rsidR="00000000" w:rsidRDefault="00F83A7A">
            <w:pPr>
              <w:rPr>
                <w:rFonts w:eastAsia="Times New Roman"/>
                <w:sz w:val="20"/>
                <w:szCs w:val="20"/>
              </w:rPr>
            </w:pPr>
          </w:p>
        </w:tc>
        <w:tc>
          <w:tcPr>
            <w:tcW w:w="59" w:type="pct"/>
            <w:vAlign w:val="center"/>
            <w:hideMark/>
          </w:tcPr>
          <w:p w:rsidR="00000000" w:rsidRDefault="00F83A7A">
            <w:pPr>
              <w:rPr>
                <w:rFonts w:eastAsia="Times New Roman"/>
                <w:sz w:val="20"/>
                <w:szCs w:val="20"/>
              </w:rPr>
            </w:pPr>
          </w:p>
        </w:tc>
        <w:tc>
          <w:tcPr>
            <w:tcW w:w="179" w:type="pct"/>
            <w:vAlign w:val="center"/>
            <w:hideMark/>
          </w:tcPr>
          <w:p w:rsidR="00000000" w:rsidRDefault="00F83A7A">
            <w:pPr>
              <w:rPr>
                <w:rFonts w:eastAsia="Times New Roman"/>
                <w:sz w:val="20"/>
                <w:szCs w:val="20"/>
              </w:rPr>
            </w:pPr>
          </w:p>
        </w:tc>
        <w:tc>
          <w:tcPr>
            <w:tcW w:w="415" w:type="pct"/>
            <w:vAlign w:val="center"/>
            <w:hideMark/>
          </w:tcPr>
          <w:p w:rsidR="00000000" w:rsidRDefault="00F83A7A">
            <w:pPr>
              <w:rPr>
                <w:rFonts w:eastAsia="Times New Roman"/>
                <w:sz w:val="20"/>
                <w:szCs w:val="20"/>
              </w:rPr>
            </w:pPr>
          </w:p>
        </w:tc>
        <w:tc>
          <w:tcPr>
            <w:tcW w:w="43" w:type="pct"/>
            <w:vAlign w:val="center"/>
            <w:hideMark/>
          </w:tcPr>
          <w:p w:rsidR="00000000" w:rsidRDefault="00F83A7A">
            <w:pPr>
              <w:rPr>
                <w:rFonts w:eastAsia="Times New Roman"/>
                <w:sz w:val="20"/>
                <w:szCs w:val="20"/>
              </w:rPr>
            </w:pPr>
          </w:p>
        </w:tc>
        <w:tc>
          <w:tcPr>
            <w:tcW w:w="59" w:type="pct"/>
            <w:vAlign w:val="center"/>
            <w:hideMark/>
          </w:tcPr>
          <w:p w:rsidR="00000000" w:rsidRDefault="00F83A7A">
            <w:pPr>
              <w:rPr>
                <w:rFonts w:eastAsia="Times New Roman"/>
                <w:sz w:val="20"/>
                <w:szCs w:val="20"/>
              </w:rPr>
            </w:pPr>
          </w:p>
        </w:tc>
        <w:tc>
          <w:tcPr>
            <w:tcW w:w="59" w:type="pct"/>
            <w:vAlign w:val="center"/>
            <w:hideMark/>
          </w:tcPr>
          <w:p w:rsidR="00000000" w:rsidRDefault="00F83A7A">
            <w:pPr>
              <w:rPr>
                <w:rFonts w:eastAsia="Times New Roman"/>
                <w:sz w:val="20"/>
                <w:szCs w:val="20"/>
              </w:rPr>
            </w:pPr>
          </w:p>
        </w:tc>
        <w:tc>
          <w:tcPr>
            <w:tcW w:w="673" w:type="pct"/>
            <w:vAlign w:val="center"/>
            <w:hideMark/>
          </w:tcPr>
          <w:p w:rsidR="00000000" w:rsidRDefault="00F83A7A">
            <w:pPr>
              <w:rPr>
                <w:rFonts w:eastAsia="Times New Roman"/>
                <w:sz w:val="20"/>
                <w:szCs w:val="20"/>
              </w:rPr>
            </w:pPr>
          </w:p>
        </w:tc>
        <w:tc>
          <w:tcPr>
            <w:tcW w:w="43" w:type="pct"/>
            <w:vAlign w:val="center"/>
            <w:hideMark/>
          </w:tcPr>
          <w:p w:rsidR="00000000" w:rsidRDefault="00F83A7A">
            <w:pPr>
              <w:rPr>
                <w:rFonts w:eastAsia="Times New Roman"/>
                <w:sz w:val="20"/>
                <w:szCs w:val="20"/>
              </w:rPr>
            </w:pPr>
          </w:p>
        </w:tc>
        <w:tc>
          <w:tcPr>
            <w:tcW w:w="59" w:type="pct"/>
            <w:vAlign w:val="center"/>
            <w:hideMark/>
          </w:tcPr>
          <w:p w:rsidR="00000000" w:rsidRDefault="00F83A7A">
            <w:pPr>
              <w:rPr>
                <w:rFonts w:eastAsia="Times New Roman"/>
                <w:sz w:val="20"/>
                <w:szCs w:val="20"/>
              </w:rPr>
            </w:pPr>
          </w:p>
        </w:tc>
        <w:tc>
          <w:tcPr>
            <w:tcW w:w="86" w:type="pct"/>
            <w:vAlign w:val="center"/>
            <w:hideMark/>
          </w:tcPr>
          <w:p w:rsidR="00000000" w:rsidRDefault="00F83A7A">
            <w:pPr>
              <w:rPr>
                <w:rFonts w:eastAsia="Times New Roman"/>
                <w:sz w:val="20"/>
                <w:szCs w:val="20"/>
              </w:rPr>
            </w:pPr>
          </w:p>
        </w:tc>
        <w:tc>
          <w:tcPr>
            <w:tcW w:w="622" w:type="pct"/>
            <w:vAlign w:val="center"/>
            <w:hideMark/>
          </w:tcPr>
          <w:p w:rsidR="00000000" w:rsidRDefault="00F83A7A">
            <w:pPr>
              <w:rPr>
                <w:rFonts w:eastAsia="Times New Roman"/>
                <w:sz w:val="20"/>
                <w:szCs w:val="20"/>
              </w:rPr>
            </w:pPr>
          </w:p>
        </w:tc>
        <w:tc>
          <w:tcPr>
            <w:tcW w:w="34" w:type="pct"/>
            <w:vAlign w:val="center"/>
            <w:hideMark/>
          </w:tcPr>
          <w:p w:rsidR="00000000" w:rsidRDefault="00F83A7A">
            <w:pPr>
              <w:rPr>
                <w:rFonts w:eastAsia="Times New Roman"/>
                <w:sz w:val="20"/>
                <w:szCs w:val="20"/>
              </w:rPr>
            </w:pPr>
          </w:p>
        </w:tc>
      </w:tr>
      <w:tr w:rsidR="00000000">
        <w:trPr>
          <w:divId w:val="125661825"/>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Weighte</w:t>
            </w:r>
            <w:r>
              <w:rPr>
                <w:b/>
                <w:bCs/>
                <w:sz w:val="16"/>
                <w:szCs w:val="16"/>
              </w:rPr>
              <w:t>d</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125661825"/>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Weighte</w:t>
            </w:r>
            <w:r>
              <w:rPr>
                <w:b/>
                <w:bCs/>
                <w:sz w:val="16"/>
                <w:szCs w:val="16"/>
              </w:rPr>
              <w:t>d</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Averag</w:t>
            </w:r>
            <w:r>
              <w:rPr>
                <w:b/>
                <w:bCs/>
                <w:sz w:val="16"/>
                <w:szCs w:val="16"/>
              </w:rPr>
              <w:t>e</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125661825"/>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Averag</w:t>
            </w:r>
            <w:r>
              <w:rPr>
                <w:b/>
                <w:bCs/>
                <w:sz w:val="16"/>
                <w:szCs w:val="16"/>
              </w:rPr>
              <w:t>e</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Remainin</w:t>
            </w:r>
            <w:r>
              <w:rPr>
                <w:b/>
                <w:bCs/>
                <w:sz w:val="16"/>
                <w:szCs w:val="16"/>
              </w:rPr>
              <w:t>g</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Aggregat</w:t>
            </w:r>
            <w:r>
              <w:rPr>
                <w:b/>
                <w:bCs/>
                <w:sz w:val="16"/>
                <w:szCs w:val="16"/>
              </w:rPr>
              <w:t>e</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125661825"/>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Number o</w:t>
            </w:r>
            <w:r>
              <w:rPr>
                <w:b/>
                <w:bCs/>
                <w:sz w:val="16"/>
                <w:szCs w:val="16"/>
              </w:rPr>
              <w:t>f</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Exercis</w:t>
            </w:r>
            <w:r>
              <w:rPr>
                <w:b/>
                <w:bCs/>
                <w:sz w:val="16"/>
                <w:szCs w:val="16"/>
              </w:rPr>
              <w:t>e</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Contractua</w:t>
            </w:r>
            <w:r>
              <w:rPr>
                <w:b/>
                <w:bCs/>
                <w:sz w:val="16"/>
                <w:szCs w:val="16"/>
              </w:rPr>
              <w:t>l</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Intrinsi</w:t>
            </w:r>
            <w:r>
              <w:rPr>
                <w:b/>
                <w:bCs/>
                <w:sz w:val="16"/>
                <w:szCs w:val="16"/>
              </w:rPr>
              <w:t>c</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125661825"/>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Share</w:t>
            </w:r>
            <w:r>
              <w:rPr>
                <w:b/>
                <w:bCs/>
                <w:sz w:val="16"/>
                <w:szCs w:val="16"/>
              </w:rPr>
              <w:t>s</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Pric</w:t>
            </w:r>
            <w:r>
              <w:rPr>
                <w:b/>
                <w:bCs/>
                <w:sz w:val="16"/>
                <w:szCs w:val="16"/>
              </w:rPr>
              <w:t>e</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Life in Year</w:t>
            </w:r>
            <w:r>
              <w:rPr>
                <w:b/>
                <w:bCs/>
                <w:sz w:val="16"/>
                <w:szCs w:val="16"/>
              </w:rPr>
              <w:t>s</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Valu</w:t>
            </w:r>
            <w:r>
              <w:rPr>
                <w:b/>
                <w:bCs/>
                <w:sz w:val="16"/>
                <w:szCs w:val="16"/>
              </w:rPr>
              <w:t>e</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125661825"/>
          <w:trHeight w:val="180"/>
          <w:tblCellSpacing w:w="15" w:type="dxa"/>
        </w:trPr>
        <w:tc>
          <w:tcPr>
            <w:tcW w:w="0" w:type="auto"/>
            <w:vAlign w:val="bottom"/>
            <w:hideMark/>
          </w:tcPr>
          <w:p w:rsidR="00000000" w:rsidRDefault="00F83A7A">
            <w:pPr>
              <w:pStyle w:val="a3"/>
              <w:spacing w:before="0" w:beforeAutospacing="0" w:after="0" w:afterAutospacing="0"/>
              <w:rPr>
                <w:sz w:val="18"/>
                <w:szCs w:val="18"/>
              </w:rPr>
            </w:pPr>
            <w:r>
              <w:rPr>
                <w:sz w:val="18"/>
                <w:szCs w:val="18"/>
              </w:rPr>
              <w:t>Options Outstanding at December 31, 201</w:t>
            </w:r>
            <w:r>
              <w:rPr>
                <w:sz w:val="18"/>
                <w:szCs w:val="18"/>
              </w:rPr>
              <w:t>9</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7,405,29</w:t>
            </w:r>
            <w:r>
              <w:rPr>
                <w:sz w:val="18"/>
                <w:szCs w:val="18"/>
              </w:rPr>
              <w:t>5</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5.8</w:t>
            </w:r>
            <w:r>
              <w:rPr>
                <w:sz w:val="18"/>
                <w:szCs w:val="18"/>
              </w:rPr>
              <w:t>2</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8.0</w:t>
            </w:r>
            <w:r>
              <w:rPr>
                <w:sz w:val="18"/>
                <w:szCs w:val="18"/>
              </w:rPr>
              <w:t>1</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4,488,93</w:t>
            </w:r>
            <w:r>
              <w:rPr>
                <w:sz w:val="18"/>
                <w:szCs w:val="18"/>
              </w:rPr>
              <w:t>0</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r>
      <w:tr w:rsidR="00000000">
        <w:trPr>
          <w:divId w:val="125661825"/>
          <w:trHeight w:val="180"/>
          <w:tblCellSpacing w:w="15" w:type="dxa"/>
        </w:trPr>
        <w:tc>
          <w:tcPr>
            <w:tcW w:w="0" w:type="auto"/>
            <w:vAlign w:val="bottom"/>
            <w:hideMark/>
          </w:tcPr>
          <w:p w:rsidR="00000000" w:rsidRDefault="00F83A7A">
            <w:pPr>
              <w:pStyle w:val="a3"/>
              <w:spacing w:before="0" w:beforeAutospacing="0" w:after="0" w:afterAutospacing="0"/>
              <w:rPr>
                <w:sz w:val="18"/>
                <w:szCs w:val="18"/>
              </w:rPr>
            </w:pPr>
            <w:r>
              <w:rPr>
                <w:sz w:val="18"/>
                <w:szCs w:val="18"/>
              </w:rPr>
              <w:t>Vested and exercisable at December 31, 201</w:t>
            </w:r>
            <w:r>
              <w:rPr>
                <w:sz w:val="18"/>
                <w:szCs w:val="18"/>
              </w:rPr>
              <w:t>9</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3,296,54</w:t>
            </w:r>
            <w:r>
              <w:rPr>
                <w:sz w:val="18"/>
                <w:szCs w:val="18"/>
              </w:rPr>
              <w:t>7</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7.9</w:t>
            </w:r>
            <w:r>
              <w:rPr>
                <w:sz w:val="18"/>
                <w:szCs w:val="18"/>
              </w:rPr>
              <w:t>3</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6.5</w:t>
            </w:r>
            <w:r>
              <w:rPr>
                <w:sz w:val="18"/>
                <w:szCs w:val="18"/>
              </w:rPr>
              <w:t>3</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356,44</w:t>
            </w:r>
            <w:r>
              <w:rPr>
                <w:sz w:val="18"/>
                <w:szCs w:val="18"/>
              </w:rPr>
              <w:t>3</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r>
      <w:tr w:rsidR="00000000">
        <w:trPr>
          <w:divId w:val="125661825"/>
          <w:trHeight w:val="180"/>
          <w:tblCellSpacing w:w="15" w:type="dxa"/>
        </w:trPr>
        <w:tc>
          <w:tcPr>
            <w:tcW w:w="0" w:type="auto"/>
            <w:vAlign w:val="bottom"/>
            <w:hideMark/>
          </w:tcPr>
          <w:p w:rsidR="00000000" w:rsidRDefault="00F83A7A">
            <w:pPr>
              <w:pStyle w:val="a3"/>
              <w:spacing w:before="0" w:beforeAutospacing="0" w:after="0" w:afterAutospacing="0"/>
              <w:rPr>
                <w:sz w:val="18"/>
                <w:szCs w:val="18"/>
              </w:rPr>
            </w:pPr>
            <w:r>
              <w:rPr>
                <w:sz w:val="18"/>
                <w:szCs w:val="18"/>
              </w:rPr>
              <w:t>Grante</w:t>
            </w:r>
            <w:r>
              <w:rPr>
                <w:sz w:val="18"/>
                <w:szCs w:val="18"/>
              </w:rPr>
              <w:t>d</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3,583,16</w:t>
            </w:r>
            <w:r>
              <w:rPr>
                <w:sz w:val="18"/>
                <w:szCs w:val="18"/>
              </w:rPr>
              <w:t>0</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3.9</w:t>
            </w:r>
            <w:r>
              <w:rPr>
                <w:sz w:val="18"/>
                <w:szCs w:val="18"/>
              </w:rPr>
              <w:t>3</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9.6</w:t>
            </w:r>
            <w:r>
              <w:rPr>
                <w:sz w:val="18"/>
                <w:szCs w:val="18"/>
              </w:rPr>
              <w:t>8</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83A7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18"/>
                <w:szCs w:val="18"/>
              </w:rPr>
            </w:pPr>
            <w:r>
              <w:rPr>
                <w:sz w:val="18"/>
                <w:szCs w:val="18"/>
              </w:rPr>
              <w:t> </w:t>
            </w:r>
          </w:p>
        </w:tc>
      </w:tr>
      <w:tr w:rsidR="00000000">
        <w:trPr>
          <w:divId w:val="125661825"/>
          <w:trHeight w:val="180"/>
          <w:tblCellSpacing w:w="15" w:type="dxa"/>
        </w:trPr>
        <w:tc>
          <w:tcPr>
            <w:tcW w:w="0" w:type="auto"/>
            <w:vAlign w:val="bottom"/>
            <w:hideMark/>
          </w:tcPr>
          <w:p w:rsidR="00000000" w:rsidRDefault="00F83A7A">
            <w:pPr>
              <w:pStyle w:val="a3"/>
              <w:spacing w:before="0" w:beforeAutospacing="0" w:after="0" w:afterAutospacing="0"/>
              <w:rPr>
                <w:sz w:val="18"/>
                <w:szCs w:val="18"/>
              </w:rPr>
            </w:pPr>
            <w:r>
              <w:rPr>
                <w:sz w:val="18"/>
                <w:szCs w:val="18"/>
              </w:rPr>
              <w:t>Exercise</w:t>
            </w:r>
            <w:r>
              <w:rPr>
                <w:sz w:val="18"/>
                <w:szCs w:val="18"/>
              </w:rPr>
              <w:t>d</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w:t>
            </w:r>
            <w:r>
              <w:rPr>
                <w:sz w:val="18"/>
                <w:szCs w:val="18"/>
              </w:rPr>
              <w:t>165,38</w:t>
            </w:r>
            <w:r>
              <w:rPr>
                <w:sz w:val="18"/>
                <w:szCs w:val="18"/>
              </w:rPr>
              <w:t>4</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w:t>
            </w:r>
          </w:p>
        </w:tc>
        <w:tc>
          <w:tcPr>
            <w:tcW w:w="0" w:type="auto"/>
            <w:vAlign w:val="bottom"/>
            <w:hideMark/>
          </w:tcPr>
          <w:p w:rsidR="00000000" w:rsidRDefault="00F83A7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1.8</w:t>
            </w:r>
            <w:r>
              <w:rPr>
                <w:sz w:val="18"/>
                <w:szCs w:val="18"/>
              </w:rPr>
              <w:t>2</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83A7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83A7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18"/>
                <w:szCs w:val="18"/>
              </w:rPr>
            </w:pPr>
            <w:r>
              <w:rPr>
                <w:sz w:val="18"/>
                <w:szCs w:val="18"/>
              </w:rPr>
              <w:t> </w:t>
            </w:r>
          </w:p>
        </w:tc>
      </w:tr>
      <w:tr w:rsidR="00000000">
        <w:trPr>
          <w:divId w:val="125661825"/>
          <w:trHeight w:val="180"/>
          <w:tblCellSpacing w:w="15" w:type="dxa"/>
        </w:trPr>
        <w:tc>
          <w:tcPr>
            <w:tcW w:w="0" w:type="auto"/>
            <w:vAlign w:val="bottom"/>
            <w:hideMark/>
          </w:tcPr>
          <w:p w:rsidR="00000000" w:rsidRDefault="00F83A7A">
            <w:pPr>
              <w:pStyle w:val="a3"/>
              <w:spacing w:before="0" w:beforeAutospacing="0" w:after="0" w:afterAutospacing="0"/>
              <w:rPr>
                <w:sz w:val="18"/>
                <w:szCs w:val="18"/>
              </w:rPr>
            </w:pPr>
            <w:r>
              <w:rPr>
                <w:sz w:val="18"/>
                <w:szCs w:val="18"/>
              </w:rPr>
              <w:t>Forfeite</w:t>
            </w:r>
            <w:r>
              <w:rPr>
                <w:sz w:val="18"/>
                <w:szCs w:val="18"/>
              </w:rPr>
              <w:t>d</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w:t>
            </w:r>
            <w:r>
              <w:rPr>
                <w:sz w:val="18"/>
                <w:szCs w:val="18"/>
              </w:rPr>
              <w:t>415,52</w:t>
            </w:r>
            <w:r>
              <w:rPr>
                <w:sz w:val="18"/>
                <w:szCs w:val="18"/>
              </w:rPr>
              <w:t>6</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5.0</w:t>
            </w:r>
            <w:r>
              <w:rPr>
                <w:sz w:val="18"/>
                <w:szCs w:val="18"/>
              </w:rPr>
              <w:t>0</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83A7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83A7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18"/>
                <w:szCs w:val="18"/>
              </w:rPr>
            </w:pPr>
            <w:r>
              <w:rPr>
                <w:sz w:val="18"/>
                <w:szCs w:val="18"/>
              </w:rPr>
              <w:t> </w:t>
            </w:r>
          </w:p>
        </w:tc>
      </w:tr>
      <w:tr w:rsidR="00000000">
        <w:trPr>
          <w:divId w:val="125661825"/>
          <w:trHeight w:val="180"/>
          <w:tblCellSpacing w:w="15" w:type="dxa"/>
        </w:trPr>
        <w:tc>
          <w:tcPr>
            <w:tcW w:w="0" w:type="auto"/>
            <w:vAlign w:val="bottom"/>
            <w:hideMark/>
          </w:tcPr>
          <w:p w:rsidR="00000000" w:rsidRDefault="00F83A7A">
            <w:pPr>
              <w:pStyle w:val="a3"/>
              <w:spacing w:before="0" w:beforeAutospacing="0" w:after="0" w:afterAutospacing="0"/>
              <w:rPr>
                <w:sz w:val="18"/>
                <w:szCs w:val="18"/>
              </w:rPr>
            </w:pPr>
            <w:r>
              <w:rPr>
                <w:sz w:val="18"/>
                <w:szCs w:val="18"/>
              </w:rPr>
              <w:t>Options Outstanding December 31, 202</w:t>
            </w:r>
            <w:r>
              <w:rPr>
                <w:sz w:val="18"/>
                <w:szCs w:val="18"/>
              </w:rPr>
              <w:t>0</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10,403,42</w:t>
            </w:r>
            <w:r>
              <w:rPr>
                <w:sz w:val="18"/>
                <w:szCs w:val="18"/>
              </w:rPr>
              <w:t>0</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5.2</w:t>
            </w:r>
            <w:r>
              <w:rPr>
                <w:sz w:val="18"/>
                <w:szCs w:val="18"/>
              </w:rPr>
              <w:t>6</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7.5</w:t>
            </w:r>
            <w:r>
              <w:rPr>
                <w:sz w:val="18"/>
                <w:szCs w:val="18"/>
              </w:rPr>
              <w:t>9</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652,43</w:t>
            </w:r>
            <w:r>
              <w:rPr>
                <w:sz w:val="18"/>
                <w:szCs w:val="18"/>
              </w:rPr>
              <w:t>8</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r>
      <w:tr w:rsidR="00000000">
        <w:trPr>
          <w:divId w:val="125661825"/>
          <w:trHeight w:val="180"/>
          <w:tblCellSpacing w:w="15" w:type="dxa"/>
        </w:trPr>
        <w:tc>
          <w:tcPr>
            <w:tcW w:w="0" w:type="auto"/>
            <w:vAlign w:val="bottom"/>
            <w:hideMark/>
          </w:tcPr>
          <w:p w:rsidR="00000000" w:rsidRDefault="00F83A7A">
            <w:pPr>
              <w:pStyle w:val="a3"/>
              <w:spacing w:before="0" w:beforeAutospacing="0" w:after="0" w:afterAutospacing="0"/>
              <w:rPr>
                <w:sz w:val="18"/>
                <w:szCs w:val="18"/>
              </w:rPr>
            </w:pPr>
            <w:r>
              <w:rPr>
                <w:sz w:val="18"/>
                <w:szCs w:val="18"/>
              </w:rPr>
              <w:t>Vested and exercisable at December 31, 202</w:t>
            </w:r>
            <w:r>
              <w:rPr>
                <w:sz w:val="18"/>
                <w:szCs w:val="18"/>
              </w:rPr>
              <w:t>0</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5,395,65</w:t>
            </w:r>
            <w:r>
              <w:rPr>
                <w:sz w:val="18"/>
                <w:szCs w:val="18"/>
              </w:rPr>
              <w:t>8</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6.4</w:t>
            </w:r>
            <w:r>
              <w:rPr>
                <w:sz w:val="18"/>
                <w:szCs w:val="18"/>
              </w:rPr>
              <w:t>5</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6.1</w:t>
            </w:r>
            <w:r>
              <w:rPr>
                <w:sz w:val="18"/>
                <w:szCs w:val="18"/>
              </w:rPr>
              <w:t>3</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445,59</w:t>
            </w:r>
            <w:r>
              <w:rPr>
                <w:sz w:val="18"/>
                <w:szCs w:val="18"/>
              </w:rPr>
              <w:t>9</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r>
      <w:tr w:rsidR="00000000">
        <w:trPr>
          <w:divId w:val="125661825"/>
          <w:trHeight w:val="180"/>
          <w:tblCellSpacing w:w="15" w:type="dxa"/>
        </w:trPr>
        <w:tc>
          <w:tcPr>
            <w:tcW w:w="0" w:type="auto"/>
            <w:vAlign w:val="bottom"/>
            <w:hideMark/>
          </w:tcPr>
          <w:p w:rsidR="00000000" w:rsidRDefault="00F83A7A">
            <w:pPr>
              <w:pStyle w:val="a3"/>
              <w:spacing w:before="0" w:beforeAutospacing="0" w:after="0" w:afterAutospacing="0"/>
              <w:rPr>
                <w:sz w:val="18"/>
                <w:szCs w:val="18"/>
              </w:rPr>
            </w:pPr>
            <w:r>
              <w:rPr>
                <w:sz w:val="18"/>
                <w:szCs w:val="18"/>
              </w:rPr>
              <w:t>Grante</w:t>
            </w:r>
            <w:r>
              <w:rPr>
                <w:sz w:val="18"/>
                <w:szCs w:val="18"/>
              </w:rPr>
              <w:t>d</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2,045,91</w:t>
            </w:r>
            <w:r>
              <w:rPr>
                <w:sz w:val="18"/>
                <w:szCs w:val="18"/>
              </w:rPr>
              <w:t>3</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3.5</w:t>
            </w:r>
            <w:r>
              <w:rPr>
                <w:sz w:val="18"/>
                <w:szCs w:val="18"/>
              </w:rPr>
              <w:t>3</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9.4</w:t>
            </w:r>
            <w:r>
              <w:rPr>
                <w:sz w:val="18"/>
                <w:szCs w:val="18"/>
              </w:rPr>
              <w:t>7</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83A7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18"/>
                <w:szCs w:val="18"/>
              </w:rPr>
            </w:pPr>
            <w:r>
              <w:rPr>
                <w:sz w:val="18"/>
                <w:szCs w:val="18"/>
              </w:rPr>
              <w:t> </w:t>
            </w:r>
          </w:p>
        </w:tc>
      </w:tr>
      <w:tr w:rsidR="00000000">
        <w:trPr>
          <w:divId w:val="125661825"/>
          <w:trHeight w:val="180"/>
          <w:tblCellSpacing w:w="15" w:type="dxa"/>
        </w:trPr>
        <w:tc>
          <w:tcPr>
            <w:tcW w:w="0" w:type="auto"/>
            <w:vAlign w:val="bottom"/>
            <w:hideMark/>
          </w:tcPr>
          <w:p w:rsidR="00000000" w:rsidRDefault="00F83A7A">
            <w:pPr>
              <w:pStyle w:val="a3"/>
              <w:spacing w:before="0" w:beforeAutospacing="0" w:after="0" w:afterAutospacing="0"/>
              <w:rPr>
                <w:sz w:val="18"/>
                <w:szCs w:val="18"/>
              </w:rPr>
            </w:pPr>
            <w:r>
              <w:rPr>
                <w:sz w:val="18"/>
                <w:szCs w:val="18"/>
              </w:rPr>
              <w:t>Exercise</w:t>
            </w:r>
            <w:r>
              <w:rPr>
                <w:sz w:val="18"/>
                <w:szCs w:val="18"/>
              </w:rPr>
              <w:t>d</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w:t>
            </w:r>
            <w:r>
              <w:rPr>
                <w:sz w:val="18"/>
                <w:szCs w:val="18"/>
              </w:rPr>
              <w:t>288,52</w:t>
            </w:r>
            <w:r>
              <w:rPr>
                <w:sz w:val="18"/>
                <w:szCs w:val="18"/>
              </w:rPr>
              <w:t>5</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w:t>
            </w:r>
          </w:p>
        </w:tc>
        <w:tc>
          <w:tcPr>
            <w:tcW w:w="0" w:type="auto"/>
            <w:vAlign w:val="bottom"/>
            <w:hideMark/>
          </w:tcPr>
          <w:p w:rsidR="00000000" w:rsidRDefault="00F83A7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2.3</w:t>
            </w:r>
            <w:r>
              <w:rPr>
                <w:sz w:val="18"/>
                <w:szCs w:val="18"/>
              </w:rPr>
              <w:t>6</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83A7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83A7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18"/>
                <w:szCs w:val="18"/>
              </w:rPr>
            </w:pPr>
            <w:r>
              <w:rPr>
                <w:sz w:val="18"/>
                <w:szCs w:val="18"/>
              </w:rPr>
              <w:t> </w:t>
            </w:r>
          </w:p>
        </w:tc>
      </w:tr>
      <w:tr w:rsidR="00000000">
        <w:trPr>
          <w:divId w:val="125661825"/>
          <w:trHeight w:val="180"/>
          <w:tblCellSpacing w:w="15" w:type="dxa"/>
        </w:trPr>
        <w:tc>
          <w:tcPr>
            <w:tcW w:w="0" w:type="auto"/>
            <w:vAlign w:val="bottom"/>
            <w:hideMark/>
          </w:tcPr>
          <w:p w:rsidR="00000000" w:rsidRDefault="00F83A7A">
            <w:pPr>
              <w:pStyle w:val="a3"/>
              <w:spacing w:before="0" w:beforeAutospacing="0" w:after="0" w:afterAutospacing="0"/>
              <w:rPr>
                <w:sz w:val="18"/>
                <w:szCs w:val="18"/>
              </w:rPr>
            </w:pPr>
            <w:r>
              <w:rPr>
                <w:sz w:val="18"/>
                <w:szCs w:val="18"/>
              </w:rPr>
              <w:t>Forfeite</w:t>
            </w:r>
            <w:r>
              <w:rPr>
                <w:sz w:val="18"/>
                <w:szCs w:val="18"/>
              </w:rPr>
              <w:t>d</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w:t>
            </w:r>
            <w:r>
              <w:rPr>
                <w:sz w:val="18"/>
                <w:szCs w:val="18"/>
              </w:rPr>
              <w:t>1,384,05</w:t>
            </w:r>
            <w:r>
              <w:rPr>
                <w:sz w:val="18"/>
                <w:szCs w:val="18"/>
              </w:rPr>
              <w:t>0</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4.0</w:t>
            </w:r>
            <w:r>
              <w:rPr>
                <w:sz w:val="18"/>
                <w:szCs w:val="18"/>
              </w:rPr>
              <w:t>8</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83A7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83A7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18"/>
                <w:szCs w:val="18"/>
              </w:rPr>
            </w:pPr>
            <w:r>
              <w:rPr>
                <w:sz w:val="18"/>
                <w:szCs w:val="18"/>
              </w:rPr>
              <w:t> </w:t>
            </w:r>
          </w:p>
        </w:tc>
      </w:tr>
      <w:tr w:rsidR="00000000">
        <w:trPr>
          <w:divId w:val="125661825"/>
          <w:trHeight w:val="180"/>
          <w:tblCellSpacing w:w="15" w:type="dxa"/>
        </w:trPr>
        <w:tc>
          <w:tcPr>
            <w:tcW w:w="0" w:type="auto"/>
            <w:vAlign w:val="bottom"/>
            <w:hideMark/>
          </w:tcPr>
          <w:p w:rsidR="00000000" w:rsidRDefault="00F83A7A">
            <w:pPr>
              <w:pStyle w:val="a3"/>
              <w:spacing w:before="0" w:beforeAutospacing="0" w:after="0" w:afterAutospacing="0"/>
              <w:rPr>
                <w:sz w:val="18"/>
                <w:szCs w:val="18"/>
              </w:rPr>
            </w:pPr>
            <w:r>
              <w:rPr>
                <w:sz w:val="18"/>
                <w:szCs w:val="18"/>
              </w:rPr>
              <w:t>Options Outstanding December 31, 202</w:t>
            </w:r>
            <w:r>
              <w:rPr>
                <w:sz w:val="18"/>
                <w:szCs w:val="18"/>
              </w:rPr>
              <w:t>1</w:t>
            </w:r>
          </w:p>
        </w:tc>
        <w:tc>
          <w:tcPr>
            <w:tcW w:w="0" w:type="auto"/>
            <w:vAlign w:val="bottom"/>
            <w:hideMark/>
          </w:tcPr>
          <w:p w:rsidR="00000000" w:rsidRDefault="00F83A7A">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10,776,75</w:t>
            </w:r>
            <w:r>
              <w:rPr>
                <w:sz w:val="18"/>
                <w:szCs w:val="18"/>
              </w:rPr>
              <w:t>8</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4.9</w:t>
            </w:r>
            <w:r>
              <w:rPr>
                <w:sz w:val="18"/>
                <w:szCs w:val="18"/>
              </w:rPr>
              <w:t>7</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6.0</w:t>
            </w:r>
            <w:r>
              <w:rPr>
                <w:sz w:val="18"/>
                <w:szCs w:val="18"/>
              </w:rPr>
              <w:t>7</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2,389,89</w:t>
            </w:r>
            <w:r>
              <w:rPr>
                <w:sz w:val="18"/>
                <w:szCs w:val="18"/>
              </w:rPr>
              <w:t>0</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r>
      <w:tr w:rsidR="00000000">
        <w:trPr>
          <w:divId w:val="125661825"/>
          <w:trHeight w:val="180"/>
          <w:tblCellSpacing w:w="15" w:type="dxa"/>
        </w:trPr>
        <w:tc>
          <w:tcPr>
            <w:tcW w:w="0" w:type="auto"/>
            <w:vAlign w:val="bottom"/>
            <w:hideMark/>
          </w:tcPr>
          <w:p w:rsidR="00000000" w:rsidRDefault="00F83A7A">
            <w:pPr>
              <w:pStyle w:val="a3"/>
              <w:spacing w:before="0" w:beforeAutospacing="0" w:after="0" w:afterAutospacing="0"/>
              <w:rPr>
                <w:sz w:val="18"/>
                <w:szCs w:val="18"/>
              </w:rPr>
            </w:pPr>
            <w:r>
              <w:rPr>
                <w:sz w:val="18"/>
                <w:szCs w:val="18"/>
              </w:rPr>
              <w:t>Vested and exercisable at December 31, 202</w:t>
            </w:r>
            <w:r>
              <w:rPr>
                <w:sz w:val="18"/>
                <w:szCs w:val="18"/>
              </w:rPr>
              <w:t>1</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6,188,20</w:t>
            </w:r>
            <w:r>
              <w:rPr>
                <w:sz w:val="18"/>
                <w:szCs w:val="18"/>
              </w:rPr>
              <w:t>0</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5.9</w:t>
            </w:r>
            <w:r>
              <w:rPr>
                <w:sz w:val="18"/>
                <w:szCs w:val="18"/>
              </w:rPr>
              <w:t>8</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4.6</w:t>
            </w:r>
            <w:r>
              <w:rPr>
                <w:sz w:val="18"/>
                <w:szCs w:val="18"/>
              </w:rPr>
              <w:t>3</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w:t>
            </w:r>
          </w:p>
        </w:tc>
        <w:tc>
          <w:tcPr>
            <w:tcW w:w="0" w:type="auto"/>
            <w:vAlign w:val="bottom"/>
            <w:hideMark/>
          </w:tcPr>
          <w:p w:rsidR="00000000" w:rsidRDefault="00F83A7A">
            <w:pPr>
              <w:pStyle w:val="a3"/>
              <w:spacing w:before="0" w:beforeAutospacing="0" w:after="0" w:afterAutospacing="0"/>
              <w:jc w:val="right"/>
              <w:rPr>
                <w:sz w:val="20"/>
                <w:szCs w:val="20"/>
              </w:rPr>
            </w:pPr>
            <w:r>
              <w:rPr>
                <w:sz w:val="18"/>
                <w:szCs w:val="18"/>
              </w:rPr>
              <w:t>1,531,90</w:t>
            </w:r>
            <w:r>
              <w:rPr>
                <w:sz w:val="18"/>
                <w:szCs w:val="18"/>
              </w:rPr>
              <w:t>7</w:t>
            </w:r>
          </w:p>
        </w:tc>
        <w:tc>
          <w:tcPr>
            <w:tcW w:w="0" w:type="auto"/>
            <w:vAlign w:val="bottom"/>
            <w:hideMark/>
          </w:tcPr>
          <w:p w:rsidR="00000000" w:rsidRDefault="00F83A7A">
            <w:pPr>
              <w:pStyle w:val="a3"/>
              <w:spacing w:before="0" w:beforeAutospacing="0" w:after="0" w:afterAutospacing="0"/>
              <w:rPr>
                <w:sz w:val="18"/>
                <w:szCs w:val="18"/>
              </w:rPr>
            </w:pPr>
            <w:r>
              <w:rPr>
                <w:sz w:val="18"/>
                <w:szCs w:val="18"/>
              </w:rPr>
              <w:t> </w:t>
            </w:r>
          </w:p>
        </w:tc>
      </w:tr>
    </w:tbl>
    <w:p w:rsidR="00000000" w:rsidRDefault="00F83A7A">
      <w:pPr>
        <w:pStyle w:val="a3"/>
        <w:spacing w:before="0" w:beforeAutospacing="0" w:after="0" w:afterAutospacing="0"/>
        <w:jc w:val="both"/>
        <w:divId w:val="1715539600"/>
        <w:rPr>
          <w:sz w:val="20"/>
          <w:szCs w:val="20"/>
        </w:rPr>
      </w:pPr>
      <w:r>
        <w:rPr>
          <w:sz w:val="20"/>
          <w:szCs w:val="20"/>
        </w:rPr>
        <w:t> </w:t>
      </w:r>
    </w:p>
    <w:p w:rsidR="00000000" w:rsidRDefault="00F83A7A">
      <w:pPr>
        <w:pStyle w:val="a3"/>
        <w:spacing w:before="0" w:beforeAutospacing="0" w:after="0" w:afterAutospacing="0"/>
        <w:jc w:val="both"/>
        <w:divId w:val="1715539600"/>
        <w:rPr>
          <w:sz w:val="20"/>
          <w:szCs w:val="20"/>
        </w:rPr>
      </w:pPr>
      <w:r>
        <w:rPr>
          <w:sz w:val="20"/>
          <w:szCs w:val="20"/>
        </w:rPr>
        <w:t>At December 31, 202</w:t>
      </w:r>
      <w:r>
        <w:rPr>
          <w:sz w:val="20"/>
          <w:szCs w:val="20"/>
        </w:rPr>
        <w:t>1</w:t>
      </w:r>
      <w:r>
        <w:rPr>
          <w:sz w:val="20"/>
          <w:szCs w:val="20"/>
        </w:rPr>
        <w:t xml:space="preserve">, there was approximately </w:t>
      </w:r>
      <w:r>
        <w:rPr>
          <w:sz w:val="20"/>
          <w:szCs w:val="20"/>
        </w:rPr>
        <w:t>$</w:t>
      </w:r>
      <w:r>
        <w:rPr>
          <w:sz w:val="20"/>
          <w:szCs w:val="20"/>
        </w:rPr>
        <w:t>10.</w:t>
      </w:r>
      <w:r>
        <w:rPr>
          <w:sz w:val="20"/>
          <w:szCs w:val="20"/>
        </w:rPr>
        <w:t>4</w:t>
      </w:r>
      <w:r>
        <w:rPr>
          <w:sz w:val="20"/>
          <w:szCs w:val="20"/>
        </w:rPr>
        <w:t xml:space="preserve"> million of unamortized share–</w:t>
      </w:r>
      <w:r>
        <w:rPr>
          <w:sz w:val="20"/>
          <w:szCs w:val="20"/>
        </w:rPr>
        <w:t>based compensation expense, which is expected to be recognized over a remaining average vesting period of</w:t>
      </w:r>
      <w:r>
        <w:rPr>
          <w:sz w:val="20"/>
          <w:szCs w:val="20"/>
        </w:rPr>
        <w:t xml:space="preserve"> </w:t>
      </w:r>
      <w:r>
        <w:rPr>
          <w:sz w:val="20"/>
          <w:szCs w:val="20"/>
        </w:rPr>
        <w:t>2.61</w:t>
      </w:r>
      <w:r>
        <w:rPr>
          <w:sz w:val="20"/>
          <w:szCs w:val="20"/>
        </w:rPr>
        <w:t xml:space="preserve"> </w:t>
      </w:r>
      <w:r>
        <w:rPr>
          <w:sz w:val="20"/>
          <w:szCs w:val="20"/>
        </w:rPr>
        <w:t>years</w:t>
      </w:r>
      <w:r>
        <w:rPr>
          <w:sz w:val="20"/>
          <w:szCs w:val="20"/>
        </w:rPr>
        <w:t>.</w:t>
      </w:r>
    </w:p>
    <w:p w:rsidR="00000000" w:rsidRDefault="00F83A7A">
      <w:pPr>
        <w:pStyle w:val="a3"/>
        <w:spacing w:before="200" w:beforeAutospacing="0" w:after="0" w:afterAutospacing="0"/>
        <w:jc w:val="both"/>
        <w:divId w:val="2072998663"/>
        <w:rPr>
          <w:sz w:val="20"/>
          <w:szCs w:val="20"/>
        </w:rPr>
      </w:pPr>
      <w:r>
        <w:rPr>
          <w:b/>
          <w:bCs/>
          <w:sz w:val="20"/>
          <w:szCs w:val="20"/>
        </w:rPr>
        <w:t>NOTE 8 – INCOME TAXE</w:t>
      </w:r>
      <w:r>
        <w:rPr>
          <w:b/>
          <w:bCs/>
          <w:sz w:val="20"/>
          <w:szCs w:val="20"/>
        </w:rPr>
        <w:t>S</w:t>
      </w:r>
    </w:p>
    <w:p w:rsidR="00000000" w:rsidRDefault="00F83A7A">
      <w:pPr>
        <w:pStyle w:val="a3"/>
        <w:spacing w:before="0" w:beforeAutospacing="0" w:after="0" w:afterAutospacing="0"/>
        <w:jc w:val="both"/>
        <w:divId w:val="2072998663"/>
        <w:rPr>
          <w:sz w:val="20"/>
          <w:szCs w:val="20"/>
        </w:rPr>
      </w:pPr>
      <w:r>
        <w:t> </w:t>
      </w:r>
    </w:p>
    <w:p w:rsidR="00000000" w:rsidRDefault="00F83A7A">
      <w:pPr>
        <w:pStyle w:val="a3"/>
        <w:spacing w:before="0" w:beforeAutospacing="0" w:after="0" w:afterAutospacing="0"/>
        <w:jc w:val="both"/>
        <w:divId w:val="2072998663"/>
        <w:rPr>
          <w:sz w:val="20"/>
          <w:szCs w:val="20"/>
        </w:rPr>
      </w:pPr>
      <w:r>
        <w:rPr>
          <w:sz w:val="20"/>
          <w:szCs w:val="20"/>
        </w:rPr>
        <w:t>At December 31, 2021,</w:t>
      </w:r>
      <w:r>
        <w:rPr>
          <w:sz w:val="20"/>
          <w:szCs w:val="20"/>
        </w:rPr>
        <w:t xml:space="preserve"> </w:t>
      </w:r>
      <w:r>
        <w:rPr>
          <w:sz w:val="20"/>
          <w:szCs w:val="20"/>
        </w:rPr>
        <w:t xml:space="preserve">the Company has available approximately </w:t>
      </w:r>
      <w:r>
        <w:rPr>
          <w:sz w:val="20"/>
          <w:szCs w:val="20"/>
        </w:rPr>
        <w:t>$</w:t>
      </w:r>
      <w:r>
        <w:rPr>
          <w:sz w:val="20"/>
          <w:szCs w:val="20"/>
        </w:rPr>
        <w:t>124.</w:t>
      </w:r>
      <w:r>
        <w:rPr>
          <w:sz w:val="20"/>
          <w:szCs w:val="20"/>
        </w:rPr>
        <w:t>8</w:t>
      </w:r>
      <w:r>
        <w:rPr>
          <w:sz w:val="20"/>
          <w:szCs w:val="20"/>
        </w:rPr>
        <w:t xml:space="preserve"> million and </w:t>
      </w:r>
      <w:r>
        <w:rPr>
          <w:sz w:val="20"/>
          <w:szCs w:val="20"/>
        </w:rPr>
        <w:t>$</w:t>
      </w:r>
      <w:r>
        <w:rPr>
          <w:sz w:val="20"/>
          <w:szCs w:val="20"/>
        </w:rPr>
        <w:t>171.</w:t>
      </w:r>
      <w:r>
        <w:rPr>
          <w:sz w:val="20"/>
          <w:szCs w:val="20"/>
        </w:rPr>
        <w:t>3</w:t>
      </w:r>
      <w:r>
        <w:rPr>
          <w:sz w:val="20"/>
          <w:szCs w:val="20"/>
        </w:rPr>
        <w:t xml:space="preserve"> </w:t>
      </w:r>
      <w:r>
        <w:rPr>
          <w:sz w:val="20"/>
          <w:szCs w:val="20"/>
        </w:rPr>
        <w:t xml:space="preserve">million of unused net operating loss ("NOL") carryforwards for federal and state tax purposes, respectively, that may be applied against future taxable income. The Company also has approximately </w:t>
      </w:r>
      <w:r>
        <w:rPr>
          <w:sz w:val="20"/>
          <w:szCs w:val="20"/>
        </w:rPr>
        <w:t>$</w:t>
      </w:r>
      <w:r>
        <w:rPr>
          <w:sz w:val="20"/>
          <w:szCs w:val="20"/>
        </w:rPr>
        <w:t>163.</w:t>
      </w:r>
      <w:r>
        <w:rPr>
          <w:sz w:val="20"/>
          <w:szCs w:val="20"/>
        </w:rPr>
        <w:t>9</w:t>
      </w:r>
      <w:r>
        <w:rPr>
          <w:sz w:val="20"/>
          <w:szCs w:val="20"/>
        </w:rPr>
        <w:t xml:space="preserve"> million of unused NOL carryforwards for New York City </w:t>
      </w:r>
      <w:r>
        <w:rPr>
          <w:sz w:val="20"/>
          <w:szCs w:val="20"/>
        </w:rPr>
        <w:t>purposes. These NOL carryforwards reflect the result of the Section 382 limitation. The NOL carryforwards will begin to expire in the year</w:t>
      </w:r>
      <w:r>
        <w:rPr>
          <w:sz w:val="20"/>
          <w:szCs w:val="20"/>
        </w:rPr>
        <w:t xml:space="preserve"> </w:t>
      </w:r>
      <w:r>
        <w:rPr>
          <w:sz w:val="20"/>
          <w:szCs w:val="20"/>
        </w:rPr>
        <w:t>203</w:t>
      </w:r>
      <w:r>
        <w:rPr>
          <w:sz w:val="20"/>
          <w:szCs w:val="20"/>
        </w:rPr>
        <w:t>5</w:t>
      </w:r>
      <w:r>
        <w:rPr>
          <w:sz w:val="20"/>
          <w:szCs w:val="20"/>
        </w:rPr>
        <w:t xml:space="preserve"> if not utilized prior to that dat</w:t>
      </w:r>
      <w:r>
        <w:rPr>
          <w:sz w:val="20"/>
          <w:szCs w:val="20"/>
        </w:rPr>
        <w:t>e</w:t>
      </w:r>
      <w:r>
        <w:rPr>
          <w:sz w:val="20"/>
          <w:szCs w:val="20"/>
        </w:rPr>
        <w:t>.</w:t>
      </w:r>
    </w:p>
    <w:p w:rsidR="00000000" w:rsidRDefault="00F83A7A">
      <w:pPr>
        <w:pStyle w:val="a3"/>
        <w:spacing w:before="0" w:beforeAutospacing="0" w:after="0" w:afterAutospacing="0"/>
        <w:jc w:val="both"/>
        <w:divId w:val="2072998663"/>
        <w:rPr>
          <w:sz w:val="20"/>
          <w:szCs w:val="20"/>
        </w:rPr>
      </w:pPr>
      <w:r>
        <w:t> </w:t>
      </w:r>
    </w:p>
    <w:p w:rsidR="00000000" w:rsidRDefault="00F83A7A">
      <w:pPr>
        <w:pStyle w:val="a3"/>
        <w:spacing w:before="0" w:beforeAutospacing="0" w:after="0" w:afterAutospacing="0"/>
        <w:jc w:val="both"/>
        <w:divId w:val="2072998663"/>
        <w:rPr>
          <w:sz w:val="20"/>
          <w:szCs w:val="20"/>
        </w:rPr>
      </w:pPr>
      <w:r>
        <w:rPr>
          <w:sz w:val="20"/>
          <w:szCs w:val="20"/>
        </w:rPr>
        <w:t>Under Section 382 of the Internal Revenue Code of 1986,</w:t>
      </w:r>
      <w:r>
        <w:rPr>
          <w:sz w:val="20"/>
          <w:szCs w:val="20"/>
        </w:rPr>
        <w:t xml:space="preserve"> </w:t>
      </w:r>
      <w:r>
        <w:rPr>
          <w:sz w:val="20"/>
          <w:szCs w:val="20"/>
        </w:rPr>
        <w:t>if a corporation u</w:t>
      </w:r>
      <w:r>
        <w:rPr>
          <w:sz w:val="20"/>
          <w:szCs w:val="20"/>
        </w:rPr>
        <w:t>ndergoes an ownership change (generally defined as a greater than</w:t>
      </w:r>
      <w:r>
        <w:rPr>
          <w:sz w:val="20"/>
          <w:szCs w:val="20"/>
        </w:rPr>
        <w:t xml:space="preserve"> </w:t>
      </w:r>
      <w:r>
        <w:rPr>
          <w:sz w:val="20"/>
          <w:szCs w:val="20"/>
        </w:rPr>
        <w:t>5</w:t>
      </w:r>
      <w:r>
        <w:rPr>
          <w:sz w:val="20"/>
          <w:szCs w:val="20"/>
        </w:rPr>
        <w:t>0</w:t>
      </w:r>
      <w:r>
        <w:rPr>
          <w:sz w:val="20"/>
          <w:szCs w:val="20"/>
        </w:rPr>
        <w:t xml:space="preserve">% change in its equity ownership over a three-year period), the corporation’s ability to use its pre-change NOL carryforwards and other pre-change tax attributes to offset its post-change </w:t>
      </w:r>
      <w:r>
        <w:rPr>
          <w:sz w:val="20"/>
          <w:szCs w:val="20"/>
        </w:rPr>
        <w:t>income may be limited</w:t>
      </w:r>
      <w:r>
        <w:rPr>
          <w:sz w:val="20"/>
          <w:szCs w:val="20"/>
        </w:rPr>
        <w:t>.</w:t>
      </w:r>
      <w:r>
        <w:rPr>
          <w:sz w:val="20"/>
          <w:szCs w:val="20"/>
        </w:rPr>
        <w:t xml:space="preserve"> On</w:t>
      </w:r>
      <w:r>
        <w:rPr>
          <w:sz w:val="20"/>
          <w:szCs w:val="20"/>
        </w:rPr>
        <w:t xml:space="preserve"> </w:t>
      </w:r>
      <w:r>
        <w:rPr>
          <w:sz w:val="20"/>
          <w:szCs w:val="20"/>
        </w:rPr>
        <w:t>August 10, 201</w:t>
      </w:r>
      <w:r>
        <w:rPr>
          <w:sz w:val="20"/>
          <w:szCs w:val="20"/>
        </w:rPr>
        <w:t>5</w:t>
      </w:r>
      <w:r>
        <w:rPr>
          <w:sz w:val="20"/>
          <w:szCs w:val="20"/>
        </w:rPr>
        <w:t xml:space="preserve"> and</w:t>
      </w:r>
      <w:r>
        <w:rPr>
          <w:sz w:val="20"/>
          <w:szCs w:val="20"/>
        </w:rPr>
        <w:t xml:space="preserve"> </w:t>
      </w:r>
      <w:r>
        <w:rPr>
          <w:sz w:val="20"/>
          <w:szCs w:val="20"/>
        </w:rPr>
        <w:t>February 22, 201</w:t>
      </w:r>
      <w:r>
        <w:rPr>
          <w:sz w:val="20"/>
          <w:szCs w:val="20"/>
        </w:rPr>
        <w:t>9</w:t>
      </w:r>
      <w:r>
        <w:rPr>
          <w:sz w:val="20"/>
          <w:szCs w:val="20"/>
        </w:rPr>
        <w:t xml:space="preserve"> the Company experienced an ownership change. A formal Section 382 analysis has yet to be completed. The Company anticipates a significant portion of its pre-change NOLs to be limited</w:t>
      </w:r>
      <w:r>
        <w:rPr>
          <w:sz w:val="20"/>
          <w:szCs w:val="20"/>
        </w:rPr>
        <w:t>.</w:t>
      </w:r>
      <w:r>
        <w:rPr>
          <w:sz w:val="20"/>
          <w:szCs w:val="20"/>
        </w:rPr>
        <w:t xml:space="preserve"> </w:t>
      </w:r>
    </w:p>
    <w:p w:rsidR="00000000" w:rsidRDefault="00F83A7A">
      <w:pPr>
        <w:pStyle w:val="a3"/>
        <w:spacing w:before="0" w:beforeAutospacing="0" w:after="0" w:afterAutospacing="0"/>
        <w:jc w:val="both"/>
        <w:divId w:val="2072998663"/>
        <w:rPr>
          <w:sz w:val="20"/>
          <w:szCs w:val="20"/>
        </w:rPr>
      </w:pPr>
      <w:r>
        <w:t> </w:t>
      </w:r>
    </w:p>
    <w:p w:rsidR="00000000" w:rsidRDefault="00F83A7A">
      <w:pPr>
        <w:pStyle w:val="a3"/>
        <w:spacing w:before="0" w:beforeAutospacing="0" w:after="0" w:afterAutospacing="0"/>
        <w:jc w:val="both"/>
        <w:divId w:val="2072998663"/>
        <w:rPr>
          <w:sz w:val="20"/>
          <w:szCs w:val="20"/>
        </w:rPr>
      </w:pPr>
      <w:r>
        <w:rPr>
          <w:sz w:val="20"/>
          <w:szCs w:val="20"/>
        </w:rPr>
        <w:t xml:space="preserve">As a </w:t>
      </w:r>
      <w:r>
        <w:rPr>
          <w:sz w:val="20"/>
          <w:szCs w:val="20"/>
        </w:rPr>
        <w:t xml:space="preserve">result of the Section 382 limitation, the Company was subject to U.S. Federal, state and local income taxes for 2021 of approximately </w:t>
      </w:r>
      <w:r>
        <w:rPr>
          <w:sz w:val="20"/>
          <w:szCs w:val="20"/>
        </w:rPr>
        <w:t>$</w:t>
      </w:r>
      <w:r>
        <w:rPr>
          <w:sz w:val="20"/>
          <w:szCs w:val="20"/>
        </w:rPr>
        <w:t>1.</w:t>
      </w:r>
      <w:r>
        <w:rPr>
          <w:sz w:val="20"/>
          <w:szCs w:val="20"/>
        </w:rPr>
        <w:t>3</w:t>
      </w:r>
      <w:r>
        <w:rPr>
          <w:sz w:val="20"/>
          <w:szCs w:val="20"/>
        </w:rPr>
        <w:t xml:space="preserve"> millio</w:t>
      </w:r>
      <w:r>
        <w:rPr>
          <w:sz w:val="20"/>
          <w:szCs w:val="20"/>
        </w:rPr>
        <w:t>n</w:t>
      </w:r>
      <w:r>
        <w:rPr>
          <w:sz w:val="20"/>
          <w:szCs w:val="20"/>
        </w:rPr>
        <w:t>.</w:t>
      </w:r>
    </w:p>
    <w:p w:rsidR="00000000" w:rsidRDefault="00F83A7A">
      <w:pPr>
        <w:pStyle w:val="a3"/>
        <w:spacing w:before="0" w:beforeAutospacing="0" w:after="0" w:afterAutospacing="0"/>
        <w:jc w:val="both"/>
        <w:divId w:val="2072998663"/>
        <w:rPr>
          <w:sz w:val="20"/>
          <w:szCs w:val="20"/>
        </w:rPr>
      </w:pPr>
      <w:r>
        <w:rPr>
          <w:sz w:val="20"/>
          <w:szCs w:val="20"/>
        </w:rPr>
        <w:t> </w:t>
      </w:r>
    </w:p>
    <w:p w:rsidR="00000000" w:rsidRDefault="00F83A7A">
      <w:pPr>
        <w:pStyle w:val="a3"/>
        <w:spacing w:before="0" w:beforeAutospacing="0" w:after="0" w:afterAutospacing="0"/>
        <w:jc w:val="both"/>
        <w:divId w:val="2072998663"/>
        <w:rPr>
          <w:sz w:val="20"/>
          <w:szCs w:val="20"/>
        </w:rPr>
      </w:pPr>
      <w:r>
        <w:rPr>
          <w:sz w:val="20"/>
          <w:szCs w:val="20"/>
        </w:rPr>
        <w:t>The Company maintains a full valuation allowance against its net deferred tax assets. The valuation allowa</w:t>
      </w:r>
      <w:r>
        <w:rPr>
          <w:sz w:val="20"/>
          <w:szCs w:val="20"/>
        </w:rPr>
        <w:t xml:space="preserve">nce decreased by approximately </w:t>
      </w:r>
      <w:r>
        <w:rPr>
          <w:sz w:val="20"/>
          <w:szCs w:val="20"/>
        </w:rPr>
        <w:t>$</w:t>
      </w:r>
      <w:r>
        <w:rPr>
          <w:sz w:val="20"/>
          <w:szCs w:val="20"/>
        </w:rPr>
        <w:t>26.</w:t>
      </w:r>
      <w:r>
        <w:rPr>
          <w:sz w:val="20"/>
          <w:szCs w:val="20"/>
        </w:rPr>
        <w:t>5</w:t>
      </w:r>
      <w:r>
        <w:rPr>
          <w:sz w:val="20"/>
          <w:szCs w:val="20"/>
        </w:rPr>
        <w:t xml:space="preserve"> million during the year 2021, respectively, which is primarily due to the anticipated utilization and write-off of NOLs that will expire due to the limitations under Section 382</w:t>
      </w:r>
      <w:r>
        <w:rPr>
          <w:sz w:val="20"/>
          <w:szCs w:val="20"/>
        </w:rPr>
        <w:t>.</w:t>
      </w:r>
    </w:p>
    <w:p w:rsidR="00000000" w:rsidRDefault="00F83A7A">
      <w:pPr>
        <w:pStyle w:val="a3"/>
        <w:spacing w:before="0" w:beforeAutospacing="0" w:after="0" w:afterAutospacing="0"/>
        <w:jc w:val="both"/>
        <w:divId w:val="2072998663"/>
        <w:rPr>
          <w:sz w:val="20"/>
          <w:szCs w:val="20"/>
        </w:rPr>
      </w:pPr>
      <w:r>
        <w:rPr>
          <w:sz w:val="20"/>
          <w:szCs w:val="20"/>
        </w:rPr>
        <w:t> </w:t>
      </w:r>
    </w:p>
    <w:p w:rsidR="00000000" w:rsidRDefault="00F83A7A">
      <w:pPr>
        <w:pStyle w:val="a3"/>
        <w:spacing w:before="240" w:beforeAutospacing="0" w:after="0" w:afterAutospacing="0"/>
        <w:jc w:val="center"/>
        <w:divId w:val="2072998663"/>
        <w:rPr>
          <w:sz w:val="20"/>
          <w:szCs w:val="20"/>
        </w:rPr>
      </w:pPr>
      <w:r>
        <w:rPr>
          <w:sz w:val="20"/>
          <w:szCs w:val="20"/>
        </w:rPr>
        <w:t>F</w:t>
      </w:r>
      <w:r>
        <w:rPr>
          <w:sz w:val="20"/>
          <w:szCs w:val="20"/>
        </w:rPr>
        <w:t>-</w:t>
      </w:r>
      <w:r>
        <w:rPr>
          <w:sz w:val="20"/>
          <w:szCs w:val="20"/>
        </w:rPr>
        <w:t>1</w:t>
      </w:r>
      <w:r>
        <w:rPr>
          <w:sz w:val="20"/>
          <w:szCs w:val="20"/>
        </w:rPr>
        <w:t>7</w:t>
      </w:r>
    </w:p>
    <w:p w:rsidR="00000000" w:rsidRDefault="00F83A7A">
      <w:pPr>
        <w:divId w:val="2072998663"/>
        <w:rPr>
          <w:rFonts w:eastAsia="Times New Roman"/>
        </w:rPr>
      </w:pPr>
      <w:r>
        <w:rPr>
          <w:rFonts w:eastAsia="Times New Roman"/>
        </w:rPr>
        <w:pict>
          <v:rect id="_x0000_i1113" style="width:0;height:1.5pt" o:hralign="center" o:hrstd="t" o:hr="t" fillcolor="#a0a0a0" stroked="f"/>
        </w:pict>
      </w:r>
    </w:p>
    <w:p w:rsidR="00000000" w:rsidRDefault="00F83A7A">
      <w:pPr>
        <w:pStyle w:val="a3"/>
        <w:spacing w:before="0" w:beforeAutospacing="0" w:after="0" w:afterAutospacing="0"/>
        <w:ind w:left="1547"/>
        <w:divId w:val="2072998663"/>
        <w:rPr>
          <w:sz w:val="20"/>
          <w:szCs w:val="20"/>
        </w:rPr>
      </w:pPr>
      <w:r>
        <w:rPr>
          <w:sz w:val="20"/>
          <w:szCs w:val="20"/>
        </w:rPr>
        <w:t> </w:t>
      </w:r>
    </w:p>
    <w:p w:rsidR="00000000" w:rsidRDefault="00F83A7A">
      <w:pPr>
        <w:pStyle w:val="a3"/>
        <w:spacing w:before="0" w:beforeAutospacing="0" w:after="200" w:afterAutospacing="0"/>
        <w:jc w:val="both"/>
        <w:divId w:val="1369454594"/>
        <w:rPr>
          <w:sz w:val="20"/>
          <w:szCs w:val="20"/>
        </w:rPr>
      </w:pPr>
      <w:r>
        <w:rPr>
          <w:sz w:val="20"/>
          <w:szCs w:val="20"/>
        </w:rPr>
        <w:t>The tax effects of temporary differences that gave rise to significant portions of the deferred tax assets and liabilities were as follows</w:t>
      </w:r>
      <w:r>
        <w:rPr>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951"/>
        <w:gridCol w:w="110"/>
        <w:gridCol w:w="160"/>
        <w:gridCol w:w="1027"/>
        <w:gridCol w:w="127"/>
        <w:gridCol w:w="110"/>
        <w:gridCol w:w="160"/>
        <w:gridCol w:w="1027"/>
        <w:gridCol w:w="142"/>
      </w:tblGrid>
      <w:tr w:rsidR="00000000">
        <w:trPr>
          <w:divId w:val="1369454594"/>
          <w:tblCellSpacing w:w="15" w:type="dxa"/>
        </w:trPr>
        <w:tc>
          <w:tcPr>
            <w:tcW w:w="2809" w:type="pct"/>
            <w:vAlign w:val="center"/>
            <w:hideMark/>
          </w:tcPr>
          <w:p w:rsidR="00000000" w:rsidRDefault="00F83A7A">
            <w:pPr>
              <w:rPr>
                <w:sz w:val="20"/>
                <w:szCs w:val="20"/>
              </w:rPr>
            </w:pPr>
          </w:p>
        </w:tc>
        <w:tc>
          <w:tcPr>
            <w:tcW w:w="60" w:type="pct"/>
            <w:vAlign w:val="center"/>
            <w:hideMark/>
          </w:tcPr>
          <w:p w:rsidR="00000000" w:rsidRDefault="00F83A7A">
            <w:pPr>
              <w:rPr>
                <w:rFonts w:eastAsia="Times New Roman"/>
                <w:sz w:val="20"/>
                <w:szCs w:val="20"/>
              </w:rPr>
            </w:pPr>
          </w:p>
        </w:tc>
        <w:tc>
          <w:tcPr>
            <w:tcW w:w="97" w:type="pct"/>
            <w:vAlign w:val="center"/>
            <w:hideMark/>
          </w:tcPr>
          <w:p w:rsidR="00000000" w:rsidRDefault="00F83A7A">
            <w:pPr>
              <w:rPr>
                <w:rFonts w:eastAsia="Times New Roman"/>
                <w:sz w:val="20"/>
                <w:szCs w:val="20"/>
              </w:rPr>
            </w:pPr>
          </w:p>
        </w:tc>
        <w:tc>
          <w:tcPr>
            <w:tcW w:w="850" w:type="pct"/>
            <w:vAlign w:val="center"/>
            <w:hideMark/>
          </w:tcPr>
          <w:p w:rsidR="00000000" w:rsidRDefault="00F83A7A">
            <w:pPr>
              <w:rPr>
                <w:rFonts w:eastAsia="Times New Roman"/>
                <w:sz w:val="20"/>
                <w:szCs w:val="20"/>
              </w:rPr>
            </w:pPr>
          </w:p>
        </w:tc>
        <w:tc>
          <w:tcPr>
            <w:tcW w:w="65" w:type="pct"/>
            <w:vAlign w:val="center"/>
            <w:hideMark/>
          </w:tcPr>
          <w:p w:rsidR="00000000" w:rsidRDefault="00F83A7A">
            <w:pPr>
              <w:rPr>
                <w:rFonts w:eastAsia="Times New Roman"/>
                <w:sz w:val="20"/>
                <w:szCs w:val="20"/>
              </w:rPr>
            </w:pPr>
          </w:p>
        </w:tc>
        <w:tc>
          <w:tcPr>
            <w:tcW w:w="60" w:type="pct"/>
            <w:vAlign w:val="center"/>
            <w:hideMark/>
          </w:tcPr>
          <w:p w:rsidR="00000000" w:rsidRDefault="00F83A7A">
            <w:pPr>
              <w:rPr>
                <w:rFonts w:eastAsia="Times New Roman"/>
                <w:sz w:val="20"/>
                <w:szCs w:val="20"/>
              </w:rPr>
            </w:pPr>
          </w:p>
        </w:tc>
        <w:tc>
          <w:tcPr>
            <w:tcW w:w="97" w:type="pct"/>
            <w:vAlign w:val="center"/>
            <w:hideMark/>
          </w:tcPr>
          <w:p w:rsidR="00000000" w:rsidRDefault="00F83A7A">
            <w:pPr>
              <w:rPr>
                <w:rFonts w:eastAsia="Times New Roman"/>
                <w:sz w:val="20"/>
                <w:szCs w:val="20"/>
              </w:rPr>
            </w:pPr>
          </w:p>
        </w:tc>
        <w:tc>
          <w:tcPr>
            <w:tcW w:w="895" w:type="pct"/>
            <w:vAlign w:val="center"/>
            <w:hideMark/>
          </w:tcPr>
          <w:p w:rsidR="00000000" w:rsidRDefault="00F83A7A">
            <w:pPr>
              <w:rPr>
                <w:rFonts w:eastAsia="Times New Roman"/>
                <w:sz w:val="20"/>
                <w:szCs w:val="20"/>
              </w:rPr>
            </w:pPr>
          </w:p>
        </w:tc>
        <w:tc>
          <w:tcPr>
            <w:tcW w:w="65" w:type="pct"/>
            <w:vAlign w:val="center"/>
            <w:hideMark/>
          </w:tcPr>
          <w:p w:rsidR="00000000" w:rsidRDefault="00F83A7A">
            <w:pPr>
              <w:rPr>
                <w:rFonts w:eastAsia="Times New Roman"/>
                <w:sz w:val="20"/>
                <w:szCs w:val="20"/>
              </w:rPr>
            </w:pPr>
          </w:p>
        </w:tc>
      </w:tr>
      <w:tr w:rsidR="00000000">
        <w:trPr>
          <w:divId w:val="1369454594"/>
          <w:trHeight w:val="16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gridSpan w:val="6"/>
            <w:vAlign w:val="center"/>
            <w:hideMark/>
          </w:tcPr>
          <w:p w:rsidR="00000000" w:rsidRDefault="00F83A7A">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center"/>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1369454594"/>
          <w:trHeight w:val="16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center"/>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center"/>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center"/>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1369454594"/>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Deferred tax assets/liabilities</w:t>
            </w: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1369454594"/>
          <w:trHeight w:val="200"/>
          <w:tblCellSpacing w:w="15" w:type="dxa"/>
        </w:trPr>
        <w:tc>
          <w:tcPr>
            <w:tcW w:w="0" w:type="auto"/>
            <w:vAlign w:val="center"/>
            <w:hideMark/>
          </w:tcPr>
          <w:p w:rsidR="00000000" w:rsidRDefault="00F83A7A">
            <w:pPr>
              <w:pStyle w:val="a3"/>
              <w:spacing w:before="0" w:beforeAutospacing="0" w:after="0" w:afterAutospacing="0"/>
              <w:ind w:left="200"/>
              <w:rPr>
                <w:sz w:val="20"/>
                <w:szCs w:val="20"/>
              </w:rPr>
            </w:pPr>
            <w:r>
              <w:rPr>
                <w:sz w:val="20"/>
                <w:szCs w:val="20"/>
              </w:rPr>
              <w:t>Net operating loss carryover</w:t>
            </w:r>
            <w:r>
              <w:rPr>
                <w:sz w:val="20"/>
                <w:szCs w:val="20"/>
              </w:rPr>
              <w:t>s</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49,086,99</w:t>
            </w:r>
            <w:r>
              <w:rPr>
                <w:sz w:val="20"/>
                <w:szCs w:val="20"/>
              </w:rPr>
              <w:t>8</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74,064,67</w:t>
            </w:r>
            <w:r>
              <w:rPr>
                <w:sz w:val="20"/>
                <w:szCs w:val="20"/>
              </w:rPr>
              <w:t>3</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1369454594"/>
          <w:trHeight w:val="200"/>
          <w:tblCellSpacing w:w="15" w:type="dxa"/>
        </w:trPr>
        <w:tc>
          <w:tcPr>
            <w:tcW w:w="0" w:type="auto"/>
            <w:vAlign w:val="center"/>
            <w:hideMark/>
          </w:tcPr>
          <w:p w:rsidR="00000000" w:rsidRDefault="00F83A7A">
            <w:pPr>
              <w:pStyle w:val="a3"/>
              <w:spacing w:before="0" w:beforeAutospacing="0" w:after="0" w:afterAutospacing="0"/>
              <w:ind w:left="200"/>
              <w:rPr>
                <w:sz w:val="20"/>
                <w:szCs w:val="20"/>
              </w:rPr>
            </w:pPr>
            <w:r>
              <w:rPr>
                <w:sz w:val="20"/>
                <w:szCs w:val="20"/>
              </w:rPr>
              <w:t>Research and development tax credit</w:t>
            </w:r>
            <w:r>
              <w:rPr>
                <w:sz w:val="20"/>
                <w:szCs w:val="20"/>
              </w:rPr>
              <w:t>s</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2,422,33</w:t>
            </w:r>
            <w:r>
              <w:rPr>
                <w:sz w:val="20"/>
                <w:szCs w:val="20"/>
              </w:rPr>
              <w:t>1</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5,458,00</w:t>
            </w:r>
            <w:r>
              <w:rPr>
                <w:sz w:val="20"/>
                <w:szCs w:val="20"/>
              </w:rPr>
              <w:t>4</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1369454594"/>
          <w:trHeight w:val="200"/>
          <w:tblCellSpacing w:w="15" w:type="dxa"/>
        </w:trPr>
        <w:tc>
          <w:tcPr>
            <w:tcW w:w="0" w:type="auto"/>
            <w:vAlign w:val="center"/>
            <w:hideMark/>
          </w:tcPr>
          <w:p w:rsidR="00000000" w:rsidRDefault="00F83A7A">
            <w:pPr>
              <w:pStyle w:val="a3"/>
              <w:spacing w:before="0" w:beforeAutospacing="0" w:after="0" w:afterAutospacing="0"/>
              <w:ind w:left="200"/>
              <w:rPr>
                <w:sz w:val="20"/>
                <w:szCs w:val="20"/>
              </w:rPr>
            </w:pPr>
            <w:r>
              <w:rPr>
                <w:sz w:val="20"/>
                <w:szCs w:val="20"/>
              </w:rPr>
              <w:t>Share-based compensatio</w:t>
            </w:r>
            <w:r>
              <w:rPr>
                <w:sz w:val="20"/>
                <w:szCs w:val="20"/>
              </w:rPr>
              <w:t>n</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4,663,57</w:t>
            </w:r>
            <w:r>
              <w:rPr>
                <w:sz w:val="20"/>
                <w:szCs w:val="20"/>
              </w:rPr>
              <w:t>8</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4,978,37</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1369454594"/>
          <w:trHeight w:val="200"/>
          <w:tblCellSpacing w:w="15" w:type="dxa"/>
        </w:trPr>
        <w:tc>
          <w:tcPr>
            <w:tcW w:w="0" w:type="auto"/>
            <w:vAlign w:val="center"/>
            <w:hideMark/>
          </w:tcPr>
          <w:p w:rsidR="00000000" w:rsidRDefault="00F83A7A">
            <w:pPr>
              <w:pStyle w:val="a3"/>
              <w:spacing w:before="0" w:beforeAutospacing="0" w:after="0" w:afterAutospacing="0"/>
              <w:ind w:left="200"/>
              <w:rPr>
                <w:sz w:val="20"/>
                <w:szCs w:val="20"/>
              </w:rPr>
            </w:pPr>
            <w:r>
              <w:rPr>
                <w:sz w:val="20"/>
                <w:szCs w:val="20"/>
              </w:rPr>
              <w:t>Accrued compensatio</w:t>
            </w:r>
            <w:r>
              <w:rPr>
                <w:sz w:val="20"/>
                <w:szCs w:val="20"/>
              </w:rPr>
              <w:t>n</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r>
              <w:rPr>
                <w:sz w:val="20"/>
                <w:szCs w:val="20"/>
              </w:rPr>
              <w:t>28,24</w:t>
            </w:r>
            <w:r>
              <w:rPr>
                <w:sz w:val="20"/>
                <w:szCs w:val="20"/>
              </w:rPr>
              <w:t>3</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2"/>
                <w:szCs w:val="22"/>
              </w:rPr>
            </w:pPr>
            <w:r>
              <w:rPr>
                <w:rFonts w:ascii="Calibri" w:hAnsi="Calibri" w:cs="Calibri"/>
                <w:sz w:val="22"/>
                <w:szCs w:val="22"/>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514,31</w:t>
            </w:r>
            <w:r>
              <w:rPr>
                <w:sz w:val="20"/>
                <w:szCs w:val="20"/>
              </w:rPr>
              <w:t>6</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1369454594"/>
          <w:trHeight w:val="200"/>
          <w:tblCellSpacing w:w="15" w:type="dxa"/>
        </w:trPr>
        <w:tc>
          <w:tcPr>
            <w:tcW w:w="0" w:type="auto"/>
            <w:vAlign w:val="center"/>
            <w:hideMark/>
          </w:tcPr>
          <w:p w:rsidR="00000000" w:rsidRDefault="00F83A7A">
            <w:pPr>
              <w:pStyle w:val="a3"/>
              <w:spacing w:before="0" w:beforeAutospacing="0" w:after="0" w:afterAutospacing="0"/>
              <w:ind w:left="200"/>
              <w:rPr>
                <w:sz w:val="20"/>
                <w:szCs w:val="20"/>
              </w:rPr>
            </w:pPr>
            <w:r>
              <w:rPr>
                <w:sz w:val="20"/>
                <w:szCs w:val="20"/>
              </w:rPr>
              <w:t>Depreciatio</w:t>
            </w:r>
            <w:r>
              <w:rPr>
                <w:sz w:val="20"/>
                <w:szCs w:val="20"/>
              </w:rPr>
              <w:t>n</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r>
              <w:rPr>
                <w:sz w:val="20"/>
                <w:szCs w:val="20"/>
              </w:rPr>
              <w:t>51,92</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2"/>
                <w:szCs w:val="22"/>
              </w:rPr>
            </w:pPr>
            <w:r>
              <w:rPr>
                <w:rFonts w:ascii="Calibri" w:hAnsi="Calibri" w:cs="Calibri"/>
                <w:sz w:val="22"/>
                <w:szCs w:val="22"/>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r>
              <w:rPr>
                <w:sz w:val="20"/>
                <w:szCs w:val="20"/>
              </w:rPr>
              <w:t>29,76</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r>
      <w:tr w:rsidR="00000000">
        <w:trPr>
          <w:divId w:val="1369454594"/>
          <w:trHeight w:val="200"/>
          <w:tblCellSpacing w:w="15" w:type="dxa"/>
        </w:trPr>
        <w:tc>
          <w:tcPr>
            <w:tcW w:w="0" w:type="auto"/>
            <w:vAlign w:val="center"/>
            <w:hideMark/>
          </w:tcPr>
          <w:p w:rsidR="00000000" w:rsidRDefault="00F83A7A">
            <w:pPr>
              <w:pStyle w:val="a3"/>
              <w:spacing w:before="0" w:beforeAutospacing="0" w:after="0" w:afterAutospacing="0"/>
              <w:ind w:left="200"/>
              <w:rPr>
                <w:sz w:val="20"/>
                <w:szCs w:val="20"/>
              </w:rPr>
            </w:pPr>
            <w:r>
              <w:rPr>
                <w:sz w:val="20"/>
                <w:szCs w:val="20"/>
              </w:rPr>
              <w:t>Charitable contribution</w:t>
            </w:r>
            <w:r>
              <w:rPr>
                <w:sz w:val="20"/>
                <w:szCs w:val="20"/>
              </w:rPr>
              <w:t>s</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87,67</w:t>
            </w:r>
            <w:r>
              <w:rPr>
                <w:sz w:val="20"/>
                <w:szCs w:val="20"/>
              </w:rPr>
              <w:t>2</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87,12</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1369454594"/>
          <w:trHeight w:val="200"/>
          <w:tblCellSpacing w:w="15" w:type="dxa"/>
        </w:trPr>
        <w:tc>
          <w:tcPr>
            <w:tcW w:w="0" w:type="auto"/>
            <w:vAlign w:val="center"/>
            <w:hideMark/>
          </w:tcPr>
          <w:p w:rsidR="00000000" w:rsidRDefault="00F83A7A">
            <w:pPr>
              <w:pStyle w:val="a3"/>
              <w:spacing w:before="0" w:beforeAutospacing="0" w:after="0" w:afterAutospacing="0"/>
              <w:ind w:left="200"/>
              <w:rPr>
                <w:sz w:val="20"/>
                <w:szCs w:val="20"/>
              </w:rPr>
            </w:pPr>
            <w:r>
              <w:rPr>
                <w:sz w:val="20"/>
                <w:szCs w:val="20"/>
              </w:rPr>
              <w:t>Intangible asset</w:t>
            </w:r>
            <w:r>
              <w:rPr>
                <w:sz w:val="20"/>
                <w:szCs w:val="20"/>
              </w:rPr>
              <w:t>s</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7,121,48</w:t>
            </w:r>
            <w:r>
              <w:rPr>
                <w:sz w:val="20"/>
                <w:szCs w:val="20"/>
              </w:rPr>
              <w:t>4</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4,742,03</w:t>
            </w:r>
            <w:r>
              <w:rPr>
                <w:sz w:val="20"/>
                <w:szCs w:val="20"/>
              </w:rPr>
              <w:t>1</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1369454594"/>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Total gross deferred tax assets/liabilitie</w:t>
            </w:r>
            <w:r>
              <w:rPr>
                <w:sz w:val="20"/>
                <w:szCs w:val="20"/>
              </w:rPr>
              <w:t>s</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63,301,90</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89,814,75</w:t>
            </w:r>
            <w:r>
              <w:rPr>
                <w:sz w:val="20"/>
                <w:szCs w:val="20"/>
              </w:rPr>
              <w:t>4</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1369454594"/>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Valuation allowanc</w:t>
            </w:r>
            <w:r>
              <w:rPr>
                <w:sz w:val="20"/>
                <w:szCs w:val="20"/>
              </w:rPr>
              <w:t>e</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r>
              <w:rPr>
                <w:sz w:val="20"/>
                <w:szCs w:val="20"/>
              </w:rPr>
              <w:t>63,301,90</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r>
              <w:rPr>
                <w:sz w:val="20"/>
                <w:szCs w:val="20"/>
              </w:rPr>
              <w:t>89,814,75</w:t>
            </w:r>
            <w:r>
              <w:rPr>
                <w:sz w:val="20"/>
                <w:szCs w:val="20"/>
              </w:rPr>
              <w:t>4</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r>
      <w:tr w:rsidR="00000000">
        <w:trPr>
          <w:divId w:val="1369454594"/>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Net deferred tax assets (liabilities</w:t>
            </w: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bl>
    <w:p w:rsidR="00000000" w:rsidRDefault="00F83A7A">
      <w:pPr>
        <w:pStyle w:val="a3"/>
        <w:spacing w:before="0" w:beforeAutospacing="0" w:after="0" w:afterAutospacing="0"/>
        <w:jc w:val="both"/>
        <w:divId w:val="2072998663"/>
        <w:rPr>
          <w:sz w:val="20"/>
          <w:szCs w:val="20"/>
        </w:rPr>
      </w:pPr>
      <w:r>
        <w:rPr>
          <w:sz w:val="20"/>
          <w:szCs w:val="20"/>
        </w:rPr>
        <w:t> </w:t>
      </w:r>
    </w:p>
    <w:p w:rsidR="00000000" w:rsidRDefault="00F83A7A">
      <w:pPr>
        <w:pStyle w:val="a3"/>
        <w:spacing w:before="0" w:beforeAutospacing="0" w:after="200" w:afterAutospacing="0"/>
        <w:ind w:firstLine="555"/>
        <w:jc w:val="both"/>
        <w:divId w:val="1427655074"/>
        <w:rPr>
          <w:sz w:val="20"/>
          <w:szCs w:val="20"/>
        </w:rPr>
      </w:pPr>
      <w:r>
        <w:rPr>
          <w:sz w:val="20"/>
          <w:szCs w:val="20"/>
        </w:rPr>
        <w:t>A reconciliation of the statutory U.S. Federal rate to the Company’s effective tax rate is as follows</w:t>
      </w:r>
      <w:r>
        <w:rPr>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444"/>
        <w:gridCol w:w="210"/>
        <w:gridCol w:w="110"/>
        <w:gridCol w:w="693"/>
        <w:gridCol w:w="227"/>
        <w:gridCol w:w="106"/>
        <w:gridCol w:w="110"/>
        <w:gridCol w:w="672"/>
        <w:gridCol w:w="242"/>
      </w:tblGrid>
      <w:tr w:rsidR="00000000">
        <w:trPr>
          <w:divId w:val="1427655074"/>
          <w:tblCellSpacing w:w="15" w:type="dxa"/>
        </w:trPr>
        <w:tc>
          <w:tcPr>
            <w:tcW w:w="3138" w:type="pct"/>
            <w:vAlign w:val="center"/>
            <w:hideMark/>
          </w:tcPr>
          <w:p w:rsidR="00000000" w:rsidRDefault="00F83A7A">
            <w:pPr>
              <w:rPr>
                <w:sz w:val="20"/>
                <w:szCs w:val="20"/>
              </w:rPr>
            </w:pPr>
          </w:p>
        </w:tc>
        <w:tc>
          <w:tcPr>
            <w:tcW w:w="89" w:type="pct"/>
            <w:vAlign w:val="center"/>
            <w:hideMark/>
          </w:tcPr>
          <w:p w:rsidR="00000000" w:rsidRDefault="00F83A7A">
            <w:pPr>
              <w:rPr>
                <w:rFonts w:eastAsia="Times New Roman"/>
                <w:sz w:val="20"/>
                <w:szCs w:val="20"/>
              </w:rPr>
            </w:pPr>
          </w:p>
        </w:tc>
        <w:tc>
          <w:tcPr>
            <w:tcW w:w="39" w:type="pct"/>
            <w:vAlign w:val="center"/>
            <w:hideMark/>
          </w:tcPr>
          <w:p w:rsidR="00000000" w:rsidRDefault="00F83A7A">
            <w:pPr>
              <w:rPr>
                <w:rFonts w:eastAsia="Times New Roman"/>
                <w:sz w:val="20"/>
                <w:szCs w:val="20"/>
              </w:rPr>
            </w:pPr>
          </w:p>
        </w:tc>
        <w:tc>
          <w:tcPr>
            <w:tcW w:w="659" w:type="pct"/>
            <w:vAlign w:val="center"/>
            <w:hideMark/>
          </w:tcPr>
          <w:p w:rsidR="00000000" w:rsidRDefault="00F83A7A">
            <w:pPr>
              <w:rPr>
                <w:rFonts w:eastAsia="Times New Roman"/>
                <w:sz w:val="20"/>
                <w:szCs w:val="20"/>
              </w:rPr>
            </w:pPr>
          </w:p>
        </w:tc>
        <w:tc>
          <w:tcPr>
            <w:tcW w:w="164" w:type="pct"/>
            <w:vAlign w:val="center"/>
            <w:hideMark/>
          </w:tcPr>
          <w:p w:rsidR="00000000" w:rsidRDefault="00F83A7A">
            <w:pPr>
              <w:rPr>
                <w:rFonts w:eastAsia="Times New Roman"/>
                <w:sz w:val="20"/>
                <w:szCs w:val="20"/>
              </w:rPr>
            </w:pPr>
          </w:p>
        </w:tc>
        <w:tc>
          <w:tcPr>
            <w:tcW w:w="65" w:type="pct"/>
            <w:vAlign w:val="center"/>
            <w:hideMark/>
          </w:tcPr>
          <w:p w:rsidR="00000000" w:rsidRDefault="00F83A7A">
            <w:pPr>
              <w:rPr>
                <w:rFonts w:eastAsia="Times New Roman"/>
                <w:sz w:val="20"/>
                <w:szCs w:val="20"/>
              </w:rPr>
            </w:pPr>
          </w:p>
        </w:tc>
        <w:tc>
          <w:tcPr>
            <w:tcW w:w="39" w:type="pct"/>
            <w:vAlign w:val="center"/>
            <w:hideMark/>
          </w:tcPr>
          <w:p w:rsidR="00000000" w:rsidRDefault="00F83A7A">
            <w:pPr>
              <w:rPr>
                <w:rFonts w:eastAsia="Times New Roman"/>
                <w:sz w:val="20"/>
                <w:szCs w:val="20"/>
              </w:rPr>
            </w:pPr>
          </w:p>
        </w:tc>
        <w:tc>
          <w:tcPr>
            <w:tcW w:w="640" w:type="pct"/>
            <w:vAlign w:val="center"/>
            <w:hideMark/>
          </w:tcPr>
          <w:p w:rsidR="00000000" w:rsidRDefault="00F83A7A">
            <w:pPr>
              <w:rPr>
                <w:rFonts w:eastAsia="Times New Roman"/>
                <w:sz w:val="20"/>
                <w:szCs w:val="20"/>
              </w:rPr>
            </w:pPr>
          </w:p>
        </w:tc>
        <w:tc>
          <w:tcPr>
            <w:tcW w:w="164" w:type="pct"/>
            <w:vAlign w:val="center"/>
            <w:hideMark/>
          </w:tcPr>
          <w:p w:rsidR="00000000" w:rsidRDefault="00F83A7A">
            <w:pPr>
              <w:rPr>
                <w:rFonts w:eastAsia="Times New Roman"/>
                <w:sz w:val="20"/>
                <w:szCs w:val="20"/>
              </w:rPr>
            </w:pPr>
          </w:p>
        </w:tc>
      </w:tr>
      <w:tr w:rsidR="00000000">
        <w:trPr>
          <w:divId w:val="1427655074"/>
          <w:trHeight w:val="160"/>
          <w:tblCellSpacing w:w="15" w:type="dxa"/>
        </w:trPr>
        <w:tc>
          <w:tcPr>
            <w:tcW w:w="0" w:type="auto"/>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c>
          <w:tcPr>
            <w:tcW w:w="0" w:type="auto"/>
            <w:gridSpan w:val="6"/>
            <w:vAlign w:val="center"/>
            <w:hideMark/>
          </w:tcPr>
          <w:p w:rsidR="00000000" w:rsidRDefault="00F83A7A">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center"/>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1427655074"/>
          <w:trHeight w:val="16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center"/>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center"/>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center"/>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1427655074"/>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Federal income tax benefit at statutory rat</w:t>
            </w:r>
            <w:r>
              <w:rPr>
                <w:sz w:val="20"/>
                <w:szCs w:val="20"/>
              </w:rPr>
              <w:t>e</w:t>
            </w:r>
          </w:p>
        </w:tc>
        <w:tc>
          <w:tcPr>
            <w:tcW w:w="0" w:type="auto"/>
            <w:vAlign w:val="center"/>
            <w:hideMark/>
          </w:tcPr>
          <w:p w:rsidR="00000000" w:rsidRDefault="00F83A7A">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21.0</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r>
              <w:rPr>
                <w:sz w:val="20"/>
                <w:szCs w:val="20"/>
              </w:rPr>
              <w:t>21.0</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r>
      <w:tr w:rsidR="00000000">
        <w:trPr>
          <w:divId w:val="1427655074"/>
          <w:trHeight w:val="200"/>
          <w:tblCellSpacing w:w="15" w:type="dxa"/>
        </w:trPr>
        <w:tc>
          <w:tcPr>
            <w:tcW w:w="0" w:type="auto"/>
            <w:vAlign w:val="center"/>
            <w:hideMark/>
          </w:tcPr>
          <w:p w:rsidR="00000000" w:rsidRDefault="00F83A7A">
            <w:pPr>
              <w:pStyle w:val="a3"/>
              <w:spacing w:before="0" w:beforeAutospacing="0" w:after="0" w:afterAutospacing="0"/>
              <w:ind w:left="200"/>
              <w:rPr>
                <w:sz w:val="20"/>
                <w:szCs w:val="20"/>
              </w:rPr>
            </w:pPr>
            <w:r>
              <w:rPr>
                <w:sz w:val="20"/>
                <w:szCs w:val="20"/>
              </w:rPr>
              <w:t xml:space="preserve">State income tax, net of federal benefit </w:t>
            </w:r>
            <w:r>
              <w:rPr>
                <w:sz w:val="20"/>
                <w:szCs w:val="20"/>
              </w:rPr>
              <w:t>(</w:t>
            </w:r>
            <w:r>
              <w:rPr>
                <w:sz w:val="16"/>
                <w:szCs w:val="16"/>
              </w:rPr>
              <w:t>1</w:t>
            </w:r>
            <w:r>
              <w:rPr>
                <w:sz w:val="16"/>
                <w:szCs w:val="16"/>
              </w:rPr>
              <w:t>)</w:t>
            </w:r>
          </w:p>
        </w:tc>
        <w:tc>
          <w:tcPr>
            <w:tcW w:w="0" w:type="auto"/>
            <w:vAlign w:val="center"/>
            <w:hideMark/>
          </w:tcPr>
          <w:p w:rsidR="00000000" w:rsidRDefault="00F83A7A">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1.0</w:t>
            </w:r>
            <w:r>
              <w:rPr>
                <w:sz w:val="20"/>
                <w:szCs w:val="20"/>
              </w:rPr>
              <w:t>5</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6.1</w:t>
            </w:r>
            <w:r>
              <w:rPr>
                <w:sz w:val="20"/>
                <w:szCs w:val="20"/>
              </w:rPr>
              <w:t>5</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1427655074"/>
          <w:trHeight w:val="200"/>
          <w:tblCellSpacing w:w="15" w:type="dxa"/>
        </w:trPr>
        <w:tc>
          <w:tcPr>
            <w:tcW w:w="0" w:type="auto"/>
            <w:vAlign w:val="center"/>
            <w:hideMark/>
          </w:tcPr>
          <w:p w:rsidR="00000000" w:rsidRDefault="00F83A7A">
            <w:pPr>
              <w:pStyle w:val="a3"/>
              <w:spacing w:before="0" w:beforeAutospacing="0" w:after="0" w:afterAutospacing="0"/>
              <w:ind w:left="200"/>
              <w:rPr>
                <w:sz w:val="20"/>
                <w:szCs w:val="20"/>
              </w:rPr>
            </w:pPr>
            <w:r>
              <w:rPr>
                <w:sz w:val="20"/>
                <w:szCs w:val="20"/>
              </w:rPr>
              <w:t>Permanent item</w:t>
            </w:r>
            <w:r>
              <w:rPr>
                <w:sz w:val="20"/>
                <w:szCs w:val="20"/>
              </w:rPr>
              <w:t>s</w:t>
            </w:r>
          </w:p>
        </w:tc>
        <w:tc>
          <w:tcPr>
            <w:tcW w:w="0" w:type="auto"/>
            <w:vAlign w:val="center"/>
            <w:hideMark/>
          </w:tcPr>
          <w:p w:rsidR="00000000" w:rsidRDefault="00F83A7A">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0.5</w:t>
            </w:r>
            <w:r>
              <w:rPr>
                <w:sz w:val="20"/>
                <w:szCs w:val="20"/>
              </w:rPr>
              <w:t>3</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0.7</w:t>
            </w:r>
            <w:r>
              <w:rPr>
                <w:sz w:val="20"/>
                <w:szCs w:val="20"/>
              </w:rPr>
              <w:t>5</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1427655074"/>
          <w:trHeight w:val="200"/>
          <w:tblCellSpacing w:w="15" w:type="dxa"/>
        </w:trPr>
        <w:tc>
          <w:tcPr>
            <w:tcW w:w="0" w:type="auto"/>
            <w:vAlign w:val="center"/>
            <w:hideMark/>
          </w:tcPr>
          <w:p w:rsidR="00000000" w:rsidRDefault="00F83A7A">
            <w:pPr>
              <w:pStyle w:val="a3"/>
              <w:spacing w:before="0" w:beforeAutospacing="0" w:after="0" w:afterAutospacing="0"/>
              <w:ind w:left="200"/>
              <w:rPr>
                <w:sz w:val="20"/>
                <w:szCs w:val="20"/>
              </w:rPr>
            </w:pPr>
            <w:r>
              <w:rPr>
                <w:sz w:val="20"/>
                <w:szCs w:val="20"/>
              </w:rPr>
              <w:t>Change in valuation allowanc</w:t>
            </w:r>
            <w:r>
              <w:rPr>
                <w:sz w:val="20"/>
                <w:szCs w:val="20"/>
              </w:rPr>
              <w:t>e</w:t>
            </w:r>
          </w:p>
        </w:tc>
        <w:tc>
          <w:tcPr>
            <w:tcW w:w="0" w:type="auto"/>
            <w:vAlign w:val="center"/>
            <w:hideMark/>
          </w:tcPr>
          <w:p w:rsidR="00000000" w:rsidRDefault="00F83A7A">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r>
              <w:rPr>
                <w:sz w:val="20"/>
                <w:szCs w:val="20"/>
              </w:rPr>
              <w:t>21.3</w:t>
            </w:r>
            <w:r>
              <w:rPr>
                <w:sz w:val="20"/>
                <w:szCs w:val="20"/>
              </w:rPr>
              <w:t>9</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16.7</w:t>
            </w:r>
            <w:r>
              <w:rPr>
                <w:sz w:val="20"/>
                <w:szCs w:val="20"/>
              </w:rPr>
              <w:t>2</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1427655074"/>
          <w:trHeight w:val="200"/>
          <w:tblCellSpacing w:w="15" w:type="dxa"/>
        </w:trPr>
        <w:tc>
          <w:tcPr>
            <w:tcW w:w="0" w:type="auto"/>
            <w:vAlign w:val="center"/>
            <w:hideMark/>
          </w:tcPr>
          <w:p w:rsidR="00000000" w:rsidRDefault="00F83A7A">
            <w:pPr>
              <w:pStyle w:val="a3"/>
              <w:spacing w:before="0" w:beforeAutospacing="0" w:after="0" w:afterAutospacing="0"/>
              <w:ind w:left="200"/>
              <w:rPr>
                <w:sz w:val="20"/>
                <w:szCs w:val="20"/>
              </w:rPr>
            </w:pPr>
            <w:r>
              <w:rPr>
                <w:sz w:val="20"/>
                <w:szCs w:val="20"/>
              </w:rPr>
              <w:t>Research and development tax credit</w:t>
            </w:r>
            <w:r>
              <w:rPr>
                <w:sz w:val="20"/>
                <w:szCs w:val="20"/>
              </w:rPr>
              <w:t>s</w:t>
            </w:r>
          </w:p>
        </w:tc>
        <w:tc>
          <w:tcPr>
            <w:tcW w:w="0" w:type="auto"/>
            <w:vAlign w:val="center"/>
            <w:hideMark/>
          </w:tcPr>
          <w:p w:rsidR="00000000" w:rsidRDefault="00F83A7A">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1.0</w:t>
            </w:r>
            <w:r>
              <w:rPr>
                <w:sz w:val="20"/>
                <w:szCs w:val="20"/>
              </w:rPr>
              <w:t>5</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w:t>
            </w:r>
            <w:r>
              <w:rPr>
                <w:sz w:val="20"/>
                <w:szCs w:val="20"/>
              </w:rPr>
              <w:t>2.6</w:t>
            </w:r>
            <w:r>
              <w:rPr>
                <w:sz w:val="20"/>
                <w:szCs w:val="20"/>
              </w:rPr>
              <w:t>4</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r>
      <w:tr w:rsidR="00000000">
        <w:trPr>
          <w:divId w:val="1427655074"/>
          <w:trHeight w:val="200"/>
          <w:tblCellSpacing w:w="15" w:type="dxa"/>
        </w:trPr>
        <w:tc>
          <w:tcPr>
            <w:tcW w:w="0" w:type="auto"/>
            <w:vAlign w:val="center"/>
            <w:hideMark/>
          </w:tcPr>
          <w:p w:rsidR="00000000" w:rsidRDefault="00F83A7A">
            <w:pPr>
              <w:pStyle w:val="a3"/>
              <w:spacing w:before="0" w:beforeAutospacing="0" w:after="0" w:afterAutospacing="0"/>
              <w:ind w:left="200"/>
              <w:rPr>
                <w:sz w:val="20"/>
                <w:szCs w:val="20"/>
              </w:rPr>
            </w:pPr>
            <w:r>
              <w:rPr>
                <w:sz w:val="20"/>
                <w:szCs w:val="20"/>
              </w:rPr>
              <w:t>Othe</w:t>
            </w:r>
            <w:r>
              <w:rPr>
                <w:sz w:val="20"/>
                <w:szCs w:val="20"/>
              </w:rPr>
              <w:t>r</w:t>
            </w:r>
          </w:p>
        </w:tc>
        <w:tc>
          <w:tcPr>
            <w:tcW w:w="0" w:type="auto"/>
            <w:vAlign w:val="center"/>
            <w:hideMark/>
          </w:tcPr>
          <w:p w:rsidR="00000000" w:rsidRDefault="00F83A7A">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0.9</w:t>
            </w:r>
            <w:r>
              <w:rPr>
                <w:sz w:val="20"/>
                <w:szCs w:val="20"/>
              </w:rPr>
              <w:t>3</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0.0</w:t>
            </w:r>
            <w:r>
              <w:rPr>
                <w:sz w:val="20"/>
                <w:szCs w:val="20"/>
              </w:rPr>
              <w:t>2</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r>
      <w:tr w:rsidR="00000000">
        <w:trPr>
          <w:divId w:val="1427655074"/>
          <w:trHeight w:val="200"/>
          <w:tblCellSpacing w:w="15" w:type="dxa"/>
        </w:trPr>
        <w:tc>
          <w:tcPr>
            <w:tcW w:w="0" w:type="auto"/>
            <w:vAlign w:val="center"/>
            <w:hideMark/>
          </w:tcPr>
          <w:p w:rsidR="00000000" w:rsidRDefault="00F83A7A">
            <w:pPr>
              <w:pStyle w:val="a3"/>
              <w:spacing w:before="0" w:beforeAutospacing="0" w:after="0" w:afterAutospacing="0"/>
              <w:rPr>
                <w:sz w:val="20"/>
                <w:szCs w:val="20"/>
              </w:rPr>
            </w:pPr>
            <w:r>
              <w:rPr>
                <w:sz w:val="20"/>
                <w:szCs w:val="20"/>
              </w:rPr>
              <w:t>Effective income tax (benefit) expense rat</w:t>
            </w:r>
            <w:r>
              <w:rPr>
                <w:sz w:val="20"/>
                <w:szCs w:val="20"/>
              </w:rPr>
              <w:t>e</w:t>
            </w:r>
          </w:p>
        </w:tc>
        <w:tc>
          <w:tcPr>
            <w:tcW w:w="0" w:type="auto"/>
            <w:vAlign w:val="center"/>
            <w:hideMark/>
          </w:tcPr>
          <w:p w:rsidR="00000000" w:rsidRDefault="00F83A7A">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1.0</w:t>
            </w:r>
            <w:r>
              <w:rPr>
                <w:sz w:val="20"/>
                <w:szCs w:val="20"/>
              </w:rPr>
              <w:t>7</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center"/>
            <w:hideMark/>
          </w:tcPr>
          <w:p w:rsidR="00000000" w:rsidRDefault="00F83A7A">
            <w:pPr>
              <w:pStyle w:val="a3"/>
              <w:spacing w:before="0" w:beforeAutospacing="0" w:after="0" w:afterAutospacing="0"/>
              <w:rPr>
                <w:sz w:val="20"/>
                <w:szCs w:val="20"/>
              </w:rPr>
            </w:pPr>
            <w:r>
              <w:rPr>
                <w:sz w:val="20"/>
                <w:szCs w:val="20"/>
              </w:rPr>
              <w:t>%</w:t>
            </w:r>
          </w:p>
        </w:tc>
      </w:tr>
      <w:tr w:rsidR="00000000">
        <w:trPr>
          <w:divId w:val="1427655074"/>
          <w:trHeight w:val="200"/>
          <w:tblCellSpacing w:w="15" w:type="dxa"/>
        </w:trPr>
        <w:tc>
          <w:tcPr>
            <w:tcW w:w="0" w:type="auto"/>
            <w:vAlign w:val="center"/>
            <w:hideMark/>
          </w:tcPr>
          <w:p w:rsidR="00000000" w:rsidRDefault="00F83A7A">
            <w:pPr>
              <w:pStyle w:val="a3"/>
              <w:spacing w:before="0" w:beforeAutospacing="0" w:after="0" w:afterAutospacing="0"/>
              <w:ind w:left="200"/>
              <w:rPr>
                <w:sz w:val="20"/>
                <w:szCs w:val="20"/>
              </w:rPr>
            </w:pPr>
            <w:r>
              <w:rPr>
                <w:sz w:val="20"/>
                <w:szCs w:val="20"/>
              </w:rPr>
              <w:t>(1) Inclusive of $5.8 million deferred tax benefit due to change in apportionmen</w:t>
            </w:r>
            <w:r>
              <w:rPr>
                <w:sz w:val="20"/>
                <w:szCs w:val="20"/>
              </w:rPr>
              <w:t>t</w:t>
            </w:r>
          </w:p>
        </w:tc>
        <w:tc>
          <w:tcPr>
            <w:tcW w:w="0" w:type="auto"/>
            <w:vAlign w:val="center"/>
            <w:hideMark/>
          </w:tcPr>
          <w:p w:rsidR="00000000" w:rsidRDefault="00F83A7A">
            <w:pPr>
              <w:pStyle w:val="a3"/>
              <w:spacing w:before="0" w:beforeAutospacing="0" w:after="0" w:afterAutospacing="0"/>
              <w:ind w:left="100"/>
              <w:rPr>
                <w:sz w:val="20"/>
                <w:szCs w:val="20"/>
              </w:rPr>
            </w:pPr>
            <w:r>
              <w:rPr>
                <w:sz w:val="20"/>
                <w:szCs w:val="20"/>
              </w:rPr>
              <w:t> </w:t>
            </w:r>
          </w:p>
        </w:tc>
        <w:tc>
          <w:tcPr>
            <w:tcW w:w="0" w:type="auto"/>
            <w:gridSpan w:val="2"/>
            <w:vAlign w:val="center"/>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c>
          <w:tcPr>
            <w:tcW w:w="0" w:type="auto"/>
            <w:gridSpan w:val="2"/>
            <w:vAlign w:val="center"/>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F83A7A">
            <w:pPr>
              <w:pStyle w:val="a3"/>
              <w:spacing w:before="0" w:beforeAutospacing="0" w:after="0" w:afterAutospacing="0"/>
              <w:jc w:val="right"/>
              <w:rPr>
                <w:sz w:val="20"/>
                <w:szCs w:val="20"/>
              </w:rPr>
            </w:pPr>
            <w:r>
              <w:rPr>
                <w:sz w:val="20"/>
                <w:szCs w:val="20"/>
              </w:rPr>
              <w:t> </w:t>
            </w:r>
          </w:p>
        </w:tc>
      </w:tr>
      <w:tr w:rsidR="00000000">
        <w:trPr>
          <w:divId w:val="1427655074"/>
          <w:tblCellSpacing w:w="15" w:type="dxa"/>
        </w:trPr>
        <w:tc>
          <w:tcPr>
            <w:tcW w:w="0" w:type="auto"/>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rFonts w:ascii="Calibri" w:hAnsi="Calibri" w:cs="Calibri"/>
                <w:sz w:val="20"/>
                <w:szCs w:val="20"/>
              </w:rPr>
              <w:t> </w:t>
            </w:r>
          </w:p>
        </w:tc>
      </w:tr>
    </w:tbl>
    <w:p w:rsidR="00000000" w:rsidRDefault="00F83A7A">
      <w:pPr>
        <w:pStyle w:val="a3"/>
        <w:spacing w:before="0" w:beforeAutospacing="0" w:after="0" w:afterAutospacing="0"/>
        <w:ind w:firstLine="555"/>
        <w:jc w:val="both"/>
        <w:divId w:val="2072998663"/>
        <w:rPr>
          <w:sz w:val="20"/>
          <w:szCs w:val="20"/>
        </w:rPr>
      </w:pPr>
      <w:r>
        <w:t> </w:t>
      </w:r>
    </w:p>
    <w:p w:rsidR="00000000" w:rsidRDefault="00F83A7A">
      <w:pPr>
        <w:pStyle w:val="a3"/>
        <w:spacing w:before="0" w:beforeAutospacing="0" w:after="0" w:afterAutospacing="0"/>
        <w:jc w:val="both"/>
        <w:divId w:val="2072998663"/>
        <w:rPr>
          <w:sz w:val="20"/>
          <w:szCs w:val="20"/>
        </w:rPr>
      </w:pPr>
      <w:r>
        <w:rPr>
          <w:sz w:val="20"/>
          <w:szCs w:val="20"/>
        </w:rPr>
        <w:t>The Company’</w:t>
      </w:r>
      <w:r>
        <w:rPr>
          <w:sz w:val="20"/>
          <w:szCs w:val="20"/>
        </w:rPr>
        <w:t>s reserves related to taxes are based on a determination of whether and how much of a tax benefit taken by the Company in its tax filings or positions is more likely than not to be realized following resolution of any potential contingencies related to the</w:t>
      </w:r>
      <w:r>
        <w:rPr>
          <w:sz w:val="20"/>
          <w:szCs w:val="20"/>
        </w:rPr>
        <w:t xml:space="preserve"> tax benefit. For the years ended December 31, 2021 and 202</w:t>
      </w:r>
      <w:r>
        <w:rPr>
          <w:sz w:val="20"/>
          <w:szCs w:val="20"/>
        </w:rPr>
        <w:t>0</w:t>
      </w:r>
      <w:r>
        <w:rPr>
          <w:sz w:val="20"/>
          <w:szCs w:val="20"/>
        </w:rPr>
        <w:t>, the Company had</w:t>
      </w:r>
      <w:r>
        <w:rPr>
          <w:sz w:val="20"/>
          <w:szCs w:val="20"/>
        </w:rPr>
        <w:t xml:space="preserve"> </w:t>
      </w:r>
      <w:r>
        <w:rPr>
          <w:sz w:val="20"/>
          <w:szCs w:val="20"/>
        </w:rPr>
        <w:t>n</w:t>
      </w:r>
      <w:r>
        <w:rPr>
          <w:sz w:val="20"/>
          <w:szCs w:val="20"/>
        </w:rPr>
        <w:t>o</w:t>
      </w:r>
      <w:r>
        <w:rPr>
          <w:sz w:val="20"/>
          <w:szCs w:val="20"/>
        </w:rPr>
        <w:t xml:space="preserve"> unrecognized tax benefits or related interest and penalties accrued. The Company has not yet conducted a study of research and development credit carryforwards. This study may</w:t>
      </w:r>
      <w:r>
        <w:rPr>
          <w:sz w:val="20"/>
          <w:szCs w:val="20"/>
        </w:rPr>
        <w:t xml:space="preserve"> result in an adjustment to the Company’s research and development credit carryforwards; however, until a study is completed and any adjustment is known,</w:t>
      </w:r>
      <w:r>
        <w:rPr>
          <w:sz w:val="20"/>
          <w:szCs w:val="20"/>
        </w:rPr>
        <w:t xml:space="preserve"> </w:t>
      </w:r>
      <w:r>
        <w:rPr>
          <w:sz w:val="20"/>
          <w:szCs w:val="20"/>
        </w:rPr>
        <w:t>n</w:t>
      </w:r>
      <w:r>
        <w:rPr>
          <w:sz w:val="20"/>
          <w:szCs w:val="20"/>
        </w:rPr>
        <w:t>o</w:t>
      </w:r>
      <w:r>
        <w:rPr>
          <w:sz w:val="20"/>
          <w:szCs w:val="20"/>
        </w:rPr>
        <w:t xml:space="preserve"> amounts are being presented as an uncertain tax position. A full valuation allowance has been provi</w:t>
      </w:r>
      <w:r>
        <w:rPr>
          <w:sz w:val="20"/>
          <w:szCs w:val="20"/>
        </w:rPr>
        <w:t xml:space="preserve">ded against the Company’s research and development credits and, if an adjustment is required, this adjustment would be offset by an adjustment to the valuation allowance. Thus, there would be no impact to the balance sheet or statement of operations if an </w:t>
      </w:r>
      <w:r>
        <w:rPr>
          <w:sz w:val="20"/>
          <w:szCs w:val="20"/>
        </w:rPr>
        <w:t>adjustment were required. The Company would recognize both accrued interest and penalties related to unrecognized benefits in income tax expense. The Company’s uncertain tax positions yet to be determined would be related to years that remain subject to ex</w:t>
      </w:r>
      <w:r>
        <w:rPr>
          <w:sz w:val="20"/>
          <w:szCs w:val="20"/>
        </w:rPr>
        <w:t>amination by relevant tax authorities. Since the Company is in a loss carryforward position, the Company is generally subject to examination by the U.S. federal, state and local income tax authorities for all tax years in which a loss carryforward is avail</w:t>
      </w:r>
      <w:r>
        <w:rPr>
          <w:sz w:val="20"/>
          <w:szCs w:val="20"/>
        </w:rPr>
        <w:t>able</w:t>
      </w:r>
      <w:r>
        <w:rPr>
          <w:sz w:val="20"/>
          <w:szCs w:val="20"/>
        </w:rPr>
        <w:t>.</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0" w:beforeAutospacing="0" w:after="0" w:afterAutospacing="0"/>
        <w:jc w:val="both"/>
        <w:divId w:val="2028479188"/>
        <w:rPr>
          <w:sz w:val="20"/>
          <w:szCs w:val="20"/>
        </w:rPr>
      </w:pPr>
      <w:r>
        <w:rPr>
          <w:b/>
          <w:bCs/>
          <w:sz w:val="20"/>
          <w:szCs w:val="20"/>
        </w:rPr>
        <w:t>NOTE 9 – COMMITMENTS AND CONTINGENCIE</w:t>
      </w:r>
      <w:r>
        <w:rPr>
          <w:b/>
          <w:bCs/>
          <w:sz w:val="20"/>
          <w:szCs w:val="20"/>
        </w:rPr>
        <w:t>S</w:t>
      </w:r>
    </w:p>
    <w:p w:rsidR="00000000" w:rsidRDefault="00F83A7A">
      <w:pPr>
        <w:pStyle w:val="a3"/>
        <w:spacing w:before="200" w:beforeAutospacing="0" w:after="0" w:afterAutospacing="0"/>
        <w:jc w:val="both"/>
        <w:divId w:val="2028479188"/>
        <w:rPr>
          <w:sz w:val="20"/>
          <w:szCs w:val="20"/>
        </w:rPr>
      </w:pPr>
      <w:r>
        <w:rPr>
          <w:b/>
          <w:bCs/>
          <w:sz w:val="20"/>
          <w:szCs w:val="20"/>
        </w:rPr>
        <w:t>License Agreement</w:t>
      </w:r>
      <w:r>
        <w:rPr>
          <w:b/>
          <w:bCs/>
          <w:sz w:val="20"/>
          <w:szCs w:val="20"/>
        </w:rPr>
        <w:t>s</w:t>
      </w:r>
    </w:p>
    <w:p w:rsidR="00000000" w:rsidRDefault="00F83A7A">
      <w:pPr>
        <w:pStyle w:val="a3"/>
        <w:spacing w:before="200" w:beforeAutospacing="0" w:after="0" w:afterAutospacing="0"/>
        <w:jc w:val="both"/>
        <w:divId w:val="2028479188"/>
        <w:rPr>
          <w:sz w:val="20"/>
          <w:szCs w:val="20"/>
        </w:rPr>
      </w:pPr>
      <w:r>
        <w:rPr>
          <w:sz w:val="20"/>
          <w:szCs w:val="20"/>
        </w:rPr>
        <w:t>On</w:t>
      </w:r>
      <w:r>
        <w:rPr>
          <w:sz w:val="20"/>
          <w:szCs w:val="20"/>
        </w:rPr>
        <w:t xml:space="preserve"> </w:t>
      </w:r>
      <w:r>
        <w:rPr>
          <w:sz w:val="20"/>
          <w:szCs w:val="20"/>
        </w:rPr>
        <w:t>March 26, 201</w:t>
      </w:r>
      <w:r>
        <w:rPr>
          <w:sz w:val="20"/>
          <w:szCs w:val="20"/>
        </w:rPr>
        <w:t>5</w:t>
      </w:r>
      <w:r>
        <w:rPr>
          <w:sz w:val="20"/>
          <w:szCs w:val="20"/>
        </w:rPr>
        <w:t>, the Company entered into an exclusive agreement with H. Lundbeck A/S (“Lundbeck”) for a worldwide perpetual licensing right related to the research, development and commer</w:t>
      </w:r>
      <w:r>
        <w:rPr>
          <w:sz w:val="20"/>
          <w:szCs w:val="20"/>
        </w:rPr>
        <w:t>cialization of OV101. On May 10, 2019, the parties amended the license agreement</w:t>
      </w:r>
      <w:r>
        <w:rPr>
          <w:sz w:val="20"/>
          <w:szCs w:val="20"/>
        </w:rPr>
        <w:t>.</w:t>
      </w:r>
    </w:p>
    <w:p w:rsidR="00000000" w:rsidRDefault="00F83A7A">
      <w:pPr>
        <w:pStyle w:val="a3"/>
        <w:spacing w:before="200" w:beforeAutospacing="0" w:after="0" w:afterAutospacing="0"/>
        <w:jc w:val="both"/>
        <w:divId w:val="2028479188"/>
        <w:rPr>
          <w:sz w:val="20"/>
          <w:szCs w:val="20"/>
        </w:rPr>
      </w:pPr>
      <w:r>
        <w:rPr>
          <w:sz w:val="20"/>
          <w:szCs w:val="20"/>
        </w:rPr>
        <w:t xml:space="preserve">Pursuant to the Lundbeck license agreement, as of the first amendment, the Company agreed to make milestone payments totaling up to </w:t>
      </w:r>
      <w:r>
        <w:rPr>
          <w:sz w:val="20"/>
          <w:szCs w:val="20"/>
        </w:rPr>
        <w:t>$</w:t>
      </w:r>
      <w:r>
        <w:rPr>
          <w:sz w:val="20"/>
          <w:szCs w:val="20"/>
        </w:rPr>
        <w:t>189.</w:t>
      </w:r>
      <w:r>
        <w:rPr>
          <w:sz w:val="20"/>
          <w:szCs w:val="20"/>
        </w:rPr>
        <w:t>0</w:t>
      </w:r>
      <w:r>
        <w:rPr>
          <w:sz w:val="20"/>
          <w:szCs w:val="20"/>
        </w:rPr>
        <w:t xml:space="preserve"> million upon the achievement of cer</w:t>
      </w:r>
      <w:r>
        <w:rPr>
          <w:sz w:val="20"/>
          <w:szCs w:val="20"/>
        </w:rPr>
        <w:t xml:space="preserve">tain developmental, regulatory and sales milestones. The first payment of </w:t>
      </w:r>
      <w:r>
        <w:rPr>
          <w:sz w:val="20"/>
          <w:szCs w:val="20"/>
        </w:rPr>
        <w:t>$</w:t>
      </w:r>
      <w:r>
        <w:rPr>
          <w:sz w:val="20"/>
          <w:szCs w:val="20"/>
        </w:rPr>
        <w:t>1.</w:t>
      </w:r>
      <w:r>
        <w:rPr>
          <w:sz w:val="20"/>
          <w:szCs w:val="20"/>
        </w:rPr>
        <w:t>0</w:t>
      </w:r>
      <w:r>
        <w:rPr>
          <w:sz w:val="20"/>
          <w:szCs w:val="20"/>
        </w:rPr>
        <w:t xml:space="preserve"> million is due upon the successful completion of the first Phase</w:t>
      </w:r>
      <w:r>
        <w:rPr>
          <w:sz w:val="20"/>
          <w:szCs w:val="20"/>
        </w:rPr>
        <w:t xml:space="preserve"> </w:t>
      </w:r>
      <w:r>
        <w:rPr>
          <w:sz w:val="20"/>
          <w:szCs w:val="20"/>
        </w:rPr>
        <w:t>3</w:t>
      </w:r>
      <w:r>
        <w:rPr>
          <w:sz w:val="20"/>
          <w:szCs w:val="20"/>
        </w:rPr>
        <w:t xml:space="preserve"> trial for a product in which OV101 is an active ingredient. In addition, the agreement calls for the Company t</w:t>
      </w:r>
      <w:r>
        <w:rPr>
          <w:sz w:val="20"/>
          <w:szCs w:val="20"/>
        </w:rPr>
        <w:t>o pay royalties for an initial term based on a low double-digit percentage of sales and provides for the reduction of royalties in certain limited circumstances</w:t>
      </w:r>
      <w:r>
        <w:rPr>
          <w:sz w:val="20"/>
          <w:szCs w:val="20"/>
        </w:rPr>
        <w:t>.</w:t>
      </w:r>
    </w:p>
    <w:p w:rsidR="00000000" w:rsidRDefault="00F83A7A">
      <w:pPr>
        <w:pStyle w:val="a3"/>
        <w:spacing w:before="240" w:beforeAutospacing="0" w:after="0" w:afterAutospacing="0"/>
        <w:jc w:val="center"/>
        <w:divId w:val="2028479188"/>
        <w:rPr>
          <w:sz w:val="20"/>
          <w:szCs w:val="20"/>
        </w:rPr>
      </w:pPr>
      <w:r>
        <w:rPr>
          <w:sz w:val="20"/>
          <w:szCs w:val="20"/>
        </w:rPr>
        <w:t>F</w:t>
      </w:r>
      <w:r>
        <w:rPr>
          <w:sz w:val="20"/>
          <w:szCs w:val="20"/>
        </w:rPr>
        <w:t>-</w:t>
      </w:r>
      <w:r>
        <w:rPr>
          <w:sz w:val="20"/>
          <w:szCs w:val="20"/>
        </w:rPr>
        <w:t>1</w:t>
      </w:r>
      <w:r>
        <w:rPr>
          <w:sz w:val="20"/>
          <w:szCs w:val="20"/>
        </w:rPr>
        <w:t>8</w:t>
      </w:r>
    </w:p>
    <w:p w:rsidR="00000000" w:rsidRDefault="00F83A7A">
      <w:pPr>
        <w:divId w:val="2028479188"/>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F83A7A">
      <w:pPr>
        <w:pStyle w:val="a3"/>
        <w:spacing w:before="0" w:beforeAutospacing="0" w:after="0" w:afterAutospacing="0"/>
        <w:ind w:left="1547"/>
        <w:divId w:val="2028479188"/>
        <w:rPr>
          <w:sz w:val="20"/>
          <w:szCs w:val="20"/>
        </w:rPr>
      </w:pPr>
      <w:r>
        <w:rPr>
          <w:sz w:val="20"/>
          <w:szCs w:val="20"/>
        </w:rPr>
        <w:t> </w:t>
      </w:r>
    </w:p>
    <w:p w:rsidR="00000000" w:rsidRDefault="00F83A7A">
      <w:pPr>
        <w:pStyle w:val="a3"/>
        <w:spacing w:before="200" w:beforeAutospacing="0" w:after="0" w:afterAutospacing="0"/>
        <w:jc w:val="both"/>
        <w:divId w:val="2028479188"/>
        <w:rPr>
          <w:sz w:val="20"/>
          <w:szCs w:val="20"/>
        </w:rPr>
      </w:pPr>
      <w:r>
        <w:rPr>
          <w:sz w:val="20"/>
          <w:szCs w:val="20"/>
        </w:rPr>
        <w:t>Thereafter, we closed our OV101 (gaboxadol) progra</w:t>
      </w:r>
      <w:r>
        <w:rPr>
          <w:sz w:val="20"/>
          <w:szCs w:val="20"/>
        </w:rPr>
        <w:t>m in Angelman syndrome in early 2021. On February 1, 2022, we entered into Amendment No. 3 to the Lundbeck agreement, or Amendment No. 3, to permit our performance under the Healx License and Option Agreement. Under the terms of Amendment No. 3, if Healx e</w:t>
      </w:r>
      <w:r>
        <w:rPr>
          <w:sz w:val="20"/>
          <w:szCs w:val="20"/>
        </w:rPr>
        <w:t>xercises its option, we will owe Lundbeck a share of all milestone and royalty payments received from Healx if we choose not to exercise the Ovid Opt-In Right. If we choose to exercise the Ovid Opt-In Right and to co-develop and co-commercialize the progra</w:t>
      </w:r>
      <w:r>
        <w:rPr>
          <w:sz w:val="20"/>
          <w:szCs w:val="20"/>
        </w:rPr>
        <w:t>m with Healx, we will owe a share of the net profit share to Lundbec</w:t>
      </w:r>
      <w:r>
        <w:rPr>
          <w:sz w:val="20"/>
          <w:szCs w:val="20"/>
        </w:rPr>
        <w:t>k</w:t>
      </w:r>
    </w:p>
    <w:p w:rsidR="00000000" w:rsidRDefault="00F83A7A">
      <w:pPr>
        <w:pStyle w:val="a3"/>
        <w:spacing w:before="200" w:beforeAutospacing="0" w:after="0" w:afterAutospacing="0"/>
        <w:jc w:val="both"/>
        <w:divId w:val="2028479188"/>
        <w:rPr>
          <w:sz w:val="20"/>
          <w:szCs w:val="20"/>
        </w:rPr>
      </w:pPr>
      <w:r>
        <w:rPr>
          <w:sz w:val="20"/>
          <w:szCs w:val="20"/>
        </w:rPr>
        <w:t>In</w:t>
      </w:r>
      <w:r>
        <w:rPr>
          <w:sz w:val="20"/>
          <w:szCs w:val="20"/>
        </w:rPr>
        <w:t xml:space="preserve"> </w:t>
      </w:r>
      <w:r>
        <w:rPr>
          <w:sz w:val="20"/>
          <w:szCs w:val="20"/>
        </w:rPr>
        <w:t>December 201</w:t>
      </w:r>
      <w:r>
        <w:rPr>
          <w:sz w:val="20"/>
          <w:szCs w:val="20"/>
        </w:rPr>
        <w:t>6</w:t>
      </w:r>
      <w:r>
        <w:rPr>
          <w:sz w:val="20"/>
          <w:szCs w:val="20"/>
        </w:rPr>
        <w:t>, the Company entered into a license agreement with Northwestern University, or Northwestern, pursuant to which Northwestern granted us an exclusive, worldwide license to</w:t>
      </w:r>
      <w:r>
        <w:rPr>
          <w:sz w:val="20"/>
          <w:szCs w:val="20"/>
        </w:rPr>
        <w:t xml:space="preserve"> patent rights in certain inventions, or the Northwestern Patent Rights, which relate to a specific compound and related methods of use for such compound, along with certain Know-How related to the practice of the inventions claimed in the Northwestern Pat</w:t>
      </w:r>
      <w:r>
        <w:rPr>
          <w:sz w:val="20"/>
          <w:szCs w:val="20"/>
        </w:rPr>
        <w:t>ents</w:t>
      </w:r>
      <w:r>
        <w:rPr>
          <w:sz w:val="20"/>
          <w:szCs w:val="20"/>
        </w:rPr>
        <w:t>.</w:t>
      </w:r>
      <w:r>
        <w:rPr>
          <w:sz w:val="20"/>
          <w:szCs w:val="20"/>
        </w:rPr>
        <w:t xml:space="preserve"> </w:t>
      </w:r>
    </w:p>
    <w:p w:rsidR="00000000" w:rsidRDefault="00F83A7A">
      <w:pPr>
        <w:pStyle w:val="a3"/>
        <w:spacing w:before="200" w:beforeAutospacing="0" w:after="0" w:afterAutospacing="0"/>
        <w:jc w:val="both"/>
        <w:divId w:val="2028479188"/>
        <w:rPr>
          <w:sz w:val="20"/>
          <w:szCs w:val="20"/>
        </w:rPr>
      </w:pPr>
      <w:r>
        <w:rPr>
          <w:sz w:val="20"/>
          <w:szCs w:val="20"/>
        </w:rPr>
        <w:t>Under the Northwestern agreement, the Company was granted exclusive rights to research, develop, manufacture and commercialize products utilizing the Northwestern Patent Rights for all uses. The Company has agreed that it will not use the Northweste</w:t>
      </w:r>
      <w:r>
        <w:rPr>
          <w:sz w:val="20"/>
          <w:szCs w:val="20"/>
        </w:rPr>
        <w:t xml:space="preserve">rn Patent Rights to develop any products for the treatment of cancer, but Northwestern may not grant rights in the technology to others for use in cancer. The Company also has an option, exercisable during the term of the agreement to an exclusive license </w:t>
      </w:r>
      <w:r>
        <w:rPr>
          <w:sz w:val="20"/>
          <w:szCs w:val="20"/>
        </w:rPr>
        <w:t>under certain intellectual property rights covering novel compounds with the same or similar mechanism of action as the primary compound that is the subject of the license agreement. Northwestern has retained the right, on behalf of itself and other non-pr</w:t>
      </w:r>
      <w:r>
        <w:rPr>
          <w:sz w:val="20"/>
          <w:szCs w:val="20"/>
        </w:rPr>
        <w:t>ofit institutions, to use the Northwestern Patent Rights and practice the inventions claimed therein for educational and research purposes and to publish information about the inventions covered by the Northwestern Patent Rights</w:t>
      </w:r>
      <w:r>
        <w:rPr>
          <w:sz w:val="20"/>
          <w:szCs w:val="20"/>
        </w:rPr>
        <w:t>.</w:t>
      </w:r>
      <w:r>
        <w:rPr>
          <w:sz w:val="20"/>
          <w:szCs w:val="20"/>
        </w:rPr>
        <w:t xml:space="preserve"> </w:t>
      </w:r>
    </w:p>
    <w:p w:rsidR="00000000" w:rsidRDefault="00F83A7A">
      <w:pPr>
        <w:pStyle w:val="a3"/>
        <w:spacing w:before="200" w:beforeAutospacing="0" w:after="0" w:afterAutospacing="0"/>
        <w:jc w:val="both"/>
        <w:divId w:val="2028479188"/>
        <w:rPr>
          <w:sz w:val="20"/>
          <w:szCs w:val="20"/>
        </w:rPr>
      </w:pPr>
      <w:r>
        <w:rPr>
          <w:sz w:val="20"/>
          <w:szCs w:val="20"/>
        </w:rPr>
        <w:t>Upon entry into the North</w:t>
      </w:r>
      <w:r>
        <w:rPr>
          <w:sz w:val="20"/>
          <w:szCs w:val="20"/>
        </w:rPr>
        <w:t xml:space="preserve">western agreement, the Company paid an upfront non-creditable one-time license issuance fee of </w:t>
      </w:r>
      <w:r>
        <w:rPr>
          <w:sz w:val="20"/>
          <w:szCs w:val="20"/>
        </w:rPr>
        <w:t>$</w:t>
      </w:r>
      <w:r>
        <w:rPr>
          <w:sz w:val="20"/>
          <w:szCs w:val="20"/>
        </w:rPr>
        <w:t>75,00</w:t>
      </w:r>
      <w:r>
        <w:rPr>
          <w:sz w:val="20"/>
          <w:szCs w:val="20"/>
        </w:rPr>
        <w:t>0</w:t>
      </w:r>
      <w:r>
        <w:rPr>
          <w:sz w:val="20"/>
          <w:szCs w:val="20"/>
        </w:rPr>
        <w:t xml:space="preserve">, and is required to pay an annual license maintenance fee of </w:t>
      </w:r>
      <w:r>
        <w:rPr>
          <w:sz w:val="20"/>
          <w:szCs w:val="20"/>
        </w:rPr>
        <w:t>$</w:t>
      </w:r>
      <w:r>
        <w:rPr>
          <w:sz w:val="20"/>
          <w:szCs w:val="20"/>
        </w:rPr>
        <w:t>20,00</w:t>
      </w:r>
      <w:r>
        <w:rPr>
          <w:sz w:val="20"/>
          <w:szCs w:val="20"/>
        </w:rPr>
        <w:t>0</w:t>
      </w:r>
      <w:r>
        <w:rPr>
          <w:sz w:val="20"/>
          <w:szCs w:val="20"/>
        </w:rPr>
        <w:t>, which will be creditable against any royalties payable to Northwestern following fi</w:t>
      </w:r>
      <w:r>
        <w:rPr>
          <w:sz w:val="20"/>
          <w:szCs w:val="20"/>
        </w:rPr>
        <w:t>rst commercial sale of licensed products under the agreement. The Company is responsible for all ongoing costs of filing, prosecuting and maintaining the Northwestern Patents, but also has the right to control such activities using its own patent counsel.</w:t>
      </w:r>
      <w:r>
        <w:rPr>
          <w:sz w:val="20"/>
          <w:szCs w:val="20"/>
        </w:rPr>
        <w:t xml:space="preserve"> </w:t>
      </w:r>
      <w:r>
        <w:rPr>
          <w:sz w:val="20"/>
          <w:szCs w:val="20"/>
        </w:rPr>
        <w:t xml:space="preserve">In consideration for the rights granted to the Company under the Northwestern agreement, the Company is required to pay to Northwestern up to an aggregate of </w:t>
      </w:r>
      <w:r>
        <w:rPr>
          <w:sz w:val="20"/>
          <w:szCs w:val="20"/>
        </w:rPr>
        <w:t>$</w:t>
      </w:r>
      <w:r>
        <w:rPr>
          <w:sz w:val="20"/>
          <w:szCs w:val="20"/>
        </w:rPr>
        <w:t>5.</w:t>
      </w:r>
      <w:r>
        <w:rPr>
          <w:sz w:val="20"/>
          <w:szCs w:val="20"/>
        </w:rPr>
        <w:t>3</w:t>
      </w:r>
      <w:r>
        <w:rPr>
          <w:sz w:val="20"/>
          <w:szCs w:val="20"/>
        </w:rPr>
        <w:t xml:space="preserve"> million upon the achievement of certain development and regulatory milestones for the first p</w:t>
      </w:r>
      <w:r>
        <w:rPr>
          <w:sz w:val="20"/>
          <w:szCs w:val="20"/>
        </w:rPr>
        <w:t>roduct covered by the Northwestern Patents, and, upon commercialization of any such products, will be required to pay to Northwestern a tiered royalty on net sales of such products by the Company, its affiliates or sublicensees, at percentages in the low t</w:t>
      </w:r>
      <w:r>
        <w:rPr>
          <w:sz w:val="20"/>
          <w:szCs w:val="20"/>
        </w:rPr>
        <w:t>o mid single-digits, subject to standard reductions and offsets. The Company’s royalty obligations continue on a product-by-product and country-by-country basis until the later of the expiration of the last-to-expire valid claim in a licensed patent coveri</w:t>
      </w:r>
      <w:r>
        <w:rPr>
          <w:sz w:val="20"/>
          <w:szCs w:val="20"/>
        </w:rPr>
        <w:t>ng the applicable product in such country and 10 years following the first commercial sale of such product in such country. If the Company sublicenses a Northwestern Patent Right, it will be obligated to pay to Northwestern a specified percentage of sublic</w:t>
      </w:r>
      <w:r>
        <w:rPr>
          <w:sz w:val="20"/>
          <w:szCs w:val="20"/>
        </w:rPr>
        <w:t>ense revenue received by the Company, ranging from the high single digits to the low-teens</w:t>
      </w:r>
      <w:r>
        <w:rPr>
          <w:sz w:val="20"/>
          <w:szCs w:val="20"/>
        </w:rPr>
        <w:t>.</w:t>
      </w:r>
      <w:r>
        <w:rPr>
          <w:sz w:val="20"/>
          <w:szCs w:val="20"/>
        </w:rPr>
        <w:t xml:space="preserve"> </w:t>
      </w:r>
    </w:p>
    <w:p w:rsidR="00000000" w:rsidRDefault="00F83A7A">
      <w:pPr>
        <w:pStyle w:val="a3"/>
        <w:spacing w:before="200" w:beforeAutospacing="0" w:after="0" w:afterAutospacing="0"/>
        <w:jc w:val="both"/>
        <w:divId w:val="2028479188"/>
        <w:rPr>
          <w:sz w:val="20"/>
          <w:szCs w:val="20"/>
        </w:rPr>
      </w:pPr>
      <w:r>
        <w:rPr>
          <w:sz w:val="20"/>
          <w:szCs w:val="20"/>
        </w:rPr>
        <w:t>The Northwestern agreement requires that the Company use commercially reasonable efforts to develop and commercialize at least</w:t>
      </w:r>
      <w:r>
        <w:rPr>
          <w:sz w:val="20"/>
          <w:szCs w:val="20"/>
        </w:rPr>
        <w:t xml:space="preserve"> </w:t>
      </w:r>
      <w:r>
        <w:rPr>
          <w:sz w:val="20"/>
          <w:szCs w:val="20"/>
        </w:rPr>
        <w:t>on</w:t>
      </w:r>
      <w:r>
        <w:rPr>
          <w:sz w:val="20"/>
          <w:szCs w:val="20"/>
        </w:rPr>
        <w:t>e</w:t>
      </w:r>
      <w:r>
        <w:rPr>
          <w:sz w:val="20"/>
          <w:szCs w:val="20"/>
        </w:rPr>
        <w:t xml:space="preserve"> product that is covered by the N</w:t>
      </w:r>
      <w:r>
        <w:rPr>
          <w:sz w:val="20"/>
          <w:szCs w:val="20"/>
        </w:rPr>
        <w:t>orthwestern Patent Rights</w:t>
      </w:r>
      <w:r>
        <w:rPr>
          <w:sz w:val="20"/>
          <w:szCs w:val="20"/>
        </w:rPr>
        <w:t>.</w:t>
      </w:r>
    </w:p>
    <w:p w:rsidR="00000000" w:rsidRDefault="00F83A7A">
      <w:pPr>
        <w:pStyle w:val="a3"/>
        <w:spacing w:before="200" w:beforeAutospacing="0" w:after="0" w:afterAutospacing="0"/>
        <w:jc w:val="both"/>
        <w:divId w:val="2028479188"/>
        <w:rPr>
          <w:sz w:val="20"/>
          <w:szCs w:val="20"/>
        </w:rPr>
      </w:pPr>
      <w:r>
        <w:rPr>
          <w:sz w:val="20"/>
          <w:szCs w:val="20"/>
        </w:rPr>
        <w:t>Unless earlier terminated, the Northwestern agreement will remain in force until the expiration of the Company’s payment obligations thereunder. The Company has the right to terminate the agreement for any reason upon prior writt</w:t>
      </w:r>
      <w:r>
        <w:rPr>
          <w:sz w:val="20"/>
          <w:szCs w:val="20"/>
        </w:rPr>
        <w:t>en notice or for an uncured material breach by Northwestern. Northwestern may terminate the agreement for the Company’s uncured material breach or insolvency</w:t>
      </w:r>
      <w:r>
        <w:rPr>
          <w:sz w:val="20"/>
          <w:szCs w:val="20"/>
        </w:rPr>
        <w:t>.</w:t>
      </w:r>
    </w:p>
    <w:p w:rsidR="00000000" w:rsidRDefault="00F83A7A">
      <w:pPr>
        <w:pStyle w:val="a3"/>
        <w:spacing w:before="200" w:beforeAutospacing="0" w:after="0" w:afterAutospacing="0"/>
        <w:jc w:val="both"/>
        <w:divId w:val="2028479188"/>
        <w:rPr>
          <w:sz w:val="20"/>
          <w:szCs w:val="20"/>
        </w:rPr>
      </w:pPr>
      <w:r>
        <w:rPr>
          <w:sz w:val="20"/>
          <w:szCs w:val="20"/>
        </w:rPr>
        <w:t>On December 30, 2021, the Company entered into an exclusive license agreement with AstraZeneca AB</w:t>
      </w:r>
      <w:r>
        <w:rPr>
          <w:sz w:val="20"/>
          <w:szCs w:val="20"/>
        </w:rPr>
        <w:t xml:space="preserve">, for a library of early-stage small molecules targeting the KCC2 transporter, including lead candidate OV350. Upon execution of the agreement, the Company was obligated to pay an upfront cash payment of </w:t>
      </w:r>
      <w:r>
        <w:rPr>
          <w:sz w:val="20"/>
          <w:szCs w:val="20"/>
        </w:rPr>
        <w:t>$</w:t>
      </w:r>
      <w:r>
        <w:rPr>
          <w:sz w:val="20"/>
          <w:szCs w:val="20"/>
        </w:rPr>
        <w:t>5.</w:t>
      </w:r>
      <w:r>
        <w:rPr>
          <w:sz w:val="20"/>
          <w:szCs w:val="20"/>
        </w:rPr>
        <w:t>0</w:t>
      </w:r>
      <w:r>
        <w:rPr>
          <w:sz w:val="20"/>
          <w:szCs w:val="20"/>
        </w:rPr>
        <w:t xml:space="preserve"> million and issued shares of the Company's comm</w:t>
      </w:r>
      <w:r>
        <w:rPr>
          <w:sz w:val="20"/>
          <w:szCs w:val="20"/>
        </w:rPr>
        <w:t xml:space="preserve">on stock in an amount that equaled </w:t>
      </w:r>
      <w:r>
        <w:rPr>
          <w:sz w:val="20"/>
          <w:szCs w:val="20"/>
        </w:rPr>
        <w:t>$</w:t>
      </w:r>
      <w:r>
        <w:rPr>
          <w:sz w:val="20"/>
          <w:szCs w:val="20"/>
        </w:rPr>
        <w:t>7.</w:t>
      </w:r>
      <w:r>
        <w:rPr>
          <w:sz w:val="20"/>
          <w:szCs w:val="20"/>
        </w:rPr>
        <w:t>3</w:t>
      </w:r>
      <w:r>
        <w:rPr>
          <w:sz w:val="20"/>
          <w:szCs w:val="20"/>
        </w:rPr>
        <w:t xml:space="preserve"> million based on the volume-weighted average price of shares of the Company's common stock for the 30 business days immediately preceding the execution date of the transaction. Since the intangibles acquired in the A</w:t>
      </w:r>
      <w:r>
        <w:rPr>
          <w:sz w:val="20"/>
          <w:szCs w:val="20"/>
        </w:rPr>
        <w:t xml:space="preserve">straZeneca license agreement do not have alternative future use, all costs incurred were treated as research and development expense. The Company recorded a total of </w:t>
      </w:r>
      <w:r>
        <w:rPr>
          <w:sz w:val="20"/>
          <w:szCs w:val="20"/>
        </w:rPr>
        <w:t>$</w:t>
      </w:r>
      <w:r>
        <w:rPr>
          <w:sz w:val="20"/>
          <w:szCs w:val="20"/>
        </w:rPr>
        <w:t>12.</w:t>
      </w:r>
      <w:r>
        <w:rPr>
          <w:sz w:val="20"/>
          <w:szCs w:val="20"/>
        </w:rPr>
        <w:t>3</w:t>
      </w:r>
      <w:r>
        <w:rPr>
          <w:sz w:val="20"/>
          <w:szCs w:val="20"/>
        </w:rPr>
        <w:t xml:space="preserve"> million as research and development expense related to this agreement in 2021</w:t>
      </w:r>
      <w:r>
        <w:rPr>
          <w:sz w:val="20"/>
          <w:szCs w:val="20"/>
        </w:rPr>
        <w:t>.</w:t>
      </w:r>
    </w:p>
    <w:p w:rsidR="00000000" w:rsidRDefault="00F83A7A">
      <w:pPr>
        <w:pStyle w:val="a3"/>
        <w:spacing w:before="200" w:beforeAutospacing="0" w:after="0" w:afterAutospacing="0"/>
        <w:jc w:val="both"/>
        <w:divId w:val="2028479188"/>
        <w:rPr>
          <w:sz w:val="20"/>
          <w:szCs w:val="20"/>
        </w:rPr>
      </w:pPr>
      <w:r>
        <w:rPr>
          <w:sz w:val="20"/>
          <w:szCs w:val="20"/>
        </w:rPr>
        <w:t>Pursu</w:t>
      </w:r>
      <w:r>
        <w:rPr>
          <w:sz w:val="20"/>
          <w:szCs w:val="20"/>
        </w:rPr>
        <w:t xml:space="preserve">ant to the AstraZeneca license agreement, the Company agreed to potential milestone payments of up to </w:t>
      </w:r>
      <w:r>
        <w:rPr>
          <w:sz w:val="20"/>
          <w:szCs w:val="20"/>
        </w:rPr>
        <w:t>$</w:t>
      </w:r>
      <w:r>
        <w:rPr>
          <w:sz w:val="20"/>
          <w:szCs w:val="20"/>
        </w:rPr>
        <w:t>203.</w:t>
      </w:r>
      <w:r>
        <w:rPr>
          <w:sz w:val="20"/>
          <w:szCs w:val="20"/>
        </w:rPr>
        <w:t>0</w:t>
      </w:r>
      <w:r>
        <w:rPr>
          <w:sz w:val="20"/>
          <w:szCs w:val="20"/>
        </w:rPr>
        <w:t xml:space="preserve"> million upon the achievement of certain developmental, regulatory and sales milestones. The first payment of </w:t>
      </w:r>
      <w:r>
        <w:rPr>
          <w:sz w:val="20"/>
          <w:szCs w:val="20"/>
        </w:rPr>
        <w:t>$</w:t>
      </w:r>
      <w:r>
        <w:rPr>
          <w:sz w:val="20"/>
          <w:szCs w:val="20"/>
        </w:rPr>
        <w:t>3.</w:t>
      </w:r>
      <w:r>
        <w:rPr>
          <w:sz w:val="20"/>
          <w:szCs w:val="20"/>
        </w:rPr>
        <w:t>0</w:t>
      </w:r>
      <w:r>
        <w:rPr>
          <w:sz w:val="20"/>
          <w:szCs w:val="20"/>
        </w:rPr>
        <w:t xml:space="preserve"> million is due upon the successfu</w:t>
      </w:r>
      <w:r>
        <w:rPr>
          <w:sz w:val="20"/>
          <w:szCs w:val="20"/>
        </w:rPr>
        <w:t>l completion of the first Phase 2 clinical study of a licensed product following a positive biomarker readout in a Phase 1 clinical study</w:t>
      </w:r>
      <w:r>
        <w:rPr>
          <w:sz w:val="20"/>
          <w:szCs w:val="20"/>
        </w:rPr>
        <w:t>.</w:t>
      </w:r>
      <w:r>
        <w:rPr>
          <w:sz w:val="20"/>
          <w:szCs w:val="20"/>
        </w:rPr>
        <w:t xml:space="preserve"> </w:t>
      </w:r>
    </w:p>
    <w:p w:rsidR="00000000" w:rsidRDefault="00F83A7A">
      <w:pPr>
        <w:pStyle w:val="a3"/>
        <w:spacing w:before="200" w:beforeAutospacing="0" w:after="0" w:afterAutospacing="0"/>
        <w:jc w:val="both"/>
        <w:divId w:val="2028479188"/>
        <w:rPr>
          <w:sz w:val="20"/>
          <w:szCs w:val="20"/>
        </w:rPr>
      </w:pPr>
      <w:r>
        <w:rPr>
          <w:sz w:val="20"/>
          <w:szCs w:val="20"/>
        </w:rPr>
        <w:t>As of December 31, 2021, none of the contingent payments related to these licensing agreements were considered proba</w:t>
      </w:r>
      <w:r>
        <w:rPr>
          <w:sz w:val="20"/>
          <w:szCs w:val="20"/>
        </w:rPr>
        <w:t>ble</w:t>
      </w:r>
      <w:r>
        <w:rPr>
          <w:sz w:val="20"/>
          <w:szCs w:val="20"/>
        </w:rPr>
        <w:t>.</w:t>
      </w:r>
    </w:p>
    <w:p w:rsidR="00000000" w:rsidRDefault="00F83A7A">
      <w:pPr>
        <w:pStyle w:val="a3"/>
        <w:spacing w:before="0" w:beforeAutospacing="0" w:after="0" w:afterAutospacing="0"/>
        <w:jc w:val="both"/>
        <w:divId w:val="2028479188"/>
        <w:rPr>
          <w:sz w:val="20"/>
          <w:szCs w:val="20"/>
        </w:rPr>
      </w:pPr>
      <w:r>
        <w:rPr>
          <w:sz w:val="20"/>
          <w:szCs w:val="20"/>
        </w:rPr>
        <w:t> </w:t>
      </w:r>
    </w:p>
    <w:p w:rsidR="00000000" w:rsidRDefault="00F83A7A">
      <w:pPr>
        <w:pStyle w:val="a3"/>
        <w:spacing w:before="0" w:beforeAutospacing="0" w:after="0" w:afterAutospacing="0"/>
        <w:jc w:val="both"/>
        <w:divId w:val="2028479188"/>
        <w:rPr>
          <w:sz w:val="20"/>
          <w:szCs w:val="20"/>
        </w:rPr>
      </w:pPr>
      <w:r>
        <w:rPr>
          <w:b/>
          <w:bCs/>
          <w:sz w:val="20"/>
          <w:szCs w:val="20"/>
        </w:rPr>
        <w:t>Contingencie</w:t>
      </w:r>
      <w:r>
        <w:rPr>
          <w:b/>
          <w:bCs/>
          <w:sz w:val="20"/>
          <w:szCs w:val="20"/>
        </w:rPr>
        <w:t>s</w:t>
      </w:r>
    </w:p>
    <w:p w:rsidR="00000000" w:rsidRDefault="00F83A7A">
      <w:pPr>
        <w:pStyle w:val="a3"/>
        <w:spacing w:before="200" w:beforeAutospacing="0" w:after="0" w:afterAutospacing="0"/>
        <w:jc w:val="both"/>
        <w:divId w:val="2028479188"/>
        <w:rPr>
          <w:sz w:val="20"/>
          <w:szCs w:val="20"/>
        </w:rPr>
      </w:pPr>
      <w:r>
        <w:rPr>
          <w:sz w:val="20"/>
          <w:szCs w:val="20"/>
        </w:rPr>
        <w:t>Liabilities for loss contingencies arising from claims, assessments, litigation, fines, and penalties and other sources are recorded when it is probable that a liability has been incurred and the amount can be reasonably estimated. Leg</w:t>
      </w:r>
      <w:r>
        <w:rPr>
          <w:sz w:val="20"/>
          <w:szCs w:val="20"/>
        </w:rPr>
        <w:t>al costs incurred in connection with los</w:t>
      </w:r>
      <w:r>
        <w:rPr>
          <w:sz w:val="20"/>
          <w:szCs w:val="20"/>
        </w:rPr>
        <w:t>s</w:t>
      </w:r>
      <w:r>
        <w:rPr>
          <w:sz w:val="20"/>
          <w:szCs w:val="20"/>
        </w:rPr>
        <w:t xml:space="preserve"> </w:t>
      </w:r>
    </w:p>
    <w:p w:rsidR="00000000" w:rsidRDefault="00F83A7A">
      <w:pPr>
        <w:pStyle w:val="a3"/>
        <w:spacing w:before="240" w:beforeAutospacing="0" w:after="0" w:afterAutospacing="0"/>
        <w:jc w:val="center"/>
        <w:divId w:val="2028479188"/>
        <w:rPr>
          <w:sz w:val="20"/>
          <w:szCs w:val="20"/>
        </w:rPr>
      </w:pPr>
      <w:r>
        <w:rPr>
          <w:sz w:val="20"/>
          <w:szCs w:val="20"/>
        </w:rPr>
        <w:t>F</w:t>
      </w:r>
      <w:r>
        <w:rPr>
          <w:sz w:val="20"/>
          <w:szCs w:val="20"/>
        </w:rPr>
        <w:t>-</w:t>
      </w:r>
      <w:r>
        <w:rPr>
          <w:sz w:val="20"/>
          <w:szCs w:val="20"/>
        </w:rPr>
        <w:t>1</w:t>
      </w:r>
      <w:r>
        <w:rPr>
          <w:sz w:val="20"/>
          <w:szCs w:val="20"/>
        </w:rPr>
        <w:t>9</w:t>
      </w:r>
    </w:p>
    <w:p w:rsidR="00000000" w:rsidRDefault="00F83A7A">
      <w:pPr>
        <w:divId w:val="2028479188"/>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F83A7A">
      <w:pPr>
        <w:pStyle w:val="a3"/>
        <w:spacing w:before="0" w:beforeAutospacing="0" w:after="0" w:afterAutospacing="0"/>
        <w:ind w:left="1547"/>
        <w:divId w:val="2028479188"/>
        <w:rPr>
          <w:sz w:val="20"/>
          <w:szCs w:val="20"/>
        </w:rPr>
      </w:pPr>
      <w:r>
        <w:rPr>
          <w:sz w:val="20"/>
          <w:szCs w:val="20"/>
        </w:rPr>
        <w:t> </w:t>
      </w:r>
    </w:p>
    <w:p w:rsidR="00000000" w:rsidRDefault="00F83A7A">
      <w:pPr>
        <w:pStyle w:val="a3"/>
        <w:spacing w:before="200" w:beforeAutospacing="0" w:after="0" w:afterAutospacing="0"/>
        <w:jc w:val="both"/>
        <w:divId w:val="2028479188"/>
        <w:rPr>
          <w:sz w:val="20"/>
          <w:szCs w:val="20"/>
        </w:rPr>
      </w:pPr>
      <w:r>
        <w:rPr>
          <w:sz w:val="20"/>
          <w:szCs w:val="20"/>
        </w:rPr>
        <w:t>contingencies are expensed as incurred. The Company is not currently involved in any legal matters arising in the normal course of business</w:t>
      </w:r>
      <w:r>
        <w:rPr>
          <w:sz w:val="20"/>
          <w:szCs w:val="20"/>
        </w:rPr>
        <w:t>.</w:t>
      </w:r>
    </w:p>
    <w:p w:rsidR="00000000" w:rsidRDefault="00F83A7A">
      <w:pPr>
        <w:pStyle w:val="a3"/>
        <w:spacing w:before="200" w:beforeAutospacing="0" w:after="0" w:afterAutospacing="0"/>
        <w:jc w:val="both"/>
        <w:divId w:val="2028479188"/>
        <w:rPr>
          <w:sz w:val="20"/>
          <w:szCs w:val="20"/>
        </w:rPr>
      </w:pPr>
      <w:r>
        <w:rPr>
          <w:sz w:val="20"/>
          <w:szCs w:val="20"/>
        </w:rPr>
        <w:t xml:space="preserve">Under the terms of their respective employment agreements, each of our named </w:t>
      </w:r>
      <w:r>
        <w:rPr>
          <w:sz w:val="20"/>
          <w:szCs w:val="20"/>
        </w:rPr>
        <w:t>executive officers is eligible to receive severance payments and benefits upon a termination without “cause” or due to “permanent disability,” or upon “resignation for good reason,” contingent upon the named executive officer’s delivery to the Company of a</w:t>
      </w:r>
      <w:r>
        <w:rPr>
          <w:sz w:val="20"/>
          <w:szCs w:val="20"/>
        </w:rPr>
        <w:t xml:space="preserve"> satisfactory release of claims, and subject to the named executive officer’s compliance with non-competition and non-solicitation restrictive covenants for two years following the termination date</w:t>
      </w:r>
      <w:r>
        <w:rPr>
          <w:sz w:val="20"/>
          <w:szCs w:val="20"/>
        </w:rPr>
        <w:t>.</w:t>
      </w:r>
    </w:p>
    <w:p w:rsidR="00000000" w:rsidRDefault="00F83A7A">
      <w:pPr>
        <w:pStyle w:val="a3"/>
        <w:spacing w:before="200" w:beforeAutospacing="0" w:after="0" w:afterAutospacing="0"/>
        <w:jc w:val="both"/>
        <w:divId w:val="992565599"/>
        <w:rPr>
          <w:sz w:val="20"/>
          <w:szCs w:val="20"/>
        </w:rPr>
      </w:pPr>
      <w:r>
        <w:rPr>
          <w:b/>
          <w:bCs/>
          <w:sz w:val="20"/>
          <w:szCs w:val="20"/>
        </w:rPr>
        <w:t>NOTE 10 – COLLABORATION AGREEMEN</w:t>
      </w:r>
      <w:r>
        <w:rPr>
          <w:b/>
          <w:bCs/>
          <w:sz w:val="20"/>
          <w:szCs w:val="20"/>
        </w:rPr>
        <w:t>T</w:t>
      </w:r>
    </w:p>
    <w:p w:rsidR="00000000" w:rsidRDefault="00F83A7A">
      <w:pPr>
        <w:pStyle w:val="a3"/>
        <w:spacing w:before="120" w:beforeAutospacing="0" w:after="0" w:afterAutospacing="0"/>
        <w:jc w:val="both"/>
        <w:divId w:val="992565599"/>
        <w:rPr>
          <w:sz w:val="20"/>
          <w:szCs w:val="20"/>
        </w:rPr>
      </w:pPr>
      <w:r>
        <w:rPr>
          <w:b/>
          <w:bCs/>
          <w:sz w:val="18"/>
          <w:szCs w:val="18"/>
        </w:rPr>
        <w:t>Angelini Collaboratio</w:t>
      </w:r>
      <w:r>
        <w:rPr>
          <w:b/>
          <w:bCs/>
          <w:sz w:val="18"/>
          <w:szCs w:val="18"/>
        </w:rPr>
        <w:t>n</w:t>
      </w:r>
    </w:p>
    <w:p w:rsidR="00000000" w:rsidRDefault="00F83A7A">
      <w:pPr>
        <w:pStyle w:val="a3"/>
        <w:spacing w:before="0" w:beforeAutospacing="0" w:after="0" w:afterAutospacing="0"/>
        <w:jc w:val="both"/>
        <w:divId w:val="992565599"/>
        <w:rPr>
          <w:sz w:val="20"/>
          <w:szCs w:val="20"/>
        </w:rPr>
      </w:pPr>
      <w:r>
        <w:rPr>
          <w:sz w:val="18"/>
          <w:szCs w:val="18"/>
        </w:rPr>
        <w:t> </w:t>
      </w:r>
    </w:p>
    <w:p w:rsidR="00000000" w:rsidRDefault="00F83A7A">
      <w:pPr>
        <w:pStyle w:val="a3"/>
        <w:spacing w:before="0" w:beforeAutospacing="0" w:after="0" w:afterAutospacing="0"/>
        <w:jc w:val="both"/>
        <w:divId w:val="992565599"/>
        <w:rPr>
          <w:sz w:val="20"/>
          <w:szCs w:val="20"/>
        </w:rPr>
      </w:pPr>
      <w:r>
        <w:rPr>
          <w:sz w:val="20"/>
          <w:szCs w:val="20"/>
        </w:rPr>
        <w:t>On</w:t>
      </w:r>
      <w:r>
        <w:rPr>
          <w:sz w:val="20"/>
          <w:szCs w:val="20"/>
        </w:rPr>
        <w:t xml:space="preserve"> </w:t>
      </w:r>
      <w:r>
        <w:rPr>
          <w:sz w:val="20"/>
          <w:szCs w:val="20"/>
        </w:rPr>
        <w:t>July 9, 202</w:t>
      </w:r>
      <w:r>
        <w:rPr>
          <w:sz w:val="20"/>
          <w:szCs w:val="20"/>
        </w:rPr>
        <w:t>0</w:t>
      </w:r>
      <w:r>
        <w:rPr>
          <w:sz w:val="20"/>
          <w:szCs w:val="20"/>
        </w:rPr>
        <w:t>, the Company entered into the Angelini License Agreement, pursuant to which the Company granted to Angelini exclusive rights to develop and commercialize OV101, a selective agonist of the GAB</w:t>
      </w:r>
      <w:r>
        <w:rPr>
          <w:sz w:val="20"/>
          <w:szCs w:val="20"/>
        </w:rPr>
        <w:t>A</w:t>
      </w:r>
      <w:r>
        <w:rPr>
          <w:sz w:val="13"/>
          <w:szCs w:val="13"/>
        </w:rPr>
        <w:t>A</w:t>
      </w:r>
      <w:r>
        <w:rPr>
          <w:sz w:val="20"/>
          <w:szCs w:val="20"/>
        </w:rPr>
        <w:t xml:space="preserve"> receptor, for the treatment of Angelman synd</w:t>
      </w:r>
      <w:r>
        <w:rPr>
          <w:sz w:val="20"/>
          <w:szCs w:val="20"/>
        </w:rPr>
        <w:t>rome in the European Economic Area as well as Switzerland, the United Kingdom, Russia and Turkey (the “European Territory”)</w:t>
      </w:r>
      <w:r>
        <w:rPr>
          <w:sz w:val="20"/>
          <w:szCs w:val="20"/>
        </w:rPr>
        <w:t>.</w:t>
      </w:r>
      <w:r>
        <w:rPr>
          <w:sz w:val="20"/>
          <w:szCs w:val="20"/>
        </w:rPr>
        <w:t xml:space="preserve"> </w:t>
      </w:r>
    </w:p>
    <w:p w:rsidR="00000000" w:rsidRDefault="00F83A7A">
      <w:pPr>
        <w:pStyle w:val="a3"/>
        <w:spacing w:before="200" w:beforeAutospacing="0" w:after="0" w:afterAutospacing="0"/>
        <w:jc w:val="both"/>
        <w:divId w:val="992565599"/>
        <w:rPr>
          <w:sz w:val="20"/>
          <w:szCs w:val="20"/>
        </w:rPr>
      </w:pPr>
      <w:r>
        <w:rPr>
          <w:sz w:val="20"/>
          <w:szCs w:val="20"/>
        </w:rPr>
        <w:t xml:space="preserve">On March 29, 2021, the Company received a notice of termination of the Angelini License Agreement. Subsequently, Angelini and the </w:t>
      </w:r>
      <w:r>
        <w:rPr>
          <w:sz w:val="20"/>
          <w:szCs w:val="20"/>
        </w:rPr>
        <w:t>Company mutually agreed to waive the six month termination notice provisions and the Angelini License Agreement terminated effective March 31, 2021. The Company has been released from its performance obligations and will not be entitled to any future miles</w:t>
      </w:r>
      <w:r>
        <w:rPr>
          <w:sz w:val="20"/>
          <w:szCs w:val="20"/>
        </w:rPr>
        <w:t>tone payments under the Angelini License Agreement</w:t>
      </w:r>
      <w:r>
        <w:rPr>
          <w:sz w:val="20"/>
          <w:szCs w:val="20"/>
        </w:rPr>
        <w:t>.</w:t>
      </w:r>
    </w:p>
    <w:p w:rsidR="00000000" w:rsidRDefault="00F83A7A">
      <w:pPr>
        <w:pStyle w:val="a3"/>
        <w:spacing w:before="200" w:beforeAutospacing="0" w:after="0" w:afterAutospacing="0"/>
        <w:jc w:val="both"/>
        <w:divId w:val="992565599"/>
        <w:rPr>
          <w:sz w:val="20"/>
          <w:szCs w:val="20"/>
        </w:rPr>
      </w:pPr>
      <w:r>
        <w:rPr>
          <w:sz w:val="20"/>
          <w:szCs w:val="20"/>
        </w:rPr>
        <w:t>The Company evaluated the Angelini License Agreement to determine whether it was a collaborative arrangement for purposes of ASC 808. The Company concluded that because Angelini was not the ultimate decis</w:t>
      </w:r>
      <w:r>
        <w:rPr>
          <w:sz w:val="20"/>
          <w:szCs w:val="20"/>
        </w:rPr>
        <w:t xml:space="preserve">ion maker or the legal owner of the license, Angelini was not considered an active participant and therefore the Angelini License Agreement was outside of the scope of ASC 808. The Company concluded that Angelini was a customer with regard to the combined </w:t>
      </w:r>
      <w:r>
        <w:rPr>
          <w:sz w:val="20"/>
          <w:szCs w:val="20"/>
        </w:rPr>
        <w:t>license and research and development activities and as such the Angelini License Agreement should be evaluated under ASC 606</w:t>
      </w:r>
      <w:r>
        <w:rPr>
          <w:sz w:val="20"/>
          <w:szCs w:val="20"/>
        </w:rPr>
        <w:t>.</w:t>
      </w:r>
    </w:p>
    <w:p w:rsidR="00000000" w:rsidRDefault="00F83A7A">
      <w:pPr>
        <w:pStyle w:val="a3"/>
        <w:spacing w:before="200" w:beforeAutospacing="0" w:after="0" w:afterAutospacing="0"/>
        <w:jc w:val="both"/>
        <w:divId w:val="992565599"/>
        <w:rPr>
          <w:sz w:val="20"/>
          <w:szCs w:val="20"/>
        </w:rPr>
      </w:pPr>
      <w:r>
        <w:rPr>
          <w:sz w:val="20"/>
          <w:szCs w:val="20"/>
        </w:rPr>
        <w:t>The Company identified the following material promises under the Angelini License Agreement: (1) licensing of intellectual propert</w:t>
      </w:r>
      <w:r>
        <w:rPr>
          <w:sz w:val="20"/>
          <w:szCs w:val="20"/>
        </w:rPr>
        <w:t>y with respect to OV101; (2) completion of certain ongoing trials; (3) transfer of a specified amount of compound and related information; (4) potential for funding</w:t>
      </w:r>
      <w:r>
        <w:rPr>
          <w:sz w:val="20"/>
          <w:szCs w:val="20"/>
        </w:rPr>
        <w:t xml:space="preserve"> </w:t>
      </w:r>
      <w:r>
        <w:rPr>
          <w:sz w:val="20"/>
          <w:szCs w:val="20"/>
        </w:rPr>
        <w:t>3</w:t>
      </w:r>
      <w:r>
        <w:rPr>
          <w:sz w:val="20"/>
          <w:szCs w:val="20"/>
        </w:rPr>
        <w:t>5</w:t>
      </w:r>
      <w:r>
        <w:rPr>
          <w:sz w:val="20"/>
          <w:szCs w:val="20"/>
        </w:rPr>
        <w:t xml:space="preserve">% of the cost for Angelini future trials limited to </w:t>
      </w:r>
      <w:r>
        <w:rPr>
          <w:sz w:val="20"/>
          <w:szCs w:val="20"/>
        </w:rPr>
        <w:t>$</w:t>
      </w:r>
      <w:r>
        <w:rPr>
          <w:sz w:val="20"/>
          <w:szCs w:val="20"/>
        </w:rPr>
        <w:t>7.</w:t>
      </w:r>
      <w:r>
        <w:rPr>
          <w:sz w:val="20"/>
          <w:szCs w:val="20"/>
        </w:rPr>
        <w:t>0</w:t>
      </w:r>
      <w:r>
        <w:rPr>
          <w:sz w:val="20"/>
          <w:szCs w:val="20"/>
        </w:rPr>
        <w:t xml:space="preserve"> million; and (5) completion of t</w:t>
      </w:r>
      <w:r>
        <w:rPr>
          <w:sz w:val="20"/>
          <w:szCs w:val="20"/>
        </w:rPr>
        <w:t>he manufacturing process technology transfer</w:t>
      </w:r>
      <w:r>
        <w:rPr>
          <w:sz w:val="20"/>
          <w:szCs w:val="20"/>
        </w:rPr>
        <w:t>.</w:t>
      </w:r>
    </w:p>
    <w:p w:rsidR="00000000" w:rsidRDefault="00F83A7A">
      <w:pPr>
        <w:pStyle w:val="a3"/>
        <w:spacing w:before="200" w:beforeAutospacing="0" w:after="0" w:afterAutospacing="0"/>
        <w:jc w:val="both"/>
        <w:divId w:val="992565599"/>
        <w:rPr>
          <w:sz w:val="20"/>
          <w:szCs w:val="20"/>
        </w:rPr>
      </w:pPr>
      <w:r>
        <w:rPr>
          <w:sz w:val="20"/>
          <w:szCs w:val="20"/>
        </w:rPr>
        <w:t xml:space="preserve">The Company determined that the </w:t>
      </w:r>
      <w:r>
        <w:rPr>
          <w:sz w:val="20"/>
          <w:szCs w:val="20"/>
        </w:rPr>
        <w:t>$</w:t>
      </w:r>
      <w:r>
        <w:rPr>
          <w:sz w:val="20"/>
          <w:szCs w:val="20"/>
        </w:rPr>
        <w:t>7.</w:t>
      </w:r>
      <w:r>
        <w:rPr>
          <w:sz w:val="20"/>
          <w:szCs w:val="20"/>
        </w:rPr>
        <w:t>0</w:t>
      </w:r>
      <w:r>
        <w:rPr>
          <w:sz w:val="20"/>
          <w:szCs w:val="20"/>
        </w:rPr>
        <w:t xml:space="preserve"> million represented a potential payment to a customer and was deferred. The transfer of compound and related information was considered a contingent milestone payment that w</w:t>
      </w:r>
      <w:r>
        <w:rPr>
          <w:sz w:val="20"/>
          <w:szCs w:val="20"/>
        </w:rPr>
        <w:t>ill be recognized upon acceptance by Angelini of the milestone. The Company further determined that the license and the completion of ongoing trials were distinct from each other, as each had value without the other. As such, for the purposes of ASC 606, t</w:t>
      </w:r>
      <w:r>
        <w:rPr>
          <w:sz w:val="20"/>
          <w:szCs w:val="20"/>
        </w:rPr>
        <w:t>he Company determined that these two material promises, represented distinct performance obligations</w:t>
      </w:r>
      <w:r>
        <w:rPr>
          <w:sz w:val="20"/>
          <w:szCs w:val="20"/>
        </w:rPr>
        <w:t>.</w:t>
      </w:r>
    </w:p>
    <w:p w:rsidR="00000000" w:rsidRDefault="00F83A7A">
      <w:pPr>
        <w:pStyle w:val="a3"/>
        <w:spacing w:before="200" w:beforeAutospacing="0" w:after="0" w:afterAutospacing="0"/>
        <w:jc w:val="both"/>
        <w:divId w:val="992565599"/>
        <w:rPr>
          <w:sz w:val="20"/>
          <w:szCs w:val="20"/>
        </w:rPr>
      </w:pPr>
      <w:r>
        <w:rPr>
          <w:sz w:val="20"/>
          <w:szCs w:val="20"/>
        </w:rPr>
        <w:t xml:space="preserve">Pursuant to the Angelini License Agreement and during the year ended December 31, 2020, Angelini made an upfront payment to the Company of </w:t>
      </w:r>
      <w:r>
        <w:rPr>
          <w:sz w:val="20"/>
          <w:szCs w:val="20"/>
        </w:rPr>
        <w:t>$</w:t>
      </w:r>
      <w:r>
        <w:rPr>
          <w:sz w:val="20"/>
          <w:szCs w:val="20"/>
        </w:rPr>
        <w:t>20.</w:t>
      </w:r>
      <w:r>
        <w:rPr>
          <w:sz w:val="20"/>
          <w:szCs w:val="20"/>
        </w:rPr>
        <w:t>0</w:t>
      </w:r>
      <w:r>
        <w:rPr>
          <w:sz w:val="20"/>
          <w:szCs w:val="20"/>
        </w:rPr>
        <w:t xml:space="preserve"> million. </w:t>
      </w:r>
      <w:r>
        <w:rPr>
          <w:sz w:val="20"/>
          <w:szCs w:val="20"/>
        </w:rPr>
        <w:t xml:space="preserve">Upon the transfer of the specified amount of compound and related information and acceptance by Angelini, Angelini paid the Company an additional </w:t>
      </w:r>
      <w:r>
        <w:rPr>
          <w:sz w:val="20"/>
          <w:szCs w:val="20"/>
        </w:rPr>
        <w:t>$</w:t>
      </w:r>
      <w:r>
        <w:rPr>
          <w:sz w:val="20"/>
          <w:szCs w:val="20"/>
        </w:rPr>
        <w:t>5.</w:t>
      </w:r>
      <w:r>
        <w:rPr>
          <w:sz w:val="20"/>
          <w:szCs w:val="20"/>
        </w:rPr>
        <w:t>0</w:t>
      </w:r>
      <w:r>
        <w:rPr>
          <w:sz w:val="20"/>
          <w:szCs w:val="20"/>
        </w:rPr>
        <w:t xml:space="preserve"> million. This performance obligation was determined to be variable consideration which was constrained an</w:t>
      </w:r>
      <w:r>
        <w:rPr>
          <w:sz w:val="20"/>
          <w:szCs w:val="20"/>
        </w:rPr>
        <w:t xml:space="preserve">d not considered part of the upfront transaction price allocation. The Company determined the transaction price was equal to the upfront fee of </w:t>
      </w:r>
      <w:r>
        <w:rPr>
          <w:sz w:val="20"/>
          <w:szCs w:val="20"/>
        </w:rPr>
        <w:t>$</w:t>
      </w:r>
      <w:r>
        <w:rPr>
          <w:sz w:val="20"/>
          <w:szCs w:val="20"/>
        </w:rPr>
        <w:t>20.</w:t>
      </w:r>
      <w:r>
        <w:rPr>
          <w:sz w:val="20"/>
          <w:szCs w:val="20"/>
        </w:rPr>
        <w:t>0</w:t>
      </w:r>
      <w:r>
        <w:rPr>
          <w:sz w:val="20"/>
          <w:szCs w:val="20"/>
        </w:rPr>
        <w:t xml:space="preserve"> million. The transaction price was allocated based on the standalone selling price of the license and the </w:t>
      </w:r>
      <w:r>
        <w:rPr>
          <w:sz w:val="20"/>
          <w:szCs w:val="20"/>
        </w:rPr>
        <w:t>ongoing trials</w:t>
      </w:r>
      <w:r>
        <w:rPr>
          <w:sz w:val="20"/>
          <w:szCs w:val="20"/>
        </w:rPr>
        <w:t>.</w:t>
      </w:r>
    </w:p>
    <w:p w:rsidR="00000000" w:rsidRDefault="00F83A7A">
      <w:pPr>
        <w:pStyle w:val="a3"/>
        <w:spacing w:before="200" w:beforeAutospacing="0" w:after="0" w:afterAutospacing="0"/>
        <w:jc w:val="both"/>
        <w:divId w:val="992565599"/>
        <w:rPr>
          <w:sz w:val="20"/>
          <w:szCs w:val="20"/>
        </w:rPr>
      </w:pPr>
      <w:r>
        <w:rPr>
          <w:sz w:val="20"/>
          <w:szCs w:val="20"/>
        </w:rPr>
        <w:t xml:space="preserve">During the year ended December 31, 2021 and effective upon the termination of the Angelini License Agreement, the Company recognized </w:t>
      </w:r>
      <w:r>
        <w:rPr>
          <w:sz w:val="20"/>
          <w:szCs w:val="20"/>
        </w:rPr>
        <w:t>$</w:t>
      </w:r>
      <w:r>
        <w:rPr>
          <w:sz w:val="20"/>
          <w:szCs w:val="20"/>
        </w:rPr>
        <w:t>12.</w:t>
      </w:r>
      <w:r>
        <w:rPr>
          <w:sz w:val="20"/>
          <w:szCs w:val="20"/>
        </w:rPr>
        <w:t>4</w:t>
      </w:r>
      <w:r>
        <w:rPr>
          <w:sz w:val="20"/>
          <w:szCs w:val="20"/>
        </w:rPr>
        <w:t xml:space="preserve"> million of revenue consisting of </w:t>
      </w:r>
      <w:r>
        <w:rPr>
          <w:sz w:val="20"/>
          <w:szCs w:val="20"/>
        </w:rPr>
        <w:t>$</w:t>
      </w:r>
      <w:r>
        <w:rPr>
          <w:sz w:val="20"/>
          <w:szCs w:val="20"/>
        </w:rPr>
        <w:t>5.</w:t>
      </w:r>
      <w:r>
        <w:rPr>
          <w:sz w:val="20"/>
          <w:szCs w:val="20"/>
        </w:rPr>
        <w:t>4</w:t>
      </w:r>
      <w:r>
        <w:rPr>
          <w:sz w:val="20"/>
          <w:szCs w:val="20"/>
        </w:rPr>
        <w:t xml:space="preserve"> million of license revenue related to ongoing trials and the </w:t>
      </w:r>
      <w:r>
        <w:rPr>
          <w:sz w:val="20"/>
          <w:szCs w:val="20"/>
        </w:rPr>
        <w:t>$</w:t>
      </w:r>
      <w:r>
        <w:rPr>
          <w:sz w:val="20"/>
          <w:szCs w:val="20"/>
        </w:rPr>
        <w:t>7</w:t>
      </w:r>
      <w:r>
        <w:rPr>
          <w:sz w:val="20"/>
          <w:szCs w:val="20"/>
        </w:rPr>
        <w:t>.</w:t>
      </w:r>
      <w:r>
        <w:rPr>
          <w:sz w:val="20"/>
          <w:szCs w:val="20"/>
        </w:rPr>
        <w:t>0</w:t>
      </w:r>
      <w:r>
        <w:rPr>
          <w:sz w:val="20"/>
          <w:szCs w:val="20"/>
        </w:rPr>
        <w:t xml:space="preserve"> million related to the potential</w:t>
      </w:r>
      <w:r>
        <w:rPr>
          <w:sz w:val="20"/>
          <w:szCs w:val="20"/>
        </w:rPr>
        <w:t xml:space="preserve"> </w:t>
      </w:r>
      <w:r>
        <w:rPr>
          <w:sz w:val="20"/>
          <w:szCs w:val="20"/>
        </w:rPr>
        <w:t>3</w:t>
      </w:r>
      <w:r>
        <w:rPr>
          <w:sz w:val="20"/>
          <w:szCs w:val="20"/>
        </w:rPr>
        <w:t>5</w:t>
      </w:r>
      <w:r>
        <w:rPr>
          <w:sz w:val="20"/>
          <w:szCs w:val="20"/>
        </w:rPr>
        <w:t xml:space="preserve">% funding of the cost for Angelini future trials. During the year ended December 31, 2020, the Company recognized </w:t>
      </w:r>
      <w:r>
        <w:rPr>
          <w:sz w:val="20"/>
          <w:szCs w:val="20"/>
        </w:rPr>
        <w:t>$</w:t>
      </w:r>
      <w:r>
        <w:rPr>
          <w:sz w:val="20"/>
          <w:szCs w:val="20"/>
        </w:rPr>
        <w:t>12.</w:t>
      </w:r>
      <w:r>
        <w:rPr>
          <w:sz w:val="20"/>
          <w:szCs w:val="20"/>
        </w:rPr>
        <w:t>6</w:t>
      </w:r>
      <w:r>
        <w:rPr>
          <w:sz w:val="20"/>
          <w:szCs w:val="20"/>
        </w:rPr>
        <w:t xml:space="preserve"> million of revenue consisting of </w:t>
      </w:r>
      <w:r>
        <w:rPr>
          <w:sz w:val="20"/>
          <w:szCs w:val="20"/>
        </w:rPr>
        <w:t>$</w:t>
      </w:r>
      <w:r>
        <w:rPr>
          <w:sz w:val="20"/>
          <w:szCs w:val="20"/>
        </w:rPr>
        <w:t>6.</w:t>
      </w:r>
      <w:r>
        <w:rPr>
          <w:sz w:val="20"/>
          <w:szCs w:val="20"/>
        </w:rPr>
        <w:t>1</w:t>
      </w:r>
      <w:r>
        <w:rPr>
          <w:sz w:val="20"/>
          <w:szCs w:val="20"/>
        </w:rPr>
        <w:t xml:space="preserve"> million of license revenue and </w:t>
      </w:r>
      <w:r>
        <w:rPr>
          <w:sz w:val="20"/>
          <w:szCs w:val="20"/>
        </w:rPr>
        <w:t>$</w:t>
      </w:r>
      <w:r>
        <w:rPr>
          <w:sz w:val="20"/>
          <w:szCs w:val="20"/>
        </w:rPr>
        <w:t>1.</w:t>
      </w:r>
      <w:r>
        <w:rPr>
          <w:sz w:val="20"/>
          <w:szCs w:val="20"/>
        </w:rPr>
        <w:t>5</w:t>
      </w:r>
      <w:r>
        <w:rPr>
          <w:sz w:val="20"/>
          <w:szCs w:val="20"/>
        </w:rPr>
        <w:t xml:space="preserve"> million relating to the </w:t>
      </w:r>
      <w:r>
        <w:rPr>
          <w:sz w:val="20"/>
          <w:szCs w:val="20"/>
        </w:rPr>
        <w:t xml:space="preserve">progress of the ongoing trials as well as </w:t>
      </w:r>
      <w:r>
        <w:rPr>
          <w:sz w:val="20"/>
          <w:szCs w:val="20"/>
        </w:rPr>
        <w:t>$</w:t>
      </w:r>
      <w:r>
        <w:rPr>
          <w:sz w:val="20"/>
          <w:szCs w:val="20"/>
        </w:rPr>
        <w:t>5.</w:t>
      </w:r>
      <w:r>
        <w:rPr>
          <w:sz w:val="20"/>
          <w:szCs w:val="20"/>
        </w:rPr>
        <w:t>0</w:t>
      </w:r>
      <w:r>
        <w:rPr>
          <w:sz w:val="20"/>
          <w:szCs w:val="20"/>
        </w:rPr>
        <w:t xml:space="preserve"> million for the transfer of the specified amount of compound and related information</w:t>
      </w:r>
      <w:r>
        <w:rPr>
          <w:sz w:val="20"/>
          <w:szCs w:val="20"/>
        </w:rPr>
        <w:t>.</w:t>
      </w:r>
    </w:p>
    <w:p w:rsidR="00000000" w:rsidRDefault="00F83A7A">
      <w:pPr>
        <w:pStyle w:val="a3"/>
        <w:spacing w:before="200" w:beforeAutospacing="0" w:after="0" w:afterAutospacing="0"/>
        <w:jc w:val="both"/>
        <w:divId w:val="992565599"/>
        <w:rPr>
          <w:sz w:val="20"/>
          <w:szCs w:val="20"/>
        </w:rPr>
      </w:pPr>
      <w:r>
        <w:rPr>
          <w:b/>
          <w:bCs/>
          <w:sz w:val="20"/>
          <w:szCs w:val="20"/>
        </w:rPr>
        <w:t>Takeda Collaboratio</w:t>
      </w:r>
      <w:r>
        <w:rPr>
          <w:b/>
          <w:bCs/>
          <w:sz w:val="20"/>
          <w:szCs w:val="20"/>
        </w:rPr>
        <w:t>n</w:t>
      </w:r>
    </w:p>
    <w:p w:rsidR="00000000" w:rsidRDefault="00F83A7A">
      <w:pPr>
        <w:pStyle w:val="a3"/>
        <w:spacing w:before="200" w:beforeAutospacing="0" w:after="0" w:afterAutospacing="0"/>
        <w:jc w:val="both"/>
        <w:divId w:val="992565599"/>
        <w:rPr>
          <w:sz w:val="20"/>
          <w:szCs w:val="20"/>
        </w:rPr>
      </w:pPr>
      <w:r>
        <w:rPr>
          <w:sz w:val="20"/>
          <w:szCs w:val="20"/>
        </w:rPr>
        <w:t>On January 6, 2017, the Company entered into a license and collaboration agreement with Takeda under w</w:t>
      </w:r>
      <w:r>
        <w:rPr>
          <w:sz w:val="20"/>
          <w:szCs w:val="20"/>
        </w:rPr>
        <w:t>hich the Company licensed from Takeda certain exclusive rights to develop and commercialize soticlestat in certain territories</w:t>
      </w:r>
      <w:r>
        <w:rPr>
          <w:sz w:val="20"/>
          <w:szCs w:val="20"/>
        </w:rPr>
        <w:t>.</w:t>
      </w:r>
    </w:p>
    <w:p w:rsidR="00000000" w:rsidRDefault="00F83A7A">
      <w:pPr>
        <w:pStyle w:val="a3"/>
        <w:spacing w:before="200" w:beforeAutospacing="0" w:after="0" w:afterAutospacing="0"/>
        <w:jc w:val="both"/>
        <w:divId w:val="992565599"/>
        <w:rPr>
          <w:sz w:val="20"/>
          <w:szCs w:val="20"/>
        </w:rPr>
      </w:pPr>
      <w:r>
        <w:rPr>
          <w:sz w:val="20"/>
          <w:szCs w:val="20"/>
        </w:rPr>
        <w:t>In</w:t>
      </w:r>
      <w:r>
        <w:rPr>
          <w:sz w:val="20"/>
          <w:szCs w:val="20"/>
        </w:rPr>
        <w:t xml:space="preserve"> </w:t>
      </w:r>
      <w:r>
        <w:rPr>
          <w:sz w:val="20"/>
          <w:szCs w:val="20"/>
        </w:rPr>
        <w:t>March 202</w:t>
      </w:r>
      <w:r>
        <w:rPr>
          <w:sz w:val="20"/>
          <w:szCs w:val="20"/>
        </w:rPr>
        <w:t>1</w:t>
      </w:r>
      <w:r>
        <w:rPr>
          <w:sz w:val="20"/>
          <w:szCs w:val="20"/>
        </w:rPr>
        <w:t>, the Company entered into the Takeda License and Termination Agreement, pursuant to which Takeda secured rights to</w:t>
      </w:r>
      <w:r>
        <w:rPr>
          <w:sz w:val="20"/>
          <w:szCs w:val="20"/>
        </w:rPr>
        <w:t xml:space="preserve"> the Company’s</w:t>
      </w:r>
      <w:r>
        <w:rPr>
          <w:sz w:val="20"/>
          <w:szCs w:val="20"/>
        </w:rPr>
        <w:t xml:space="preserve"> </w:t>
      </w:r>
      <w:r>
        <w:rPr>
          <w:sz w:val="20"/>
          <w:szCs w:val="20"/>
        </w:rPr>
        <w:t>5</w:t>
      </w:r>
      <w:r>
        <w:rPr>
          <w:sz w:val="20"/>
          <w:szCs w:val="20"/>
        </w:rPr>
        <w:t>0</w:t>
      </w:r>
      <w:r>
        <w:rPr>
          <w:sz w:val="20"/>
          <w:szCs w:val="20"/>
        </w:rPr>
        <w:t>% global share in soticlestat, and the Company granted to Takeda an exclusive worldwide license under the Company’s relevant intellectual property rights to develop and commercialize the investigational medicine soticlestat for the treatme</w:t>
      </w:r>
      <w:r>
        <w:rPr>
          <w:sz w:val="20"/>
          <w:szCs w:val="20"/>
        </w:rPr>
        <w:t>nt of developmental and epileptic encephalopathies, including Dravet syndrome and Lennox-Gastaut syndrome</w:t>
      </w:r>
      <w:r>
        <w:rPr>
          <w:sz w:val="20"/>
          <w:szCs w:val="20"/>
        </w:rPr>
        <w:t>.</w:t>
      </w:r>
      <w:r>
        <w:rPr>
          <w:sz w:val="20"/>
          <w:szCs w:val="20"/>
        </w:rPr>
        <w:t xml:space="preserve"> </w:t>
      </w:r>
    </w:p>
    <w:p w:rsidR="00000000" w:rsidRDefault="00F83A7A">
      <w:pPr>
        <w:pStyle w:val="a3"/>
        <w:spacing w:before="240" w:beforeAutospacing="0" w:after="0" w:afterAutospacing="0"/>
        <w:jc w:val="center"/>
        <w:divId w:val="992565599"/>
        <w:rPr>
          <w:sz w:val="20"/>
          <w:szCs w:val="20"/>
        </w:rPr>
      </w:pPr>
      <w:r>
        <w:rPr>
          <w:sz w:val="20"/>
          <w:szCs w:val="20"/>
        </w:rPr>
        <w:t>F</w:t>
      </w:r>
      <w:r>
        <w:rPr>
          <w:sz w:val="20"/>
          <w:szCs w:val="20"/>
        </w:rPr>
        <w:t>-</w:t>
      </w:r>
      <w:r>
        <w:rPr>
          <w:sz w:val="20"/>
          <w:szCs w:val="20"/>
        </w:rPr>
        <w:t>2</w:t>
      </w:r>
      <w:r>
        <w:rPr>
          <w:sz w:val="20"/>
          <w:szCs w:val="20"/>
        </w:rPr>
        <w:t>0</w:t>
      </w:r>
    </w:p>
    <w:p w:rsidR="00000000" w:rsidRDefault="00F83A7A">
      <w:pPr>
        <w:divId w:val="992565599"/>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F83A7A">
      <w:pPr>
        <w:pStyle w:val="a3"/>
        <w:spacing w:before="0" w:beforeAutospacing="0" w:after="0" w:afterAutospacing="0"/>
        <w:ind w:left="1547"/>
        <w:divId w:val="992565599"/>
        <w:rPr>
          <w:sz w:val="20"/>
          <w:szCs w:val="20"/>
        </w:rPr>
      </w:pPr>
      <w:r>
        <w:rPr>
          <w:sz w:val="20"/>
          <w:szCs w:val="20"/>
        </w:rPr>
        <w:t> </w:t>
      </w:r>
    </w:p>
    <w:p w:rsidR="00000000" w:rsidRDefault="00F83A7A">
      <w:pPr>
        <w:pStyle w:val="a3"/>
        <w:spacing w:before="200" w:beforeAutospacing="0" w:after="0" w:afterAutospacing="0"/>
        <w:jc w:val="both"/>
        <w:divId w:val="992565599"/>
        <w:rPr>
          <w:sz w:val="20"/>
          <w:szCs w:val="20"/>
        </w:rPr>
      </w:pPr>
      <w:r>
        <w:rPr>
          <w:sz w:val="20"/>
          <w:szCs w:val="20"/>
        </w:rPr>
        <w:t>Under the Takeda License and Termination Agreement, all rights in soticlestat were owned by Takeda or ex</w:t>
      </w:r>
      <w:r>
        <w:rPr>
          <w:sz w:val="20"/>
          <w:szCs w:val="20"/>
        </w:rPr>
        <w:t>clusively licensed to Takeda by the Company. Takeda assumed all responsibility for, and costs of, both development and commercialization of soticlestat, and the Company will no longer have any financial obligation to Takeda under the original collaboration</w:t>
      </w:r>
      <w:r>
        <w:rPr>
          <w:sz w:val="20"/>
          <w:szCs w:val="20"/>
        </w:rPr>
        <w:t xml:space="preserve"> agreement, including milestone payments or any future development and commercialization costs. On March 29, 2021 upon the closing of the Takeda License and Termination Agreement, the Company received an upfront payment of </w:t>
      </w:r>
      <w:r>
        <w:rPr>
          <w:sz w:val="20"/>
          <w:szCs w:val="20"/>
        </w:rPr>
        <w:t>$</w:t>
      </w:r>
      <w:r>
        <w:rPr>
          <w:sz w:val="20"/>
          <w:szCs w:val="20"/>
        </w:rPr>
        <w:t>196.</w:t>
      </w:r>
      <w:r>
        <w:rPr>
          <w:sz w:val="20"/>
          <w:szCs w:val="20"/>
        </w:rPr>
        <w:t>0</w:t>
      </w:r>
      <w:r>
        <w:rPr>
          <w:sz w:val="20"/>
          <w:szCs w:val="20"/>
        </w:rPr>
        <w:t xml:space="preserve"> million and, if soticlesta</w:t>
      </w:r>
      <w:r>
        <w:rPr>
          <w:sz w:val="20"/>
          <w:szCs w:val="20"/>
        </w:rPr>
        <w:t xml:space="preserve">t is successfully developed, will be eligible to receive up to an additional </w:t>
      </w:r>
      <w:r>
        <w:rPr>
          <w:sz w:val="20"/>
          <w:szCs w:val="20"/>
        </w:rPr>
        <w:t>$</w:t>
      </w:r>
      <w:r>
        <w:rPr>
          <w:sz w:val="20"/>
          <w:szCs w:val="20"/>
        </w:rPr>
        <w:t>660.</w:t>
      </w:r>
      <w:r>
        <w:rPr>
          <w:sz w:val="20"/>
          <w:szCs w:val="20"/>
        </w:rPr>
        <w:t>0</w:t>
      </w:r>
      <w:r>
        <w:rPr>
          <w:sz w:val="20"/>
          <w:szCs w:val="20"/>
        </w:rPr>
        <w:t xml:space="preserve"> million upon achieving developmental, regulatory and sales milestones. In addition, the Company will be entitled to receive tiered royalties beginning in the low double-dig</w:t>
      </w:r>
      <w:r>
        <w:rPr>
          <w:sz w:val="20"/>
          <w:szCs w:val="20"/>
        </w:rPr>
        <w:t>its, and up to</w:t>
      </w:r>
      <w:r>
        <w:rPr>
          <w:sz w:val="20"/>
          <w:szCs w:val="20"/>
        </w:rPr>
        <w:t xml:space="preserve"> </w:t>
      </w:r>
      <w:r>
        <w:rPr>
          <w:sz w:val="20"/>
          <w:szCs w:val="20"/>
        </w:rPr>
        <w:t>2</w:t>
      </w:r>
      <w:r>
        <w:rPr>
          <w:sz w:val="20"/>
          <w:szCs w:val="20"/>
        </w:rPr>
        <w:t>0</w:t>
      </w:r>
      <w:r>
        <w:rPr>
          <w:sz w:val="20"/>
          <w:szCs w:val="20"/>
        </w:rPr>
        <w:t>% on sales of soticlestat if regulatory approval is achieved. Royalties will be payable on a country-by-country and product-by-product basis for any indications that soticlestat is approved for and sold during the period beginning on the d</w:t>
      </w:r>
      <w:r>
        <w:rPr>
          <w:sz w:val="20"/>
          <w:szCs w:val="20"/>
        </w:rPr>
        <w:t>ate of the first commercial sale of such product in such country and ending on the later to occur of the expiration of patent rights covering the product in such country and a specified anniversary of such first commercial sale</w:t>
      </w:r>
      <w:r>
        <w:rPr>
          <w:sz w:val="20"/>
          <w:szCs w:val="20"/>
        </w:rPr>
        <w:t>.</w:t>
      </w:r>
    </w:p>
    <w:p w:rsidR="00000000" w:rsidRDefault="00F83A7A">
      <w:pPr>
        <w:pStyle w:val="a3"/>
        <w:spacing w:before="200" w:beforeAutospacing="0" w:after="0" w:afterAutospacing="0"/>
        <w:jc w:val="both"/>
        <w:divId w:val="992565599"/>
        <w:rPr>
          <w:sz w:val="20"/>
          <w:szCs w:val="20"/>
        </w:rPr>
      </w:pPr>
      <w:r>
        <w:rPr>
          <w:sz w:val="20"/>
          <w:szCs w:val="20"/>
        </w:rPr>
        <w:t xml:space="preserve">The Company identified the following material promises under the Takeda License and Termination Agreement: (1) no later than the second business day prior to the closing of the Takeda License and Termination Agreement (the “Closing Date”), the Company and </w:t>
      </w:r>
      <w:r>
        <w:rPr>
          <w:sz w:val="20"/>
          <w:szCs w:val="20"/>
        </w:rPr>
        <w:t>Takeda were required to agree on an estimate of the development expenses that accrued, or would accrue, under the original collaboration agreement as of March 31, 2021; (2) on the Closing Date, the Company was required to (i) provide and transfer to Takeda</w:t>
      </w:r>
      <w:r>
        <w:rPr>
          <w:sz w:val="20"/>
          <w:szCs w:val="20"/>
        </w:rPr>
        <w:t xml:space="preserve"> the materials, information and data relating to the soticlestat program, including clinical trial data and results, as further set forth in the Takeda License and Termination Agreement, (ii) assign to Takeda certain agreements applicable to the soticlesta</w:t>
      </w:r>
      <w:r>
        <w:rPr>
          <w:sz w:val="20"/>
          <w:szCs w:val="20"/>
        </w:rPr>
        <w:t>t program, and (iii) assign to Takeda all of its right, title and interest in, to and under all intellectual property rights developed or created pursuant to the original collaboration agreement and owned jointly by the Company and Takeda as of the Closing</w:t>
      </w:r>
      <w:r>
        <w:rPr>
          <w:sz w:val="20"/>
          <w:szCs w:val="20"/>
        </w:rPr>
        <w:t xml:space="preserve"> Date; (3) within 45 days after March 31, 2021, the Company and Takeda were required to provide a written report to the finance officer designated by the other party setting forth a final total of the development expenses that accrued as of March 31, 2021 </w:t>
      </w:r>
      <w:r>
        <w:rPr>
          <w:sz w:val="20"/>
          <w:szCs w:val="20"/>
        </w:rPr>
        <w:t>and, within 10 business days after receipt of such report, the finance officers shall agree on whether a net settlement payment is due from Takeda to the Company or from the Company to Takeda; and (4) within 75 days after the Closing Date, to the extent no</w:t>
      </w:r>
      <w:r>
        <w:rPr>
          <w:sz w:val="20"/>
          <w:szCs w:val="20"/>
        </w:rPr>
        <w:t xml:space="preserve">t provided on the Closing Date, Ovid shall provide to Takeda (i) any materials, information and data relating to the soticlestat program, including clinical trial data and results, as further set forth in the Takeda License and Termination Agreement, (ii) </w:t>
      </w:r>
      <w:r>
        <w:rPr>
          <w:sz w:val="20"/>
          <w:szCs w:val="20"/>
        </w:rPr>
        <w:t>other documents (including all expired agreements and related data developed thereunder) to the extent relating to the soticlestat program that are necessary for the exploitation, development, commercialization and manufacture of soticlestat, as further se</w:t>
      </w:r>
      <w:r>
        <w:rPr>
          <w:sz w:val="20"/>
          <w:szCs w:val="20"/>
        </w:rPr>
        <w:t>t forth in the Takeda License and Termination Agreement and (iii) any tangible embodiments of the intellectual property rights controlled by Ovid that are reasonably necessary for, used in or held for use in Takeda’s exploitation of the soticlestat program</w:t>
      </w:r>
      <w:r>
        <w:rPr>
          <w:sz w:val="20"/>
          <w:szCs w:val="20"/>
        </w:rPr>
        <w:t>.</w:t>
      </w:r>
    </w:p>
    <w:p w:rsidR="00000000" w:rsidRDefault="00F83A7A">
      <w:pPr>
        <w:pStyle w:val="a3"/>
        <w:spacing w:before="200" w:beforeAutospacing="0" w:after="0" w:afterAutospacing="0"/>
        <w:divId w:val="992565599"/>
        <w:rPr>
          <w:sz w:val="20"/>
          <w:szCs w:val="20"/>
        </w:rPr>
      </w:pPr>
      <w:r>
        <w:rPr>
          <w:sz w:val="20"/>
          <w:szCs w:val="20"/>
        </w:rPr>
        <w:t xml:space="preserve">The Company determined the transaction price is equal to the upfront fee of </w:t>
      </w:r>
      <w:r>
        <w:rPr>
          <w:sz w:val="20"/>
          <w:szCs w:val="20"/>
        </w:rPr>
        <w:t>$</w:t>
      </w:r>
      <w:r>
        <w:rPr>
          <w:sz w:val="20"/>
          <w:szCs w:val="20"/>
        </w:rPr>
        <w:t>196.</w:t>
      </w:r>
      <w:r>
        <w:rPr>
          <w:sz w:val="20"/>
          <w:szCs w:val="20"/>
        </w:rPr>
        <w:t>0</w:t>
      </w:r>
      <w:r>
        <w:rPr>
          <w:sz w:val="20"/>
          <w:szCs w:val="20"/>
        </w:rPr>
        <w:t xml:space="preserve"> million and is associated with all four performance obligations identified above. It is noted that the incremental effort associated with performance obligations three and</w:t>
      </w:r>
      <w:r>
        <w:rPr>
          <w:sz w:val="20"/>
          <w:szCs w:val="20"/>
        </w:rPr>
        <w:t xml:space="preserve"> four is negligible and not material in the context of the Takeda License and Termination Agreement since all of the information is related to the collaboration period for which the Company already has the information readily available. Therefore, since th</w:t>
      </w:r>
      <w:r>
        <w:rPr>
          <w:sz w:val="20"/>
          <w:szCs w:val="20"/>
        </w:rPr>
        <w:t>ey are not material in the context of the Takeda License and Termination Agreement, the full upfront fee was allocated to the two performance obligations satisfied at closin</w:t>
      </w:r>
      <w:r>
        <w:rPr>
          <w:sz w:val="20"/>
          <w:szCs w:val="20"/>
        </w:rPr>
        <w:t>g</w:t>
      </w:r>
    </w:p>
    <w:p w:rsidR="00000000" w:rsidRDefault="00F83A7A">
      <w:pPr>
        <w:pStyle w:val="a3"/>
        <w:spacing w:before="200" w:beforeAutospacing="0" w:after="0" w:afterAutospacing="0"/>
        <w:jc w:val="both"/>
        <w:divId w:val="992565599"/>
        <w:rPr>
          <w:sz w:val="20"/>
          <w:szCs w:val="20"/>
        </w:rPr>
      </w:pPr>
      <w:r>
        <w:rPr>
          <w:sz w:val="20"/>
          <w:szCs w:val="20"/>
        </w:rPr>
        <w:t>During the year ended December 31, 202</w:t>
      </w:r>
      <w:r>
        <w:rPr>
          <w:sz w:val="20"/>
          <w:szCs w:val="20"/>
        </w:rPr>
        <w:t>1</w:t>
      </w:r>
      <w:r>
        <w:rPr>
          <w:sz w:val="20"/>
          <w:szCs w:val="20"/>
        </w:rPr>
        <w:t>, the Company recognized a credit in resea</w:t>
      </w:r>
      <w:r>
        <w:rPr>
          <w:sz w:val="20"/>
          <w:szCs w:val="20"/>
        </w:rPr>
        <w:t xml:space="preserve">rch and development expenses of </w:t>
      </w:r>
      <w:r>
        <w:rPr>
          <w:sz w:val="20"/>
          <w:szCs w:val="20"/>
        </w:rPr>
        <w:t>$</w:t>
      </w:r>
      <w:r>
        <w:rPr>
          <w:sz w:val="20"/>
          <w:szCs w:val="20"/>
        </w:rPr>
        <w:t>2.</w:t>
      </w:r>
      <w:r>
        <w:rPr>
          <w:sz w:val="20"/>
          <w:szCs w:val="20"/>
        </w:rPr>
        <w:t>5</w:t>
      </w:r>
      <w:r>
        <w:rPr>
          <w:sz w:val="20"/>
          <w:szCs w:val="20"/>
        </w:rPr>
        <w:t xml:space="preserve"> million and an expense of </w:t>
      </w:r>
      <w:r>
        <w:rPr>
          <w:sz w:val="20"/>
          <w:szCs w:val="20"/>
        </w:rPr>
        <w:t>$</w:t>
      </w:r>
      <w:r>
        <w:rPr>
          <w:sz w:val="20"/>
          <w:szCs w:val="20"/>
        </w:rPr>
        <w:t>0.</w:t>
      </w:r>
      <w:r>
        <w:rPr>
          <w:sz w:val="20"/>
          <w:szCs w:val="20"/>
        </w:rPr>
        <w:t>1</w:t>
      </w:r>
      <w:r>
        <w:rPr>
          <w:sz w:val="20"/>
          <w:szCs w:val="20"/>
        </w:rPr>
        <w:t xml:space="preserve"> million in general and administrative expenses for a net credit amount of </w:t>
      </w:r>
      <w:r>
        <w:rPr>
          <w:sz w:val="20"/>
          <w:szCs w:val="20"/>
        </w:rPr>
        <w:t>$</w:t>
      </w:r>
      <w:r>
        <w:rPr>
          <w:sz w:val="20"/>
          <w:szCs w:val="20"/>
        </w:rPr>
        <w:t>2.</w:t>
      </w:r>
      <w:r>
        <w:rPr>
          <w:sz w:val="20"/>
          <w:szCs w:val="20"/>
        </w:rPr>
        <w:t>4</w:t>
      </w:r>
      <w:r>
        <w:rPr>
          <w:sz w:val="20"/>
          <w:szCs w:val="20"/>
        </w:rPr>
        <w:t xml:space="preserve"> million reimbursed to the Company from Takeda.</w:t>
      </w:r>
      <w:r>
        <w:rPr>
          <w:sz w:val="20"/>
          <w:szCs w:val="20"/>
        </w:rPr>
        <w:t xml:space="preserve"> </w:t>
      </w:r>
      <w:r>
        <w:rPr>
          <w:sz w:val="20"/>
          <w:szCs w:val="20"/>
        </w:rPr>
        <w:t>During the year ended December 31, 2020, the Company recognize</w:t>
      </w:r>
      <w:r>
        <w:rPr>
          <w:sz w:val="20"/>
          <w:szCs w:val="20"/>
        </w:rPr>
        <w:t xml:space="preserve">d </w:t>
      </w:r>
      <w:r>
        <w:rPr>
          <w:sz w:val="20"/>
          <w:szCs w:val="20"/>
        </w:rPr>
        <w:t>$</w:t>
      </w:r>
      <w:r>
        <w:rPr>
          <w:sz w:val="20"/>
          <w:szCs w:val="20"/>
        </w:rPr>
        <w:t>0.</w:t>
      </w:r>
      <w:r>
        <w:rPr>
          <w:sz w:val="20"/>
          <w:szCs w:val="20"/>
        </w:rPr>
        <w:t>7</w:t>
      </w:r>
      <w:r>
        <w:rPr>
          <w:sz w:val="20"/>
          <w:szCs w:val="20"/>
        </w:rPr>
        <w:t xml:space="preserve"> million in research and development expenses representing research and development expenses reimbursable to the Company from Takeda, of which </w:t>
      </w:r>
      <w:r>
        <w:rPr>
          <w:sz w:val="20"/>
          <w:szCs w:val="20"/>
        </w:rPr>
        <w:t>$</w:t>
      </w:r>
      <w:r>
        <w:rPr>
          <w:sz w:val="20"/>
          <w:szCs w:val="20"/>
        </w:rPr>
        <w:t>0.</w:t>
      </w:r>
      <w:r>
        <w:rPr>
          <w:sz w:val="20"/>
          <w:szCs w:val="20"/>
        </w:rPr>
        <w:t>1</w:t>
      </w:r>
      <w:r>
        <w:rPr>
          <w:sz w:val="20"/>
          <w:szCs w:val="20"/>
        </w:rPr>
        <w:t xml:space="preserve"> million was included in related party receivable and </w:t>
      </w:r>
      <w:r>
        <w:rPr>
          <w:sz w:val="20"/>
          <w:szCs w:val="20"/>
        </w:rPr>
        <w:t>$</w:t>
      </w:r>
      <w:r>
        <w:rPr>
          <w:sz w:val="20"/>
          <w:szCs w:val="20"/>
        </w:rPr>
        <w:t>2.</w:t>
      </w:r>
      <w:r>
        <w:rPr>
          <w:sz w:val="20"/>
          <w:szCs w:val="20"/>
        </w:rPr>
        <w:t>1</w:t>
      </w:r>
      <w:r>
        <w:rPr>
          <w:sz w:val="20"/>
          <w:szCs w:val="20"/>
        </w:rPr>
        <w:t xml:space="preserve"> million was included in related party payabl</w:t>
      </w:r>
      <w:r>
        <w:rPr>
          <w:sz w:val="20"/>
          <w:szCs w:val="20"/>
        </w:rPr>
        <w:t>e as of December 31, 2020</w:t>
      </w:r>
      <w:r>
        <w:rPr>
          <w:sz w:val="20"/>
          <w:szCs w:val="20"/>
        </w:rPr>
        <w:t>.</w:t>
      </w:r>
    </w:p>
    <w:p w:rsidR="00000000" w:rsidRDefault="00F83A7A">
      <w:pPr>
        <w:pStyle w:val="a3"/>
        <w:spacing w:before="176" w:beforeAutospacing="0" w:after="0" w:afterAutospacing="0"/>
        <w:jc w:val="both"/>
        <w:divId w:val="1021325508"/>
        <w:rPr>
          <w:sz w:val="20"/>
          <w:szCs w:val="20"/>
        </w:rPr>
      </w:pPr>
      <w:r>
        <w:rPr>
          <w:b/>
          <w:bCs/>
          <w:sz w:val="20"/>
          <w:szCs w:val="20"/>
        </w:rPr>
        <w:t>NOTE 11 – RELATED PARTY TRANSACTION</w:t>
      </w:r>
      <w:r>
        <w:rPr>
          <w:b/>
          <w:bCs/>
          <w:sz w:val="20"/>
          <w:szCs w:val="20"/>
        </w:rPr>
        <w:t>S</w:t>
      </w:r>
    </w:p>
    <w:p w:rsidR="00000000" w:rsidRDefault="00F83A7A">
      <w:pPr>
        <w:pStyle w:val="a3"/>
        <w:spacing w:before="0" w:beforeAutospacing="0" w:after="0" w:afterAutospacing="0"/>
        <w:jc w:val="both"/>
        <w:divId w:val="1021325508"/>
        <w:rPr>
          <w:sz w:val="20"/>
          <w:szCs w:val="20"/>
        </w:rPr>
      </w:pPr>
      <w:r>
        <w:rPr>
          <w:sz w:val="20"/>
          <w:szCs w:val="20"/>
        </w:rPr>
        <w:t> </w:t>
      </w:r>
    </w:p>
    <w:p w:rsidR="00000000" w:rsidRDefault="00F83A7A">
      <w:pPr>
        <w:pStyle w:val="a3"/>
        <w:spacing w:before="0" w:beforeAutospacing="0" w:after="0" w:afterAutospacing="0"/>
        <w:jc w:val="both"/>
        <w:divId w:val="1021325508"/>
        <w:rPr>
          <w:sz w:val="20"/>
          <w:szCs w:val="20"/>
        </w:rPr>
      </w:pPr>
      <w:r>
        <w:rPr>
          <w:sz w:val="20"/>
          <w:szCs w:val="20"/>
        </w:rPr>
        <w:t xml:space="preserve">In March 2021, the Company entered into the Takeda License and Termination Agreement with Takeda. For a description of the Takeda License and Termination Agreement, see Note 10. The Company </w:t>
      </w:r>
      <w:r>
        <w:rPr>
          <w:sz w:val="20"/>
          <w:szCs w:val="20"/>
        </w:rPr>
        <w:t>recognized a long-term liability in 2020 representing long-term prepaid expenses to be reimbursed to Takeda as part of the Company’s previous collaboration agreement with Takeda</w:t>
      </w:r>
      <w:r>
        <w:rPr>
          <w:sz w:val="20"/>
          <w:szCs w:val="20"/>
        </w:rPr>
        <w:t>.</w:t>
      </w:r>
    </w:p>
    <w:p w:rsidR="00000000" w:rsidRDefault="00F83A7A">
      <w:pPr>
        <w:pStyle w:val="a3"/>
        <w:spacing w:before="200" w:beforeAutospacing="0" w:after="0" w:afterAutospacing="0"/>
        <w:jc w:val="both"/>
        <w:divId w:val="1021325508"/>
        <w:rPr>
          <w:sz w:val="20"/>
          <w:szCs w:val="20"/>
        </w:rPr>
      </w:pPr>
      <w:r>
        <w:rPr>
          <w:sz w:val="20"/>
          <w:szCs w:val="20"/>
        </w:rPr>
        <w:t xml:space="preserve">In May 2020, entities affiliated with Biotechnology Value Fund, L.P. elected </w:t>
      </w:r>
      <w:r>
        <w:rPr>
          <w:sz w:val="20"/>
          <w:szCs w:val="20"/>
        </w:rPr>
        <w:t>to convert an aggregate of</w:t>
      </w:r>
      <w:r>
        <w:rPr>
          <w:sz w:val="20"/>
          <w:szCs w:val="20"/>
        </w:rPr>
        <w:t xml:space="preserve"> </w:t>
      </w:r>
      <w:r>
        <w:rPr>
          <w:sz w:val="20"/>
          <w:szCs w:val="20"/>
        </w:rPr>
        <w:t>2,25</w:t>
      </w:r>
      <w:r>
        <w:rPr>
          <w:sz w:val="20"/>
          <w:szCs w:val="20"/>
        </w:rPr>
        <w:t>6</w:t>
      </w:r>
      <w:r>
        <w:rPr>
          <w:sz w:val="20"/>
          <w:szCs w:val="20"/>
        </w:rPr>
        <w:t xml:space="preserve"> shares of Series A Preferred Stock owned by such holders into an aggregate of</w:t>
      </w:r>
      <w:r>
        <w:rPr>
          <w:sz w:val="20"/>
          <w:szCs w:val="20"/>
        </w:rPr>
        <w:t xml:space="preserve"> </w:t>
      </w:r>
      <w:r>
        <w:rPr>
          <w:sz w:val="20"/>
          <w:szCs w:val="20"/>
        </w:rPr>
        <w:t>2,256,00</w:t>
      </w:r>
      <w:r>
        <w:rPr>
          <w:sz w:val="20"/>
          <w:szCs w:val="20"/>
        </w:rPr>
        <w:t>0</w:t>
      </w:r>
      <w:r>
        <w:rPr>
          <w:sz w:val="20"/>
          <w:szCs w:val="20"/>
        </w:rPr>
        <w:t xml:space="preserve"> shares of the Company’s common stock</w:t>
      </w:r>
      <w:r>
        <w:rPr>
          <w:sz w:val="20"/>
          <w:szCs w:val="20"/>
        </w:rPr>
        <w:t>.</w:t>
      </w:r>
    </w:p>
    <w:p w:rsidR="00000000" w:rsidRDefault="00F83A7A">
      <w:pPr>
        <w:pStyle w:val="a3"/>
        <w:spacing w:before="200" w:beforeAutospacing="0" w:after="0" w:afterAutospacing="0"/>
        <w:jc w:val="both"/>
        <w:divId w:val="1021325508"/>
        <w:rPr>
          <w:sz w:val="20"/>
          <w:szCs w:val="20"/>
        </w:rPr>
      </w:pPr>
      <w:r>
        <w:rPr>
          <w:sz w:val="20"/>
          <w:szCs w:val="20"/>
        </w:rPr>
        <w:t>In August 2020, the Company issued and sold an aggregate of</w:t>
      </w:r>
      <w:r>
        <w:rPr>
          <w:sz w:val="20"/>
          <w:szCs w:val="20"/>
        </w:rPr>
        <w:t xml:space="preserve"> </w:t>
      </w:r>
      <w:r>
        <w:rPr>
          <w:sz w:val="20"/>
          <w:szCs w:val="20"/>
        </w:rPr>
        <w:t>1,250,00</w:t>
      </w:r>
      <w:r>
        <w:rPr>
          <w:sz w:val="20"/>
          <w:szCs w:val="20"/>
        </w:rPr>
        <w:t>0</w:t>
      </w:r>
      <w:r>
        <w:rPr>
          <w:sz w:val="20"/>
          <w:szCs w:val="20"/>
        </w:rPr>
        <w:t xml:space="preserve"> shares of common stock to e</w:t>
      </w:r>
      <w:r>
        <w:rPr>
          <w:sz w:val="20"/>
          <w:szCs w:val="20"/>
        </w:rPr>
        <w:t xml:space="preserve">ntities affiliated with Biotechnology Value Fund, L.P., an existing stockholder for aggregate gross proceeds of </w:t>
      </w:r>
      <w:r>
        <w:rPr>
          <w:sz w:val="20"/>
          <w:szCs w:val="20"/>
        </w:rPr>
        <w:t>$</w:t>
      </w:r>
      <w:r>
        <w:rPr>
          <w:sz w:val="20"/>
          <w:szCs w:val="20"/>
        </w:rPr>
        <w:t>10.</w:t>
      </w:r>
      <w:r>
        <w:rPr>
          <w:sz w:val="20"/>
          <w:szCs w:val="20"/>
        </w:rPr>
        <w:t>0</w:t>
      </w:r>
      <w:r>
        <w:rPr>
          <w:sz w:val="20"/>
          <w:szCs w:val="20"/>
        </w:rPr>
        <w:t xml:space="preserve"> million</w:t>
      </w:r>
      <w:r>
        <w:rPr>
          <w:sz w:val="20"/>
          <w:szCs w:val="20"/>
        </w:rPr>
        <w:t>.</w:t>
      </w:r>
    </w:p>
    <w:p w:rsidR="00000000" w:rsidRDefault="00F83A7A">
      <w:pPr>
        <w:pStyle w:val="a3"/>
        <w:spacing w:before="200" w:beforeAutospacing="0" w:after="0" w:afterAutospacing="0"/>
        <w:jc w:val="both"/>
        <w:rPr>
          <w:sz w:val="20"/>
          <w:szCs w:val="20"/>
        </w:rPr>
      </w:pPr>
      <w:r>
        <w:rPr>
          <w:sz w:val="20"/>
          <w:szCs w:val="20"/>
        </w:rPr>
        <w:t>In December 2020, entities affiliated with Biotechnology Value Fund, L.P. elected to convert an aggregate of</w:t>
      </w:r>
      <w:r>
        <w:rPr>
          <w:sz w:val="20"/>
          <w:szCs w:val="20"/>
        </w:rPr>
        <w:t xml:space="preserve"> </w:t>
      </w:r>
      <w:r>
        <w:rPr>
          <w:sz w:val="20"/>
          <w:szCs w:val="20"/>
        </w:rPr>
        <w:t>2,25</w:t>
      </w:r>
      <w:r>
        <w:rPr>
          <w:sz w:val="20"/>
          <w:szCs w:val="20"/>
        </w:rPr>
        <w:t>6</w:t>
      </w:r>
      <w:r>
        <w:rPr>
          <w:sz w:val="20"/>
          <w:szCs w:val="20"/>
        </w:rPr>
        <w:t xml:space="preserve"> shares of Seri</w:t>
      </w:r>
      <w:r>
        <w:rPr>
          <w:sz w:val="20"/>
          <w:szCs w:val="20"/>
        </w:rPr>
        <w:t>es A Preferred Stock owned by such holders into an aggregate of</w:t>
      </w:r>
      <w:r>
        <w:rPr>
          <w:sz w:val="20"/>
          <w:szCs w:val="20"/>
        </w:rPr>
        <w:t xml:space="preserve"> </w:t>
      </w:r>
      <w:r>
        <w:rPr>
          <w:sz w:val="20"/>
          <w:szCs w:val="20"/>
        </w:rPr>
        <w:t>2,256,00</w:t>
      </w:r>
      <w:r>
        <w:rPr>
          <w:sz w:val="20"/>
          <w:szCs w:val="20"/>
        </w:rPr>
        <w:t>0</w:t>
      </w:r>
      <w:r>
        <w:rPr>
          <w:sz w:val="20"/>
          <w:szCs w:val="20"/>
        </w:rPr>
        <w:t xml:space="preserve"> shares of the Company’s common stock</w:t>
      </w:r>
      <w:r>
        <w:rPr>
          <w:sz w:val="20"/>
          <w:szCs w:val="20"/>
        </w:rPr>
        <w:t>.</w:t>
      </w:r>
      <w:r>
        <w:rPr>
          <w:sz w:val="20"/>
          <w:szCs w:val="20"/>
        </w:rPr>
        <w:t xml:space="preserve"> </w:t>
      </w:r>
    </w:p>
    <w:p w:rsidR="00000000" w:rsidRDefault="00F83A7A">
      <w:pPr>
        <w:pStyle w:val="a3"/>
        <w:spacing w:before="0" w:beforeAutospacing="0" w:after="0" w:afterAutospacing="0"/>
        <w:rPr>
          <w:sz w:val="20"/>
          <w:szCs w:val="20"/>
        </w:rPr>
      </w:pPr>
      <w:r>
        <w:rPr>
          <w:sz w:val="20"/>
          <w:szCs w:val="20"/>
        </w:rPr>
        <w:t> </w:t>
      </w:r>
    </w:p>
    <w:p w:rsidR="00000000" w:rsidRDefault="00F83A7A">
      <w:pPr>
        <w:pStyle w:val="a3"/>
        <w:spacing w:before="240" w:beforeAutospacing="0" w:after="0" w:afterAutospacing="0"/>
        <w:jc w:val="center"/>
        <w:rPr>
          <w:sz w:val="20"/>
          <w:szCs w:val="20"/>
        </w:rPr>
      </w:pPr>
      <w:r>
        <w:rPr>
          <w:sz w:val="20"/>
          <w:szCs w:val="20"/>
        </w:rPr>
        <w:t>F</w:t>
      </w:r>
      <w:r>
        <w:rPr>
          <w:sz w:val="20"/>
          <w:szCs w:val="20"/>
        </w:rPr>
        <w:t>-</w:t>
      </w:r>
      <w:r>
        <w:rPr>
          <w:sz w:val="20"/>
          <w:szCs w:val="20"/>
        </w:rPr>
        <w:t>2</w:t>
      </w:r>
      <w:r>
        <w:rPr>
          <w:sz w:val="20"/>
          <w:szCs w:val="20"/>
        </w:rPr>
        <w:t>1</w:t>
      </w:r>
    </w:p>
    <w:p w:rsidR="00000000" w:rsidRDefault="00F83A7A">
      <w:pPr>
        <w:rPr>
          <w:rFonts w:eastAsia="Times New Roman"/>
        </w:rPr>
      </w:pPr>
      <w:r>
        <w:rPr>
          <w:rFonts w:eastAsia="Times New Roman"/>
        </w:rPr>
        <w:pict>
          <v:rect id="_x0000_i1117" style="width:0;height:1.5pt" o:hralign="center" o:hrstd="t" o:hr="t" fillcolor="#a0a0a0" stroked="f"/>
        </w:pict>
      </w:r>
    </w:p>
    <w:p w:rsidR="00000000" w:rsidRDefault="00F83A7A">
      <w:pPr>
        <w:pStyle w:val="a3"/>
        <w:spacing w:before="0" w:beforeAutospacing="0" w:after="0" w:afterAutospacing="0"/>
        <w:ind w:left="1547"/>
        <w:rPr>
          <w:sz w:val="20"/>
          <w:szCs w:val="20"/>
        </w:rPr>
      </w:pPr>
      <w:r>
        <w:rPr>
          <w:sz w:val="20"/>
          <w:szCs w:val="20"/>
        </w:rPr>
        <w:t> </w:t>
      </w:r>
    </w:p>
    <w:p w:rsidR="00000000" w:rsidRDefault="00F83A7A">
      <w:pPr>
        <w:pStyle w:val="a3"/>
        <w:spacing w:before="176" w:beforeAutospacing="0" w:after="0" w:afterAutospacing="0"/>
        <w:jc w:val="both"/>
        <w:divId w:val="114491646"/>
        <w:rPr>
          <w:sz w:val="20"/>
          <w:szCs w:val="20"/>
        </w:rPr>
      </w:pPr>
      <w:r>
        <w:rPr>
          <w:b/>
          <w:bCs/>
          <w:sz w:val="20"/>
          <w:szCs w:val="20"/>
        </w:rPr>
        <w:t>NOTE 12 – EARNINGS (LOSS) PER SHAR</w:t>
      </w:r>
      <w:r>
        <w:rPr>
          <w:b/>
          <w:bCs/>
          <w:sz w:val="20"/>
          <w:szCs w:val="20"/>
        </w:rPr>
        <w:t>E</w:t>
      </w:r>
    </w:p>
    <w:p w:rsidR="00000000" w:rsidRDefault="00F83A7A">
      <w:pPr>
        <w:pStyle w:val="a3"/>
        <w:spacing w:before="176" w:beforeAutospacing="0" w:after="0" w:afterAutospacing="0"/>
        <w:jc w:val="both"/>
        <w:divId w:val="1010832058"/>
        <w:rPr>
          <w:sz w:val="20"/>
          <w:szCs w:val="20"/>
        </w:rPr>
      </w:pPr>
      <w:r>
        <w:rPr>
          <w:sz w:val="20"/>
          <w:szCs w:val="20"/>
        </w:rPr>
        <w:t>The following tables set forth the computation of basic and di</w:t>
      </w:r>
      <w:r>
        <w:rPr>
          <w:sz w:val="20"/>
          <w:szCs w:val="20"/>
        </w:rPr>
        <w:t>luted earnings (loss) per share for the years ended December 31, 2021 and 2020</w:t>
      </w:r>
      <w:r>
        <w:rPr>
          <w:sz w:val="20"/>
          <w:szCs w:val="20"/>
        </w:rPr>
        <w:t>:</w:t>
      </w:r>
    </w:p>
    <w:p w:rsidR="00000000" w:rsidRDefault="00F83A7A">
      <w:pPr>
        <w:pStyle w:val="a3"/>
        <w:spacing w:before="176" w:beforeAutospacing="0" w:after="0" w:afterAutospacing="0"/>
        <w:jc w:val="both"/>
        <w:divId w:val="101083205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92"/>
        <w:gridCol w:w="169"/>
        <w:gridCol w:w="160"/>
        <w:gridCol w:w="1293"/>
        <w:gridCol w:w="127"/>
        <w:gridCol w:w="169"/>
        <w:gridCol w:w="160"/>
        <w:gridCol w:w="1294"/>
        <w:gridCol w:w="142"/>
      </w:tblGrid>
      <w:tr w:rsidR="00000000">
        <w:trPr>
          <w:divId w:val="1010832058"/>
          <w:tblCellSpacing w:w="15" w:type="dxa"/>
        </w:trPr>
        <w:tc>
          <w:tcPr>
            <w:tcW w:w="2980" w:type="pct"/>
            <w:vAlign w:val="center"/>
            <w:hideMark/>
          </w:tcPr>
          <w:p w:rsidR="00000000" w:rsidRDefault="00F83A7A">
            <w:pPr>
              <w:rPr>
                <w:sz w:val="20"/>
                <w:szCs w:val="20"/>
              </w:rPr>
            </w:pPr>
          </w:p>
        </w:tc>
        <w:tc>
          <w:tcPr>
            <w:tcW w:w="104" w:type="pct"/>
            <w:vAlign w:val="center"/>
            <w:hideMark/>
          </w:tcPr>
          <w:p w:rsidR="00000000" w:rsidRDefault="00F83A7A">
            <w:pPr>
              <w:rPr>
                <w:rFonts w:eastAsia="Times New Roman"/>
                <w:sz w:val="20"/>
                <w:szCs w:val="20"/>
              </w:rPr>
            </w:pPr>
          </w:p>
        </w:tc>
        <w:tc>
          <w:tcPr>
            <w:tcW w:w="60" w:type="pct"/>
            <w:vAlign w:val="center"/>
            <w:hideMark/>
          </w:tcPr>
          <w:p w:rsidR="00000000" w:rsidRDefault="00F83A7A">
            <w:pPr>
              <w:rPr>
                <w:rFonts w:eastAsia="Times New Roman"/>
                <w:sz w:val="20"/>
                <w:szCs w:val="20"/>
              </w:rPr>
            </w:pPr>
          </w:p>
        </w:tc>
        <w:tc>
          <w:tcPr>
            <w:tcW w:w="805" w:type="pct"/>
            <w:vAlign w:val="center"/>
            <w:hideMark/>
          </w:tcPr>
          <w:p w:rsidR="00000000" w:rsidRDefault="00F83A7A">
            <w:pPr>
              <w:rPr>
                <w:rFonts w:eastAsia="Times New Roman"/>
                <w:sz w:val="20"/>
                <w:szCs w:val="20"/>
              </w:rPr>
            </w:pPr>
          </w:p>
        </w:tc>
        <w:tc>
          <w:tcPr>
            <w:tcW w:w="39" w:type="pct"/>
            <w:vAlign w:val="center"/>
            <w:hideMark/>
          </w:tcPr>
          <w:p w:rsidR="00000000" w:rsidRDefault="00F83A7A">
            <w:pPr>
              <w:rPr>
                <w:rFonts w:eastAsia="Times New Roman"/>
                <w:sz w:val="20"/>
                <w:szCs w:val="20"/>
              </w:rPr>
            </w:pPr>
          </w:p>
        </w:tc>
        <w:tc>
          <w:tcPr>
            <w:tcW w:w="104" w:type="pct"/>
            <w:vAlign w:val="center"/>
            <w:hideMark/>
          </w:tcPr>
          <w:p w:rsidR="00000000" w:rsidRDefault="00F83A7A">
            <w:pPr>
              <w:rPr>
                <w:rFonts w:eastAsia="Times New Roman"/>
                <w:sz w:val="20"/>
                <w:szCs w:val="20"/>
              </w:rPr>
            </w:pPr>
          </w:p>
        </w:tc>
        <w:tc>
          <w:tcPr>
            <w:tcW w:w="60" w:type="pct"/>
            <w:vAlign w:val="center"/>
            <w:hideMark/>
          </w:tcPr>
          <w:p w:rsidR="00000000" w:rsidRDefault="00F83A7A">
            <w:pPr>
              <w:rPr>
                <w:rFonts w:eastAsia="Times New Roman"/>
                <w:sz w:val="20"/>
                <w:szCs w:val="20"/>
              </w:rPr>
            </w:pPr>
          </w:p>
        </w:tc>
        <w:tc>
          <w:tcPr>
            <w:tcW w:w="805" w:type="pct"/>
            <w:vAlign w:val="center"/>
            <w:hideMark/>
          </w:tcPr>
          <w:p w:rsidR="00000000" w:rsidRDefault="00F83A7A">
            <w:pPr>
              <w:rPr>
                <w:rFonts w:eastAsia="Times New Roman"/>
                <w:sz w:val="20"/>
                <w:szCs w:val="20"/>
              </w:rPr>
            </w:pPr>
          </w:p>
        </w:tc>
        <w:tc>
          <w:tcPr>
            <w:tcW w:w="39" w:type="pct"/>
            <w:vAlign w:val="center"/>
            <w:hideMark/>
          </w:tcPr>
          <w:p w:rsidR="00000000" w:rsidRDefault="00F83A7A">
            <w:pPr>
              <w:rPr>
                <w:rFonts w:eastAsia="Times New Roman"/>
                <w:sz w:val="20"/>
                <w:szCs w:val="20"/>
              </w:rPr>
            </w:pPr>
          </w:p>
        </w:tc>
      </w:tr>
      <w:tr w:rsidR="00000000">
        <w:trPr>
          <w:divId w:val="1010832058"/>
          <w:trHeight w:val="160"/>
          <w:tblCellSpacing w:w="15" w:type="dxa"/>
        </w:trPr>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F83A7A">
            <w:pPr>
              <w:pStyle w:val="a3"/>
              <w:spacing w:before="0" w:beforeAutospacing="0" w:after="0" w:afterAutospacing="0"/>
              <w:jc w:val="center"/>
              <w:rPr>
                <w:sz w:val="16"/>
                <w:szCs w:val="16"/>
              </w:rPr>
            </w:pPr>
            <w:r>
              <w:rPr>
                <w:b/>
                <w:bCs/>
                <w:sz w:val="16"/>
                <w:szCs w:val="16"/>
              </w:rPr>
              <w:t>For the Year Ended 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1010832058"/>
          <w:trHeight w:val="160"/>
          <w:tblCellSpacing w:w="15" w:type="dxa"/>
        </w:trPr>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1010832058"/>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Net income (loss</w:t>
            </w: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122,834,58</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81,035,57</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divId w:val="1010832058"/>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Net income attributable to participating securitie</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2,997,34</w:t>
            </w:r>
            <w:r>
              <w:rPr>
                <w:sz w:val="20"/>
                <w:szCs w:val="20"/>
              </w:rPr>
              <w:t>4</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divId w:val="1010832058"/>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Net income (loss) attributable to common stockholder</w:t>
            </w:r>
            <w:r>
              <w:rPr>
                <w:sz w:val="20"/>
                <w:szCs w:val="20"/>
              </w:rPr>
              <w:t>s</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119,839,26</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81,035,57</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bl>
    <w:p w:rsidR="00000000" w:rsidRDefault="00F83A7A">
      <w:pPr>
        <w:pStyle w:val="a3"/>
        <w:spacing w:before="176" w:beforeAutospacing="0" w:after="0" w:afterAutospacing="0"/>
        <w:jc w:val="both"/>
        <w:divId w:val="101083205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97"/>
        <w:gridCol w:w="310"/>
        <w:gridCol w:w="160"/>
        <w:gridCol w:w="1214"/>
        <w:gridCol w:w="115"/>
        <w:gridCol w:w="310"/>
        <w:gridCol w:w="160"/>
        <w:gridCol w:w="1198"/>
        <w:gridCol w:w="142"/>
      </w:tblGrid>
      <w:tr w:rsidR="00000000">
        <w:trPr>
          <w:divId w:val="1010832058"/>
          <w:tblCellSpacing w:w="15" w:type="dxa"/>
        </w:trPr>
        <w:tc>
          <w:tcPr>
            <w:tcW w:w="2979" w:type="pct"/>
            <w:vAlign w:val="center"/>
            <w:hideMark/>
          </w:tcPr>
          <w:p w:rsidR="00000000" w:rsidRDefault="00F83A7A">
            <w:pPr>
              <w:rPr>
                <w:sz w:val="20"/>
                <w:szCs w:val="20"/>
              </w:rPr>
            </w:pPr>
          </w:p>
        </w:tc>
        <w:tc>
          <w:tcPr>
            <w:tcW w:w="105" w:type="pct"/>
            <w:vAlign w:val="center"/>
            <w:hideMark/>
          </w:tcPr>
          <w:p w:rsidR="00000000" w:rsidRDefault="00F83A7A">
            <w:pPr>
              <w:rPr>
                <w:rFonts w:eastAsia="Times New Roman"/>
                <w:sz w:val="20"/>
                <w:szCs w:val="20"/>
              </w:rPr>
            </w:pPr>
          </w:p>
        </w:tc>
        <w:tc>
          <w:tcPr>
            <w:tcW w:w="60" w:type="pct"/>
            <w:vAlign w:val="center"/>
            <w:hideMark/>
          </w:tcPr>
          <w:p w:rsidR="00000000" w:rsidRDefault="00F83A7A">
            <w:pPr>
              <w:rPr>
                <w:rFonts w:eastAsia="Times New Roman"/>
                <w:sz w:val="20"/>
                <w:szCs w:val="20"/>
              </w:rPr>
            </w:pPr>
          </w:p>
        </w:tc>
        <w:tc>
          <w:tcPr>
            <w:tcW w:w="814" w:type="pct"/>
            <w:vAlign w:val="center"/>
            <w:hideMark/>
          </w:tcPr>
          <w:p w:rsidR="00000000" w:rsidRDefault="00F83A7A">
            <w:pPr>
              <w:rPr>
                <w:rFonts w:eastAsia="Times New Roman"/>
                <w:sz w:val="20"/>
                <w:szCs w:val="20"/>
              </w:rPr>
            </w:pPr>
          </w:p>
        </w:tc>
        <w:tc>
          <w:tcPr>
            <w:tcW w:w="30" w:type="pct"/>
            <w:vAlign w:val="center"/>
            <w:hideMark/>
          </w:tcPr>
          <w:p w:rsidR="00000000" w:rsidRDefault="00F83A7A">
            <w:pPr>
              <w:rPr>
                <w:rFonts w:eastAsia="Times New Roman"/>
                <w:sz w:val="20"/>
                <w:szCs w:val="20"/>
              </w:rPr>
            </w:pPr>
          </w:p>
        </w:tc>
        <w:tc>
          <w:tcPr>
            <w:tcW w:w="105" w:type="pct"/>
            <w:vAlign w:val="center"/>
            <w:hideMark/>
          </w:tcPr>
          <w:p w:rsidR="00000000" w:rsidRDefault="00F83A7A">
            <w:pPr>
              <w:rPr>
                <w:rFonts w:eastAsia="Times New Roman"/>
                <w:sz w:val="20"/>
                <w:szCs w:val="20"/>
              </w:rPr>
            </w:pPr>
          </w:p>
        </w:tc>
        <w:tc>
          <w:tcPr>
            <w:tcW w:w="60" w:type="pct"/>
            <w:vAlign w:val="center"/>
            <w:hideMark/>
          </w:tcPr>
          <w:p w:rsidR="00000000" w:rsidRDefault="00F83A7A">
            <w:pPr>
              <w:rPr>
                <w:rFonts w:eastAsia="Times New Roman"/>
                <w:sz w:val="20"/>
                <w:szCs w:val="20"/>
              </w:rPr>
            </w:pPr>
          </w:p>
        </w:tc>
        <w:tc>
          <w:tcPr>
            <w:tcW w:w="804" w:type="pct"/>
            <w:vAlign w:val="center"/>
            <w:hideMark/>
          </w:tcPr>
          <w:p w:rsidR="00000000" w:rsidRDefault="00F83A7A">
            <w:pPr>
              <w:rPr>
                <w:rFonts w:eastAsia="Times New Roman"/>
                <w:sz w:val="20"/>
                <w:szCs w:val="20"/>
              </w:rPr>
            </w:pPr>
          </w:p>
        </w:tc>
        <w:tc>
          <w:tcPr>
            <w:tcW w:w="39" w:type="pct"/>
            <w:vAlign w:val="center"/>
            <w:hideMark/>
          </w:tcPr>
          <w:p w:rsidR="00000000" w:rsidRDefault="00F83A7A">
            <w:pPr>
              <w:rPr>
                <w:rFonts w:eastAsia="Times New Roman"/>
                <w:sz w:val="20"/>
                <w:szCs w:val="20"/>
              </w:rPr>
            </w:pPr>
          </w:p>
        </w:tc>
      </w:tr>
      <w:tr w:rsidR="00000000">
        <w:trPr>
          <w:divId w:val="1010832058"/>
          <w:tblCellSpacing w:w="15" w:type="dxa"/>
        </w:trPr>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83A7A">
            <w:pPr>
              <w:pStyle w:val="a3"/>
              <w:spacing w:before="0" w:beforeAutospacing="0" w:after="0" w:afterAutospacing="0"/>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rPr>
                <w:sz w:val="22"/>
                <w:szCs w:val="22"/>
              </w:rPr>
            </w:pPr>
            <w:r>
              <w:rPr>
                <w:sz w:val="22"/>
                <w:szCs w:val="22"/>
              </w:rPr>
              <w:t> </w:t>
            </w:r>
          </w:p>
        </w:tc>
      </w:tr>
      <w:tr w:rsidR="00000000">
        <w:trPr>
          <w:divId w:val="1010832058"/>
          <w:trHeight w:val="160"/>
          <w:tblCellSpacing w:w="15" w:type="dxa"/>
        </w:trPr>
        <w:tc>
          <w:tcPr>
            <w:tcW w:w="0" w:type="auto"/>
            <w:vAlign w:val="bottom"/>
            <w:hideMark/>
          </w:tcPr>
          <w:p w:rsidR="00000000" w:rsidRDefault="00F83A7A">
            <w:pPr>
              <w:pStyle w:val="a3"/>
              <w:spacing w:before="0" w:beforeAutospacing="0" w:after="0" w:afterAutospacing="0"/>
              <w:jc w:val="center"/>
              <w:rPr>
                <w:sz w:val="22"/>
                <w:szCs w:val="22"/>
              </w:rPr>
            </w:pPr>
            <w:r>
              <w:rPr>
                <w:sz w:val="22"/>
                <w:szCs w:val="22"/>
              </w:rPr>
              <w:t> </w:t>
            </w:r>
          </w:p>
        </w:tc>
        <w:tc>
          <w:tcPr>
            <w:tcW w:w="0" w:type="auto"/>
            <w:vAlign w:val="bottom"/>
            <w:hideMark/>
          </w:tcPr>
          <w:p w:rsidR="00000000" w:rsidRDefault="00F83A7A">
            <w:pPr>
              <w:pStyle w:val="a3"/>
              <w:spacing w:before="0" w:beforeAutospacing="0" w:after="0" w:afterAutospacing="0"/>
              <w:jc w:val="center"/>
              <w:rPr>
                <w:sz w:val="22"/>
                <w:szCs w:val="22"/>
              </w:rPr>
            </w:pPr>
            <w:r>
              <w:rPr>
                <w:sz w:val="22"/>
                <w:szCs w:val="22"/>
              </w:rPr>
              <w:t> </w:t>
            </w:r>
          </w:p>
        </w:tc>
        <w:tc>
          <w:tcPr>
            <w:tcW w:w="0" w:type="auto"/>
            <w:gridSpan w:val="6"/>
            <w:vAlign w:val="bottom"/>
            <w:hideMark/>
          </w:tcPr>
          <w:p w:rsidR="00000000" w:rsidRDefault="00F83A7A">
            <w:pPr>
              <w:pStyle w:val="a3"/>
              <w:spacing w:before="0" w:beforeAutospacing="0" w:after="0" w:afterAutospacing="0"/>
              <w:jc w:val="center"/>
              <w:rPr>
                <w:sz w:val="16"/>
                <w:szCs w:val="16"/>
              </w:rPr>
            </w:pPr>
            <w:r>
              <w:rPr>
                <w:b/>
                <w:bCs/>
                <w:sz w:val="16"/>
                <w:szCs w:val="16"/>
              </w:rPr>
              <w:t>For the Year Ended December 31</w:t>
            </w:r>
            <w:r>
              <w:rPr>
                <w:b/>
                <w:bCs/>
                <w:sz w:val="16"/>
                <w:szCs w:val="16"/>
              </w:rPr>
              <w:t>,</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1010832058"/>
          <w:trHeight w:val="160"/>
          <w:tblCellSpacing w:w="15" w:type="dxa"/>
        </w:trPr>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F83A7A">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F83A7A">
            <w:pPr>
              <w:pStyle w:val="a3"/>
              <w:spacing w:before="0" w:beforeAutospacing="0" w:after="0" w:afterAutospacing="0"/>
              <w:jc w:val="center"/>
              <w:rPr>
                <w:sz w:val="16"/>
                <w:szCs w:val="16"/>
              </w:rPr>
            </w:pPr>
            <w:r>
              <w:rPr>
                <w:sz w:val="16"/>
                <w:szCs w:val="16"/>
              </w:rPr>
              <w:t> </w:t>
            </w:r>
          </w:p>
        </w:tc>
      </w:tr>
      <w:tr w:rsidR="00000000">
        <w:trPr>
          <w:divId w:val="1010832058"/>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b/>
                <w:bCs/>
                <w:i/>
                <w:iCs/>
                <w:sz w:val="20"/>
                <w:szCs w:val="20"/>
              </w:rPr>
              <w:t>Basic and Dilute</w:t>
            </w:r>
            <w:r>
              <w:rPr>
                <w:b/>
                <w:bCs/>
                <w:i/>
                <w:iCs/>
                <w:sz w:val="20"/>
                <w:szCs w:val="20"/>
              </w:rPr>
              <w:t>d</w:t>
            </w:r>
          </w:p>
        </w:tc>
        <w:tc>
          <w:tcPr>
            <w:tcW w:w="0" w:type="auto"/>
            <w:vAlign w:val="bottom"/>
            <w:hideMark/>
          </w:tcPr>
          <w:p w:rsidR="00000000" w:rsidRDefault="00F83A7A">
            <w:pPr>
              <w:pStyle w:val="a3"/>
              <w:spacing w:before="0" w:beforeAutospacing="0" w:after="0" w:afterAutospacing="0"/>
              <w:ind w:left="200"/>
              <w:jc w:val="right"/>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ind w:left="200"/>
              <w:jc w:val="right"/>
              <w:rPr>
                <w:sz w:val="20"/>
                <w:szCs w:val="20"/>
              </w:rPr>
            </w:pPr>
            <w:r>
              <w:rPr>
                <w:sz w:val="20"/>
                <w:szCs w:val="20"/>
              </w:rPr>
              <w:t> </w:t>
            </w:r>
          </w:p>
        </w:tc>
        <w:tc>
          <w:tcPr>
            <w:tcW w:w="0" w:type="auto"/>
            <w:gridSpan w:val="2"/>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divId w:val="1010832058"/>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Net income (loss) attributable to common stockholder</w:t>
            </w:r>
            <w:r>
              <w:rPr>
                <w:sz w:val="20"/>
                <w:szCs w:val="20"/>
              </w:rPr>
              <w:t>s</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119,839,26</w:t>
            </w:r>
            <w:r>
              <w:rPr>
                <w:sz w:val="20"/>
                <w:szCs w:val="20"/>
              </w:rPr>
              <w:t>1</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81,035,57</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divId w:val="1010832058"/>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Weighted average common shares outstanding used in</w:t>
            </w:r>
            <w:r>
              <w:rPr>
                <w:sz w:val="20"/>
                <w:szCs w:val="20"/>
              </w:rPr>
              <w:br/>
              <w:t>  computing net income (loss) per share - basi</w:t>
            </w:r>
            <w:r>
              <w:rPr>
                <w:sz w:val="20"/>
                <w:szCs w:val="20"/>
              </w:rPr>
              <w:t>c</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67,479,40</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58,451,29</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divId w:val="1010832058"/>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Weighted average common shares outstanding used in</w:t>
            </w:r>
            <w:r>
              <w:rPr>
                <w:sz w:val="20"/>
                <w:szCs w:val="20"/>
              </w:rPr>
              <w:br/>
              <w:t>  computing net income (loss) per share - dilute</w:t>
            </w:r>
            <w:r>
              <w:rPr>
                <w:sz w:val="20"/>
                <w:szCs w:val="20"/>
              </w:rPr>
              <w:t>d</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68,067,99</w:t>
            </w:r>
            <w:r>
              <w:rPr>
                <w:sz w:val="20"/>
                <w:szCs w:val="20"/>
              </w:rPr>
              <w:t>2</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58,451,29</w:t>
            </w:r>
            <w:r>
              <w:rPr>
                <w:sz w:val="20"/>
                <w:szCs w:val="20"/>
              </w:rPr>
              <w:t>3</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r>
      <w:tr w:rsidR="00000000">
        <w:trPr>
          <w:divId w:val="1010832058"/>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Net income (loss) per share, basi</w:t>
            </w:r>
            <w:r>
              <w:rPr>
                <w:sz w:val="20"/>
                <w:szCs w:val="20"/>
              </w:rPr>
              <w:t>c</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1.7</w:t>
            </w:r>
            <w:r>
              <w:rPr>
                <w:sz w:val="20"/>
                <w:szCs w:val="20"/>
              </w:rPr>
              <w:t>8</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1.3</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r w:rsidR="00000000">
        <w:trPr>
          <w:divId w:val="1010832058"/>
          <w:trHeight w:val="200"/>
          <w:tblCellSpacing w:w="15" w:type="dxa"/>
        </w:trPr>
        <w:tc>
          <w:tcPr>
            <w:tcW w:w="0" w:type="auto"/>
            <w:vAlign w:val="bottom"/>
            <w:hideMark/>
          </w:tcPr>
          <w:p w:rsidR="00000000" w:rsidRDefault="00F83A7A">
            <w:pPr>
              <w:pStyle w:val="a3"/>
              <w:spacing w:before="0" w:beforeAutospacing="0" w:after="0" w:afterAutospacing="0"/>
              <w:rPr>
                <w:sz w:val="20"/>
                <w:szCs w:val="20"/>
              </w:rPr>
            </w:pPr>
            <w:r>
              <w:rPr>
                <w:sz w:val="20"/>
                <w:szCs w:val="20"/>
              </w:rPr>
              <w:t>Net income (loss) per share, dilute</w:t>
            </w:r>
            <w:r>
              <w:rPr>
                <w:sz w:val="20"/>
                <w:szCs w:val="20"/>
              </w:rPr>
              <w:t>d</w:t>
            </w:r>
          </w:p>
        </w:tc>
        <w:tc>
          <w:tcPr>
            <w:tcW w:w="0" w:type="auto"/>
            <w:vAlign w:val="center"/>
            <w:hideMark/>
          </w:tcPr>
          <w:p w:rsidR="00000000" w:rsidRDefault="00F83A7A">
            <w:pPr>
              <w:pStyle w:val="a3"/>
              <w:spacing w:before="0" w:beforeAutospacing="0" w:after="0" w:afterAutospacing="0"/>
              <w:ind w:left="10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1.7</w:t>
            </w:r>
            <w:r>
              <w:rPr>
                <w:sz w:val="20"/>
                <w:szCs w:val="20"/>
              </w:rPr>
              <w:t>6</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 </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c>
          <w:tcPr>
            <w:tcW w:w="0" w:type="auto"/>
            <w:vAlign w:val="bottom"/>
            <w:hideMark/>
          </w:tcPr>
          <w:p w:rsidR="00000000" w:rsidRDefault="00F83A7A">
            <w:pPr>
              <w:pStyle w:val="a3"/>
              <w:spacing w:before="0" w:beforeAutospacing="0" w:after="0" w:afterAutospacing="0"/>
              <w:jc w:val="right"/>
              <w:rPr>
                <w:sz w:val="20"/>
                <w:szCs w:val="20"/>
              </w:rPr>
            </w:pPr>
            <w:r>
              <w:rPr>
                <w:sz w:val="20"/>
                <w:szCs w:val="20"/>
              </w:rPr>
              <w:t>(</w:t>
            </w:r>
            <w:r>
              <w:rPr>
                <w:sz w:val="20"/>
                <w:szCs w:val="20"/>
              </w:rPr>
              <w:t>1.3</w:t>
            </w:r>
            <w:r>
              <w:rPr>
                <w:sz w:val="20"/>
                <w:szCs w:val="20"/>
              </w:rPr>
              <w:t>9</w:t>
            </w:r>
          </w:p>
        </w:tc>
        <w:tc>
          <w:tcPr>
            <w:tcW w:w="0" w:type="auto"/>
            <w:vAlign w:val="bottom"/>
            <w:hideMark/>
          </w:tcPr>
          <w:p w:rsidR="00000000" w:rsidRDefault="00F83A7A">
            <w:pPr>
              <w:pStyle w:val="a3"/>
              <w:spacing w:before="0" w:beforeAutospacing="0" w:after="0" w:afterAutospacing="0"/>
              <w:rPr>
                <w:sz w:val="20"/>
                <w:szCs w:val="20"/>
              </w:rPr>
            </w:pPr>
            <w:r>
              <w:rPr>
                <w:sz w:val="20"/>
                <w:szCs w:val="20"/>
              </w:rPr>
              <w:t>)</w:t>
            </w:r>
          </w:p>
        </w:tc>
      </w:tr>
    </w:tbl>
    <w:p w:rsidR="00000000" w:rsidRDefault="00F83A7A">
      <w:pPr>
        <w:pStyle w:val="a3"/>
        <w:spacing w:before="200" w:beforeAutospacing="0" w:after="0" w:afterAutospacing="0"/>
        <w:jc w:val="both"/>
        <w:divId w:val="114491646"/>
        <w:rPr>
          <w:sz w:val="20"/>
          <w:szCs w:val="20"/>
        </w:rPr>
      </w:pPr>
      <w:r>
        <w:rPr>
          <w:sz w:val="20"/>
          <w:szCs w:val="20"/>
        </w:rPr>
        <w:t>Net income (loss) per common share is determined by dividing net income (loss) attributable to common stockholders by the basic and diluted weighted-average common shares outstanding during the period. The Company applies the two-class method to allocate e</w:t>
      </w:r>
      <w:r>
        <w:rPr>
          <w:sz w:val="20"/>
          <w:szCs w:val="20"/>
        </w:rPr>
        <w:t>arnings between common stock and participating securities</w:t>
      </w:r>
      <w:r>
        <w:rPr>
          <w:sz w:val="20"/>
          <w:szCs w:val="20"/>
        </w:rPr>
        <w:t>.</w:t>
      </w:r>
    </w:p>
    <w:p w:rsidR="00000000" w:rsidRDefault="00F83A7A">
      <w:pPr>
        <w:pStyle w:val="a3"/>
        <w:spacing w:before="0" w:beforeAutospacing="0" w:after="0" w:afterAutospacing="0"/>
        <w:jc w:val="both"/>
        <w:divId w:val="114491646"/>
        <w:rPr>
          <w:sz w:val="20"/>
          <w:szCs w:val="20"/>
        </w:rPr>
      </w:pPr>
      <w:r>
        <w:rPr>
          <w:sz w:val="20"/>
          <w:szCs w:val="20"/>
        </w:rPr>
        <w:t> </w:t>
      </w:r>
    </w:p>
    <w:p w:rsidR="00000000" w:rsidRDefault="00F83A7A">
      <w:pPr>
        <w:pStyle w:val="a3"/>
        <w:spacing w:before="0" w:beforeAutospacing="0" w:after="0" w:afterAutospacing="0"/>
        <w:jc w:val="both"/>
        <w:divId w:val="114491646"/>
        <w:rPr>
          <w:sz w:val="20"/>
          <w:szCs w:val="20"/>
        </w:rPr>
      </w:pPr>
      <w:r>
        <w:rPr>
          <w:sz w:val="20"/>
          <w:szCs w:val="20"/>
        </w:rPr>
        <w:t>Net income (loss) per diluted share attributable to common stockholders adjusts the basic earnings per share attributable to common stockholders and the weighted-average number of shares of commo</w:t>
      </w:r>
      <w:r>
        <w:rPr>
          <w:sz w:val="20"/>
          <w:szCs w:val="20"/>
        </w:rPr>
        <w:t>n stock outstanding for the potential dilutive impact of stock options using the treasury-stock method</w:t>
      </w:r>
      <w:r>
        <w:rPr>
          <w:sz w:val="20"/>
          <w:szCs w:val="20"/>
        </w:rPr>
        <w:t>.</w:t>
      </w:r>
    </w:p>
    <w:p w:rsidR="00000000" w:rsidRDefault="00F83A7A">
      <w:pPr>
        <w:pStyle w:val="a3"/>
        <w:spacing w:before="0" w:beforeAutospacing="0" w:after="0" w:afterAutospacing="0"/>
        <w:jc w:val="both"/>
        <w:rPr>
          <w:sz w:val="20"/>
          <w:szCs w:val="20"/>
        </w:rPr>
      </w:pPr>
      <w:r>
        <w:rPr>
          <w:sz w:val="20"/>
          <w:szCs w:val="20"/>
        </w:rPr>
        <w:t> </w:t>
      </w:r>
    </w:p>
    <w:p w:rsidR="00000000" w:rsidRDefault="00F83A7A">
      <w:pPr>
        <w:pStyle w:val="a3"/>
        <w:spacing w:before="0" w:beforeAutospacing="0" w:after="0" w:afterAutospacing="0"/>
        <w:jc w:val="both"/>
        <w:divId w:val="413936660"/>
        <w:rPr>
          <w:sz w:val="20"/>
          <w:szCs w:val="20"/>
        </w:rPr>
      </w:pPr>
      <w:r>
        <w:rPr>
          <w:b/>
          <w:bCs/>
          <w:sz w:val="20"/>
          <w:szCs w:val="20"/>
        </w:rPr>
        <w:t>NOTE 13 – SUBSEQUENT EVENT</w:t>
      </w:r>
      <w:r>
        <w:rPr>
          <w:b/>
          <w:bCs/>
          <w:sz w:val="20"/>
          <w:szCs w:val="20"/>
        </w:rPr>
        <w:t>S</w:t>
      </w:r>
    </w:p>
    <w:p w:rsidR="00000000" w:rsidRDefault="00F83A7A">
      <w:pPr>
        <w:pStyle w:val="a3"/>
        <w:spacing w:before="200" w:beforeAutospacing="0" w:after="0" w:afterAutospacing="0"/>
        <w:jc w:val="both"/>
        <w:divId w:val="413936660"/>
        <w:rPr>
          <w:sz w:val="20"/>
          <w:szCs w:val="20"/>
        </w:rPr>
      </w:pPr>
      <w:r>
        <w:rPr>
          <w:i/>
          <w:iCs/>
          <w:sz w:val="20"/>
          <w:szCs w:val="20"/>
        </w:rPr>
        <w:t>Equity Award</w:t>
      </w:r>
      <w:r>
        <w:rPr>
          <w:i/>
          <w:iCs/>
          <w:sz w:val="20"/>
          <w:szCs w:val="20"/>
        </w:rPr>
        <w:t>s</w:t>
      </w:r>
    </w:p>
    <w:p w:rsidR="00000000" w:rsidRDefault="00F83A7A">
      <w:pPr>
        <w:pStyle w:val="a3"/>
        <w:spacing w:before="200" w:beforeAutospacing="0" w:after="0" w:afterAutospacing="0"/>
        <w:jc w:val="both"/>
        <w:divId w:val="413936660"/>
        <w:rPr>
          <w:sz w:val="20"/>
          <w:szCs w:val="20"/>
        </w:rPr>
      </w:pPr>
      <w:r>
        <w:rPr>
          <w:sz w:val="20"/>
          <w:szCs w:val="20"/>
        </w:rPr>
        <w:t xml:space="preserve">From January 1, 2022 </w:t>
      </w:r>
      <w:r>
        <w:rPr>
          <w:sz w:val="20"/>
          <w:szCs w:val="20"/>
        </w:rPr>
        <w:t>t</w:t>
      </w:r>
      <w:r>
        <w:rPr>
          <w:sz w:val="20"/>
          <w:szCs w:val="20"/>
        </w:rPr>
        <w:t>hrough the date of the filing of this Form 10-K, the Company has granted option awards</w:t>
      </w:r>
      <w:r>
        <w:rPr>
          <w:sz w:val="20"/>
          <w:szCs w:val="20"/>
        </w:rPr>
        <w:t xml:space="preserve"> for an aggregate of</w:t>
      </w:r>
      <w:r>
        <w:rPr>
          <w:sz w:val="20"/>
          <w:szCs w:val="20"/>
        </w:rPr>
        <w:t xml:space="preserve"> </w:t>
      </w:r>
      <w:r>
        <w:rPr>
          <w:sz w:val="20"/>
          <w:szCs w:val="20"/>
        </w:rPr>
        <w:t>2,351,75</w:t>
      </w:r>
      <w:r>
        <w:rPr>
          <w:sz w:val="20"/>
          <w:szCs w:val="20"/>
        </w:rPr>
        <w:t>0</w:t>
      </w:r>
      <w:r>
        <w:rPr>
          <w:sz w:val="20"/>
          <w:szCs w:val="20"/>
        </w:rPr>
        <w:t xml:space="preserve"> shares of common stock to employees with a weighted average exercise price of </w:t>
      </w:r>
      <w:r>
        <w:rPr>
          <w:sz w:val="20"/>
          <w:szCs w:val="20"/>
        </w:rPr>
        <w:t>$</w:t>
      </w:r>
      <w:r>
        <w:rPr>
          <w:sz w:val="20"/>
          <w:szCs w:val="20"/>
        </w:rPr>
        <w:t>2.7</w:t>
      </w:r>
      <w:r>
        <w:rPr>
          <w:sz w:val="20"/>
          <w:szCs w:val="20"/>
        </w:rPr>
        <w:t>3</w:t>
      </w:r>
      <w:r>
        <w:rPr>
          <w:sz w:val="20"/>
          <w:szCs w:val="20"/>
        </w:rPr>
        <w:t>.</w:t>
      </w:r>
    </w:p>
    <w:p w:rsidR="00000000" w:rsidRDefault="00F83A7A">
      <w:pPr>
        <w:pStyle w:val="a3"/>
        <w:spacing w:before="200" w:beforeAutospacing="0" w:after="0" w:afterAutospacing="0"/>
        <w:jc w:val="both"/>
        <w:divId w:val="413936660"/>
        <w:rPr>
          <w:sz w:val="20"/>
          <w:szCs w:val="20"/>
        </w:rPr>
      </w:pPr>
      <w:r>
        <w:rPr>
          <w:i/>
          <w:iCs/>
          <w:sz w:val="20"/>
          <w:szCs w:val="20"/>
        </w:rPr>
        <w:t>Healx License Agreemen</w:t>
      </w:r>
      <w:r>
        <w:rPr>
          <w:i/>
          <w:iCs/>
          <w:sz w:val="20"/>
          <w:szCs w:val="20"/>
        </w:rPr>
        <w:t>t</w:t>
      </w:r>
    </w:p>
    <w:p w:rsidR="00000000" w:rsidRDefault="00F83A7A">
      <w:pPr>
        <w:pStyle w:val="a3"/>
        <w:spacing w:before="200" w:beforeAutospacing="0" w:after="0" w:afterAutospacing="0"/>
        <w:jc w:val="both"/>
        <w:divId w:val="413936660"/>
        <w:rPr>
          <w:sz w:val="20"/>
          <w:szCs w:val="20"/>
        </w:rPr>
      </w:pPr>
      <w:r>
        <w:rPr>
          <w:sz w:val="20"/>
          <w:szCs w:val="20"/>
        </w:rPr>
        <w:t>On February 1, 2022, the Company entered into an agreement with Healx, whereby Healx has secured from the Company, a</w:t>
      </w:r>
      <w:r>
        <w:rPr>
          <w:sz w:val="20"/>
          <w:szCs w:val="20"/>
        </w:rPr>
        <w:t>n exclusive option to license rights to develop and commercialize gaboxodol. Under the agreement, Healx plans to investigate the compound as part of a potential combination therapy for Fragile X syndrome, as well as a treatment for other indications. Shoul</w:t>
      </w:r>
      <w:r>
        <w:rPr>
          <w:sz w:val="20"/>
          <w:szCs w:val="20"/>
        </w:rPr>
        <w:t>d Healx exercise its option, the Company will receive milestone payments for specific clinical, regulatory, and commercial achievements associated with gaboxodol's development. Additionally, Healx will pay the Company tiered royalties on net sales associat</w:t>
      </w:r>
      <w:r>
        <w:rPr>
          <w:sz w:val="20"/>
          <w:szCs w:val="20"/>
        </w:rPr>
        <w:t>ed with marketed therapies containing gaboxodol. The Company retained the option to become Healx's co-development and co-commercialization partner and will share net profits and losses in lieu of the milestones and royalty payments</w:t>
      </w:r>
      <w:r>
        <w:rPr>
          <w:sz w:val="20"/>
          <w:szCs w:val="20"/>
        </w:rPr>
        <w:t>.</w:t>
      </w:r>
    </w:p>
    <w:p w:rsidR="00000000" w:rsidRDefault="00F83A7A">
      <w:pPr>
        <w:pStyle w:val="a3"/>
        <w:spacing w:before="200" w:beforeAutospacing="0" w:after="0" w:afterAutospacing="0"/>
        <w:jc w:val="both"/>
        <w:divId w:val="413936660"/>
        <w:rPr>
          <w:sz w:val="20"/>
          <w:szCs w:val="20"/>
        </w:rPr>
      </w:pPr>
      <w:r>
        <w:rPr>
          <w:i/>
          <w:iCs/>
          <w:sz w:val="20"/>
          <w:szCs w:val="20"/>
        </w:rPr>
        <w:t>Amendment to Lundbeck Agreemen</w:t>
      </w:r>
      <w:r>
        <w:rPr>
          <w:i/>
          <w:iCs/>
          <w:sz w:val="20"/>
          <w:szCs w:val="20"/>
        </w:rPr>
        <w:t>t</w:t>
      </w:r>
    </w:p>
    <w:p w:rsidR="00000000" w:rsidRDefault="00F83A7A">
      <w:pPr>
        <w:pStyle w:val="a3"/>
        <w:spacing w:before="200" w:beforeAutospacing="0" w:after="0" w:afterAutospacing="0"/>
        <w:jc w:val="both"/>
        <w:divId w:val="413936660"/>
        <w:rPr>
          <w:sz w:val="20"/>
          <w:szCs w:val="20"/>
        </w:rPr>
      </w:pPr>
      <w:r>
        <w:rPr>
          <w:sz w:val="20"/>
          <w:szCs w:val="20"/>
        </w:rPr>
        <w:t>On February 1, 2022, the Company amended the Lundbeck agreement with Amendment No. 3 due to certain changes required to be made following the execution and allowing the effective performance of the Healx License and Option A</w:t>
      </w:r>
      <w:r>
        <w:rPr>
          <w:sz w:val="20"/>
          <w:szCs w:val="20"/>
        </w:rPr>
        <w:t>greement. Under the terms of Amendment No. 3, the Company will owe Lundbeck a share of all milestone and royalty payments received from Healx if the Company chooses not to opt into the program. If the Company chooses to exercise the option to co-develop an</w:t>
      </w:r>
      <w:r>
        <w:rPr>
          <w:sz w:val="20"/>
          <w:szCs w:val="20"/>
        </w:rPr>
        <w:t>d co-commercialize the program with Healx, the Company will owe a share of the net profit share to Lundbeck. If the Healx License and Option Agreement is not executed within thirty (30) days of this Amendment No. 3 or terminated, Article 1 of Amendment No.</w:t>
      </w:r>
      <w:r>
        <w:rPr>
          <w:sz w:val="20"/>
          <w:szCs w:val="20"/>
        </w:rPr>
        <w:t>3 shall become null and void</w:t>
      </w:r>
      <w:r>
        <w:rPr>
          <w:sz w:val="20"/>
          <w:szCs w:val="20"/>
        </w:rPr>
        <w:t>.</w:t>
      </w:r>
    </w:p>
    <w:p w:rsidR="00000000" w:rsidRDefault="00F83A7A">
      <w:pPr>
        <w:pStyle w:val="a3"/>
        <w:spacing w:before="200" w:beforeAutospacing="0" w:after="0" w:afterAutospacing="0"/>
        <w:jc w:val="both"/>
        <w:divId w:val="413936660"/>
        <w:rPr>
          <w:sz w:val="20"/>
          <w:szCs w:val="20"/>
        </w:rPr>
      </w:pPr>
      <w:r>
        <w:rPr>
          <w:i/>
          <w:iCs/>
          <w:sz w:val="20"/>
          <w:szCs w:val="20"/>
        </w:rPr>
        <w:t>Out-License Agreement with Marinus Pharmaceutical</w:t>
      </w:r>
      <w:r>
        <w:rPr>
          <w:i/>
          <w:iCs/>
          <w:sz w:val="20"/>
          <w:szCs w:val="20"/>
        </w:rPr>
        <w:t>s</w:t>
      </w:r>
    </w:p>
    <w:p w:rsidR="00000000" w:rsidRDefault="00F83A7A">
      <w:pPr>
        <w:pStyle w:val="a3"/>
        <w:spacing w:before="240" w:beforeAutospacing="0" w:after="0" w:afterAutospacing="0"/>
        <w:jc w:val="center"/>
        <w:divId w:val="413936660"/>
        <w:rPr>
          <w:sz w:val="20"/>
          <w:szCs w:val="20"/>
        </w:rPr>
      </w:pPr>
      <w:r>
        <w:rPr>
          <w:sz w:val="20"/>
          <w:szCs w:val="20"/>
        </w:rPr>
        <w:t>F</w:t>
      </w:r>
      <w:r>
        <w:rPr>
          <w:sz w:val="20"/>
          <w:szCs w:val="20"/>
        </w:rPr>
        <w:t>-</w:t>
      </w:r>
      <w:r>
        <w:rPr>
          <w:sz w:val="20"/>
          <w:szCs w:val="20"/>
        </w:rPr>
        <w:t>2</w:t>
      </w:r>
      <w:r>
        <w:rPr>
          <w:sz w:val="20"/>
          <w:szCs w:val="20"/>
        </w:rPr>
        <w:t>2</w:t>
      </w:r>
    </w:p>
    <w:p w:rsidR="00000000" w:rsidRDefault="00F83A7A">
      <w:pPr>
        <w:divId w:val="413936660"/>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F83A7A">
      <w:pPr>
        <w:pStyle w:val="a3"/>
        <w:spacing w:before="0" w:beforeAutospacing="0" w:after="0" w:afterAutospacing="0"/>
        <w:ind w:left="1547"/>
        <w:divId w:val="413936660"/>
        <w:rPr>
          <w:sz w:val="20"/>
          <w:szCs w:val="20"/>
        </w:rPr>
      </w:pPr>
      <w:r>
        <w:rPr>
          <w:sz w:val="20"/>
          <w:szCs w:val="20"/>
        </w:rPr>
        <w:t> </w:t>
      </w:r>
    </w:p>
    <w:p w:rsidR="00000000" w:rsidRDefault="00F83A7A">
      <w:pPr>
        <w:pStyle w:val="a3"/>
        <w:spacing w:before="200" w:beforeAutospacing="0" w:after="0" w:afterAutospacing="0"/>
        <w:jc w:val="both"/>
        <w:divId w:val="413936660"/>
        <w:rPr>
          <w:sz w:val="20"/>
          <w:szCs w:val="20"/>
        </w:rPr>
      </w:pPr>
      <w:r>
        <w:rPr>
          <w:sz w:val="20"/>
          <w:szCs w:val="20"/>
        </w:rPr>
        <w:t>On March 1, 2022, we entered into an exclusive patent license agreement with Marinus Pharmaceuticals, Inc. or the Marinus License Ag</w:t>
      </w:r>
      <w:r>
        <w:rPr>
          <w:sz w:val="20"/>
          <w:szCs w:val="20"/>
        </w:rPr>
        <w:t>reement. Under the Marinus License Agreement, we granted Marinus an exclusive, non-transferable (except as expressly provided therein), royalty-bearing right and license under certain Ovid patents relating to ganaxolone to develop, make, have made, commerc</w:t>
      </w:r>
      <w:r>
        <w:rPr>
          <w:sz w:val="20"/>
          <w:szCs w:val="20"/>
        </w:rPr>
        <w:t>ialize, promote, distribute, sell, offer for sale and import licensed products in the territory (which consist of the United States, the European Economic Area, United Kingdom and Switzerland) for the treatment of CDKL5 deficiency disorders in humans. Foll</w:t>
      </w:r>
      <w:r>
        <w:rPr>
          <w:sz w:val="20"/>
          <w:szCs w:val="20"/>
        </w:rPr>
        <w:t xml:space="preserve">owing the potential date of regulatory approval by the FDA of the first licensed product in the territory, Marinus will, at our option, (i) pay to us the sum of </w:t>
      </w:r>
      <w:r>
        <w:rPr>
          <w:sz w:val="20"/>
          <w:szCs w:val="20"/>
        </w:rPr>
        <w:t>$</w:t>
      </w:r>
      <w:r>
        <w:rPr>
          <w:sz w:val="20"/>
          <w:szCs w:val="20"/>
        </w:rPr>
        <w:t>1,500,00</w:t>
      </w:r>
      <w:r>
        <w:rPr>
          <w:sz w:val="20"/>
          <w:szCs w:val="20"/>
        </w:rPr>
        <w:t>0</w:t>
      </w:r>
      <w:r>
        <w:rPr>
          <w:sz w:val="20"/>
          <w:szCs w:val="20"/>
        </w:rPr>
        <w:t xml:space="preserve"> in cash; or (ii) issue us</w:t>
      </w:r>
      <w:r>
        <w:rPr>
          <w:sz w:val="20"/>
          <w:szCs w:val="20"/>
        </w:rPr>
        <w:t xml:space="preserve"> </w:t>
      </w:r>
      <w:r>
        <w:rPr>
          <w:sz w:val="20"/>
          <w:szCs w:val="20"/>
        </w:rPr>
        <w:t>123,25</w:t>
      </w:r>
      <w:r>
        <w:rPr>
          <w:sz w:val="20"/>
          <w:szCs w:val="20"/>
        </w:rPr>
        <w:t>5</w:t>
      </w:r>
      <w:r>
        <w:rPr>
          <w:sz w:val="20"/>
          <w:szCs w:val="20"/>
        </w:rPr>
        <w:t xml:space="preserve"> shares of Marinus common stock, par value </w:t>
      </w:r>
      <w:r>
        <w:rPr>
          <w:sz w:val="20"/>
          <w:szCs w:val="20"/>
        </w:rPr>
        <w:t>$</w:t>
      </w:r>
      <w:r>
        <w:rPr>
          <w:sz w:val="20"/>
          <w:szCs w:val="20"/>
        </w:rPr>
        <w:t>0.00</w:t>
      </w:r>
      <w:r>
        <w:rPr>
          <w:sz w:val="20"/>
          <w:szCs w:val="20"/>
        </w:rPr>
        <w:t>1</w:t>
      </w:r>
      <w:r>
        <w:rPr>
          <w:sz w:val="20"/>
          <w:szCs w:val="20"/>
        </w:rPr>
        <w:t xml:space="preserve"> p</w:t>
      </w:r>
      <w:r>
        <w:rPr>
          <w:sz w:val="20"/>
          <w:szCs w:val="20"/>
        </w:rPr>
        <w:t>er share. The Marinus License Agreement also provides for payment of royalties from Marinus to us in single digits on net sales of each such licensed product sold.</w:t>
      </w:r>
      <w:r>
        <w:rPr>
          <w:sz w:val="20"/>
          <w:szCs w:val="20"/>
        </w:rPr>
        <w:t>.</w:t>
      </w:r>
    </w:p>
    <w:p w:rsidR="00000000" w:rsidRDefault="00F83A7A">
      <w:pPr>
        <w:pStyle w:val="a3"/>
        <w:spacing w:before="200" w:beforeAutospacing="0" w:after="0" w:afterAutospacing="0"/>
        <w:jc w:val="both"/>
        <w:divId w:val="413936660"/>
        <w:rPr>
          <w:sz w:val="20"/>
          <w:szCs w:val="20"/>
        </w:rPr>
      </w:pPr>
      <w:r>
        <w:rPr>
          <w:i/>
          <w:iCs/>
          <w:sz w:val="20"/>
          <w:szCs w:val="20"/>
        </w:rPr>
        <w:t>Corporate Expense Reduction Initiativ</w:t>
      </w:r>
      <w:r>
        <w:rPr>
          <w:i/>
          <w:iCs/>
          <w:sz w:val="20"/>
          <w:szCs w:val="20"/>
        </w:rPr>
        <w:t>e</w:t>
      </w:r>
    </w:p>
    <w:p w:rsidR="00000000" w:rsidRDefault="00F83A7A">
      <w:pPr>
        <w:pStyle w:val="a3"/>
        <w:spacing w:before="200" w:beforeAutospacing="0" w:after="0" w:afterAutospacing="0"/>
        <w:jc w:val="both"/>
        <w:divId w:val="413936660"/>
        <w:rPr>
          <w:sz w:val="20"/>
          <w:szCs w:val="20"/>
        </w:rPr>
      </w:pPr>
      <w:r>
        <w:rPr>
          <w:sz w:val="20"/>
          <w:szCs w:val="20"/>
        </w:rPr>
        <w:t>On March 15, 2022, the Company announced it is resha</w:t>
      </w:r>
      <w:r>
        <w:rPr>
          <w:sz w:val="20"/>
          <w:szCs w:val="20"/>
        </w:rPr>
        <w:t>ping the organization to focus resources primarily on the advancement of its epilepsy and seizure-related programs. The organizational changes will reduce the Company’s workforce by approximately</w:t>
      </w:r>
      <w:r>
        <w:rPr>
          <w:sz w:val="20"/>
          <w:szCs w:val="20"/>
        </w:rPr>
        <w:t xml:space="preserve"> </w:t>
      </w:r>
      <w:r>
        <w:rPr>
          <w:sz w:val="20"/>
          <w:szCs w:val="20"/>
        </w:rPr>
        <w:t>2</w:t>
      </w:r>
      <w:r>
        <w:rPr>
          <w:sz w:val="20"/>
          <w:szCs w:val="20"/>
        </w:rPr>
        <w:t>0</w:t>
      </w:r>
      <w:r>
        <w:rPr>
          <w:sz w:val="20"/>
          <w:szCs w:val="20"/>
        </w:rPr>
        <w:t>%</w:t>
      </w:r>
      <w:r>
        <w:rPr>
          <w:sz w:val="20"/>
          <w:szCs w:val="20"/>
        </w:rPr>
        <w:t>.</w:t>
      </w:r>
    </w:p>
    <w:p w:rsidR="00000000" w:rsidRDefault="00F83A7A">
      <w:pPr>
        <w:pStyle w:val="a3"/>
        <w:spacing w:before="240" w:beforeAutospacing="0" w:after="0" w:afterAutospacing="0"/>
        <w:jc w:val="center"/>
        <w:rPr>
          <w:sz w:val="20"/>
          <w:szCs w:val="20"/>
        </w:rPr>
      </w:pPr>
      <w:r>
        <w:rPr>
          <w:sz w:val="20"/>
          <w:szCs w:val="20"/>
        </w:rPr>
        <w:t>F</w:t>
      </w:r>
      <w:r>
        <w:rPr>
          <w:sz w:val="20"/>
          <w:szCs w:val="20"/>
        </w:rPr>
        <w:t>-</w:t>
      </w:r>
      <w:r>
        <w:rPr>
          <w:sz w:val="20"/>
          <w:szCs w:val="20"/>
        </w:rPr>
        <w:t>2</w:t>
      </w:r>
      <w:r>
        <w:rPr>
          <w:sz w:val="20"/>
          <w:szCs w:val="20"/>
        </w:rPr>
        <w:t>3</w:t>
      </w:r>
    </w:p>
    <w:p w:rsidR="00F83A7A" w:rsidRDefault="00F83A7A">
      <w:pPr>
        <w:rPr>
          <w:rFonts w:eastAsia="Times New Roman"/>
        </w:rPr>
      </w:pPr>
      <w:r>
        <w:rPr>
          <w:rFonts w:eastAsia="Times New Roman"/>
        </w:rPr>
        <w:pict>
          <v:rect id="_x0000_i1119" style="width:0;height:1.5pt" o:hralign="center" o:hrstd="t" o:hr="t" fillcolor="#a0a0a0" stroked="f"/>
        </w:pict>
      </w:r>
    </w:p>
    <w:sectPr w:rsidR="00F83A7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83A7A"/>
    <w:rsid w:val="00F83A7A"/>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1q4"/>
  <w:attachedSchema w:val="http://fasb.org/us-gaap/2021-01-31"/>
  <w:attachedSchema w:val="http://www.xbrl.org/2003/iso4217"/>
  <w:attachedSchema w:val="http://xbrl.org/2020/extensible-enumerations-2.0"/>
  <w:attachedSchema w:val="http://www.xbrl.org/dtr/type/2020-01-21"/>
  <w:attachedSchema w:val="http://fasb.org/srt/2021-01-31"/>
  <w:attachedSchema w:val="http://www.ovidrx.com/202112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325">
      <w:marLeft w:val="3"/>
      <w:marRight w:val="0"/>
      <w:marTop w:val="120"/>
      <w:marBottom w:val="0"/>
      <w:divBdr>
        <w:top w:val="none" w:sz="0" w:space="0" w:color="auto"/>
        <w:left w:val="none" w:sz="0" w:space="0" w:color="auto"/>
        <w:bottom w:val="none" w:sz="0" w:space="0" w:color="auto"/>
        <w:right w:val="none" w:sz="0" w:space="0" w:color="auto"/>
      </w:divBdr>
      <w:divsChild>
        <w:div w:id="1807117790">
          <w:marLeft w:val="0"/>
          <w:marRight w:val="0"/>
          <w:marTop w:val="0"/>
          <w:marBottom w:val="0"/>
          <w:divBdr>
            <w:top w:val="none" w:sz="0" w:space="0" w:color="auto"/>
            <w:left w:val="none" w:sz="0" w:space="0" w:color="auto"/>
            <w:bottom w:val="none" w:sz="0" w:space="0" w:color="auto"/>
            <w:right w:val="none" w:sz="0" w:space="0" w:color="auto"/>
          </w:divBdr>
        </w:div>
      </w:divsChild>
    </w:div>
    <w:div w:id="14813584">
      <w:marLeft w:val="4"/>
      <w:marRight w:val="0"/>
      <w:marTop w:val="120"/>
      <w:marBottom w:val="0"/>
      <w:divBdr>
        <w:top w:val="none" w:sz="0" w:space="0" w:color="auto"/>
        <w:left w:val="none" w:sz="0" w:space="0" w:color="auto"/>
        <w:bottom w:val="none" w:sz="0" w:space="0" w:color="auto"/>
        <w:right w:val="none" w:sz="0" w:space="0" w:color="auto"/>
      </w:divBdr>
      <w:divsChild>
        <w:div w:id="1523545703">
          <w:marLeft w:val="0"/>
          <w:marRight w:val="0"/>
          <w:marTop w:val="0"/>
          <w:marBottom w:val="0"/>
          <w:divBdr>
            <w:top w:val="none" w:sz="0" w:space="0" w:color="auto"/>
            <w:left w:val="none" w:sz="0" w:space="0" w:color="auto"/>
            <w:bottom w:val="none" w:sz="0" w:space="0" w:color="auto"/>
            <w:right w:val="none" w:sz="0" w:space="0" w:color="auto"/>
          </w:divBdr>
        </w:div>
      </w:divsChild>
    </w:div>
    <w:div w:id="15011452">
      <w:marLeft w:val="4"/>
      <w:marRight w:val="0"/>
      <w:marTop w:val="120"/>
      <w:marBottom w:val="0"/>
      <w:divBdr>
        <w:top w:val="none" w:sz="0" w:space="0" w:color="auto"/>
        <w:left w:val="none" w:sz="0" w:space="0" w:color="auto"/>
        <w:bottom w:val="none" w:sz="0" w:space="0" w:color="auto"/>
        <w:right w:val="none" w:sz="0" w:space="0" w:color="auto"/>
      </w:divBdr>
      <w:divsChild>
        <w:div w:id="1847818465">
          <w:marLeft w:val="0"/>
          <w:marRight w:val="0"/>
          <w:marTop w:val="0"/>
          <w:marBottom w:val="0"/>
          <w:divBdr>
            <w:top w:val="none" w:sz="0" w:space="0" w:color="auto"/>
            <w:left w:val="none" w:sz="0" w:space="0" w:color="auto"/>
            <w:bottom w:val="none" w:sz="0" w:space="0" w:color="auto"/>
            <w:right w:val="none" w:sz="0" w:space="0" w:color="auto"/>
          </w:divBdr>
        </w:div>
      </w:divsChild>
    </w:div>
    <w:div w:id="15349428">
      <w:marLeft w:val="4"/>
      <w:marRight w:val="0"/>
      <w:marTop w:val="120"/>
      <w:marBottom w:val="0"/>
      <w:divBdr>
        <w:top w:val="none" w:sz="0" w:space="0" w:color="auto"/>
        <w:left w:val="none" w:sz="0" w:space="0" w:color="auto"/>
        <w:bottom w:val="none" w:sz="0" w:space="0" w:color="auto"/>
        <w:right w:val="none" w:sz="0" w:space="0" w:color="auto"/>
      </w:divBdr>
      <w:divsChild>
        <w:div w:id="1284311691">
          <w:marLeft w:val="0"/>
          <w:marRight w:val="0"/>
          <w:marTop w:val="0"/>
          <w:marBottom w:val="0"/>
          <w:divBdr>
            <w:top w:val="none" w:sz="0" w:space="0" w:color="auto"/>
            <w:left w:val="none" w:sz="0" w:space="0" w:color="auto"/>
            <w:bottom w:val="none" w:sz="0" w:space="0" w:color="auto"/>
            <w:right w:val="none" w:sz="0" w:space="0" w:color="auto"/>
          </w:divBdr>
        </w:div>
      </w:divsChild>
    </w:div>
    <w:div w:id="19404033">
      <w:marLeft w:val="4"/>
      <w:marRight w:val="0"/>
      <w:marTop w:val="120"/>
      <w:marBottom w:val="0"/>
      <w:divBdr>
        <w:top w:val="none" w:sz="0" w:space="0" w:color="auto"/>
        <w:left w:val="none" w:sz="0" w:space="0" w:color="auto"/>
        <w:bottom w:val="none" w:sz="0" w:space="0" w:color="auto"/>
        <w:right w:val="none" w:sz="0" w:space="0" w:color="auto"/>
      </w:divBdr>
      <w:divsChild>
        <w:div w:id="375547754">
          <w:marLeft w:val="0"/>
          <w:marRight w:val="0"/>
          <w:marTop w:val="0"/>
          <w:marBottom w:val="0"/>
          <w:divBdr>
            <w:top w:val="none" w:sz="0" w:space="0" w:color="auto"/>
            <w:left w:val="none" w:sz="0" w:space="0" w:color="auto"/>
            <w:bottom w:val="none" w:sz="0" w:space="0" w:color="auto"/>
            <w:right w:val="none" w:sz="0" w:space="0" w:color="auto"/>
          </w:divBdr>
        </w:div>
      </w:divsChild>
    </w:div>
    <w:div w:id="25720364">
      <w:marLeft w:val="4"/>
      <w:marRight w:val="0"/>
      <w:marTop w:val="120"/>
      <w:marBottom w:val="0"/>
      <w:divBdr>
        <w:top w:val="none" w:sz="0" w:space="0" w:color="auto"/>
        <w:left w:val="none" w:sz="0" w:space="0" w:color="auto"/>
        <w:bottom w:val="none" w:sz="0" w:space="0" w:color="auto"/>
        <w:right w:val="none" w:sz="0" w:space="0" w:color="auto"/>
      </w:divBdr>
      <w:divsChild>
        <w:div w:id="2128811423">
          <w:marLeft w:val="0"/>
          <w:marRight w:val="0"/>
          <w:marTop w:val="0"/>
          <w:marBottom w:val="0"/>
          <w:divBdr>
            <w:top w:val="none" w:sz="0" w:space="0" w:color="auto"/>
            <w:left w:val="none" w:sz="0" w:space="0" w:color="auto"/>
            <w:bottom w:val="none" w:sz="0" w:space="0" w:color="auto"/>
            <w:right w:val="none" w:sz="0" w:space="0" w:color="auto"/>
          </w:divBdr>
        </w:div>
      </w:divsChild>
    </w:div>
    <w:div w:id="34041679">
      <w:marLeft w:val="4"/>
      <w:marRight w:val="0"/>
      <w:marTop w:val="120"/>
      <w:marBottom w:val="0"/>
      <w:divBdr>
        <w:top w:val="none" w:sz="0" w:space="0" w:color="auto"/>
        <w:left w:val="none" w:sz="0" w:space="0" w:color="auto"/>
        <w:bottom w:val="none" w:sz="0" w:space="0" w:color="auto"/>
        <w:right w:val="none" w:sz="0" w:space="0" w:color="auto"/>
      </w:divBdr>
      <w:divsChild>
        <w:div w:id="1954938947">
          <w:marLeft w:val="0"/>
          <w:marRight w:val="0"/>
          <w:marTop w:val="0"/>
          <w:marBottom w:val="0"/>
          <w:divBdr>
            <w:top w:val="none" w:sz="0" w:space="0" w:color="auto"/>
            <w:left w:val="none" w:sz="0" w:space="0" w:color="auto"/>
            <w:bottom w:val="none" w:sz="0" w:space="0" w:color="auto"/>
            <w:right w:val="none" w:sz="0" w:space="0" w:color="auto"/>
          </w:divBdr>
        </w:div>
      </w:divsChild>
    </w:div>
    <w:div w:id="37701476">
      <w:marLeft w:val="4"/>
      <w:marRight w:val="0"/>
      <w:marTop w:val="120"/>
      <w:marBottom w:val="0"/>
      <w:divBdr>
        <w:top w:val="none" w:sz="0" w:space="0" w:color="auto"/>
        <w:left w:val="none" w:sz="0" w:space="0" w:color="auto"/>
        <w:bottom w:val="none" w:sz="0" w:space="0" w:color="auto"/>
        <w:right w:val="none" w:sz="0" w:space="0" w:color="auto"/>
      </w:divBdr>
      <w:divsChild>
        <w:div w:id="506871909">
          <w:marLeft w:val="0"/>
          <w:marRight w:val="0"/>
          <w:marTop w:val="0"/>
          <w:marBottom w:val="0"/>
          <w:divBdr>
            <w:top w:val="none" w:sz="0" w:space="0" w:color="auto"/>
            <w:left w:val="none" w:sz="0" w:space="0" w:color="auto"/>
            <w:bottom w:val="none" w:sz="0" w:space="0" w:color="auto"/>
            <w:right w:val="none" w:sz="0" w:space="0" w:color="auto"/>
          </w:divBdr>
        </w:div>
      </w:divsChild>
    </w:div>
    <w:div w:id="44137021">
      <w:marLeft w:val="4"/>
      <w:marRight w:val="0"/>
      <w:marTop w:val="120"/>
      <w:marBottom w:val="0"/>
      <w:divBdr>
        <w:top w:val="none" w:sz="0" w:space="0" w:color="auto"/>
        <w:left w:val="none" w:sz="0" w:space="0" w:color="auto"/>
        <w:bottom w:val="none" w:sz="0" w:space="0" w:color="auto"/>
        <w:right w:val="none" w:sz="0" w:space="0" w:color="auto"/>
      </w:divBdr>
      <w:divsChild>
        <w:div w:id="359166143">
          <w:marLeft w:val="0"/>
          <w:marRight w:val="0"/>
          <w:marTop w:val="0"/>
          <w:marBottom w:val="0"/>
          <w:divBdr>
            <w:top w:val="none" w:sz="0" w:space="0" w:color="auto"/>
            <w:left w:val="none" w:sz="0" w:space="0" w:color="auto"/>
            <w:bottom w:val="none" w:sz="0" w:space="0" w:color="auto"/>
            <w:right w:val="none" w:sz="0" w:space="0" w:color="auto"/>
          </w:divBdr>
        </w:div>
      </w:divsChild>
    </w:div>
    <w:div w:id="44985500">
      <w:marLeft w:val="4"/>
      <w:marRight w:val="0"/>
      <w:marTop w:val="120"/>
      <w:marBottom w:val="0"/>
      <w:divBdr>
        <w:top w:val="none" w:sz="0" w:space="0" w:color="auto"/>
        <w:left w:val="none" w:sz="0" w:space="0" w:color="auto"/>
        <w:bottom w:val="none" w:sz="0" w:space="0" w:color="auto"/>
        <w:right w:val="none" w:sz="0" w:space="0" w:color="auto"/>
      </w:divBdr>
      <w:divsChild>
        <w:div w:id="1636985673">
          <w:marLeft w:val="0"/>
          <w:marRight w:val="0"/>
          <w:marTop w:val="0"/>
          <w:marBottom w:val="0"/>
          <w:divBdr>
            <w:top w:val="none" w:sz="0" w:space="0" w:color="auto"/>
            <w:left w:val="none" w:sz="0" w:space="0" w:color="auto"/>
            <w:bottom w:val="none" w:sz="0" w:space="0" w:color="auto"/>
            <w:right w:val="none" w:sz="0" w:space="0" w:color="auto"/>
          </w:divBdr>
        </w:div>
      </w:divsChild>
    </w:div>
    <w:div w:id="54009184">
      <w:marLeft w:val="4"/>
      <w:marRight w:val="0"/>
      <w:marTop w:val="120"/>
      <w:marBottom w:val="0"/>
      <w:divBdr>
        <w:top w:val="none" w:sz="0" w:space="0" w:color="auto"/>
        <w:left w:val="none" w:sz="0" w:space="0" w:color="auto"/>
        <w:bottom w:val="none" w:sz="0" w:space="0" w:color="auto"/>
        <w:right w:val="none" w:sz="0" w:space="0" w:color="auto"/>
      </w:divBdr>
      <w:divsChild>
        <w:div w:id="1344896856">
          <w:marLeft w:val="0"/>
          <w:marRight w:val="0"/>
          <w:marTop w:val="0"/>
          <w:marBottom w:val="0"/>
          <w:divBdr>
            <w:top w:val="none" w:sz="0" w:space="0" w:color="auto"/>
            <w:left w:val="none" w:sz="0" w:space="0" w:color="auto"/>
            <w:bottom w:val="none" w:sz="0" w:space="0" w:color="auto"/>
            <w:right w:val="none" w:sz="0" w:space="0" w:color="auto"/>
          </w:divBdr>
        </w:div>
      </w:divsChild>
    </w:div>
    <w:div w:id="57096235">
      <w:marLeft w:val="9"/>
      <w:marRight w:val="0"/>
      <w:marTop w:val="120"/>
      <w:marBottom w:val="0"/>
      <w:divBdr>
        <w:top w:val="none" w:sz="0" w:space="0" w:color="auto"/>
        <w:left w:val="none" w:sz="0" w:space="0" w:color="auto"/>
        <w:bottom w:val="none" w:sz="0" w:space="0" w:color="auto"/>
        <w:right w:val="none" w:sz="0" w:space="0" w:color="auto"/>
      </w:divBdr>
      <w:divsChild>
        <w:div w:id="527915194">
          <w:marLeft w:val="0"/>
          <w:marRight w:val="0"/>
          <w:marTop w:val="0"/>
          <w:marBottom w:val="0"/>
          <w:divBdr>
            <w:top w:val="none" w:sz="0" w:space="0" w:color="auto"/>
            <w:left w:val="none" w:sz="0" w:space="0" w:color="auto"/>
            <w:bottom w:val="none" w:sz="0" w:space="0" w:color="auto"/>
            <w:right w:val="none" w:sz="0" w:space="0" w:color="auto"/>
          </w:divBdr>
        </w:div>
      </w:divsChild>
    </w:div>
    <w:div w:id="57561108">
      <w:marLeft w:val="4"/>
      <w:marRight w:val="0"/>
      <w:marTop w:val="120"/>
      <w:marBottom w:val="0"/>
      <w:divBdr>
        <w:top w:val="none" w:sz="0" w:space="0" w:color="auto"/>
        <w:left w:val="none" w:sz="0" w:space="0" w:color="auto"/>
        <w:bottom w:val="none" w:sz="0" w:space="0" w:color="auto"/>
        <w:right w:val="none" w:sz="0" w:space="0" w:color="auto"/>
      </w:divBdr>
      <w:divsChild>
        <w:div w:id="1433356950">
          <w:marLeft w:val="0"/>
          <w:marRight w:val="0"/>
          <w:marTop w:val="0"/>
          <w:marBottom w:val="0"/>
          <w:divBdr>
            <w:top w:val="none" w:sz="0" w:space="0" w:color="auto"/>
            <w:left w:val="none" w:sz="0" w:space="0" w:color="auto"/>
            <w:bottom w:val="none" w:sz="0" w:space="0" w:color="auto"/>
            <w:right w:val="none" w:sz="0" w:space="0" w:color="auto"/>
          </w:divBdr>
        </w:div>
      </w:divsChild>
    </w:div>
    <w:div w:id="60058501">
      <w:marLeft w:val="4"/>
      <w:marRight w:val="0"/>
      <w:marTop w:val="120"/>
      <w:marBottom w:val="0"/>
      <w:divBdr>
        <w:top w:val="none" w:sz="0" w:space="0" w:color="auto"/>
        <w:left w:val="none" w:sz="0" w:space="0" w:color="auto"/>
        <w:bottom w:val="none" w:sz="0" w:space="0" w:color="auto"/>
        <w:right w:val="none" w:sz="0" w:space="0" w:color="auto"/>
      </w:divBdr>
      <w:divsChild>
        <w:div w:id="1305238271">
          <w:marLeft w:val="0"/>
          <w:marRight w:val="0"/>
          <w:marTop w:val="0"/>
          <w:marBottom w:val="0"/>
          <w:divBdr>
            <w:top w:val="none" w:sz="0" w:space="0" w:color="auto"/>
            <w:left w:val="none" w:sz="0" w:space="0" w:color="auto"/>
            <w:bottom w:val="none" w:sz="0" w:space="0" w:color="auto"/>
            <w:right w:val="none" w:sz="0" w:space="0" w:color="auto"/>
          </w:divBdr>
        </w:div>
      </w:divsChild>
    </w:div>
    <w:div w:id="65298802">
      <w:marLeft w:val="4"/>
      <w:marRight w:val="0"/>
      <w:marTop w:val="120"/>
      <w:marBottom w:val="0"/>
      <w:divBdr>
        <w:top w:val="none" w:sz="0" w:space="0" w:color="auto"/>
        <w:left w:val="none" w:sz="0" w:space="0" w:color="auto"/>
        <w:bottom w:val="none" w:sz="0" w:space="0" w:color="auto"/>
        <w:right w:val="none" w:sz="0" w:space="0" w:color="auto"/>
      </w:divBdr>
      <w:divsChild>
        <w:div w:id="913011340">
          <w:marLeft w:val="0"/>
          <w:marRight w:val="0"/>
          <w:marTop w:val="0"/>
          <w:marBottom w:val="0"/>
          <w:divBdr>
            <w:top w:val="none" w:sz="0" w:space="0" w:color="auto"/>
            <w:left w:val="none" w:sz="0" w:space="0" w:color="auto"/>
            <w:bottom w:val="none" w:sz="0" w:space="0" w:color="auto"/>
            <w:right w:val="none" w:sz="0" w:space="0" w:color="auto"/>
          </w:divBdr>
        </w:div>
      </w:divsChild>
    </w:div>
    <w:div w:id="79109911">
      <w:marLeft w:val="4"/>
      <w:marRight w:val="0"/>
      <w:marTop w:val="120"/>
      <w:marBottom w:val="0"/>
      <w:divBdr>
        <w:top w:val="none" w:sz="0" w:space="0" w:color="auto"/>
        <w:left w:val="none" w:sz="0" w:space="0" w:color="auto"/>
        <w:bottom w:val="none" w:sz="0" w:space="0" w:color="auto"/>
        <w:right w:val="none" w:sz="0" w:space="0" w:color="auto"/>
      </w:divBdr>
      <w:divsChild>
        <w:div w:id="1746681313">
          <w:marLeft w:val="0"/>
          <w:marRight w:val="0"/>
          <w:marTop w:val="0"/>
          <w:marBottom w:val="0"/>
          <w:divBdr>
            <w:top w:val="none" w:sz="0" w:space="0" w:color="auto"/>
            <w:left w:val="none" w:sz="0" w:space="0" w:color="auto"/>
            <w:bottom w:val="none" w:sz="0" w:space="0" w:color="auto"/>
            <w:right w:val="none" w:sz="0" w:space="0" w:color="auto"/>
          </w:divBdr>
        </w:div>
      </w:divsChild>
    </w:div>
    <w:div w:id="93283891">
      <w:marLeft w:val="4"/>
      <w:marRight w:val="0"/>
      <w:marTop w:val="120"/>
      <w:marBottom w:val="0"/>
      <w:divBdr>
        <w:top w:val="none" w:sz="0" w:space="0" w:color="auto"/>
        <w:left w:val="none" w:sz="0" w:space="0" w:color="auto"/>
        <w:bottom w:val="none" w:sz="0" w:space="0" w:color="auto"/>
        <w:right w:val="none" w:sz="0" w:space="0" w:color="auto"/>
      </w:divBdr>
      <w:divsChild>
        <w:div w:id="1201164110">
          <w:marLeft w:val="0"/>
          <w:marRight w:val="0"/>
          <w:marTop w:val="0"/>
          <w:marBottom w:val="0"/>
          <w:divBdr>
            <w:top w:val="none" w:sz="0" w:space="0" w:color="auto"/>
            <w:left w:val="none" w:sz="0" w:space="0" w:color="auto"/>
            <w:bottom w:val="none" w:sz="0" w:space="0" w:color="auto"/>
            <w:right w:val="none" w:sz="0" w:space="0" w:color="auto"/>
          </w:divBdr>
        </w:div>
      </w:divsChild>
    </w:div>
    <w:div w:id="100996182">
      <w:marLeft w:val="4"/>
      <w:marRight w:val="0"/>
      <w:marTop w:val="120"/>
      <w:marBottom w:val="0"/>
      <w:divBdr>
        <w:top w:val="none" w:sz="0" w:space="0" w:color="auto"/>
        <w:left w:val="none" w:sz="0" w:space="0" w:color="auto"/>
        <w:bottom w:val="none" w:sz="0" w:space="0" w:color="auto"/>
        <w:right w:val="none" w:sz="0" w:space="0" w:color="auto"/>
      </w:divBdr>
      <w:divsChild>
        <w:div w:id="670568396">
          <w:marLeft w:val="0"/>
          <w:marRight w:val="0"/>
          <w:marTop w:val="0"/>
          <w:marBottom w:val="0"/>
          <w:divBdr>
            <w:top w:val="none" w:sz="0" w:space="0" w:color="auto"/>
            <w:left w:val="none" w:sz="0" w:space="0" w:color="auto"/>
            <w:bottom w:val="none" w:sz="0" w:space="0" w:color="auto"/>
            <w:right w:val="none" w:sz="0" w:space="0" w:color="auto"/>
          </w:divBdr>
        </w:div>
      </w:divsChild>
    </w:div>
    <w:div w:id="104816468">
      <w:marLeft w:val="4"/>
      <w:marRight w:val="0"/>
      <w:marTop w:val="120"/>
      <w:marBottom w:val="0"/>
      <w:divBdr>
        <w:top w:val="none" w:sz="0" w:space="0" w:color="auto"/>
        <w:left w:val="none" w:sz="0" w:space="0" w:color="auto"/>
        <w:bottom w:val="none" w:sz="0" w:space="0" w:color="auto"/>
        <w:right w:val="none" w:sz="0" w:space="0" w:color="auto"/>
      </w:divBdr>
      <w:divsChild>
        <w:div w:id="6565191">
          <w:marLeft w:val="0"/>
          <w:marRight w:val="0"/>
          <w:marTop w:val="0"/>
          <w:marBottom w:val="0"/>
          <w:divBdr>
            <w:top w:val="none" w:sz="0" w:space="0" w:color="auto"/>
            <w:left w:val="none" w:sz="0" w:space="0" w:color="auto"/>
            <w:bottom w:val="none" w:sz="0" w:space="0" w:color="auto"/>
            <w:right w:val="none" w:sz="0" w:space="0" w:color="auto"/>
          </w:divBdr>
        </w:div>
      </w:divsChild>
    </w:div>
    <w:div w:id="107045366">
      <w:marLeft w:val="4"/>
      <w:marRight w:val="0"/>
      <w:marTop w:val="120"/>
      <w:marBottom w:val="0"/>
      <w:divBdr>
        <w:top w:val="none" w:sz="0" w:space="0" w:color="auto"/>
        <w:left w:val="none" w:sz="0" w:space="0" w:color="auto"/>
        <w:bottom w:val="none" w:sz="0" w:space="0" w:color="auto"/>
        <w:right w:val="none" w:sz="0" w:space="0" w:color="auto"/>
      </w:divBdr>
      <w:divsChild>
        <w:div w:id="2079090255">
          <w:marLeft w:val="0"/>
          <w:marRight w:val="0"/>
          <w:marTop w:val="0"/>
          <w:marBottom w:val="0"/>
          <w:divBdr>
            <w:top w:val="none" w:sz="0" w:space="0" w:color="auto"/>
            <w:left w:val="none" w:sz="0" w:space="0" w:color="auto"/>
            <w:bottom w:val="none" w:sz="0" w:space="0" w:color="auto"/>
            <w:right w:val="none" w:sz="0" w:space="0" w:color="auto"/>
          </w:divBdr>
        </w:div>
      </w:divsChild>
    </w:div>
    <w:div w:id="108161466">
      <w:marLeft w:val="4"/>
      <w:marRight w:val="0"/>
      <w:marTop w:val="120"/>
      <w:marBottom w:val="0"/>
      <w:divBdr>
        <w:top w:val="none" w:sz="0" w:space="0" w:color="auto"/>
        <w:left w:val="none" w:sz="0" w:space="0" w:color="auto"/>
        <w:bottom w:val="none" w:sz="0" w:space="0" w:color="auto"/>
        <w:right w:val="none" w:sz="0" w:space="0" w:color="auto"/>
      </w:divBdr>
      <w:divsChild>
        <w:div w:id="1646859522">
          <w:marLeft w:val="0"/>
          <w:marRight w:val="0"/>
          <w:marTop w:val="0"/>
          <w:marBottom w:val="0"/>
          <w:divBdr>
            <w:top w:val="none" w:sz="0" w:space="0" w:color="auto"/>
            <w:left w:val="none" w:sz="0" w:space="0" w:color="auto"/>
            <w:bottom w:val="none" w:sz="0" w:space="0" w:color="auto"/>
            <w:right w:val="none" w:sz="0" w:space="0" w:color="auto"/>
          </w:divBdr>
        </w:div>
      </w:divsChild>
    </w:div>
    <w:div w:id="114491646">
      <w:marLeft w:val="0"/>
      <w:marRight w:val="0"/>
      <w:marTop w:val="0"/>
      <w:marBottom w:val="0"/>
      <w:divBdr>
        <w:top w:val="none" w:sz="0" w:space="0" w:color="auto"/>
        <w:left w:val="none" w:sz="0" w:space="0" w:color="auto"/>
        <w:bottom w:val="none" w:sz="0" w:space="0" w:color="auto"/>
        <w:right w:val="none" w:sz="0" w:space="0" w:color="auto"/>
      </w:divBdr>
      <w:divsChild>
        <w:div w:id="1010832058">
          <w:marLeft w:val="0"/>
          <w:marRight w:val="0"/>
          <w:marTop w:val="0"/>
          <w:marBottom w:val="0"/>
          <w:divBdr>
            <w:top w:val="none" w:sz="0" w:space="0" w:color="auto"/>
            <w:left w:val="none" w:sz="0" w:space="0" w:color="auto"/>
            <w:bottom w:val="none" w:sz="0" w:space="0" w:color="auto"/>
            <w:right w:val="none" w:sz="0" w:space="0" w:color="auto"/>
          </w:divBdr>
        </w:div>
      </w:divsChild>
    </w:div>
    <w:div w:id="120156900">
      <w:marLeft w:val="4"/>
      <w:marRight w:val="0"/>
      <w:marTop w:val="120"/>
      <w:marBottom w:val="0"/>
      <w:divBdr>
        <w:top w:val="none" w:sz="0" w:space="0" w:color="auto"/>
        <w:left w:val="none" w:sz="0" w:space="0" w:color="auto"/>
        <w:bottom w:val="none" w:sz="0" w:space="0" w:color="auto"/>
        <w:right w:val="none" w:sz="0" w:space="0" w:color="auto"/>
      </w:divBdr>
      <w:divsChild>
        <w:div w:id="1587835852">
          <w:marLeft w:val="0"/>
          <w:marRight w:val="0"/>
          <w:marTop w:val="0"/>
          <w:marBottom w:val="0"/>
          <w:divBdr>
            <w:top w:val="none" w:sz="0" w:space="0" w:color="auto"/>
            <w:left w:val="none" w:sz="0" w:space="0" w:color="auto"/>
            <w:bottom w:val="none" w:sz="0" w:space="0" w:color="auto"/>
            <w:right w:val="none" w:sz="0" w:space="0" w:color="auto"/>
          </w:divBdr>
        </w:div>
      </w:divsChild>
    </w:div>
    <w:div w:id="122190095">
      <w:marLeft w:val="4"/>
      <w:marRight w:val="0"/>
      <w:marTop w:val="120"/>
      <w:marBottom w:val="0"/>
      <w:divBdr>
        <w:top w:val="none" w:sz="0" w:space="0" w:color="auto"/>
        <w:left w:val="none" w:sz="0" w:space="0" w:color="auto"/>
        <w:bottom w:val="none" w:sz="0" w:space="0" w:color="auto"/>
        <w:right w:val="none" w:sz="0" w:space="0" w:color="auto"/>
      </w:divBdr>
      <w:divsChild>
        <w:div w:id="1964727546">
          <w:marLeft w:val="0"/>
          <w:marRight w:val="0"/>
          <w:marTop w:val="0"/>
          <w:marBottom w:val="0"/>
          <w:divBdr>
            <w:top w:val="none" w:sz="0" w:space="0" w:color="auto"/>
            <w:left w:val="none" w:sz="0" w:space="0" w:color="auto"/>
            <w:bottom w:val="none" w:sz="0" w:space="0" w:color="auto"/>
            <w:right w:val="none" w:sz="0" w:space="0" w:color="auto"/>
          </w:divBdr>
        </w:div>
      </w:divsChild>
    </w:div>
    <w:div w:id="124664884">
      <w:marLeft w:val="4"/>
      <w:marRight w:val="0"/>
      <w:marTop w:val="120"/>
      <w:marBottom w:val="0"/>
      <w:divBdr>
        <w:top w:val="none" w:sz="0" w:space="0" w:color="auto"/>
        <w:left w:val="none" w:sz="0" w:space="0" w:color="auto"/>
        <w:bottom w:val="none" w:sz="0" w:space="0" w:color="auto"/>
        <w:right w:val="none" w:sz="0" w:space="0" w:color="auto"/>
      </w:divBdr>
      <w:divsChild>
        <w:div w:id="823744465">
          <w:marLeft w:val="0"/>
          <w:marRight w:val="0"/>
          <w:marTop w:val="0"/>
          <w:marBottom w:val="0"/>
          <w:divBdr>
            <w:top w:val="none" w:sz="0" w:space="0" w:color="auto"/>
            <w:left w:val="none" w:sz="0" w:space="0" w:color="auto"/>
            <w:bottom w:val="none" w:sz="0" w:space="0" w:color="auto"/>
            <w:right w:val="none" w:sz="0" w:space="0" w:color="auto"/>
          </w:divBdr>
        </w:div>
      </w:divsChild>
    </w:div>
    <w:div w:id="135225415">
      <w:marLeft w:val="0"/>
      <w:marRight w:val="0"/>
      <w:marTop w:val="0"/>
      <w:marBottom w:val="0"/>
      <w:divBdr>
        <w:top w:val="none" w:sz="0" w:space="0" w:color="auto"/>
        <w:left w:val="none" w:sz="0" w:space="0" w:color="auto"/>
        <w:bottom w:val="none" w:sz="0" w:space="0" w:color="auto"/>
        <w:right w:val="none" w:sz="0" w:space="0" w:color="auto"/>
      </w:divBdr>
      <w:divsChild>
        <w:div w:id="2010599137">
          <w:marLeft w:val="0"/>
          <w:marRight w:val="0"/>
          <w:marTop w:val="0"/>
          <w:marBottom w:val="0"/>
          <w:divBdr>
            <w:top w:val="none" w:sz="0" w:space="0" w:color="auto"/>
            <w:left w:val="none" w:sz="0" w:space="0" w:color="auto"/>
            <w:bottom w:val="none" w:sz="0" w:space="0" w:color="auto"/>
            <w:right w:val="none" w:sz="0" w:space="0" w:color="auto"/>
          </w:divBdr>
        </w:div>
        <w:div w:id="1014579470">
          <w:marLeft w:val="0"/>
          <w:marRight w:val="0"/>
          <w:marTop w:val="0"/>
          <w:marBottom w:val="0"/>
          <w:divBdr>
            <w:top w:val="none" w:sz="0" w:space="0" w:color="auto"/>
            <w:left w:val="none" w:sz="0" w:space="0" w:color="auto"/>
            <w:bottom w:val="none" w:sz="0" w:space="0" w:color="auto"/>
            <w:right w:val="none" w:sz="0" w:space="0" w:color="auto"/>
          </w:divBdr>
        </w:div>
        <w:div w:id="1393962361">
          <w:marLeft w:val="0"/>
          <w:marRight w:val="0"/>
          <w:marTop w:val="0"/>
          <w:marBottom w:val="0"/>
          <w:divBdr>
            <w:top w:val="none" w:sz="0" w:space="0" w:color="auto"/>
            <w:left w:val="none" w:sz="0" w:space="0" w:color="auto"/>
            <w:bottom w:val="none" w:sz="0" w:space="0" w:color="auto"/>
            <w:right w:val="none" w:sz="0" w:space="0" w:color="auto"/>
          </w:divBdr>
        </w:div>
        <w:div w:id="322322491">
          <w:marLeft w:val="0"/>
          <w:marRight w:val="0"/>
          <w:marTop w:val="0"/>
          <w:marBottom w:val="0"/>
          <w:divBdr>
            <w:top w:val="none" w:sz="0" w:space="0" w:color="auto"/>
            <w:left w:val="none" w:sz="0" w:space="0" w:color="auto"/>
            <w:bottom w:val="none" w:sz="0" w:space="0" w:color="auto"/>
            <w:right w:val="none" w:sz="0" w:space="0" w:color="auto"/>
          </w:divBdr>
        </w:div>
        <w:div w:id="1130441061">
          <w:marLeft w:val="0"/>
          <w:marRight w:val="0"/>
          <w:marTop w:val="0"/>
          <w:marBottom w:val="0"/>
          <w:divBdr>
            <w:top w:val="none" w:sz="0" w:space="0" w:color="auto"/>
            <w:left w:val="none" w:sz="0" w:space="0" w:color="auto"/>
            <w:bottom w:val="none" w:sz="0" w:space="0" w:color="auto"/>
            <w:right w:val="none" w:sz="0" w:space="0" w:color="auto"/>
          </w:divBdr>
        </w:div>
        <w:div w:id="652874273">
          <w:marLeft w:val="0"/>
          <w:marRight w:val="0"/>
          <w:marTop w:val="0"/>
          <w:marBottom w:val="0"/>
          <w:divBdr>
            <w:top w:val="none" w:sz="0" w:space="0" w:color="auto"/>
            <w:left w:val="none" w:sz="0" w:space="0" w:color="auto"/>
            <w:bottom w:val="none" w:sz="0" w:space="0" w:color="auto"/>
            <w:right w:val="none" w:sz="0" w:space="0" w:color="auto"/>
          </w:divBdr>
        </w:div>
        <w:div w:id="11273340">
          <w:marLeft w:val="0"/>
          <w:marRight w:val="0"/>
          <w:marTop w:val="0"/>
          <w:marBottom w:val="0"/>
          <w:divBdr>
            <w:top w:val="none" w:sz="0" w:space="0" w:color="auto"/>
            <w:left w:val="none" w:sz="0" w:space="0" w:color="auto"/>
            <w:bottom w:val="none" w:sz="0" w:space="0" w:color="auto"/>
            <w:right w:val="none" w:sz="0" w:space="0" w:color="auto"/>
          </w:divBdr>
        </w:div>
        <w:div w:id="19818847">
          <w:marLeft w:val="0"/>
          <w:marRight w:val="0"/>
          <w:marTop w:val="0"/>
          <w:marBottom w:val="0"/>
          <w:divBdr>
            <w:top w:val="none" w:sz="0" w:space="0" w:color="auto"/>
            <w:left w:val="none" w:sz="0" w:space="0" w:color="auto"/>
            <w:bottom w:val="none" w:sz="0" w:space="0" w:color="auto"/>
            <w:right w:val="none" w:sz="0" w:space="0" w:color="auto"/>
          </w:divBdr>
        </w:div>
        <w:div w:id="272175489">
          <w:marLeft w:val="0"/>
          <w:marRight w:val="0"/>
          <w:marTop w:val="0"/>
          <w:marBottom w:val="0"/>
          <w:divBdr>
            <w:top w:val="none" w:sz="0" w:space="0" w:color="auto"/>
            <w:left w:val="none" w:sz="0" w:space="0" w:color="auto"/>
            <w:bottom w:val="none" w:sz="0" w:space="0" w:color="auto"/>
            <w:right w:val="none" w:sz="0" w:space="0" w:color="auto"/>
          </w:divBdr>
        </w:div>
        <w:div w:id="51663885">
          <w:marLeft w:val="0"/>
          <w:marRight w:val="0"/>
          <w:marTop w:val="0"/>
          <w:marBottom w:val="0"/>
          <w:divBdr>
            <w:top w:val="none" w:sz="0" w:space="0" w:color="auto"/>
            <w:left w:val="none" w:sz="0" w:space="0" w:color="auto"/>
            <w:bottom w:val="none" w:sz="0" w:space="0" w:color="auto"/>
            <w:right w:val="none" w:sz="0" w:space="0" w:color="auto"/>
          </w:divBdr>
        </w:div>
        <w:div w:id="158624492">
          <w:marLeft w:val="0"/>
          <w:marRight w:val="0"/>
          <w:marTop w:val="0"/>
          <w:marBottom w:val="0"/>
          <w:divBdr>
            <w:top w:val="none" w:sz="0" w:space="0" w:color="auto"/>
            <w:left w:val="none" w:sz="0" w:space="0" w:color="auto"/>
            <w:bottom w:val="none" w:sz="0" w:space="0" w:color="auto"/>
            <w:right w:val="none" w:sz="0" w:space="0" w:color="auto"/>
          </w:divBdr>
        </w:div>
        <w:div w:id="2053653286">
          <w:marLeft w:val="0"/>
          <w:marRight w:val="0"/>
          <w:marTop w:val="0"/>
          <w:marBottom w:val="0"/>
          <w:divBdr>
            <w:top w:val="none" w:sz="0" w:space="0" w:color="auto"/>
            <w:left w:val="none" w:sz="0" w:space="0" w:color="auto"/>
            <w:bottom w:val="none" w:sz="0" w:space="0" w:color="auto"/>
            <w:right w:val="none" w:sz="0" w:space="0" w:color="auto"/>
          </w:divBdr>
        </w:div>
        <w:div w:id="451173984">
          <w:marLeft w:val="0"/>
          <w:marRight w:val="0"/>
          <w:marTop w:val="0"/>
          <w:marBottom w:val="0"/>
          <w:divBdr>
            <w:top w:val="none" w:sz="0" w:space="0" w:color="auto"/>
            <w:left w:val="none" w:sz="0" w:space="0" w:color="auto"/>
            <w:bottom w:val="none" w:sz="0" w:space="0" w:color="auto"/>
            <w:right w:val="none" w:sz="0" w:space="0" w:color="auto"/>
          </w:divBdr>
        </w:div>
        <w:div w:id="174420397">
          <w:marLeft w:val="0"/>
          <w:marRight w:val="0"/>
          <w:marTop w:val="0"/>
          <w:marBottom w:val="0"/>
          <w:divBdr>
            <w:top w:val="none" w:sz="0" w:space="0" w:color="auto"/>
            <w:left w:val="none" w:sz="0" w:space="0" w:color="auto"/>
            <w:bottom w:val="none" w:sz="0" w:space="0" w:color="auto"/>
            <w:right w:val="none" w:sz="0" w:space="0" w:color="auto"/>
          </w:divBdr>
          <w:divsChild>
            <w:div w:id="100610712">
              <w:marLeft w:val="4"/>
              <w:marRight w:val="0"/>
              <w:marTop w:val="120"/>
              <w:marBottom w:val="0"/>
              <w:divBdr>
                <w:top w:val="none" w:sz="0" w:space="0" w:color="auto"/>
                <w:left w:val="none" w:sz="0" w:space="0" w:color="auto"/>
                <w:bottom w:val="none" w:sz="0" w:space="0" w:color="auto"/>
                <w:right w:val="none" w:sz="0" w:space="0" w:color="auto"/>
              </w:divBdr>
              <w:divsChild>
                <w:div w:id="628585440">
                  <w:marLeft w:val="0"/>
                  <w:marRight w:val="0"/>
                  <w:marTop w:val="0"/>
                  <w:marBottom w:val="0"/>
                  <w:divBdr>
                    <w:top w:val="none" w:sz="0" w:space="0" w:color="auto"/>
                    <w:left w:val="none" w:sz="0" w:space="0" w:color="auto"/>
                    <w:bottom w:val="none" w:sz="0" w:space="0" w:color="auto"/>
                    <w:right w:val="none" w:sz="0" w:space="0" w:color="auto"/>
                  </w:divBdr>
                </w:div>
              </w:divsChild>
            </w:div>
            <w:div w:id="1923369641">
              <w:marLeft w:val="4"/>
              <w:marRight w:val="0"/>
              <w:marTop w:val="120"/>
              <w:marBottom w:val="0"/>
              <w:divBdr>
                <w:top w:val="none" w:sz="0" w:space="0" w:color="auto"/>
                <w:left w:val="none" w:sz="0" w:space="0" w:color="auto"/>
                <w:bottom w:val="none" w:sz="0" w:space="0" w:color="auto"/>
                <w:right w:val="none" w:sz="0" w:space="0" w:color="auto"/>
              </w:divBdr>
              <w:divsChild>
                <w:div w:id="216012080">
                  <w:marLeft w:val="0"/>
                  <w:marRight w:val="0"/>
                  <w:marTop w:val="0"/>
                  <w:marBottom w:val="0"/>
                  <w:divBdr>
                    <w:top w:val="none" w:sz="0" w:space="0" w:color="auto"/>
                    <w:left w:val="none" w:sz="0" w:space="0" w:color="auto"/>
                    <w:bottom w:val="none" w:sz="0" w:space="0" w:color="auto"/>
                    <w:right w:val="none" w:sz="0" w:space="0" w:color="auto"/>
                  </w:divBdr>
                </w:div>
              </w:divsChild>
            </w:div>
            <w:div w:id="311368037">
              <w:marLeft w:val="4"/>
              <w:marRight w:val="0"/>
              <w:marTop w:val="120"/>
              <w:marBottom w:val="0"/>
              <w:divBdr>
                <w:top w:val="none" w:sz="0" w:space="0" w:color="auto"/>
                <w:left w:val="none" w:sz="0" w:space="0" w:color="auto"/>
                <w:bottom w:val="none" w:sz="0" w:space="0" w:color="auto"/>
                <w:right w:val="none" w:sz="0" w:space="0" w:color="auto"/>
              </w:divBdr>
              <w:divsChild>
                <w:div w:id="1445539870">
                  <w:marLeft w:val="0"/>
                  <w:marRight w:val="0"/>
                  <w:marTop w:val="0"/>
                  <w:marBottom w:val="0"/>
                  <w:divBdr>
                    <w:top w:val="none" w:sz="0" w:space="0" w:color="auto"/>
                    <w:left w:val="none" w:sz="0" w:space="0" w:color="auto"/>
                    <w:bottom w:val="none" w:sz="0" w:space="0" w:color="auto"/>
                    <w:right w:val="none" w:sz="0" w:space="0" w:color="auto"/>
                  </w:divBdr>
                </w:div>
              </w:divsChild>
            </w:div>
            <w:div w:id="1587760601">
              <w:marLeft w:val="4"/>
              <w:marRight w:val="0"/>
              <w:marTop w:val="120"/>
              <w:marBottom w:val="0"/>
              <w:divBdr>
                <w:top w:val="none" w:sz="0" w:space="0" w:color="auto"/>
                <w:left w:val="none" w:sz="0" w:space="0" w:color="auto"/>
                <w:bottom w:val="none" w:sz="0" w:space="0" w:color="auto"/>
                <w:right w:val="none" w:sz="0" w:space="0" w:color="auto"/>
              </w:divBdr>
              <w:divsChild>
                <w:div w:id="13762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12037">
          <w:marLeft w:val="0"/>
          <w:marRight w:val="0"/>
          <w:marTop w:val="0"/>
          <w:marBottom w:val="0"/>
          <w:divBdr>
            <w:top w:val="none" w:sz="0" w:space="0" w:color="auto"/>
            <w:left w:val="none" w:sz="0" w:space="0" w:color="auto"/>
            <w:bottom w:val="none" w:sz="0" w:space="0" w:color="auto"/>
            <w:right w:val="none" w:sz="0" w:space="0" w:color="auto"/>
          </w:divBdr>
        </w:div>
        <w:div w:id="204483695">
          <w:marLeft w:val="0"/>
          <w:marRight w:val="0"/>
          <w:marTop w:val="0"/>
          <w:marBottom w:val="0"/>
          <w:divBdr>
            <w:top w:val="none" w:sz="0" w:space="0" w:color="auto"/>
            <w:left w:val="none" w:sz="0" w:space="0" w:color="auto"/>
            <w:bottom w:val="none" w:sz="0" w:space="0" w:color="auto"/>
            <w:right w:val="none" w:sz="0" w:space="0" w:color="auto"/>
          </w:divBdr>
          <w:divsChild>
            <w:div w:id="346910364">
              <w:marLeft w:val="0"/>
              <w:marRight w:val="0"/>
              <w:marTop w:val="0"/>
              <w:marBottom w:val="0"/>
              <w:divBdr>
                <w:top w:val="none" w:sz="0" w:space="0" w:color="auto"/>
                <w:left w:val="none" w:sz="0" w:space="0" w:color="auto"/>
                <w:bottom w:val="none" w:sz="0" w:space="0" w:color="auto"/>
                <w:right w:val="none" w:sz="0" w:space="0" w:color="auto"/>
              </w:divBdr>
            </w:div>
          </w:divsChild>
        </w:div>
        <w:div w:id="845023281">
          <w:marLeft w:val="0"/>
          <w:marRight w:val="0"/>
          <w:marTop w:val="0"/>
          <w:marBottom w:val="0"/>
          <w:divBdr>
            <w:top w:val="none" w:sz="0" w:space="0" w:color="auto"/>
            <w:left w:val="none" w:sz="0" w:space="0" w:color="auto"/>
            <w:bottom w:val="none" w:sz="0" w:space="0" w:color="auto"/>
            <w:right w:val="none" w:sz="0" w:space="0" w:color="auto"/>
          </w:divBdr>
        </w:div>
        <w:div w:id="976690574">
          <w:marLeft w:val="0"/>
          <w:marRight w:val="0"/>
          <w:marTop w:val="0"/>
          <w:marBottom w:val="0"/>
          <w:divBdr>
            <w:top w:val="none" w:sz="0" w:space="0" w:color="auto"/>
            <w:left w:val="none" w:sz="0" w:space="0" w:color="auto"/>
            <w:bottom w:val="none" w:sz="0" w:space="0" w:color="auto"/>
            <w:right w:val="none" w:sz="0" w:space="0" w:color="auto"/>
          </w:divBdr>
        </w:div>
        <w:div w:id="1745033565">
          <w:marLeft w:val="0"/>
          <w:marRight w:val="0"/>
          <w:marTop w:val="0"/>
          <w:marBottom w:val="0"/>
          <w:divBdr>
            <w:top w:val="none" w:sz="0" w:space="0" w:color="auto"/>
            <w:left w:val="none" w:sz="0" w:space="0" w:color="auto"/>
            <w:bottom w:val="none" w:sz="0" w:space="0" w:color="auto"/>
            <w:right w:val="none" w:sz="0" w:space="0" w:color="auto"/>
          </w:divBdr>
        </w:div>
        <w:div w:id="493646506">
          <w:marLeft w:val="0"/>
          <w:marRight w:val="0"/>
          <w:marTop w:val="0"/>
          <w:marBottom w:val="0"/>
          <w:divBdr>
            <w:top w:val="none" w:sz="0" w:space="0" w:color="auto"/>
            <w:left w:val="none" w:sz="0" w:space="0" w:color="auto"/>
            <w:bottom w:val="none" w:sz="0" w:space="0" w:color="auto"/>
            <w:right w:val="none" w:sz="0" w:space="0" w:color="auto"/>
          </w:divBdr>
        </w:div>
      </w:divsChild>
    </w:div>
    <w:div w:id="137919515">
      <w:marLeft w:val="4"/>
      <w:marRight w:val="0"/>
      <w:marTop w:val="120"/>
      <w:marBottom w:val="0"/>
      <w:divBdr>
        <w:top w:val="none" w:sz="0" w:space="0" w:color="auto"/>
        <w:left w:val="none" w:sz="0" w:space="0" w:color="auto"/>
        <w:bottom w:val="none" w:sz="0" w:space="0" w:color="auto"/>
        <w:right w:val="none" w:sz="0" w:space="0" w:color="auto"/>
      </w:divBdr>
      <w:divsChild>
        <w:div w:id="1969044030">
          <w:marLeft w:val="0"/>
          <w:marRight w:val="0"/>
          <w:marTop w:val="0"/>
          <w:marBottom w:val="0"/>
          <w:divBdr>
            <w:top w:val="none" w:sz="0" w:space="0" w:color="auto"/>
            <w:left w:val="none" w:sz="0" w:space="0" w:color="auto"/>
            <w:bottom w:val="none" w:sz="0" w:space="0" w:color="auto"/>
            <w:right w:val="none" w:sz="0" w:space="0" w:color="auto"/>
          </w:divBdr>
        </w:div>
      </w:divsChild>
    </w:div>
    <w:div w:id="148400569">
      <w:marLeft w:val="4"/>
      <w:marRight w:val="0"/>
      <w:marTop w:val="120"/>
      <w:marBottom w:val="0"/>
      <w:divBdr>
        <w:top w:val="none" w:sz="0" w:space="0" w:color="auto"/>
        <w:left w:val="none" w:sz="0" w:space="0" w:color="auto"/>
        <w:bottom w:val="none" w:sz="0" w:space="0" w:color="auto"/>
        <w:right w:val="none" w:sz="0" w:space="0" w:color="auto"/>
      </w:divBdr>
      <w:divsChild>
        <w:div w:id="333075615">
          <w:marLeft w:val="0"/>
          <w:marRight w:val="0"/>
          <w:marTop w:val="0"/>
          <w:marBottom w:val="0"/>
          <w:divBdr>
            <w:top w:val="none" w:sz="0" w:space="0" w:color="auto"/>
            <w:left w:val="none" w:sz="0" w:space="0" w:color="auto"/>
            <w:bottom w:val="none" w:sz="0" w:space="0" w:color="auto"/>
            <w:right w:val="none" w:sz="0" w:space="0" w:color="auto"/>
          </w:divBdr>
        </w:div>
      </w:divsChild>
    </w:div>
    <w:div w:id="151022471">
      <w:marLeft w:val="4"/>
      <w:marRight w:val="0"/>
      <w:marTop w:val="120"/>
      <w:marBottom w:val="0"/>
      <w:divBdr>
        <w:top w:val="none" w:sz="0" w:space="0" w:color="auto"/>
        <w:left w:val="none" w:sz="0" w:space="0" w:color="auto"/>
        <w:bottom w:val="none" w:sz="0" w:space="0" w:color="auto"/>
        <w:right w:val="none" w:sz="0" w:space="0" w:color="auto"/>
      </w:divBdr>
      <w:divsChild>
        <w:div w:id="388695954">
          <w:marLeft w:val="0"/>
          <w:marRight w:val="0"/>
          <w:marTop w:val="0"/>
          <w:marBottom w:val="0"/>
          <w:divBdr>
            <w:top w:val="none" w:sz="0" w:space="0" w:color="auto"/>
            <w:left w:val="none" w:sz="0" w:space="0" w:color="auto"/>
            <w:bottom w:val="none" w:sz="0" w:space="0" w:color="auto"/>
            <w:right w:val="none" w:sz="0" w:space="0" w:color="auto"/>
          </w:divBdr>
        </w:div>
      </w:divsChild>
    </w:div>
    <w:div w:id="161286577">
      <w:marLeft w:val="4"/>
      <w:marRight w:val="0"/>
      <w:marTop w:val="120"/>
      <w:marBottom w:val="0"/>
      <w:divBdr>
        <w:top w:val="none" w:sz="0" w:space="0" w:color="auto"/>
        <w:left w:val="none" w:sz="0" w:space="0" w:color="auto"/>
        <w:bottom w:val="none" w:sz="0" w:space="0" w:color="auto"/>
        <w:right w:val="none" w:sz="0" w:space="0" w:color="auto"/>
      </w:divBdr>
      <w:divsChild>
        <w:div w:id="666518770">
          <w:marLeft w:val="0"/>
          <w:marRight w:val="0"/>
          <w:marTop w:val="0"/>
          <w:marBottom w:val="0"/>
          <w:divBdr>
            <w:top w:val="none" w:sz="0" w:space="0" w:color="auto"/>
            <w:left w:val="none" w:sz="0" w:space="0" w:color="auto"/>
            <w:bottom w:val="none" w:sz="0" w:space="0" w:color="auto"/>
            <w:right w:val="none" w:sz="0" w:space="0" w:color="auto"/>
          </w:divBdr>
        </w:div>
      </w:divsChild>
    </w:div>
    <w:div w:id="170218938">
      <w:marLeft w:val="4"/>
      <w:marRight w:val="0"/>
      <w:marTop w:val="120"/>
      <w:marBottom w:val="0"/>
      <w:divBdr>
        <w:top w:val="none" w:sz="0" w:space="0" w:color="auto"/>
        <w:left w:val="none" w:sz="0" w:space="0" w:color="auto"/>
        <w:bottom w:val="none" w:sz="0" w:space="0" w:color="auto"/>
        <w:right w:val="none" w:sz="0" w:space="0" w:color="auto"/>
      </w:divBdr>
      <w:divsChild>
        <w:div w:id="1631787096">
          <w:marLeft w:val="0"/>
          <w:marRight w:val="0"/>
          <w:marTop w:val="0"/>
          <w:marBottom w:val="0"/>
          <w:divBdr>
            <w:top w:val="none" w:sz="0" w:space="0" w:color="auto"/>
            <w:left w:val="none" w:sz="0" w:space="0" w:color="auto"/>
            <w:bottom w:val="none" w:sz="0" w:space="0" w:color="auto"/>
            <w:right w:val="none" w:sz="0" w:space="0" w:color="auto"/>
          </w:divBdr>
        </w:div>
      </w:divsChild>
    </w:div>
    <w:div w:id="173226385">
      <w:marLeft w:val="0"/>
      <w:marRight w:val="0"/>
      <w:marTop w:val="0"/>
      <w:marBottom w:val="0"/>
      <w:divBdr>
        <w:top w:val="none" w:sz="0" w:space="0" w:color="auto"/>
        <w:left w:val="none" w:sz="0" w:space="0" w:color="auto"/>
        <w:bottom w:val="none" w:sz="0" w:space="0" w:color="auto"/>
        <w:right w:val="none" w:sz="0" w:space="0" w:color="auto"/>
      </w:divBdr>
    </w:div>
    <w:div w:id="178206949">
      <w:marLeft w:val="4"/>
      <w:marRight w:val="0"/>
      <w:marTop w:val="120"/>
      <w:marBottom w:val="0"/>
      <w:divBdr>
        <w:top w:val="none" w:sz="0" w:space="0" w:color="auto"/>
        <w:left w:val="none" w:sz="0" w:space="0" w:color="auto"/>
        <w:bottom w:val="none" w:sz="0" w:space="0" w:color="auto"/>
        <w:right w:val="none" w:sz="0" w:space="0" w:color="auto"/>
      </w:divBdr>
      <w:divsChild>
        <w:div w:id="809714429">
          <w:marLeft w:val="0"/>
          <w:marRight w:val="0"/>
          <w:marTop w:val="0"/>
          <w:marBottom w:val="0"/>
          <w:divBdr>
            <w:top w:val="none" w:sz="0" w:space="0" w:color="auto"/>
            <w:left w:val="none" w:sz="0" w:space="0" w:color="auto"/>
            <w:bottom w:val="none" w:sz="0" w:space="0" w:color="auto"/>
            <w:right w:val="none" w:sz="0" w:space="0" w:color="auto"/>
          </w:divBdr>
        </w:div>
      </w:divsChild>
    </w:div>
    <w:div w:id="186722823">
      <w:marLeft w:val="4"/>
      <w:marRight w:val="0"/>
      <w:marTop w:val="120"/>
      <w:marBottom w:val="0"/>
      <w:divBdr>
        <w:top w:val="none" w:sz="0" w:space="0" w:color="auto"/>
        <w:left w:val="none" w:sz="0" w:space="0" w:color="auto"/>
        <w:bottom w:val="none" w:sz="0" w:space="0" w:color="auto"/>
        <w:right w:val="none" w:sz="0" w:space="0" w:color="auto"/>
      </w:divBdr>
      <w:divsChild>
        <w:div w:id="930503960">
          <w:marLeft w:val="0"/>
          <w:marRight w:val="0"/>
          <w:marTop w:val="0"/>
          <w:marBottom w:val="0"/>
          <w:divBdr>
            <w:top w:val="none" w:sz="0" w:space="0" w:color="auto"/>
            <w:left w:val="none" w:sz="0" w:space="0" w:color="auto"/>
            <w:bottom w:val="none" w:sz="0" w:space="0" w:color="auto"/>
            <w:right w:val="none" w:sz="0" w:space="0" w:color="auto"/>
          </w:divBdr>
        </w:div>
      </w:divsChild>
    </w:div>
    <w:div w:id="194122377">
      <w:marLeft w:val="4"/>
      <w:marRight w:val="0"/>
      <w:marTop w:val="120"/>
      <w:marBottom w:val="0"/>
      <w:divBdr>
        <w:top w:val="none" w:sz="0" w:space="0" w:color="auto"/>
        <w:left w:val="none" w:sz="0" w:space="0" w:color="auto"/>
        <w:bottom w:val="none" w:sz="0" w:space="0" w:color="auto"/>
        <w:right w:val="none" w:sz="0" w:space="0" w:color="auto"/>
      </w:divBdr>
      <w:divsChild>
        <w:div w:id="2041394053">
          <w:marLeft w:val="0"/>
          <w:marRight w:val="0"/>
          <w:marTop w:val="0"/>
          <w:marBottom w:val="0"/>
          <w:divBdr>
            <w:top w:val="none" w:sz="0" w:space="0" w:color="auto"/>
            <w:left w:val="none" w:sz="0" w:space="0" w:color="auto"/>
            <w:bottom w:val="none" w:sz="0" w:space="0" w:color="auto"/>
            <w:right w:val="none" w:sz="0" w:space="0" w:color="auto"/>
          </w:divBdr>
        </w:div>
      </w:divsChild>
    </w:div>
    <w:div w:id="208423981">
      <w:marLeft w:val="4"/>
      <w:marRight w:val="0"/>
      <w:marTop w:val="120"/>
      <w:marBottom w:val="0"/>
      <w:divBdr>
        <w:top w:val="none" w:sz="0" w:space="0" w:color="auto"/>
        <w:left w:val="none" w:sz="0" w:space="0" w:color="auto"/>
        <w:bottom w:val="none" w:sz="0" w:space="0" w:color="auto"/>
        <w:right w:val="none" w:sz="0" w:space="0" w:color="auto"/>
      </w:divBdr>
      <w:divsChild>
        <w:div w:id="1702895371">
          <w:marLeft w:val="0"/>
          <w:marRight w:val="0"/>
          <w:marTop w:val="0"/>
          <w:marBottom w:val="0"/>
          <w:divBdr>
            <w:top w:val="none" w:sz="0" w:space="0" w:color="auto"/>
            <w:left w:val="none" w:sz="0" w:space="0" w:color="auto"/>
            <w:bottom w:val="none" w:sz="0" w:space="0" w:color="auto"/>
            <w:right w:val="none" w:sz="0" w:space="0" w:color="auto"/>
          </w:divBdr>
        </w:div>
      </w:divsChild>
    </w:div>
    <w:div w:id="214464539">
      <w:marLeft w:val="3"/>
      <w:marRight w:val="0"/>
      <w:marTop w:val="120"/>
      <w:marBottom w:val="0"/>
      <w:divBdr>
        <w:top w:val="none" w:sz="0" w:space="0" w:color="auto"/>
        <w:left w:val="none" w:sz="0" w:space="0" w:color="auto"/>
        <w:bottom w:val="none" w:sz="0" w:space="0" w:color="auto"/>
        <w:right w:val="none" w:sz="0" w:space="0" w:color="auto"/>
      </w:divBdr>
      <w:divsChild>
        <w:div w:id="959536402">
          <w:marLeft w:val="0"/>
          <w:marRight w:val="0"/>
          <w:marTop w:val="0"/>
          <w:marBottom w:val="0"/>
          <w:divBdr>
            <w:top w:val="none" w:sz="0" w:space="0" w:color="auto"/>
            <w:left w:val="none" w:sz="0" w:space="0" w:color="auto"/>
            <w:bottom w:val="none" w:sz="0" w:space="0" w:color="auto"/>
            <w:right w:val="none" w:sz="0" w:space="0" w:color="auto"/>
          </w:divBdr>
        </w:div>
      </w:divsChild>
    </w:div>
    <w:div w:id="233976601">
      <w:marLeft w:val="4"/>
      <w:marRight w:val="0"/>
      <w:marTop w:val="120"/>
      <w:marBottom w:val="0"/>
      <w:divBdr>
        <w:top w:val="none" w:sz="0" w:space="0" w:color="auto"/>
        <w:left w:val="none" w:sz="0" w:space="0" w:color="auto"/>
        <w:bottom w:val="none" w:sz="0" w:space="0" w:color="auto"/>
        <w:right w:val="none" w:sz="0" w:space="0" w:color="auto"/>
      </w:divBdr>
      <w:divsChild>
        <w:div w:id="991637094">
          <w:marLeft w:val="0"/>
          <w:marRight w:val="0"/>
          <w:marTop w:val="0"/>
          <w:marBottom w:val="0"/>
          <w:divBdr>
            <w:top w:val="none" w:sz="0" w:space="0" w:color="auto"/>
            <w:left w:val="none" w:sz="0" w:space="0" w:color="auto"/>
            <w:bottom w:val="none" w:sz="0" w:space="0" w:color="auto"/>
            <w:right w:val="none" w:sz="0" w:space="0" w:color="auto"/>
          </w:divBdr>
        </w:div>
      </w:divsChild>
    </w:div>
    <w:div w:id="234053041">
      <w:marLeft w:val="4"/>
      <w:marRight w:val="0"/>
      <w:marTop w:val="120"/>
      <w:marBottom w:val="0"/>
      <w:divBdr>
        <w:top w:val="none" w:sz="0" w:space="0" w:color="auto"/>
        <w:left w:val="none" w:sz="0" w:space="0" w:color="auto"/>
        <w:bottom w:val="none" w:sz="0" w:space="0" w:color="auto"/>
        <w:right w:val="none" w:sz="0" w:space="0" w:color="auto"/>
      </w:divBdr>
      <w:divsChild>
        <w:div w:id="1887372168">
          <w:marLeft w:val="0"/>
          <w:marRight w:val="0"/>
          <w:marTop w:val="0"/>
          <w:marBottom w:val="0"/>
          <w:divBdr>
            <w:top w:val="none" w:sz="0" w:space="0" w:color="auto"/>
            <w:left w:val="none" w:sz="0" w:space="0" w:color="auto"/>
            <w:bottom w:val="none" w:sz="0" w:space="0" w:color="auto"/>
            <w:right w:val="none" w:sz="0" w:space="0" w:color="auto"/>
          </w:divBdr>
        </w:div>
      </w:divsChild>
    </w:div>
    <w:div w:id="255721547">
      <w:marLeft w:val="4"/>
      <w:marRight w:val="0"/>
      <w:marTop w:val="120"/>
      <w:marBottom w:val="0"/>
      <w:divBdr>
        <w:top w:val="none" w:sz="0" w:space="0" w:color="auto"/>
        <w:left w:val="none" w:sz="0" w:space="0" w:color="auto"/>
        <w:bottom w:val="none" w:sz="0" w:space="0" w:color="auto"/>
        <w:right w:val="none" w:sz="0" w:space="0" w:color="auto"/>
      </w:divBdr>
      <w:divsChild>
        <w:div w:id="523324642">
          <w:marLeft w:val="0"/>
          <w:marRight w:val="0"/>
          <w:marTop w:val="0"/>
          <w:marBottom w:val="0"/>
          <w:divBdr>
            <w:top w:val="none" w:sz="0" w:space="0" w:color="auto"/>
            <w:left w:val="none" w:sz="0" w:space="0" w:color="auto"/>
            <w:bottom w:val="none" w:sz="0" w:space="0" w:color="auto"/>
            <w:right w:val="none" w:sz="0" w:space="0" w:color="auto"/>
          </w:divBdr>
        </w:div>
      </w:divsChild>
    </w:div>
    <w:div w:id="279847070">
      <w:marLeft w:val="4"/>
      <w:marRight w:val="0"/>
      <w:marTop w:val="120"/>
      <w:marBottom w:val="0"/>
      <w:divBdr>
        <w:top w:val="none" w:sz="0" w:space="0" w:color="auto"/>
        <w:left w:val="none" w:sz="0" w:space="0" w:color="auto"/>
        <w:bottom w:val="none" w:sz="0" w:space="0" w:color="auto"/>
        <w:right w:val="none" w:sz="0" w:space="0" w:color="auto"/>
      </w:divBdr>
      <w:divsChild>
        <w:div w:id="1717317656">
          <w:marLeft w:val="0"/>
          <w:marRight w:val="0"/>
          <w:marTop w:val="0"/>
          <w:marBottom w:val="0"/>
          <w:divBdr>
            <w:top w:val="none" w:sz="0" w:space="0" w:color="auto"/>
            <w:left w:val="none" w:sz="0" w:space="0" w:color="auto"/>
            <w:bottom w:val="none" w:sz="0" w:space="0" w:color="auto"/>
            <w:right w:val="none" w:sz="0" w:space="0" w:color="auto"/>
          </w:divBdr>
        </w:div>
      </w:divsChild>
    </w:div>
    <w:div w:id="285624276">
      <w:marLeft w:val="4"/>
      <w:marRight w:val="0"/>
      <w:marTop w:val="120"/>
      <w:marBottom w:val="0"/>
      <w:divBdr>
        <w:top w:val="none" w:sz="0" w:space="0" w:color="auto"/>
        <w:left w:val="none" w:sz="0" w:space="0" w:color="auto"/>
        <w:bottom w:val="none" w:sz="0" w:space="0" w:color="auto"/>
        <w:right w:val="none" w:sz="0" w:space="0" w:color="auto"/>
      </w:divBdr>
      <w:divsChild>
        <w:div w:id="1002507015">
          <w:marLeft w:val="0"/>
          <w:marRight w:val="0"/>
          <w:marTop w:val="0"/>
          <w:marBottom w:val="0"/>
          <w:divBdr>
            <w:top w:val="none" w:sz="0" w:space="0" w:color="auto"/>
            <w:left w:val="none" w:sz="0" w:space="0" w:color="auto"/>
            <w:bottom w:val="none" w:sz="0" w:space="0" w:color="auto"/>
            <w:right w:val="none" w:sz="0" w:space="0" w:color="auto"/>
          </w:divBdr>
        </w:div>
      </w:divsChild>
    </w:div>
    <w:div w:id="289366195">
      <w:marLeft w:val="4"/>
      <w:marRight w:val="0"/>
      <w:marTop w:val="120"/>
      <w:marBottom w:val="0"/>
      <w:divBdr>
        <w:top w:val="none" w:sz="0" w:space="0" w:color="auto"/>
        <w:left w:val="none" w:sz="0" w:space="0" w:color="auto"/>
        <w:bottom w:val="none" w:sz="0" w:space="0" w:color="auto"/>
        <w:right w:val="none" w:sz="0" w:space="0" w:color="auto"/>
      </w:divBdr>
      <w:divsChild>
        <w:div w:id="1158571793">
          <w:marLeft w:val="0"/>
          <w:marRight w:val="0"/>
          <w:marTop w:val="0"/>
          <w:marBottom w:val="0"/>
          <w:divBdr>
            <w:top w:val="none" w:sz="0" w:space="0" w:color="auto"/>
            <w:left w:val="none" w:sz="0" w:space="0" w:color="auto"/>
            <w:bottom w:val="none" w:sz="0" w:space="0" w:color="auto"/>
            <w:right w:val="none" w:sz="0" w:space="0" w:color="auto"/>
          </w:divBdr>
        </w:div>
      </w:divsChild>
    </w:div>
    <w:div w:id="292978597">
      <w:marLeft w:val="4"/>
      <w:marRight w:val="0"/>
      <w:marTop w:val="120"/>
      <w:marBottom w:val="0"/>
      <w:divBdr>
        <w:top w:val="none" w:sz="0" w:space="0" w:color="auto"/>
        <w:left w:val="none" w:sz="0" w:space="0" w:color="auto"/>
        <w:bottom w:val="none" w:sz="0" w:space="0" w:color="auto"/>
        <w:right w:val="none" w:sz="0" w:space="0" w:color="auto"/>
      </w:divBdr>
      <w:divsChild>
        <w:div w:id="133105655">
          <w:marLeft w:val="0"/>
          <w:marRight w:val="0"/>
          <w:marTop w:val="0"/>
          <w:marBottom w:val="0"/>
          <w:divBdr>
            <w:top w:val="none" w:sz="0" w:space="0" w:color="auto"/>
            <w:left w:val="none" w:sz="0" w:space="0" w:color="auto"/>
            <w:bottom w:val="none" w:sz="0" w:space="0" w:color="auto"/>
            <w:right w:val="none" w:sz="0" w:space="0" w:color="auto"/>
          </w:divBdr>
        </w:div>
      </w:divsChild>
    </w:div>
    <w:div w:id="299649024">
      <w:marLeft w:val="4"/>
      <w:marRight w:val="0"/>
      <w:marTop w:val="120"/>
      <w:marBottom w:val="0"/>
      <w:divBdr>
        <w:top w:val="none" w:sz="0" w:space="0" w:color="auto"/>
        <w:left w:val="none" w:sz="0" w:space="0" w:color="auto"/>
        <w:bottom w:val="none" w:sz="0" w:space="0" w:color="auto"/>
        <w:right w:val="none" w:sz="0" w:space="0" w:color="auto"/>
      </w:divBdr>
      <w:divsChild>
        <w:div w:id="1473401071">
          <w:marLeft w:val="0"/>
          <w:marRight w:val="0"/>
          <w:marTop w:val="0"/>
          <w:marBottom w:val="0"/>
          <w:divBdr>
            <w:top w:val="none" w:sz="0" w:space="0" w:color="auto"/>
            <w:left w:val="none" w:sz="0" w:space="0" w:color="auto"/>
            <w:bottom w:val="none" w:sz="0" w:space="0" w:color="auto"/>
            <w:right w:val="none" w:sz="0" w:space="0" w:color="auto"/>
          </w:divBdr>
        </w:div>
      </w:divsChild>
    </w:div>
    <w:div w:id="304967600">
      <w:marLeft w:val="4"/>
      <w:marRight w:val="0"/>
      <w:marTop w:val="120"/>
      <w:marBottom w:val="0"/>
      <w:divBdr>
        <w:top w:val="none" w:sz="0" w:space="0" w:color="auto"/>
        <w:left w:val="none" w:sz="0" w:space="0" w:color="auto"/>
        <w:bottom w:val="none" w:sz="0" w:space="0" w:color="auto"/>
        <w:right w:val="none" w:sz="0" w:space="0" w:color="auto"/>
      </w:divBdr>
      <w:divsChild>
        <w:div w:id="2026665536">
          <w:marLeft w:val="0"/>
          <w:marRight w:val="0"/>
          <w:marTop w:val="0"/>
          <w:marBottom w:val="0"/>
          <w:divBdr>
            <w:top w:val="none" w:sz="0" w:space="0" w:color="auto"/>
            <w:left w:val="none" w:sz="0" w:space="0" w:color="auto"/>
            <w:bottom w:val="none" w:sz="0" w:space="0" w:color="auto"/>
            <w:right w:val="none" w:sz="0" w:space="0" w:color="auto"/>
          </w:divBdr>
        </w:div>
      </w:divsChild>
    </w:div>
    <w:div w:id="305278945">
      <w:marLeft w:val="4"/>
      <w:marRight w:val="0"/>
      <w:marTop w:val="120"/>
      <w:marBottom w:val="0"/>
      <w:divBdr>
        <w:top w:val="none" w:sz="0" w:space="0" w:color="auto"/>
        <w:left w:val="none" w:sz="0" w:space="0" w:color="auto"/>
        <w:bottom w:val="none" w:sz="0" w:space="0" w:color="auto"/>
        <w:right w:val="none" w:sz="0" w:space="0" w:color="auto"/>
      </w:divBdr>
      <w:divsChild>
        <w:div w:id="1663074203">
          <w:marLeft w:val="0"/>
          <w:marRight w:val="0"/>
          <w:marTop w:val="0"/>
          <w:marBottom w:val="0"/>
          <w:divBdr>
            <w:top w:val="none" w:sz="0" w:space="0" w:color="auto"/>
            <w:left w:val="none" w:sz="0" w:space="0" w:color="auto"/>
            <w:bottom w:val="none" w:sz="0" w:space="0" w:color="auto"/>
            <w:right w:val="none" w:sz="0" w:space="0" w:color="auto"/>
          </w:divBdr>
        </w:div>
      </w:divsChild>
    </w:div>
    <w:div w:id="309867322">
      <w:marLeft w:val="4"/>
      <w:marRight w:val="0"/>
      <w:marTop w:val="120"/>
      <w:marBottom w:val="0"/>
      <w:divBdr>
        <w:top w:val="none" w:sz="0" w:space="0" w:color="auto"/>
        <w:left w:val="none" w:sz="0" w:space="0" w:color="auto"/>
        <w:bottom w:val="none" w:sz="0" w:space="0" w:color="auto"/>
        <w:right w:val="none" w:sz="0" w:space="0" w:color="auto"/>
      </w:divBdr>
      <w:divsChild>
        <w:div w:id="830413012">
          <w:marLeft w:val="0"/>
          <w:marRight w:val="0"/>
          <w:marTop w:val="0"/>
          <w:marBottom w:val="0"/>
          <w:divBdr>
            <w:top w:val="none" w:sz="0" w:space="0" w:color="auto"/>
            <w:left w:val="none" w:sz="0" w:space="0" w:color="auto"/>
            <w:bottom w:val="none" w:sz="0" w:space="0" w:color="auto"/>
            <w:right w:val="none" w:sz="0" w:space="0" w:color="auto"/>
          </w:divBdr>
        </w:div>
      </w:divsChild>
    </w:div>
    <w:div w:id="328794362">
      <w:marLeft w:val="4"/>
      <w:marRight w:val="0"/>
      <w:marTop w:val="120"/>
      <w:marBottom w:val="0"/>
      <w:divBdr>
        <w:top w:val="none" w:sz="0" w:space="0" w:color="auto"/>
        <w:left w:val="none" w:sz="0" w:space="0" w:color="auto"/>
        <w:bottom w:val="none" w:sz="0" w:space="0" w:color="auto"/>
        <w:right w:val="none" w:sz="0" w:space="0" w:color="auto"/>
      </w:divBdr>
      <w:divsChild>
        <w:div w:id="2096365605">
          <w:marLeft w:val="0"/>
          <w:marRight w:val="0"/>
          <w:marTop w:val="0"/>
          <w:marBottom w:val="0"/>
          <w:divBdr>
            <w:top w:val="none" w:sz="0" w:space="0" w:color="auto"/>
            <w:left w:val="none" w:sz="0" w:space="0" w:color="auto"/>
            <w:bottom w:val="none" w:sz="0" w:space="0" w:color="auto"/>
            <w:right w:val="none" w:sz="0" w:space="0" w:color="auto"/>
          </w:divBdr>
        </w:div>
      </w:divsChild>
    </w:div>
    <w:div w:id="329020882">
      <w:marLeft w:val="4"/>
      <w:marRight w:val="0"/>
      <w:marTop w:val="120"/>
      <w:marBottom w:val="0"/>
      <w:divBdr>
        <w:top w:val="none" w:sz="0" w:space="0" w:color="auto"/>
        <w:left w:val="none" w:sz="0" w:space="0" w:color="auto"/>
        <w:bottom w:val="none" w:sz="0" w:space="0" w:color="auto"/>
        <w:right w:val="none" w:sz="0" w:space="0" w:color="auto"/>
      </w:divBdr>
      <w:divsChild>
        <w:div w:id="1502548650">
          <w:marLeft w:val="0"/>
          <w:marRight w:val="0"/>
          <w:marTop w:val="0"/>
          <w:marBottom w:val="0"/>
          <w:divBdr>
            <w:top w:val="none" w:sz="0" w:space="0" w:color="auto"/>
            <w:left w:val="none" w:sz="0" w:space="0" w:color="auto"/>
            <w:bottom w:val="none" w:sz="0" w:space="0" w:color="auto"/>
            <w:right w:val="none" w:sz="0" w:space="0" w:color="auto"/>
          </w:divBdr>
        </w:div>
      </w:divsChild>
    </w:div>
    <w:div w:id="346448774">
      <w:marLeft w:val="4"/>
      <w:marRight w:val="0"/>
      <w:marTop w:val="120"/>
      <w:marBottom w:val="0"/>
      <w:divBdr>
        <w:top w:val="none" w:sz="0" w:space="0" w:color="auto"/>
        <w:left w:val="none" w:sz="0" w:space="0" w:color="auto"/>
        <w:bottom w:val="none" w:sz="0" w:space="0" w:color="auto"/>
        <w:right w:val="none" w:sz="0" w:space="0" w:color="auto"/>
      </w:divBdr>
      <w:divsChild>
        <w:div w:id="776095719">
          <w:marLeft w:val="0"/>
          <w:marRight w:val="0"/>
          <w:marTop w:val="0"/>
          <w:marBottom w:val="0"/>
          <w:divBdr>
            <w:top w:val="none" w:sz="0" w:space="0" w:color="auto"/>
            <w:left w:val="none" w:sz="0" w:space="0" w:color="auto"/>
            <w:bottom w:val="none" w:sz="0" w:space="0" w:color="auto"/>
            <w:right w:val="none" w:sz="0" w:space="0" w:color="auto"/>
          </w:divBdr>
        </w:div>
      </w:divsChild>
    </w:div>
    <w:div w:id="352996678">
      <w:marLeft w:val="9"/>
      <w:marRight w:val="0"/>
      <w:marTop w:val="120"/>
      <w:marBottom w:val="0"/>
      <w:divBdr>
        <w:top w:val="none" w:sz="0" w:space="0" w:color="auto"/>
        <w:left w:val="none" w:sz="0" w:space="0" w:color="auto"/>
        <w:bottom w:val="none" w:sz="0" w:space="0" w:color="auto"/>
        <w:right w:val="none" w:sz="0" w:space="0" w:color="auto"/>
      </w:divBdr>
      <w:divsChild>
        <w:div w:id="1666929497">
          <w:marLeft w:val="0"/>
          <w:marRight w:val="0"/>
          <w:marTop w:val="0"/>
          <w:marBottom w:val="0"/>
          <w:divBdr>
            <w:top w:val="none" w:sz="0" w:space="0" w:color="auto"/>
            <w:left w:val="none" w:sz="0" w:space="0" w:color="auto"/>
            <w:bottom w:val="none" w:sz="0" w:space="0" w:color="auto"/>
            <w:right w:val="none" w:sz="0" w:space="0" w:color="auto"/>
          </w:divBdr>
        </w:div>
      </w:divsChild>
    </w:div>
    <w:div w:id="356928582">
      <w:marLeft w:val="4"/>
      <w:marRight w:val="0"/>
      <w:marTop w:val="120"/>
      <w:marBottom w:val="0"/>
      <w:divBdr>
        <w:top w:val="none" w:sz="0" w:space="0" w:color="auto"/>
        <w:left w:val="none" w:sz="0" w:space="0" w:color="auto"/>
        <w:bottom w:val="none" w:sz="0" w:space="0" w:color="auto"/>
        <w:right w:val="none" w:sz="0" w:space="0" w:color="auto"/>
      </w:divBdr>
      <w:divsChild>
        <w:div w:id="1047605035">
          <w:marLeft w:val="0"/>
          <w:marRight w:val="0"/>
          <w:marTop w:val="0"/>
          <w:marBottom w:val="0"/>
          <w:divBdr>
            <w:top w:val="none" w:sz="0" w:space="0" w:color="auto"/>
            <w:left w:val="none" w:sz="0" w:space="0" w:color="auto"/>
            <w:bottom w:val="none" w:sz="0" w:space="0" w:color="auto"/>
            <w:right w:val="none" w:sz="0" w:space="0" w:color="auto"/>
          </w:divBdr>
        </w:div>
      </w:divsChild>
    </w:div>
    <w:div w:id="383456456">
      <w:marLeft w:val="4"/>
      <w:marRight w:val="0"/>
      <w:marTop w:val="120"/>
      <w:marBottom w:val="0"/>
      <w:divBdr>
        <w:top w:val="none" w:sz="0" w:space="0" w:color="auto"/>
        <w:left w:val="none" w:sz="0" w:space="0" w:color="auto"/>
        <w:bottom w:val="none" w:sz="0" w:space="0" w:color="auto"/>
        <w:right w:val="none" w:sz="0" w:space="0" w:color="auto"/>
      </w:divBdr>
      <w:divsChild>
        <w:div w:id="1012731715">
          <w:marLeft w:val="0"/>
          <w:marRight w:val="0"/>
          <w:marTop w:val="0"/>
          <w:marBottom w:val="0"/>
          <w:divBdr>
            <w:top w:val="none" w:sz="0" w:space="0" w:color="auto"/>
            <w:left w:val="none" w:sz="0" w:space="0" w:color="auto"/>
            <w:bottom w:val="none" w:sz="0" w:space="0" w:color="auto"/>
            <w:right w:val="none" w:sz="0" w:space="0" w:color="auto"/>
          </w:divBdr>
        </w:div>
      </w:divsChild>
    </w:div>
    <w:div w:id="384453818">
      <w:marLeft w:val="9"/>
      <w:marRight w:val="0"/>
      <w:marTop w:val="120"/>
      <w:marBottom w:val="0"/>
      <w:divBdr>
        <w:top w:val="none" w:sz="0" w:space="0" w:color="auto"/>
        <w:left w:val="none" w:sz="0" w:space="0" w:color="auto"/>
        <w:bottom w:val="none" w:sz="0" w:space="0" w:color="auto"/>
        <w:right w:val="none" w:sz="0" w:space="0" w:color="auto"/>
      </w:divBdr>
      <w:divsChild>
        <w:div w:id="1340544312">
          <w:marLeft w:val="0"/>
          <w:marRight w:val="0"/>
          <w:marTop w:val="0"/>
          <w:marBottom w:val="0"/>
          <w:divBdr>
            <w:top w:val="none" w:sz="0" w:space="0" w:color="auto"/>
            <w:left w:val="none" w:sz="0" w:space="0" w:color="auto"/>
            <w:bottom w:val="none" w:sz="0" w:space="0" w:color="auto"/>
            <w:right w:val="none" w:sz="0" w:space="0" w:color="auto"/>
          </w:divBdr>
        </w:div>
      </w:divsChild>
    </w:div>
    <w:div w:id="388040558">
      <w:marLeft w:val="4"/>
      <w:marRight w:val="0"/>
      <w:marTop w:val="120"/>
      <w:marBottom w:val="0"/>
      <w:divBdr>
        <w:top w:val="none" w:sz="0" w:space="0" w:color="auto"/>
        <w:left w:val="none" w:sz="0" w:space="0" w:color="auto"/>
        <w:bottom w:val="none" w:sz="0" w:space="0" w:color="auto"/>
        <w:right w:val="none" w:sz="0" w:space="0" w:color="auto"/>
      </w:divBdr>
      <w:divsChild>
        <w:div w:id="700472647">
          <w:marLeft w:val="0"/>
          <w:marRight w:val="0"/>
          <w:marTop w:val="0"/>
          <w:marBottom w:val="0"/>
          <w:divBdr>
            <w:top w:val="none" w:sz="0" w:space="0" w:color="auto"/>
            <w:left w:val="none" w:sz="0" w:space="0" w:color="auto"/>
            <w:bottom w:val="none" w:sz="0" w:space="0" w:color="auto"/>
            <w:right w:val="none" w:sz="0" w:space="0" w:color="auto"/>
          </w:divBdr>
        </w:div>
      </w:divsChild>
    </w:div>
    <w:div w:id="393821525">
      <w:marLeft w:val="4"/>
      <w:marRight w:val="0"/>
      <w:marTop w:val="120"/>
      <w:marBottom w:val="0"/>
      <w:divBdr>
        <w:top w:val="none" w:sz="0" w:space="0" w:color="auto"/>
        <w:left w:val="none" w:sz="0" w:space="0" w:color="auto"/>
        <w:bottom w:val="none" w:sz="0" w:space="0" w:color="auto"/>
        <w:right w:val="none" w:sz="0" w:space="0" w:color="auto"/>
      </w:divBdr>
      <w:divsChild>
        <w:div w:id="1324891181">
          <w:marLeft w:val="0"/>
          <w:marRight w:val="0"/>
          <w:marTop w:val="0"/>
          <w:marBottom w:val="0"/>
          <w:divBdr>
            <w:top w:val="none" w:sz="0" w:space="0" w:color="auto"/>
            <w:left w:val="none" w:sz="0" w:space="0" w:color="auto"/>
            <w:bottom w:val="none" w:sz="0" w:space="0" w:color="auto"/>
            <w:right w:val="none" w:sz="0" w:space="0" w:color="auto"/>
          </w:divBdr>
        </w:div>
      </w:divsChild>
    </w:div>
    <w:div w:id="400297867">
      <w:marLeft w:val="4"/>
      <w:marRight w:val="0"/>
      <w:marTop w:val="120"/>
      <w:marBottom w:val="0"/>
      <w:divBdr>
        <w:top w:val="none" w:sz="0" w:space="0" w:color="auto"/>
        <w:left w:val="none" w:sz="0" w:space="0" w:color="auto"/>
        <w:bottom w:val="none" w:sz="0" w:space="0" w:color="auto"/>
        <w:right w:val="none" w:sz="0" w:space="0" w:color="auto"/>
      </w:divBdr>
      <w:divsChild>
        <w:div w:id="1829664810">
          <w:marLeft w:val="0"/>
          <w:marRight w:val="0"/>
          <w:marTop w:val="0"/>
          <w:marBottom w:val="0"/>
          <w:divBdr>
            <w:top w:val="none" w:sz="0" w:space="0" w:color="auto"/>
            <w:left w:val="none" w:sz="0" w:space="0" w:color="auto"/>
            <w:bottom w:val="none" w:sz="0" w:space="0" w:color="auto"/>
            <w:right w:val="none" w:sz="0" w:space="0" w:color="auto"/>
          </w:divBdr>
        </w:div>
      </w:divsChild>
    </w:div>
    <w:div w:id="401097116">
      <w:marLeft w:val="0"/>
      <w:marRight w:val="0"/>
      <w:marTop w:val="0"/>
      <w:marBottom w:val="0"/>
      <w:divBdr>
        <w:top w:val="none" w:sz="0" w:space="0" w:color="auto"/>
        <w:left w:val="none" w:sz="0" w:space="0" w:color="auto"/>
        <w:bottom w:val="none" w:sz="0" w:space="0" w:color="auto"/>
        <w:right w:val="none" w:sz="0" w:space="0" w:color="auto"/>
      </w:divBdr>
    </w:div>
    <w:div w:id="406222857">
      <w:marLeft w:val="4"/>
      <w:marRight w:val="0"/>
      <w:marTop w:val="120"/>
      <w:marBottom w:val="0"/>
      <w:divBdr>
        <w:top w:val="none" w:sz="0" w:space="0" w:color="auto"/>
        <w:left w:val="none" w:sz="0" w:space="0" w:color="auto"/>
        <w:bottom w:val="none" w:sz="0" w:space="0" w:color="auto"/>
        <w:right w:val="none" w:sz="0" w:space="0" w:color="auto"/>
      </w:divBdr>
      <w:divsChild>
        <w:div w:id="1655061659">
          <w:marLeft w:val="0"/>
          <w:marRight w:val="0"/>
          <w:marTop w:val="0"/>
          <w:marBottom w:val="0"/>
          <w:divBdr>
            <w:top w:val="none" w:sz="0" w:space="0" w:color="auto"/>
            <w:left w:val="none" w:sz="0" w:space="0" w:color="auto"/>
            <w:bottom w:val="none" w:sz="0" w:space="0" w:color="auto"/>
            <w:right w:val="none" w:sz="0" w:space="0" w:color="auto"/>
          </w:divBdr>
        </w:div>
      </w:divsChild>
    </w:div>
    <w:div w:id="413936660">
      <w:marLeft w:val="0"/>
      <w:marRight w:val="0"/>
      <w:marTop w:val="0"/>
      <w:marBottom w:val="0"/>
      <w:divBdr>
        <w:top w:val="none" w:sz="0" w:space="0" w:color="auto"/>
        <w:left w:val="none" w:sz="0" w:space="0" w:color="auto"/>
        <w:bottom w:val="none" w:sz="0" w:space="0" w:color="auto"/>
        <w:right w:val="none" w:sz="0" w:space="0" w:color="auto"/>
      </w:divBdr>
    </w:div>
    <w:div w:id="416563278">
      <w:marLeft w:val="4"/>
      <w:marRight w:val="0"/>
      <w:marTop w:val="120"/>
      <w:marBottom w:val="0"/>
      <w:divBdr>
        <w:top w:val="none" w:sz="0" w:space="0" w:color="auto"/>
        <w:left w:val="none" w:sz="0" w:space="0" w:color="auto"/>
        <w:bottom w:val="none" w:sz="0" w:space="0" w:color="auto"/>
        <w:right w:val="none" w:sz="0" w:space="0" w:color="auto"/>
      </w:divBdr>
      <w:divsChild>
        <w:div w:id="1670592496">
          <w:marLeft w:val="0"/>
          <w:marRight w:val="0"/>
          <w:marTop w:val="0"/>
          <w:marBottom w:val="0"/>
          <w:divBdr>
            <w:top w:val="none" w:sz="0" w:space="0" w:color="auto"/>
            <w:left w:val="none" w:sz="0" w:space="0" w:color="auto"/>
            <w:bottom w:val="none" w:sz="0" w:space="0" w:color="auto"/>
            <w:right w:val="none" w:sz="0" w:space="0" w:color="auto"/>
          </w:divBdr>
        </w:div>
      </w:divsChild>
    </w:div>
    <w:div w:id="450829626">
      <w:marLeft w:val="4"/>
      <w:marRight w:val="0"/>
      <w:marTop w:val="120"/>
      <w:marBottom w:val="0"/>
      <w:divBdr>
        <w:top w:val="none" w:sz="0" w:space="0" w:color="auto"/>
        <w:left w:val="none" w:sz="0" w:space="0" w:color="auto"/>
        <w:bottom w:val="none" w:sz="0" w:space="0" w:color="auto"/>
        <w:right w:val="none" w:sz="0" w:space="0" w:color="auto"/>
      </w:divBdr>
      <w:divsChild>
        <w:div w:id="707754517">
          <w:marLeft w:val="0"/>
          <w:marRight w:val="0"/>
          <w:marTop w:val="0"/>
          <w:marBottom w:val="0"/>
          <w:divBdr>
            <w:top w:val="none" w:sz="0" w:space="0" w:color="auto"/>
            <w:left w:val="none" w:sz="0" w:space="0" w:color="auto"/>
            <w:bottom w:val="none" w:sz="0" w:space="0" w:color="auto"/>
            <w:right w:val="none" w:sz="0" w:space="0" w:color="auto"/>
          </w:divBdr>
        </w:div>
      </w:divsChild>
    </w:div>
    <w:div w:id="452947214">
      <w:marLeft w:val="4"/>
      <w:marRight w:val="0"/>
      <w:marTop w:val="120"/>
      <w:marBottom w:val="0"/>
      <w:divBdr>
        <w:top w:val="none" w:sz="0" w:space="0" w:color="auto"/>
        <w:left w:val="none" w:sz="0" w:space="0" w:color="auto"/>
        <w:bottom w:val="none" w:sz="0" w:space="0" w:color="auto"/>
        <w:right w:val="none" w:sz="0" w:space="0" w:color="auto"/>
      </w:divBdr>
      <w:divsChild>
        <w:div w:id="1082458733">
          <w:marLeft w:val="0"/>
          <w:marRight w:val="0"/>
          <w:marTop w:val="0"/>
          <w:marBottom w:val="0"/>
          <w:divBdr>
            <w:top w:val="none" w:sz="0" w:space="0" w:color="auto"/>
            <w:left w:val="none" w:sz="0" w:space="0" w:color="auto"/>
            <w:bottom w:val="none" w:sz="0" w:space="0" w:color="auto"/>
            <w:right w:val="none" w:sz="0" w:space="0" w:color="auto"/>
          </w:divBdr>
        </w:div>
      </w:divsChild>
    </w:div>
    <w:div w:id="459342626">
      <w:marLeft w:val="4"/>
      <w:marRight w:val="0"/>
      <w:marTop w:val="120"/>
      <w:marBottom w:val="0"/>
      <w:divBdr>
        <w:top w:val="none" w:sz="0" w:space="0" w:color="auto"/>
        <w:left w:val="none" w:sz="0" w:space="0" w:color="auto"/>
        <w:bottom w:val="none" w:sz="0" w:space="0" w:color="auto"/>
        <w:right w:val="none" w:sz="0" w:space="0" w:color="auto"/>
      </w:divBdr>
      <w:divsChild>
        <w:div w:id="1397238361">
          <w:marLeft w:val="0"/>
          <w:marRight w:val="0"/>
          <w:marTop w:val="0"/>
          <w:marBottom w:val="0"/>
          <w:divBdr>
            <w:top w:val="none" w:sz="0" w:space="0" w:color="auto"/>
            <w:left w:val="none" w:sz="0" w:space="0" w:color="auto"/>
            <w:bottom w:val="none" w:sz="0" w:space="0" w:color="auto"/>
            <w:right w:val="none" w:sz="0" w:space="0" w:color="auto"/>
          </w:divBdr>
        </w:div>
      </w:divsChild>
    </w:div>
    <w:div w:id="462387304">
      <w:marLeft w:val="4"/>
      <w:marRight w:val="0"/>
      <w:marTop w:val="120"/>
      <w:marBottom w:val="0"/>
      <w:divBdr>
        <w:top w:val="none" w:sz="0" w:space="0" w:color="auto"/>
        <w:left w:val="none" w:sz="0" w:space="0" w:color="auto"/>
        <w:bottom w:val="none" w:sz="0" w:space="0" w:color="auto"/>
        <w:right w:val="none" w:sz="0" w:space="0" w:color="auto"/>
      </w:divBdr>
      <w:divsChild>
        <w:div w:id="131562138">
          <w:marLeft w:val="0"/>
          <w:marRight w:val="0"/>
          <w:marTop w:val="0"/>
          <w:marBottom w:val="0"/>
          <w:divBdr>
            <w:top w:val="none" w:sz="0" w:space="0" w:color="auto"/>
            <w:left w:val="none" w:sz="0" w:space="0" w:color="auto"/>
            <w:bottom w:val="none" w:sz="0" w:space="0" w:color="auto"/>
            <w:right w:val="none" w:sz="0" w:space="0" w:color="auto"/>
          </w:divBdr>
        </w:div>
      </w:divsChild>
    </w:div>
    <w:div w:id="465009492">
      <w:marLeft w:val="4"/>
      <w:marRight w:val="0"/>
      <w:marTop w:val="120"/>
      <w:marBottom w:val="0"/>
      <w:divBdr>
        <w:top w:val="none" w:sz="0" w:space="0" w:color="auto"/>
        <w:left w:val="none" w:sz="0" w:space="0" w:color="auto"/>
        <w:bottom w:val="none" w:sz="0" w:space="0" w:color="auto"/>
        <w:right w:val="none" w:sz="0" w:space="0" w:color="auto"/>
      </w:divBdr>
      <w:divsChild>
        <w:div w:id="801388312">
          <w:marLeft w:val="0"/>
          <w:marRight w:val="0"/>
          <w:marTop w:val="0"/>
          <w:marBottom w:val="0"/>
          <w:divBdr>
            <w:top w:val="none" w:sz="0" w:space="0" w:color="auto"/>
            <w:left w:val="none" w:sz="0" w:space="0" w:color="auto"/>
            <w:bottom w:val="none" w:sz="0" w:space="0" w:color="auto"/>
            <w:right w:val="none" w:sz="0" w:space="0" w:color="auto"/>
          </w:divBdr>
        </w:div>
      </w:divsChild>
    </w:div>
    <w:div w:id="477915497">
      <w:marLeft w:val="4"/>
      <w:marRight w:val="0"/>
      <w:marTop w:val="120"/>
      <w:marBottom w:val="0"/>
      <w:divBdr>
        <w:top w:val="none" w:sz="0" w:space="0" w:color="auto"/>
        <w:left w:val="none" w:sz="0" w:space="0" w:color="auto"/>
        <w:bottom w:val="none" w:sz="0" w:space="0" w:color="auto"/>
        <w:right w:val="none" w:sz="0" w:space="0" w:color="auto"/>
      </w:divBdr>
      <w:divsChild>
        <w:div w:id="224995979">
          <w:marLeft w:val="0"/>
          <w:marRight w:val="0"/>
          <w:marTop w:val="0"/>
          <w:marBottom w:val="0"/>
          <w:divBdr>
            <w:top w:val="none" w:sz="0" w:space="0" w:color="auto"/>
            <w:left w:val="none" w:sz="0" w:space="0" w:color="auto"/>
            <w:bottom w:val="none" w:sz="0" w:space="0" w:color="auto"/>
            <w:right w:val="none" w:sz="0" w:space="0" w:color="auto"/>
          </w:divBdr>
        </w:div>
      </w:divsChild>
    </w:div>
    <w:div w:id="493110061">
      <w:marLeft w:val="4"/>
      <w:marRight w:val="0"/>
      <w:marTop w:val="120"/>
      <w:marBottom w:val="0"/>
      <w:divBdr>
        <w:top w:val="none" w:sz="0" w:space="0" w:color="auto"/>
        <w:left w:val="none" w:sz="0" w:space="0" w:color="auto"/>
        <w:bottom w:val="none" w:sz="0" w:space="0" w:color="auto"/>
        <w:right w:val="none" w:sz="0" w:space="0" w:color="auto"/>
      </w:divBdr>
      <w:divsChild>
        <w:div w:id="1496798248">
          <w:marLeft w:val="0"/>
          <w:marRight w:val="0"/>
          <w:marTop w:val="0"/>
          <w:marBottom w:val="0"/>
          <w:divBdr>
            <w:top w:val="none" w:sz="0" w:space="0" w:color="auto"/>
            <w:left w:val="none" w:sz="0" w:space="0" w:color="auto"/>
            <w:bottom w:val="none" w:sz="0" w:space="0" w:color="auto"/>
            <w:right w:val="none" w:sz="0" w:space="0" w:color="auto"/>
          </w:divBdr>
        </w:div>
      </w:divsChild>
    </w:div>
    <w:div w:id="510528182">
      <w:marLeft w:val="4"/>
      <w:marRight w:val="0"/>
      <w:marTop w:val="120"/>
      <w:marBottom w:val="0"/>
      <w:divBdr>
        <w:top w:val="none" w:sz="0" w:space="0" w:color="auto"/>
        <w:left w:val="none" w:sz="0" w:space="0" w:color="auto"/>
        <w:bottom w:val="none" w:sz="0" w:space="0" w:color="auto"/>
        <w:right w:val="none" w:sz="0" w:space="0" w:color="auto"/>
      </w:divBdr>
      <w:divsChild>
        <w:div w:id="1110007815">
          <w:marLeft w:val="0"/>
          <w:marRight w:val="0"/>
          <w:marTop w:val="0"/>
          <w:marBottom w:val="0"/>
          <w:divBdr>
            <w:top w:val="none" w:sz="0" w:space="0" w:color="auto"/>
            <w:left w:val="none" w:sz="0" w:space="0" w:color="auto"/>
            <w:bottom w:val="none" w:sz="0" w:space="0" w:color="auto"/>
            <w:right w:val="none" w:sz="0" w:space="0" w:color="auto"/>
          </w:divBdr>
        </w:div>
      </w:divsChild>
    </w:div>
    <w:div w:id="514926898">
      <w:marLeft w:val="4"/>
      <w:marRight w:val="0"/>
      <w:marTop w:val="120"/>
      <w:marBottom w:val="0"/>
      <w:divBdr>
        <w:top w:val="none" w:sz="0" w:space="0" w:color="auto"/>
        <w:left w:val="none" w:sz="0" w:space="0" w:color="auto"/>
        <w:bottom w:val="none" w:sz="0" w:space="0" w:color="auto"/>
        <w:right w:val="none" w:sz="0" w:space="0" w:color="auto"/>
      </w:divBdr>
      <w:divsChild>
        <w:div w:id="404298348">
          <w:marLeft w:val="0"/>
          <w:marRight w:val="0"/>
          <w:marTop w:val="0"/>
          <w:marBottom w:val="0"/>
          <w:divBdr>
            <w:top w:val="none" w:sz="0" w:space="0" w:color="auto"/>
            <w:left w:val="none" w:sz="0" w:space="0" w:color="auto"/>
            <w:bottom w:val="none" w:sz="0" w:space="0" w:color="auto"/>
            <w:right w:val="none" w:sz="0" w:space="0" w:color="auto"/>
          </w:divBdr>
        </w:div>
      </w:divsChild>
    </w:div>
    <w:div w:id="519272232">
      <w:marLeft w:val="4"/>
      <w:marRight w:val="0"/>
      <w:marTop w:val="120"/>
      <w:marBottom w:val="0"/>
      <w:divBdr>
        <w:top w:val="none" w:sz="0" w:space="0" w:color="auto"/>
        <w:left w:val="none" w:sz="0" w:space="0" w:color="auto"/>
        <w:bottom w:val="none" w:sz="0" w:space="0" w:color="auto"/>
        <w:right w:val="none" w:sz="0" w:space="0" w:color="auto"/>
      </w:divBdr>
      <w:divsChild>
        <w:div w:id="1516535207">
          <w:marLeft w:val="0"/>
          <w:marRight w:val="0"/>
          <w:marTop w:val="0"/>
          <w:marBottom w:val="0"/>
          <w:divBdr>
            <w:top w:val="none" w:sz="0" w:space="0" w:color="auto"/>
            <w:left w:val="none" w:sz="0" w:space="0" w:color="auto"/>
            <w:bottom w:val="none" w:sz="0" w:space="0" w:color="auto"/>
            <w:right w:val="none" w:sz="0" w:space="0" w:color="auto"/>
          </w:divBdr>
        </w:div>
      </w:divsChild>
    </w:div>
    <w:div w:id="521474011">
      <w:marLeft w:val="4"/>
      <w:marRight w:val="0"/>
      <w:marTop w:val="120"/>
      <w:marBottom w:val="0"/>
      <w:divBdr>
        <w:top w:val="none" w:sz="0" w:space="0" w:color="auto"/>
        <w:left w:val="none" w:sz="0" w:space="0" w:color="auto"/>
        <w:bottom w:val="none" w:sz="0" w:space="0" w:color="auto"/>
        <w:right w:val="none" w:sz="0" w:space="0" w:color="auto"/>
      </w:divBdr>
      <w:divsChild>
        <w:div w:id="1247231765">
          <w:marLeft w:val="0"/>
          <w:marRight w:val="0"/>
          <w:marTop w:val="0"/>
          <w:marBottom w:val="0"/>
          <w:divBdr>
            <w:top w:val="none" w:sz="0" w:space="0" w:color="auto"/>
            <w:left w:val="none" w:sz="0" w:space="0" w:color="auto"/>
            <w:bottom w:val="none" w:sz="0" w:space="0" w:color="auto"/>
            <w:right w:val="none" w:sz="0" w:space="0" w:color="auto"/>
          </w:divBdr>
        </w:div>
      </w:divsChild>
    </w:div>
    <w:div w:id="524753302">
      <w:marLeft w:val="4"/>
      <w:marRight w:val="0"/>
      <w:marTop w:val="120"/>
      <w:marBottom w:val="0"/>
      <w:divBdr>
        <w:top w:val="none" w:sz="0" w:space="0" w:color="auto"/>
        <w:left w:val="none" w:sz="0" w:space="0" w:color="auto"/>
        <w:bottom w:val="none" w:sz="0" w:space="0" w:color="auto"/>
        <w:right w:val="none" w:sz="0" w:space="0" w:color="auto"/>
      </w:divBdr>
      <w:divsChild>
        <w:div w:id="1728842313">
          <w:marLeft w:val="0"/>
          <w:marRight w:val="0"/>
          <w:marTop w:val="0"/>
          <w:marBottom w:val="0"/>
          <w:divBdr>
            <w:top w:val="none" w:sz="0" w:space="0" w:color="auto"/>
            <w:left w:val="none" w:sz="0" w:space="0" w:color="auto"/>
            <w:bottom w:val="none" w:sz="0" w:space="0" w:color="auto"/>
            <w:right w:val="none" w:sz="0" w:space="0" w:color="auto"/>
          </w:divBdr>
        </w:div>
      </w:divsChild>
    </w:div>
    <w:div w:id="563953094">
      <w:marLeft w:val="4"/>
      <w:marRight w:val="0"/>
      <w:marTop w:val="120"/>
      <w:marBottom w:val="0"/>
      <w:divBdr>
        <w:top w:val="none" w:sz="0" w:space="0" w:color="auto"/>
        <w:left w:val="none" w:sz="0" w:space="0" w:color="auto"/>
        <w:bottom w:val="none" w:sz="0" w:space="0" w:color="auto"/>
        <w:right w:val="none" w:sz="0" w:space="0" w:color="auto"/>
      </w:divBdr>
      <w:divsChild>
        <w:div w:id="532808191">
          <w:marLeft w:val="0"/>
          <w:marRight w:val="0"/>
          <w:marTop w:val="0"/>
          <w:marBottom w:val="0"/>
          <w:divBdr>
            <w:top w:val="none" w:sz="0" w:space="0" w:color="auto"/>
            <w:left w:val="none" w:sz="0" w:space="0" w:color="auto"/>
            <w:bottom w:val="none" w:sz="0" w:space="0" w:color="auto"/>
            <w:right w:val="none" w:sz="0" w:space="0" w:color="auto"/>
          </w:divBdr>
        </w:div>
      </w:divsChild>
    </w:div>
    <w:div w:id="575625186">
      <w:marLeft w:val="4"/>
      <w:marRight w:val="0"/>
      <w:marTop w:val="120"/>
      <w:marBottom w:val="0"/>
      <w:divBdr>
        <w:top w:val="none" w:sz="0" w:space="0" w:color="auto"/>
        <w:left w:val="none" w:sz="0" w:space="0" w:color="auto"/>
        <w:bottom w:val="none" w:sz="0" w:space="0" w:color="auto"/>
        <w:right w:val="none" w:sz="0" w:space="0" w:color="auto"/>
      </w:divBdr>
      <w:divsChild>
        <w:div w:id="621691703">
          <w:marLeft w:val="0"/>
          <w:marRight w:val="0"/>
          <w:marTop w:val="0"/>
          <w:marBottom w:val="0"/>
          <w:divBdr>
            <w:top w:val="none" w:sz="0" w:space="0" w:color="auto"/>
            <w:left w:val="none" w:sz="0" w:space="0" w:color="auto"/>
            <w:bottom w:val="none" w:sz="0" w:space="0" w:color="auto"/>
            <w:right w:val="none" w:sz="0" w:space="0" w:color="auto"/>
          </w:divBdr>
        </w:div>
      </w:divsChild>
    </w:div>
    <w:div w:id="587467203">
      <w:marLeft w:val="4"/>
      <w:marRight w:val="0"/>
      <w:marTop w:val="120"/>
      <w:marBottom w:val="0"/>
      <w:divBdr>
        <w:top w:val="none" w:sz="0" w:space="0" w:color="auto"/>
        <w:left w:val="none" w:sz="0" w:space="0" w:color="auto"/>
        <w:bottom w:val="none" w:sz="0" w:space="0" w:color="auto"/>
        <w:right w:val="none" w:sz="0" w:space="0" w:color="auto"/>
      </w:divBdr>
      <w:divsChild>
        <w:div w:id="819082234">
          <w:marLeft w:val="0"/>
          <w:marRight w:val="0"/>
          <w:marTop w:val="0"/>
          <w:marBottom w:val="0"/>
          <w:divBdr>
            <w:top w:val="none" w:sz="0" w:space="0" w:color="auto"/>
            <w:left w:val="none" w:sz="0" w:space="0" w:color="auto"/>
            <w:bottom w:val="none" w:sz="0" w:space="0" w:color="auto"/>
            <w:right w:val="none" w:sz="0" w:space="0" w:color="auto"/>
          </w:divBdr>
        </w:div>
      </w:divsChild>
    </w:div>
    <w:div w:id="604308163">
      <w:marLeft w:val="4"/>
      <w:marRight w:val="0"/>
      <w:marTop w:val="120"/>
      <w:marBottom w:val="0"/>
      <w:divBdr>
        <w:top w:val="none" w:sz="0" w:space="0" w:color="auto"/>
        <w:left w:val="none" w:sz="0" w:space="0" w:color="auto"/>
        <w:bottom w:val="none" w:sz="0" w:space="0" w:color="auto"/>
        <w:right w:val="none" w:sz="0" w:space="0" w:color="auto"/>
      </w:divBdr>
      <w:divsChild>
        <w:div w:id="579868257">
          <w:marLeft w:val="0"/>
          <w:marRight w:val="0"/>
          <w:marTop w:val="0"/>
          <w:marBottom w:val="0"/>
          <w:divBdr>
            <w:top w:val="none" w:sz="0" w:space="0" w:color="auto"/>
            <w:left w:val="none" w:sz="0" w:space="0" w:color="auto"/>
            <w:bottom w:val="none" w:sz="0" w:space="0" w:color="auto"/>
            <w:right w:val="none" w:sz="0" w:space="0" w:color="auto"/>
          </w:divBdr>
        </w:div>
      </w:divsChild>
    </w:div>
    <w:div w:id="614478926">
      <w:marLeft w:val="4"/>
      <w:marRight w:val="0"/>
      <w:marTop w:val="120"/>
      <w:marBottom w:val="0"/>
      <w:divBdr>
        <w:top w:val="none" w:sz="0" w:space="0" w:color="auto"/>
        <w:left w:val="none" w:sz="0" w:space="0" w:color="auto"/>
        <w:bottom w:val="none" w:sz="0" w:space="0" w:color="auto"/>
        <w:right w:val="none" w:sz="0" w:space="0" w:color="auto"/>
      </w:divBdr>
      <w:divsChild>
        <w:div w:id="1555657010">
          <w:marLeft w:val="0"/>
          <w:marRight w:val="0"/>
          <w:marTop w:val="0"/>
          <w:marBottom w:val="0"/>
          <w:divBdr>
            <w:top w:val="none" w:sz="0" w:space="0" w:color="auto"/>
            <w:left w:val="none" w:sz="0" w:space="0" w:color="auto"/>
            <w:bottom w:val="none" w:sz="0" w:space="0" w:color="auto"/>
            <w:right w:val="none" w:sz="0" w:space="0" w:color="auto"/>
          </w:divBdr>
        </w:div>
      </w:divsChild>
    </w:div>
    <w:div w:id="622883884">
      <w:marLeft w:val="9"/>
      <w:marRight w:val="0"/>
      <w:marTop w:val="120"/>
      <w:marBottom w:val="0"/>
      <w:divBdr>
        <w:top w:val="none" w:sz="0" w:space="0" w:color="auto"/>
        <w:left w:val="none" w:sz="0" w:space="0" w:color="auto"/>
        <w:bottom w:val="none" w:sz="0" w:space="0" w:color="auto"/>
        <w:right w:val="none" w:sz="0" w:space="0" w:color="auto"/>
      </w:divBdr>
      <w:divsChild>
        <w:div w:id="885607300">
          <w:marLeft w:val="0"/>
          <w:marRight w:val="0"/>
          <w:marTop w:val="0"/>
          <w:marBottom w:val="0"/>
          <w:divBdr>
            <w:top w:val="none" w:sz="0" w:space="0" w:color="auto"/>
            <w:left w:val="none" w:sz="0" w:space="0" w:color="auto"/>
            <w:bottom w:val="none" w:sz="0" w:space="0" w:color="auto"/>
            <w:right w:val="none" w:sz="0" w:space="0" w:color="auto"/>
          </w:divBdr>
        </w:div>
      </w:divsChild>
    </w:div>
    <w:div w:id="628779457">
      <w:marLeft w:val="4"/>
      <w:marRight w:val="0"/>
      <w:marTop w:val="120"/>
      <w:marBottom w:val="0"/>
      <w:divBdr>
        <w:top w:val="none" w:sz="0" w:space="0" w:color="auto"/>
        <w:left w:val="none" w:sz="0" w:space="0" w:color="auto"/>
        <w:bottom w:val="none" w:sz="0" w:space="0" w:color="auto"/>
        <w:right w:val="none" w:sz="0" w:space="0" w:color="auto"/>
      </w:divBdr>
      <w:divsChild>
        <w:div w:id="641733187">
          <w:marLeft w:val="0"/>
          <w:marRight w:val="0"/>
          <w:marTop w:val="0"/>
          <w:marBottom w:val="0"/>
          <w:divBdr>
            <w:top w:val="none" w:sz="0" w:space="0" w:color="auto"/>
            <w:left w:val="none" w:sz="0" w:space="0" w:color="auto"/>
            <w:bottom w:val="none" w:sz="0" w:space="0" w:color="auto"/>
            <w:right w:val="none" w:sz="0" w:space="0" w:color="auto"/>
          </w:divBdr>
        </w:div>
      </w:divsChild>
    </w:div>
    <w:div w:id="630480175">
      <w:marLeft w:val="4"/>
      <w:marRight w:val="0"/>
      <w:marTop w:val="120"/>
      <w:marBottom w:val="0"/>
      <w:divBdr>
        <w:top w:val="none" w:sz="0" w:space="0" w:color="auto"/>
        <w:left w:val="none" w:sz="0" w:space="0" w:color="auto"/>
        <w:bottom w:val="none" w:sz="0" w:space="0" w:color="auto"/>
        <w:right w:val="none" w:sz="0" w:space="0" w:color="auto"/>
      </w:divBdr>
      <w:divsChild>
        <w:div w:id="470750060">
          <w:marLeft w:val="0"/>
          <w:marRight w:val="0"/>
          <w:marTop w:val="0"/>
          <w:marBottom w:val="0"/>
          <w:divBdr>
            <w:top w:val="none" w:sz="0" w:space="0" w:color="auto"/>
            <w:left w:val="none" w:sz="0" w:space="0" w:color="auto"/>
            <w:bottom w:val="none" w:sz="0" w:space="0" w:color="auto"/>
            <w:right w:val="none" w:sz="0" w:space="0" w:color="auto"/>
          </w:divBdr>
        </w:div>
      </w:divsChild>
    </w:div>
    <w:div w:id="635994105">
      <w:marLeft w:val="4"/>
      <w:marRight w:val="0"/>
      <w:marTop w:val="120"/>
      <w:marBottom w:val="0"/>
      <w:divBdr>
        <w:top w:val="none" w:sz="0" w:space="0" w:color="auto"/>
        <w:left w:val="none" w:sz="0" w:space="0" w:color="auto"/>
        <w:bottom w:val="none" w:sz="0" w:space="0" w:color="auto"/>
        <w:right w:val="none" w:sz="0" w:space="0" w:color="auto"/>
      </w:divBdr>
      <w:divsChild>
        <w:div w:id="1656060941">
          <w:marLeft w:val="0"/>
          <w:marRight w:val="0"/>
          <w:marTop w:val="0"/>
          <w:marBottom w:val="0"/>
          <w:divBdr>
            <w:top w:val="none" w:sz="0" w:space="0" w:color="auto"/>
            <w:left w:val="none" w:sz="0" w:space="0" w:color="auto"/>
            <w:bottom w:val="none" w:sz="0" w:space="0" w:color="auto"/>
            <w:right w:val="none" w:sz="0" w:space="0" w:color="auto"/>
          </w:divBdr>
        </w:div>
      </w:divsChild>
    </w:div>
    <w:div w:id="644050787">
      <w:marLeft w:val="9"/>
      <w:marRight w:val="0"/>
      <w:marTop w:val="120"/>
      <w:marBottom w:val="0"/>
      <w:divBdr>
        <w:top w:val="none" w:sz="0" w:space="0" w:color="auto"/>
        <w:left w:val="none" w:sz="0" w:space="0" w:color="auto"/>
        <w:bottom w:val="none" w:sz="0" w:space="0" w:color="auto"/>
        <w:right w:val="none" w:sz="0" w:space="0" w:color="auto"/>
      </w:divBdr>
      <w:divsChild>
        <w:div w:id="1448038870">
          <w:marLeft w:val="0"/>
          <w:marRight w:val="0"/>
          <w:marTop w:val="0"/>
          <w:marBottom w:val="0"/>
          <w:divBdr>
            <w:top w:val="none" w:sz="0" w:space="0" w:color="auto"/>
            <w:left w:val="none" w:sz="0" w:space="0" w:color="auto"/>
            <w:bottom w:val="none" w:sz="0" w:space="0" w:color="auto"/>
            <w:right w:val="none" w:sz="0" w:space="0" w:color="auto"/>
          </w:divBdr>
        </w:div>
      </w:divsChild>
    </w:div>
    <w:div w:id="645402791">
      <w:marLeft w:val="4"/>
      <w:marRight w:val="0"/>
      <w:marTop w:val="120"/>
      <w:marBottom w:val="0"/>
      <w:divBdr>
        <w:top w:val="none" w:sz="0" w:space="0" w:color="auto"/>
        <w:left w:val="none" w:sz="0" w:space="0" w:color="auto"/>
        <w:bottom w:val="none" w:sz="0" w:space="0" w:color="auto"/>
        <w:right w:val="none" w:sz="0" w:space="0" w:color="auto"/>
      </w:divBdr>
      <w:divsChild>
        <w:div w:id="851606291">
          <w:marLeft w:val="0"/>
          <w:marRight w:val="0"/>
          <w:marTop w:val="0"/>
          <w:marBottom w:val="0"/>
          <w:divBdr>
            <w:top w:val="none" w:sz="0" w:space="0" w:color="auto"/>
            <w:left w:val="none" w:sz="0" w:space="0" w:color="auto"/>
            <w:bottom w:val="none" w:sz="0" w:space="0" w:color="auto"/>
            <w:right w:val="none" w:sz="0" w:space="0" w:color="auto"/>
          </w:divBdr>
        </w:div>
      </w:divsChild>
    </w:div>
    <w:div w:id="649673090">
      <w:marLeft w:val="4"/>
      <w:marRight w:val="0"/>
      <w:marTop w:val="120"/>
      <w:marBottom w:val="0"/>
      <w:divBdr>
        <w:top w:val="none" w:sz="0" w:space="0" w:color="auto"/>
        <w:left w:val="none" w:sz="0" w:space="0" w:color="auto"/>
        <w:bottom w:val="none" w:sz="0" w:space="0" w:color="auto"/>
        <w:right w:val="none" w:sz="0" w:space="0" w:color="auto"/>
      </w:divBdr>
      <w:divsChild>
        <w:div w:id="1786537495">
          <w:marLeft w:val="0"/>
          <w:marRight w:val="0"/>
          <w:marTop w:val="0"/>
          <w:marBottom w:val="0"/>
          <w:divBdr>
            <w:top w:val="none" w:sz="0" w:space="0" w:color="auto"/>
            <w:left w:val="none" w:sz="0" w:space="0" w:color="auto"/>
            <w:bottom w:val="none" w:sz="0" w:space="0" w:color="auto"/>
            <w:right w:val="none" w:sz="0" w:space="0" w:color="auto"/>
          </w:divBdr>
        </w:div>
      </w:divsChild>
    </w:div>
    <w:div w:id="649988361">
      <w:marLeft w:val="4"/>
      <w:marRight w:val="0"/>
      <w:marTop w:val="120"/>
      <w:marBottom w:val="0"/>
      <w:divBdr>
        <w:top w:val="none" w:sz="0" w:space="0" w:color="auto"/>
        <w:left w:val="none" w:sz="0" w:space="0" w:color="auto"/>
        <w:bottom w:val="none" w:sz="0" w:space="0" w:color="auto"/>
        <w:right w:val="none" w:sz="0" w:space="0" w:color="auto"/>
      </w:divBdr>
      <w:divsChild>
        <w:div w:id="1384673192">
          <w:marLeft w:val="0"/>
          <w:marRight w:val="0"/>
          <w:marTop w:val="0"/>
          <w:marBottom w:val="0"/>
          <w:divBdr>
            <w:top w:val="none" w:sz="0" w:space="0" w:color="auto"/>
            <w:left w:val="none" w:sz="0" w:space="0" w:color="auto"/>
            <w:bottom w:val="none" w:sz="0" w:space="0" w:color="auto"/>
            <w:right w:val="none" w:sz="0" w:space="0" w:color="auto"/>
          </w:divBdr>
        </w:div>
      </w:divsChild>
    </w:div>
    <w:div w:id="660279915">
      <w:marLeft w:val="0"/>
      <w:marRight w:val="0"/>
      <w:marTop w:val="0"/>
      <w:marBottom w:val="0"/>
      <w:divBdr>
        <w:top w:val="none" w:sz="0" w:space="0" w:color="auto"/>
        <w:left w:val="none" w:sz="0" w:space="0" w:color="auto"/>
        <w:bottom w:val="none" w:sz="0" w:space="0" w:color="auto"/>
        <w:right w:val="none" w:sz="0" w:space="0" w:color="auto"/>
      </w:divBdr>
    </w:div>
    <w:div w:id="664820970">
      <w:marLeft w:val="4"/>
      <w:marRight w:val="0"/>
      <w:marTop w:val="120"/>
      <w:marBottom w:val="0"/>
      <w:divBdr>
        <w:top w:val="none" w:sz="0" w:space="0" w:color="auto"/>
        <w:left w:val="none" w:sz="0" w:space="0" w:color="auto"/>
        <w:bottom w:val="none" w:sz="0" w:space="0" w:color="auto"/>
        <w:right w:val="none" w:sz="0" w:space="0" w:color="auto"/>
      </w:divBdr>
      <w:divsChild>
        <w:div w:id="24596707">
          <w:marLeft w:val="0"/>
          <w:marRight w:val="0"/>
          <w:marTop w:val="0"/>
          <w:marBottom w:val="0"/>
          <w:divBdr>
            <w:top w:val="none" w:sz="0" w:space="0" w:color="auto"/>
            <w:left w:val="none" w:sz="0" w:space="0" w:color="auto"/>
            <w:bottom w:val="none" w:sz="0" w:space="0" w:color="auto"/>
            <w:right w:val="none" w:sz="0" w:space="0" w:color="auto"/>
          </w:divBdr>
        </w:div>
      </w:divsChild>
    </w:div>
    <w:div w:id="694238064">
      <w:marLeft w:val="4"/>
      <w:marRight w:val="0"/>
      <w:marTop w:val="120"/>
      <w:marBottom w:val="0"/>
      <w:divBdr>
        <w:top w:val="none" w:sz="0" w:space="0" w:color="auto"/>
        <w:left w:val="none" w:sz="0" w:space="0" w:color="auto"/>
        <w:bottom w:val="none" w:sz="0" w:space="0" w:color="auto"/>
        <w:right w:val="none" w:sz="0" w:space="0" w:color="auto"/>
      </w:divBdr>
      <w:divsChild>
        <w:div w:id="879246675">
          <w:marLeft w:val="0"/>
          <w:marRight w:val="0"/>
          <w:marTop w:val="0"/>
          <w:marBottom w:val="0"/>
          <w:divBdr>
            <w:top w:val="none" w:sz="0" w:space="0" w:color="auto"/>
            <w:left w:val="none" w:sz="0" w:space="0" w:color="auto"/>
            <w:bottom w:val="none" w:sz="0" w:space="0" w:color="auto"/>
            <w:right w:val="none" w:sz="0" w:space="0" w:color="auto"/>
          </w:divBdr>
        </w:div>
      </w:divsChild>
    </w:div>
    <w:div w:id="715203457">
      <w:marLeft w:val="4"/>
      <w:marRight w:val="0"/>
      <w:marTop w:val="120"/>
      <w:marBottom w:val="0"/>
      <w:divBdr>
        <w:top w:val="none" w:sz="0" w:space="0" w:color="auto"/>
        <w:left w:val="none" w:sz="0" w:space="0" w:color="auto"/>
        <w:bottom w:val="none" w:sz="0" w:space="0" w:color="auto"/>
        <w:right w:val="none" w:sz="0" w:space="0" w:color="auto"/>
      </w:divBdr>
      <w:divsChild>
        <w:div w:id="1519150435">
          <w:marLeft w:val="0"/>
          <w:marRight w:val="0"/>
          <w:marTop w:val="0"/>
          <w:marBottom w:val="0"/>
          <w:divBdr>
            <w:top w:val="none" w:sz="0" w:space="0" w:color="auto"/>
            <w:left w:val="none" w:sz="0" w:space="0" w:color="auto"/>
            <w:bottom w:val="none" w:sz="0" w:space="0" w:color="auto"/>
            <w:right w:val="none" w:sz="0" w:space="0" w:color="auto"/>
          </w:divBdr>
        </w:div>
      </w:divsChild>
    </w:div>
    <w:div w:id="718751666">
      <w:marLeft w:val="4"/>
      <w:marRight w:val="0"/>
      <w:marTop w:val="120"/>
      <w:marBottom w:val="0"/>
      <w:divBdr>
        <w:top w:val="none" w:sz="0" w:space="0" w:color="auto"/>
        <w:left w:val="none" w:sz="0" w:space="0" w:color="auto"/>
        <w:bottom w:val="none" w:sz="0" w:space="0" w:color="auto"/>
        <w:right w:val="none" w:sz="0" w:space="0" w:color="auto"/>
      </w:divBdr>
      <w:divsChild>
        <w:div w:id="1758937324">
          <w:marLeft w:val="0"/>
          <w:marRight w:val="0"/>
          <w:marTop w:val="0"/>
          <w:marBottom w:val="0"/>
          <w:divBdr>
            <w:top w:val="none" w:sz="0" w:space="0" w:color="auto"/>
            <w:left w:val="none" w:sz="0" w:space="0" w:color="auto"/>
            <w:bottom w:val="none" w:sz="0" w:space="0" w:color="auto"/>
            <w:right w:val="none" w:sz="0" w:space="0" w:color="auto"/>
          </w:divBdr>
        </w:div>
      </w:divsChild>
    </w:div>
    <w:div w:id="727538498">
      <w:marLeft w:val="4"/>
      <w:marRight w:val="0"/>
      <w:marTop w:val="120"/>
      <w:marBottom w:val="0"/>
      <w:divBdr>
        <w:top w:val="none" w:sz="0" w:space="0" w:color="auto"/>
        <w:left w:val="none" w:sz="0" w:space="0" w:color="auto"/>
        <w:bottom w:val="none" w:sz="0" w:space="0" w:color="auto"/>
        <w:right w:val="none" w:sz="0" w:space="0" w:color="auto"/>
      </w:divBdr>
      <w:divsChild>
        <w:div w:id="1138650000">
          <w:marLeft w:val="0"/>
          <w:marRight w:val="0"/>
          <w:marTop w:val="0"/>
          <w:marBottom w:val="0"/>
          <w:divBdr>
            <w:top w:val="none" w:sz="0" w:space="0" w:color="auto"/>
            <w:left w:val="none" w:sz="0" w:space="0" w:color="auto"/>
            <w:bottom w:val="none" w:sz="0" w:space="0" w:color="auto"/>
            <w:right w:val="none" w:sz="0" w:space="0" w:color="auto"/>
          </w:divBdr>
        </w:div>
      </w:divsChild>
    </w:div>
    <w:div w:id="735206373">
      <w:marLeft w:val="4"/>
      <w:marRight w:val="0"/>
      <w:marTop w:val="120"/>
      <w:marBottom w:val="0"/>
      <w:divBdr>
        <w:top w:val="none" w:sz="0" w:space="0" w:color="auto"/>
        <w:left w:val="none" w:sz="0" w:space="0" w:color="auto"/>
        <w:bottom w:val="none" w:sz="0" w:space="0" w:color="auto"/>
        <w:right w:val="none" w:sz="0" w:space="0" w:color="auto"/>
      </w:divBdr>
      <w:divsChild>
        <w:div w:id="2032412719">
          <w:marLeft w:val="0"/>
          <w:marRight w:val="0"/>
          <w:marTop w:val="0"/>
          <w:marBottom w:val="0"/>
          <w:divBdr>
            <w:top w:val="none" w:sz="0" w:space="0" w:color="auto"/>
            <w:left w:val="none" w:sz="0" w:space="0" w:color="auto"/>
            <w:bottom w:val="none" w:sz="0" w:space="0" w:color="auto"/>
            <w:right w:val="none" w:sz="0" w:space="0" w:color="auto"/>
          </w:divBdr>
        </w:div>
      </w:divsChild>
    </w:div>
    <w:div w:id="737047839">
      <w:marLeft w:val="4"/>
      <w:marRight w:val="0"/>
      <w:marTop w:val="120"/>
      <w:marBottom w:val="0"/>
      <w:divBdr>
        <w:top w:val="none" w:sz="0" w:space="0" w:color="auto"/>
        <w:left w:val="none" w:sz="0" w:space="0" w:color="auto"/>
        <w:bottom w:val="none" w:sz="0" w:space="0" w:color="auto"/>
        <w:right w:val="none" w:sz="0" w:space="0" w:color="auto"/>
      </w:divBdr>
      <w:divsChild>
        <w:div w:id="125706637">
          <w:marLeft w:val="0"/>
          <w:marRight w:val="0"/>
          <w:marTop w:val="0"/>
          <w:marBottom w:val="0"/>
          <w:divBdr>
            <w:top w:val="none" w:sz="0" w:space="0" w:color="auto"/>
            <w:left w:val="none" w:sz="0" w:space="0" w:color="auto"/>
            <w:bottom w:val="none" w:sz="0" w:space="0" w:color="auto"/>
            <w:right w:val="none" w:sz="0" w:space="0" w:color="auto"/>
          </w:divBdr>
        </w:div>
      </w:divsChild>
    </w:div>
    <w:div w:id="759259751">
      <w:marLeft w:val="9"/>
      <w:marRight w:val="0"/>
      <w:marTop w:val="120"/>
      <w:marBottom w:val="0"/>
      <w:divBdr>
        <w:top w:val="none" w:sz="0" w:space="0" w:color="auto"/>
        <w:left w:val="none" w:sz="0" w:space="0" w:color="auto"/>
        <w:bottom w:val="none" w:sz="0" w:space="0" w:color="auto"/>
        <w:right w:val="none" w:sz="0" w:space="0" w:color="auto"/>
      </w:divBdr>
      <w:divsChild>
        <w:div w:id="503907703">
          <w:marLeft w:val="0"/>
          <w:marRight w:val="0"/>
          <w:marTop w:val="0"/>
          <w:marBottom w:val="0"/>
          <w:divBdr>
            <w:top w:val="none" w:sz="0" w:space="0" w:color="auto"/>
            <w:left w:val="none" w:sz="0" w:space="0" w:color="auto"/>
            <w:bottom w:val="none" w:sz="0" w:space="0" w:color="auto"/>
            <w:right w:val="none" w:sz="0" w:space="0" w:color="auto"/>
          </w:divBdr>
        </w:div>
      </w:divsChild>
    </w:div>
    <w:div w:id="769737319">
      <w:marLeft w:val="4"/>
      <w:marRight w:val="0"/>
      <w:marTop w:val="120"/>
      <w:marBottom w:val="0"/>
      <w:divBdr>
        <w:top w:val="none" w:sz="0" w:space="0" w:color="auto"/>
        <w:left w:val="none" w:sz="0" w:space="0" w:color="auto"/>
        <w:bottom w:val="none" w:sz="0" w:space="0" w:color="auto"/>
        <w:right w:val="none" w:sz="0" w:space="0" w:color="auto"/>
      </w:divBdr>
      <w:divsChild>
        <w:div w:id="715591402">
          <w:marLeft w:val="0"/>
          <w:marRight w:val="0"/>
          <w:marTop w:val="0"/>
          <w:marBottom w:val="0"/>
          <w:divBdr>
            <w:top w:val="none" w:sz="0" w:space="0" w:color="auto"/>
            <w:left w:val="none" w:sz="0" w:space="0" w:color="auto"/>
            <w:bottom w:val="none" w:sz="0" w:space="0" w:color="auto"/>
            <w:right w:val="none" w:sz="0" w:space="0" w:color="auto"/>
          </w:divBdr>
        </w:div>
      </w:divsChild>
    </w:div>
    <w:div w:id="781072046">
      <w:marLeft w:val="4"/>
      <w:marRight w:val="0"/>
      <w:marTop w:val="120"/>
      <w:marBottom w:val="0"/>
      <w:divBdr>
        <w:top w:val="none" w:sz="0" w:space="0" w:color="auto"/>
        <w:left w:val="none" w:sz="0" w:space="0" w:color="auto"/>
        <w:bottom w:val="none" w:sz="0" w:space="0" w:color="auto"/>
        <w:right w:val="none" w:sz="0" w:space="0" w:color="auto"/>
      </w:divBdr>
      <w:divsChild>
        <w:div w:id="1507359854">
          <w:marLeft w:val="0"/>
          <w:marRight w:val="0"/>
          <w:marTop w:val="0"/>
          <w:marBottom w:val="0"/>
          <w:divBdr>
            <w:top w:val="none" w:sz="0" w:space="0" w:color="auto"/>
            <w:left w:val="none" w:sz="0" w:space="0" w:color="auto"/>
            <w:bottom w:val="none" w:sz="0" w:space="0" w:color="auto"/>
            <w:right w:val="none" w:sz="0" w:space="0" w:color="auto"/>
          </w:divBdr>
        </w:div>
      </w:divsChild>
    </w:div>
    <w:div w:id="805973032">
      <w:marLeft w:val="4"/>
      <w:marRight w:val="0"/>
      <w:marTop w:val="120"/>
      <w:marBottom w:val="0"/>
      <w:divBdr>
        <w:top w:val="none" w:sz="0" w:space="0" w:color="auto"/>
        <w:left w:val="none" w:sz="0" w:space="0" w:color="auto"/>
        <w:bottom w:val="none" w:sz="0" w:space="0" w:color="auto"/>
        <w:right w:val="none" w:sz="0" w:space="0" w:color="auto"/>
      </w:divBdr>
      <w:divsChild>
        <w:div w:id="1855074882">
          <w:marLeft w:val="0"/>
          <w:marRight w:val="0"/>
          <w:marTop w:val="0"/>
          <w:marBottom w:val="0"/>
          <w:divBdr>
            <w:top w:val="none" w:sz="0" w:space="0" w:color="auto"/>
            <w:left w:val="none" w:sz="0" w:space="0" w:color="auto"/>
            <w:bottom w:val="none" w:sz="0" w:space="0" w:color="auto"/>
            <w:right w:val="none" w:sz="0" w:space="0" w:color="auto"/>
          </w:divBdr>
        </w:div>
      </w:divsChild>
    </w:div>
    <w:div w:id="815951011">
      <w:marLeft w:val="3"/>
      <w:marRight w:val="0"/>
      <w:marTop w:val="120"/>
      <w:marBottom w:val="0"/>
      <w:divBdr>
        <w:top w:val="none" w:sz="0" w:space="0" w:color="auto"/>
        <w:left w:val="none" w:sz="0" w:space="0" w:color="auto"/>
        <w:bottom w:val="none" w:sz="0" w:space="0" w:color="auto"/>
        <w:right w:val="none" w:sz="0" w:space="0" w:color="auto"/>
      </w:divBdr>
      <w:divsChild>
        <w:div w:id="576213196">
          <w:marLeft w:val="0"/>
          <w:marRight w:val="0"/>
          <w:marTop w:val="0"/>
          <w:marBottom w:val="0"/>
          <w:divBdr>
            <w:top w:val="none" w:sz="0" w:space="0" w:color="auto"/>
            <w:left w:val="none" w:sz="0" w:space="0" w:color="auto"/>
            <w:bottom w:val="none" w:sz="0" w:space="0" w:color="auto"/>
            <w:right w:val="none" w:sz="0" w:space="0" w:color="auto"/>
          </w:divBdr>
        </w:div>
      </w:divsChild>
    </w:div>
    <w:div w:id="824320213">
      <w:marLeft w:val="4"/>
      <w:marRight w:val="0"/>
      <w:marTop w:val="120"/>
      <w:marBottom w:val="0"/>
      <w:divBdr>
        <w:top w:val="none" w:sz="0" w:space="0" w:color="auto"/>
        <w:left w:val="none" w:sz="0" w:space="0" w:color="auto"/>
        <w:bottom w:val="none" w:sz="0" w:space="0" w:color="auto"/>
        <w:right w:val="none" w:sz="0" w:space="0" w:color="auto"/>
      </w:divBdr>
      <w:divsChild>
        <w:div w:id="430704602">
          <w:marLeft w:val="0"/>
          <w:marRight w:val="0"/>
          <w:marTop w:val="0"/>
          <w:marBottom w:val="0"/>
          <w:divBdr>
            <w:top w:val="none" w:sz="0" w:space="0" w:color="auto"/>
            <w:left w:val="none" w:sz="0" w:space="0" w:color="auto"/>
            <w:bottom w:val="none" w:sz="0" w:space="0" w:color="auto"/>
            <w:right w:val="none" w:sz="0" w:space="0" w:color="auto"/>
          </w:divBdr>
        </w:div>
      </w:divsChild>
    </w:div>
    <w:div w:id="832792377">
      <w:marLeft w:val="4"/>
      <w:marRight w:val="0"/>
      <w:marTop w:val="120"/>
      <w:marBottom w:val="0"/>
      <w:divBdr>
        <w:top w:val="none" w:sz="0" w:space="0" w:color="auto"/>
        <w:left w:val="none" w:sz="0" w:space="0" w:color="auto"/>
        <w:bottom w:val="none" w:sz="0" w:space="0" w:color="auto"/>
        <w:right w:val="none" w:sz="0" w:space="0" w:color="auto"/>
      </w:divBdr>
      <w:divsChild>
        <w:div w:id="1721050476">
          <w:marLeft w:val="0"/>
          <w:marRight w:val="0"/>
          <w:marTop w:val="0"/>
          <w:marBottom w:val="0"/>
          <w:divBdr>
            <w:top w:val="none" w:sz="0" w:space="0" w:color="auto"/>
            <w:left w:val="none" w:sz="0" w:space="0" w:color="auto"/>
            <w:bottom w:val="none" w:sz="0" w:space="0" w:color="auto"/>
            <w:right w:val="none" w:sz="0" w:space="0" w:color="auto"/>
          </w:divBdr>
        </w:div>
      </w:divsChild>
    </w:div>
    <w:div w:id="836531954">
      <w:marLeft w:val="4"/>
      <w:marRight w:val="0"/>
      <w:marTop w:val="120"/>
      <w:marBottom w:val="0"/>
      <w:divBdr>
        <w:top w:val="none" w:sz="0" w:space="0" w:color="auto"/>
        <w:left w:val="none" w:sz="0" w:space="0" w:color="auto"/>
        <w:bottom w:val="none" w:sz="0" w:space="0" w:color="auto"/>
        <w:right w:val="none" w:sz="0" w:space="0" w:color="auto"/>
      </w:divBdr>
      <w:divsChild>
        <w:div w:id="2036807855">
          <w:marLeft w:val="0"/>
          <w:marRight w:val="0"/>
          <w:marTop w:val="0"/>
          <w:marBottom w:val="0"/>
          <w:divBdr>
            <w:top w:val="none" w:sz="0" w:space="0" w:color="auto"/>
            <w:left w:val="none" w:sz="0" w:space="0" w:color="auto"/>
            <w:bottom w:val="none" w:sz="0" w:space="0" w:color="auto"/>
            <w:right w:val="none" w:sz="0" w:space="0" w:color="auto"/>
          </w:divBdr>
        </w:div>
      </w:divsChild>
    </w:div>
    <w:div w:id="839347528">
      <w:marLeft w:val="4"/>
      <w:marRight w:val="0"/>
      <w:marTop w:val="120"/>
      <w:marBottom w:val="0"/>
      <w:divBdr>
        <w:top w:val="none" w:sz="0" w:space="0" w:color="auto"/>
        <w:left w:val="none" w:sz="0" w:space="0" w:color="auto"/>
        <w:bottom w:val="none" w:sz="0" w:space="0" w:color="auto"/>
        <w:right w:val="none" w:sz="0" w:space="0" w:color="auto"/>
      </w:divBdr>
      <w:divsChild>
        <w:div w:id="1936135267">
          <w:marLeft w:val="0"/>
          <w:marRight w:val="0"/>
          <w:marTop w:val="0"/>
          <w:marBottom w:val="0"/>
          <w:divBdr>
            <w:top w:val="none" w:sz="0" w:space="0" w:color="auto"/>
            <w:left w:val="none" w:sz="0" w:space="0" w:color="auto"/>
            <w:bottom w:val="none" w:sz="0" w:space="0" w:color="auto"/>
            <w:right w:val="none" w:sz="0" w:space="0" w:color="auto"/>
          </w:divBdr>
        </w:div>
      </w:divsChild>
    </w:div>
    <w:div w:id="852525016">
      <w:marLeft w:val="4"/>
      <w:marRight w:val="0"/>
      <w:marTop w:val="120"/>
      <w:marBottom w:val="0"/>
      <w:divBdr>
        <w:top w:val="none" w:sz="0" w:space="0" w:color="auto"/>
        <w:left w:val="none" w:sz="0" w:space="0" w:color="auto"/>
        <w:bottom w:val="none" w:sz="0" w:space="0" w:color="auto"/>
        <w:right w:val="none" w:sz="0" w:space="0" w:color="auto"/>
      </w:divBdr>
      <w:divsChild>
        <w:div w:id="1938977254">
          <w:marLeft w:val="0"/>
          <w:marRight w:val="0"/>
          <w:marTop w:val="0"/>
          <w:marBottom w:val="0"/>
          <w:divBdr>
            <w:top w:val="none" w:sz="0" w:space="0" w:color="auto"/>
            <w:left w:val="none" w:sz="0" w:space="0" w:color="auto"/>
            <w:bottom w:val="none" w:sz="0" w:space="0" w:color="auto"/>
            <w:right w:val="none" w:sz="0" w:space="0" w:color="auto"/>
          </w:divBdr>
        </w:div>
      </w:divsChild>
    </w:div>
    <w:div w:id="854536901">
      <w:marLeft w:val="4"/>
      <w:marRight w:val="0"/>
      <w:marTop w:val="120"/>
      <w:marBottom w:val="0"/>
      <w:divBdr>
        <w:top w:val="none" w:sz="0" w:space="0" w:color="auto"/>
        <w:left w:val="none" w:sz="0" w:space="0" w:color="auto"/>
        <w:bottom w:val="none" w:sz="0" w:space="0" w:color="auto"/>
        <w:right w:val="none" w:sz="0" w:space="0" w:color="auto"/>
      </w:divBdr>
      <w:divsChild>
        <w:div w:id="1018390233">
          <w:marLeft w:val="0"/>
          <w:marRight w:val="0"/>
          <w:marTop w:val="0"/>
          <w:marBottom w:val="0"/>
          <w:divBdr>
            <w:top w:val="none" w:sz="0" w:space="0" w:color="auto"/>
            <w:left w:val="none" w:sz="0" w:space="0" w:color="auto"/>
            <w:bottom w:val="none" w:sz="0" w:space="0" w:color="auto"/>
            <w:right w:val="none" w:sz="0" w:space="0" w:color="auto"/>
          </w:divBdr>
        </w:div>
      </w:divsChild>
    </w:div>
    <w:div w:id="859201447">
      <w:marLeft w:val="3"/>
      <w:marRight w:val="0"/>
      <w:marTop w:val="120"/>
      <w:marBottom w:val="0"/>
      <w:divBdr>
        <w:top w:val="none" w:sz="0" w:space="0" w:color="auto"/>
        <w:left w:val="none" w:sz="0" w:space="0" w:color="auto"/>
        <w:bottom w:val="none" w:sz="0" w:space="0" w:color="auto"/>
        <w:right w:val="none" w:sz="0" w:space="0" w:color="auto"/>
      </w:divBdr>
      <w:divsChild>
        <w:div w:id="1350134759">
          <w:marLeft w:val="0"/>
          <w:marRight w:val="0"/>
          <w:marTop w:val="0"/>
          <w:marBottom w:val="0"/>
          <w:divBdr>
            <w:top w:val="none" w:sz="0" w:space="0" w:color="auto"/>
            <w:left w:val="none" w:sz="0" w:space="0" w:color="auto"/>
            <w:bottom w:val="none" w:sz="0" w:space="0" w:color="auto"/>
            <w:right w:val="none" w:sz="0" w:space="0" w:color="auto"/>
          </w:divBdr>
        </w:div>
      </w:divsChild>
    </w:div>
    <w:div w:id="864754591">
      <w:marLeft w:val="4"/>
      <w:marRight w:val="0"/>
      <w:marTop w:val="120"/>
      <w:marBottom w:val="0"/>
      <w:divBdr>
        <w:top w:val="none" w:sz="0" w:space="0" w:color="auto"/>
        <w:left w:val="none" w:sz="0" w:space="0" w:color="auto"/>
        <w:bottom w:val="none" w:sz="0" w:space="0" w:color="auto"/>
        <w:right w:val="none" w:sz="0" w:space="0" w:color="auto"/>
      </w:divBdr>
      <w:divsChild>
        <w:div w:id="1747801866">
          <w:marLeft w:val="0"/>
          <w:marRight w:val="0"/>
          <w:marTop w:val="0"/>
          <w:marBottom w:val="0"/>
          <w:divBdr>
            <w:top w:val="none" w:sz="0" w:space="0" w:color="auto"/>
            <w:left w:val="none" w:sz="0" w:space="0" w:color="auto"/>
            <w:bottom w:val="none" w:sz="0" w:space="0" w:color="auto"/>
            <w:right w:val="none" w:sz="0" w:space="0" w:color="auto"/>
          </w:divBdr>
        </w:div>
      </w:divsChild>
    </w:div>
    <w:div w:id="868951911">
      <w:marLeft w:val="4"/>
      <w:marRight w:val="0"/>
      <w:marTop w:val="120"/>
      <w:marBottom w:val="0"/>
      <w:divBdr>
        <w:top w:val="none" w:sz="0" w:space="0" w:color="auto"/>
        <w:left w:val="none" w:sz="0" w:space="0" w:color="auto"/>
        <w:bottom w:val="none" w:sz="0" w:space="0" w:color="auto"/>
        <w:right w:val="none" w:sz="0" w:space="0" w:color="auto"/>
      </w:divBdr>
      <w:divsChild>
        <w:div w:id="905146867">
          <w:marLeft w:val="0"/>
          <w:marRight w:val="0"/>
          <w:marTop w:val="0"/>
          <w:marBottom w:val="0"/>
          <w:divBdr>
            <w:top w:val="none" w:sz="0" w:space="0" w:color="auto"/>
            <w:left w:val="none" w:sz="0" w:space="0" w:color="auto"/>
            <w:bottom w:val="none" w:sz="0" w:space="0" w:color="auto"/>
            <w:right w:val="none" w:sz="0" w:space="0" w:color="auto"/>
          </w:divBdr>
        </w:div>
      </w:divsChild>
    </w:div>
    <w:div w:id="872619661">
      <w:marLeft w:val="4"/>
      <w:marRight w:val="0"/>
      <w:marTop w:val="120"/>
      <w:marBottom w:val="0"/>
      <w:divBdr>
        <w:top w:val="none" w:sz="0" w:space="0" w:color="auto"/>
        <w:left w:val="none" w:sz="0" w:space="0" w:color="auto"/>
        <w:bottom w:val="none" w:sz="0" w:space="0" w:color="auto"/>
        <w:right w:val="none" w:sz="0" w:space="0" w:color="auto"/>
      </w:divBdr>
      <w:divsChild>
        <w:div w:id="469589166">
          <w:marLeft w:val="0"/>
          <w:marRight w:val="0"/>
          <w:marTop w:val="0"/>
          <w:marBottom w:val="0"/>
          <w:divBdr>
            <w:top w:val="none" w:sz="0" w:space="0" w:color="auto"/>
            <w:left w:val="none" w:sz="0" w:space="0" w:color="auto"/>
            <w:bottom w:val="none" w:sz="0" w:space="0" w:color="auto"/>
            <w:right w:val="none" w:sz="0" w:space="0" w:color="auto"/>
          </w:divBdr>
        </w:div>
      </w:divsChild>
    </w:div>
    <w:div w:id="893353028">
      <w:marLeft w:val="9"/>
      <w:marRight w:val="0"/>
      <w:marTop w:val="120"/>
      <w:marBottom w:val="0"/>
      <w:divBdr>
        <w:top w:val="none" w:sz="0" w:space="0" w:color="auto"/>
        <w:left w:val="none" w:sz="0" w:space="0" w:color="auto"/>
        <w:bottom w:val="none" w:sz="0" w:space="0" w:color="auto"/>
        <w:right w:val="none" w:sz="0" w:space="0" w:color="auto"/>
      </w:divBdr>
      <w:divsChild>
        <w:div w:id="308366493">
          <w:marLeft w:val="0"/>
          <w:marRight w:val="0"/>
          <w:marTop w:val="0"/>
          <w:marBottom w:val="0"/>
          <w:divBdr>
            <w:top w:val="none" w:sz="0" w:space="0" w:color="auto"/>
            <w:left w:val="none" w:sz="0" w:space="0" w:color="auto"/>
            <w:bottom w:val="none" w:sz="0" w:space="0" w:color="auto"/>
            <w:right w:val="none" w:sz="0" w:space="0" w:color="auto"/>
          </w:divBdr>
        </w:div>
      </w:divsChild>
    </w:div>
    <w:div w:id="910772706">
      <w:marLeft w:val="4"/>
      <w:marRight w:val="0"/>
      <w:marTop w:val="120"/>
      <w:marBottom w:val="0"/>
      <w:divBdr>
        <w:top w:val="none" w:sz="0" w:space="0" w:color="auto"/>
        <w:left w:val="none" w:sz="0" w:space="0" w:color="auto"/>
        <w:bottom w:val="none" w:sz="0" w:space="0" w:color="auto"/>
        <w:right w:val="none" w:sz="0" w:space="0" w:color="auto"/>
      </w:divBdr>
      <w:divsChild>
        <w:div w:id="2040157598">
          <w:marLeft w:val="0"/>
          <w:marRight w:val="0"/>
          <w:marTop w:val="0"/>
          <w:marBottom w:val="0"/>
          <w:divBdr>
            <w:top w:val="none" w:sz="0" w:space="0" w:color="auto"/>
            <w:left w:val="none" w:sz="0" w:space="0" w:color="auto"/>
            <w:bottom w:val="none" w:sz="0" w:space="0" w:color="auto"/>
            <w:right w:val="none" w:sz="0" w:space="0" w:color="auto"/>
          </w:divBdr>
        </w:div>
      </w:divsChild>
    </w:div>
    <w:div w:id="912468252">
      <w:marLeft w:val="4"/>
      <w:marRight w:val="0"/>
      <w:marTop w:val="120"/>
      <w:marBottom w:val="0"/>
      <w:divBdr>
        <w:top w:val="none" w:sz="0" w:space="0" w:color="auto"/>
        <w:left w:val="none" w:sz="0" w:space="0" w:color="auto"/>
        <w:bottom w:val="none" w:sz="0" w:space="0" w:color="auto"/>
        <w:right w:val="none" w:sz="0" w:space="0" w:color="auto"/>
      </w:divBdr>
      <w:divsChild>
        <w:div w:id="1216432128">
          <w:marLeft w:val="0"/>
          <w:marRight w:val="0"/>
          <w:marTop w:val="0"/>
          <w:marBottom w:val="0"/>
          <w:divBdr>
            <w:top w:val="none" w:sz="0" w:space="0" w:color="auto"/>
            <w:left w:val="none" w:sz="0" w:space="0" w:color="auto"/>
            <w:bottom w:val="none" w:sz="0" w:space="0" w:color="auto"/>
            <w:right w:val="none" w:sz="0" w:space="0" w:color="auto"/>
          </w:divBdr>
        </w:div>
      </w:divsChild>
    </w:div>
    <w:div w:id="913857249">
      <w:marLeft w:val="4"/>
      <w:marRight w:val="0"/>
      <w:marTop w:val="120"/>
      <w:marBottom w:val="0"/>
      <w:divBdr>
        <w:top w:val="none" w:sz="0" w:space="0" w:color="auto"/>
        <w:left w:val="none" w:sz="0" w:space="0" w:color="auto"/>
        <w:bottom w:val="none" w:sz="0" w:space="0" w:color="auto"/>
        <w:right w:val="none" w:sz="0" w:space="0" w:color="auto"/>
      </w:divBdr>
      <w:divsChild>
        <w:div w:id="749499979">
          <w:marLeft w:val="0"/>
          <w:marRight w:val="0"/>
          <w:marTop w:val="0"/>
          <w:marBottom w:val="0"/>
          <w:divBdr>
            <w:top w:val="none" w:sz="0" w:space="0" w:color="auto"/>
            <w:left w:val="none" w:sz="0" w:space="0" w:color="auto"/>
            <w:bottom w:val="none" w:sz="0" w:space="0" w:color="auto"/>
            <w:right w:val="none" w:sz="0" w:space="0" w:color="auto"/>
          </w:divBdr>
        </w:div>
      </w:divsChild>
    </w:div>
    <w:div w:id="915090885">
      <w:marLeft w:val="4"/>
      <w:marRight w:val="0"/>
      <w:marTop w:val="120"/>
      <w:marBottom w:val="0"/>
      <w:divBdr>
        <w:top w:val="none" w:sz="0" w:space="0" w:color="auto"/>
        <w:left w:val="none" w:sz="0" w:space="0" w:color="auto"/>
        <w:bottom w:val="none" w:sz="0" w:space="0" w:color="auto"/>
        <w:right w:val="none" w:sz="0" w:space="0" w:color="auto"/>
      </w:divBdr>
      <w:divsChild>
        <w:div w:id="863446864">
          <w:marLeft w:val="0"/>
          <w:marRight w:val="0"/>
          <w:marTop w:val="0"/>
          <w:marBottom w:val="0"/>
          <w:divBdr>
            <w:top w:val="none" w:sz="0" w:space="0" w:color="auto"/>
            <w:left w:val="none" w:sz="0" w:space="0" w:color="auto"/>
            <w:bottom w:val="none" w:sz="0" w:space="0" w:color="auto"/>
            <w:right w:val="none" w:sz="0" w:space="0" w:color="auto"/>
          </w:divBdr>
        </w:div>
      </w:divsChild>
    </w:div>
    <w:div w:id="916088213">
      <w:marLeft w:val="4"/>
      <w:marRight w:val="0"/>
      <w:marTop w:val="120"/>
      <w:marBottom w:val="0"/>
      <w:divBdr>
        <w:top w:val="none" w:sz="0" w:space="0" w:color="auto"/>
        <w:left w:val="none" w:sz="0" w:space="0" w:color="auto"/>
        <w:bottom w:val="none" w:sz="0" w:space="0" w:color="auto"/>
        <w:right w:val="none" w:sz="0" w:space="0" w:color="auto"/>
      </w:divBdr>
      <w:divsChild>
        <w:div w:id="289557020">
          <w:marLeft w:val="0"/>
          <w:marRight w:val="0"/>
          <w:marTop w:val="0"/>
          <w:marBottom w:val="0"/>
          <w:divBdr>
            <w:top w:val="none" w:sz="0" w:space="0" w:color="auto"/>
            <w:left w:val="none" w:sz="0" w:space="0" w:color="auto"/>
            <w:bottom w:val="none" w:sz="0" w:space="0" w:color="auto"/>
            <w:right w:val="none" w:sz="0" w:space="0" w:color="auto"/>
          </w:divBdr>
        </w:div>
      </w:divsChild>
    </w:div>
    <w:div w:id="917056123">
      <w:marLeft w:val="4"/>
      <w:marRight w:val="0"/>
      <w:marTop w:val="120"/>
      <w:marBottom w:val="0"/>
      <w:divBdr>
        <w:top w:val="none" w:sz="0" w:space="0" w:color="auto"/>
        <w:left w:val="none" w:sz="0" w:space="0" w:color="auto"/>
        <w:bottom w:val="none" w:sz="0" w:space="0" w:color="auto"/>
        <w:right w:val="none" w:sz="0" w:space="0" w:color="auto"/>
      </w:divBdr>
      <w:divsChild>
        <w:div w:id="1048411870">
          <w:marLeft w:val="0"/>
          <w:marRight w:val="0"/>
          <w:marTop w:val="0"/>
          <w:marBottom w:val="0"/>
          <w:divBdr>
            <w:top w:val="none" w:sz="0" w:space="0" w:color="auto"/>
            <w:left w:val="none" w:sz="0" w:space="0" w:color="auto"/>
            <w:bottom w:val="none" w:sz="0" w:space="0" w:color="auto"/>
            <w:right w:val="none" w:sz="0" w:space="0" w:color="auto"/>
          </w:divBdr>
        </w:div>
      </w:divsChild>
    </w:div>
    <w:div w:id="919366997">
      <w:marLeft w:val="4"/>
      <w:marRight w:val="0"/>
      <w:marTop w:val="120"/>
      <w:marBottom w:val="0"/>
      <w:divBdr>
        <w:top w:val="none" w:sz="0" w:space="0" w:color="auto"/>
        <w:left w:val="none" w:sz="0" w:space="0" w:color="auto"/>
        <w:bottom w:val="none" w:sz="0" w:space="0" w:color="auto"/>
        <w:right w:val="none" w:sz="0" w:space="0" w:color="auto"/>
      </w:divBdr>
      <w:divsChild>
        <w:div w:id="1143622409">
          <w:marLeft w:val="0"/>
          <w:marRight w:val="0"/>
          <w:marTop w:val="0"/>
          <w:marBottom w:val="0"/>
          <w:divBdr>
            <w:top w:val="none" w:sz="0" w:space="0" w:color="auto"/>
            <w:left w:val="none" w:sz="0" w:space="0" w:color="auto"/>
            <w:bottom w:val="none" w:sz="0" w:space="0" w:color="auto"/>
            <w:right w:val="none" w:sz="0" w:space="0" w:color="auto"/>
          </w:divBdr>
        </w:div>
      </w:divsChild>
    </w:div>
    <w:div w:id="920721906">
      <w:marLeft w:val="4"/>
      <w:marRight w:val="0"/>
      <w:marTop w:val="120"/>
      <w:marBottom w:val="0"/>
      <w:divBdr>
        <w:top w:val="none" w:sz="0" w:space="0" w:color="auto"/>
        <w:left w:val="none" w:sz="0" w:space="0" w:color="auto"/>
        <w:bottom w:val="none" w:sz="0" w:space="0" w:color="auto"/>
        <w:right w:val="none" w:sz="0" w:space="0" w:color="auto"/>
      </w:divBdr>
      <w:divsChild>
        <w:div w:id="1606762622">
          <w:marLeft w:val="0"/>
          <w:marRight w:val="0"/>
          <w:marTop w:val="0"/>
          <w:marBottom w:val="0"/>
          <w:divBdr>
            <w:top w:val="none" w:sz="0" w:space="0" w:color="auto"/>
            <w:left w:val="none" w:sz="0" w:space="0" w:color="auto"/>
            <w:bottom w:val="none" w:sz="0" w:space="0" w:color="auto"/>
            <w:right w:val="none" w:sz="0" w:space="0" w:color="auto"/>
          </w:divBdr>
        </w:div>
      </w:divsChild>
    </w:div>
    <w:div w:id="926772553">
      <w:marLeft w:val="4"/>
      <w:marRight w:val="0"/>
      <w:marTop w:val="120"/>
      <w:marBottom w:val="0"/>
      <w:divBdr>
        <w:top w:val="none" w:sz="0" w:space="0" w:color="auto"/>
        <w:left w:val="none" w:sz="0" w:space="0" w:color="auto"/>
        <w:bottom w:val="none" w:sz="0" w:space="0" w:color="auto"/>
        <w:right w:val="none" w:sz="0" w:space="0" w:color="auto"/>
      </w:divBdr>
      <w:divsChild>
        <w:div w:id="1877279322">
          <w:marLeft w:val="0"/>
          <w:marRight w:val="0"/>
          <w:marTop w:val="0"/>
          <w:marBottom w:val="0"/>
          <w:divBdr>
            <w:top w:val="none" w:sz="0" w:space="0" w:color="auto"/>
            <w:left w:val="none" w:sz="0" w:space="0" w:color="auto"/>
            <w:bottom w:val="none" w:sz="0" w:space="0" w:color="auto"/>
            <w:right w:val="none" w:sz="0" w:space="0" w:color="auto"/>
          </w:divBdr>
        </w:div>
      </w:divsChild>
    </w:div>
    <w:div w:id="927427123">
      <w:marLeft w:val="4"/>
      <w:marRight w:val="0"/>
      <w:marTop w:val="120"/>
      <w:marBottom w:val="0"/>
      <w:divBdr>
        <w:top w:val="none" w:sz="0" w:space="0" w:color="auto"/>
        <w:left w:val="none" w:sz="0" w:space="0" w:color="auto"/>
        <w:bottom w:val="none" w:sz="0" w:space="0" w:color="auto"/>
        <w:right w:val="none" w:sz="0" w:space="0" w:color="auto"/>
      </w:divBdr>
      <w:divsChild>
        <w:div w:id="853105435">
          <w:marLeft w:val="0"/>
          <w:marRight w:val="0"/>
          <w:marTop w:val="0"/>
          <w:marBottom w:val="0"/>
          <w:divBdr>
            <w:top w:val="none" w:sz="0" w:space="0" w:color="auto"/>
            <w:left w:val="none" w:sz="0" w:space="0" w:color="auto"/>
            <w:bottom w:val="none" w:sz="0" w:space="0" w:color="auto"/>
            <w:right w:val="none" w:sz="0" w:space="0" w:color="auto"/>
          </w:divBdr>
        </w:div>
      </w:divsChild>
    </w:div>
    <w:div w:id="940916944">
      <w:marLeft w:val="4"/>
      <w:marRight w:val="0"/>
      <w:marTop w:val="120"/>
      <w:marBottom w:val="0"/>
      <w:divBdr>
        <w:top w:val="none" w:sz="0" w:space="0" w:color="auto"/>
        <w:left w:val="none" w:sz="0" w:space="0" w:color="auto"/>
        <w:bottom w:val="none" w:sz="0" w:space="0" w:color="auto"/>
        <w:right w:val="none" w:sz="0" w:space="0" w:color="auto"/>
      </w:divBdr>
      <w:divsChild>
        <w:div w:id="1238901377">
          <w:marLeft w:val="0"/>
          <w:marRight w:val="0"/>
          <w:marTop w:val="0"/>
          <w:marBottom w:val="0"/>
          <w:divBdr>
            <w:top w:val="none" w:sz="0" w:space="0" w:color="auto"/>
            <w:left w:val="none" w:sz="0" w:space="0" w:color="auto"/>
            <w:bottom w:val="none" w:sz="0" w:space="0" w:color="auto"/>
            <w:right w:val="none" w:sz="0" w:space="0" w:color="auto"/>
          </w:divBdr>
        </w:div>
      </w:divsChild>
    </w:div>
    <w:div w:id="951320704">
      <w:marLeft w:val="4"/>
      <w:marRight w:val="0"/>
      <w:marTop w:val="120"/>
      <w:marBottom w:val="0"/>
      <w:divBdr>
        <w:top w:val="none" w:sz="0" w:space="0" w:color="auto"/>
        <w:left w:val="none" w:sz="0" w:space="0" w:color="auto"/>
        <w:bottom w:val="none" w:sz="0" w:space="0" w:color="auto"/>
        <w:right w:val="none" w:sz="0" w:space="0" w:color="auto"/>
      </w:divBdr>
      <w:divsChild>
        <w:div w:id="1852142498">
          <w:marLeft w:val="0"/>
          <w:marRight w:val="0"/>
          <w:marTop w:val="0"/>
          <w:marBottom w:val="0"/>
          <w:divBdr>
            <w:top w:val="none" w:sz="0" w:space="0" w:color="auto"/>
            <w:left w:val="none" w:sz="0" w:space="0" w:color="auto"/>
            <w:bottom w:val="none" w:sz="0" w:space="0" w:color="auto"/>
            <w:right w:val="none" w:sz="0" w:space="0" w:color="auto"/>
          </w:divBdr>
        </w:div>
      </w:divsChild>
    </w:div>
    <w:div w:id="953050748">
      <w:marLeft w:val="4"/>
      <w:marRight w:val="0"/>
      <w:marTop w:val="120"/>
      <w:marBottom w:val="0"/>
      <w:divBdr>
        <w:top w:val="none" w:sz="0" w:space="0" w:color="auto"/>
        <w:left w:val="none" w:sz="0" w:space="0" w:color="auto"/>
        <w:bottom w:val="none" w:sz="0" w:space="0" w:color="auto"/>
        <w:right w:val="none" w:sz="0" w:space="0" w:color="auto"/>
      </w:divBdr>
      <w:divsChild>
        <w:div w:id="272520009">
          <w:marLeft w:val="0"/>
          <w:marRight w:val="0"/>
          <w:marTop w:val="0"/>
          <w:marBottom w:val="0"/>
          <w:divBdr>
            <w:top w:val="none" w:sz="0" w:space="0" w:color="auto"/>
            <w:left w:val="none" w:sz="0" w:space="0" w:color="auto"/>
            <w:bottom w:val="none" w:sz="0" w:space="0" w:color="auto"/>
            <w:right w:val="none" w:sz="0" w:space="0" w:color="auto"/>
          </w:divBdr>
        </w:div>
      </w:divsChild>
    </w:div>
    <w:div w:id="957250519">
      <w:marLeft w:val="4"/>
      <w:marRight w:val="0"/>
      <w:marTop w:val="120"/>
      <w:marBottom w:val="0"/>
      <w:divBdr>
        <w:top w:val="none" w:sz="0" w:space="0" w:color="auto"/>
        <w:left w:val="none" w:sz="0" w:space="0" w:color="auto"/>
        <w:bottom w:val="none" w:sz="0" w:space="0" w:color="auto"/>
        <w:right w:val="none" w:sz="0" w:space="0" w:color="auto"/>
      </w:divBdr>
      <w:divsChild>
        <w:div w:id="1515069127">
          <w:marLeft w:val="0"/>
          <w:marRight w:val="0"/>
          <w:marTop w:val="0"/>
          <w:marBottom w:val="0"/>
          <w:divBdr>
            <w:top w:val="none" w:sz="0" w:space="0" w:color="auto"/>
            <w:left w:val="none" w:sz="0" w:space="0" w:color="auto"/>
            <w:bottom w:val="none" w:sz="0" w:space="0" w:color="auto"/>
            <w:right w:val="none" w:sz="0" w:space="0" w:color="auto"/>
          </w:divBdr>
        </w:div>
      </w:divsChild>
    </w:div>
    <w:div w:id="967666920">
      <w:marLeft w:val="4"/>
      <w:marRight w:val="0"/>
      <w:marTop w:val="120"/>
      <w:marBottom w:val="0"/>
      <w:divBdr>
        <w:top w:val="none" w:sz="0" w:space="0" w:color="auto"/>
        <w:left w:val="none" w:sz="0" w:space="0" w:color="auto"/>
        <w:bottom w:val="none" w:sz="0" w:space="0" w:color="auto"/>
        <w:right w:val="none" w:sz="0" w:space="0" w:color="auto"/>
      </w:divBdr>
      <w:divsChild>
        <w:div w:id="1476951514">
          <w:marLeft w:val="0"/>
          <w:marRight w:val="0"/>
          <w:marTop w:val="0"/>
          <w:marBottom w:val="0"/>
          <w:divBdr>
            <w:top w:val="none" w:sz="0" w:space="0" w:color="auto"/>
            <w:left w:val="none" w:sz="0" w:space="0" w:color="auto"/>
            <w:bottom w:val="none" w:sz="0" w:space="0" w:color="auto"/>
            <w:right w:val="none" w:sz="0" w:space="0" w:color="auto"/>
          </w:divBdr>
        </w:div>
      </w:divsChild>
    </w:div>
    <w:div w:id="986936625">
      <w:marLeft w:val="4"/>
      <w:marRight w:val="0"/>
      <w:marTop w:val="120"/>
      <w:marBottom w:val="0"/>
      <w:divBdr>
        <w:top w:val="none" w:sz="0" w:space="0" w:color="auto"/>
        <w:left w:val="none" w:sz="0" w:space="0" w:color="auto"/>
        <w:bottom w:val="none" w:sz="0" w:space="0" w:color="auto"/>
        <w:right w:val="none" w:sz="0" w:space="0" w:color="auto"/>
      </w:divBdr>
      <w:divsChild>
        <w:div w:id="378021258">
          <w:marLeft w:val="0"/>
          <w:marRight w:val="0"/>
          <w:marTop w:val="0"/>
          <w:marBottom w:val="0"/>
          <w:divBdr>
            <w:top w:val="none" w:sz="0" w:space="0" w:color="auto"/>
            <w:left w:val="none" w:sz="0" w:space="0" w:color="auto"/>
            <w:bottom w:val="none" w:sz="0" w:space="0" w:color="auto"/>
            <w:right w:val="none" w:sz="0" w:space="0" w:color="auto"/>
          </w:divBdr>
        </w:div>
      </w:divsChild>
    </w:div>
    <w:div w:id="992565599">
      <w:marLeft w:val="0"/>
      <w:marRight w:val="0"/>
      <w:marTop w:val="0"/>
      <w:marBottom w:val="0"/>
      <w:divBdr>
        <w:top w:val="none" w:sz="0" w:space="0" w:color="auto"/>
        <w:left w:val="none" w:sz="0" w:space="0" w:color="auto"/>
        <w:bottom w:val="none" w:sz="0" w:space="0" w:color="auto"/>
        <w:right w:val="none" w:sz="0" w:space="0" w:color="auto"/>
      </w:divBdr>
    </w:div>
    <w:div w:id="1016426079">
      <w:marLeft w:val="4"/>
      <w:marRight w:val="0"/>
      <w:marTop w:val="120"/>
      <w:marBottom w:val="0"/>
      <w:divBdr>
        <w:top w:val="none" w:sz="0" w:space="0" w:color="auto"/>
        <w:left w:val="none" w:sz="0" w:space="0" w:color="auto"/>
        <w:bottom w:val="none" w:sz="0" w:space="0" w:color="auto"/>
        <w:right w:val="none" w:sz="0" w:space="0" w:color="auto"/>
      </w:divBdr>
      <w:divsChild>
        <w:div w:id="1117337242">
          <w:marLeft w:val="0"/>
          <w:marRight w:val="0"/>
          <w:marTop w:val="0"/>
          <w:marBottom w:val="0"/>
          <w:divBdr>
            <w:top w:val="none" w:sz="0" w:space="0" w:color="auto"/>
            <w:left w:val="none" w:sz="0" w:space="0" w:color="auto"/>
            <w:bottom w:val="none" w:sz="0" w:space="0" w:color="auto"/>
            <w:right w:val="none" w:sz="0" w:space="0" w:color="auto"/>
          </w:divBdr>
        </w:div>
      </w:divsChild>
    </w:div>
    <w:div w:id="1021325508">
      <w:marLeft w:val="0"/>
      <w:marRight w:val="0"/>
      <w:marTop w:val="0"/>
      <w:marBottom w:val="0"/>
      <w:divBdr>
        <w:top w:val="none" w:sz="0" w:space="0" w:color="auto"/>
        <w:left w:val="none" w:sz="0" w:space="0" w:color="auto"/>
        <w:bottom w:val="none" w:sz="0" w:space="0" w:color="auto"/>
        <w:right w:val="none" w:sz="0" w:space="0" w:color="auto"/>
      </w:divBdr>
    </w:div>
    <w:div w:id="1021660689">
      <w:marLeft w:val="4"/>
      <w:marRight w:val="0"/>
      <w:marTop w:val="120"/>
      <w:marBottom w:val="0"/>
      <w:divBdr>
        <w:top w:val="none" w:sz="0" w:space="0" w:color="auto"/>
        <w:left w:val="none" w:sz="0" w:space="0" w:color="auto"/>
        <w:bottom w:val="none" w:sz="0" w:space="0" w:color="auto"/>
        <w:right w:val="none" w:sz="0" w:space="0" w:color="auto"/>
      </w:divBdr>
      <w:divsChild>
        <w:div w:id="1095587637">
          <w:marLeft w:val="0"/>
          <w:marRight w:val="0"/>
          <w:marTop w:val="0"/>
          <w:marBottom w:val="0"/>
          <w:divBdr>
            <w:top w:val="none" w:sz="0" w:space="0" w:color="auto"/>
            <w:left w:val="none" w:sz="0" w:space="0" w:color="auto"/>
            <w:bottom w:val="none" w:sz="0" w:space="0" w:color="auto"/>
            <w:right w:val="none" w:sz="0" w:space="0" w:color="auto"/>
          </w:divBdr>
        </w:div>
      </w:divsChild>
    </w:div>
    <w:div w:id="1038509278">
      <w:marLeft w:val="4"/>
      <w:marRight w:val="0"/>
      <w:marTop w:val="120"/>
      <w:marBottom w:val="0"/>
      <w:divBdr>
        <w:top w:val="none" w:sz="0" w:space="0" w:color="auto"/>
        <w:left w:val="none" w:sz="0" w:space="0" w:color="auto"/>
        <w:bottom w:val="none" w:sz="0" w:space="0" w:color="auto"/>
        <w:right w:val="none" w:sz="0" w:space="0" w:color="auto"/>
      </w:divBdr>
      <w:divsChild>
        <w:div w:id="115610924">
          <w:marLeft w:val="0"/>
          <w:marRight w:val="0"/>
          <w:marTop w:val="0"/>
          <w:marBottom w:val="0"/>
          <w:divBdr>
            <w:top w:val="none" w:sz="0" w:space="0" w:color="auto"/>
            <w:left w:val="none" w:sz="0" w:space="0" w:color="auto"/>
            <w:bottom w:val="none" w:sz="0" w:space="0" w:color="auto"/>
            <w:right w:val="none" w:sz="0" w:space="0" w:color="auto"/>
          </w:divBdr>
        </w:div>
      </w:divsChild>
    </w:div>
    <w:div w:id="1038815707">
      <w:marLeft w:val="4"/>
      <w:marRight w:val="0"/>
      <w:marTop w:val="120"/>
      <w:marBottom w:val="0"/>
      <w:divBdr>
        <w:top w:val="none" w:sz="0" w:space="0" w:color="auto"/>
        <w:left w:val="none" w:sz="0" w:space="0" w:color="auto"/>
        <w:bottom w:val="none" w:sz="0" w:space="0" w:color="auto"/>
        <w:right w:val="none" w:sz="0" w:space="0" w:color="auto"/>
      </w:divBdr>
      <w:divsChild>
        <w:div w:id="27033440">
          <w:marLeft w:val="0"/>
          <w:marRight w:val="0"/>
          <w:marTop w:val="0"/>
          <w:marBottom w:val="0"/>
          <w:divBdr>
            <w:top w:val="none" w:sz="0" w:space="0" w:color="auto"/>
            <w:left w:val="none" w:sz="0" w:space="0" w:color="auto"/>
            <w:bottom w:val="none" w:sz="0" w:space="0" w:color="auto"/>
            <w:right w:val="none" w:sz="0" w:space="0" w:color="auto"/>
          </w:divBdr>
        </w:div>
      </w:divsChild>
    </w:div>
    <w:div w:id="1041787616">
      <w:marLeft w:val="4"/>
      <w:marRight w:val="0"/>
      <w:marTop w:val="120"/>
      <w:marBottom w:val="0"/>
      <w:divBdr>
        <w:top w:val="none" w:sz="0" w:space="0" w:color="auto"/>
        <w:left w:val="none" w:sz="0" w:space="0" w:color="auto"/>
        <w:bottom w:val="none" w:sz="0" w:space="0" w:color="auto"/>
        <w:right w:val="none" w:sz="0" w:space="0" w:color="auto"/>
      </w:divBdr>
      <w:divsChild>
        <w:div w:id="1550729185">
          <w:marLeft w:val="0"/>
          <w:marRight w:val="0"/>
          <w:marTop w:val="0"/>
          <w:marBottom w:val="0"/>
          <w:divBdr>
            <w:top w:val="none" w:sz="0" w:space="0" w:color="auto"/>
            <w:left w:val="none" w:sz="0" w:space="0" w:color="auto"/>
            <w:bottom w:val="none" w:sz="0" w:space="0" w:color="auto"/>
            <w:right w:val="none" w:sz="0" w:space="0" w:color="auto"/>
          </w:divBdr>
        </w:div>
      </w:divsChild>
    </w:div>
    <w:div w:id="1053041358">
      <w:marLeft w:val="4"/>
      <w:marRight w:val="0"/>
      <w:marTop w:val="120"/>
      <w:marBottom w:val="0"/>
      <w:divBdr>
        <w:top w:val="none" w:sz="0" w:space="0" w:color="auto"/>
        <w:left w:val="none" w:sz="0" w:space="0" w:color="auto"/>
        <w:bottom w:val="none" w:sz="0" w:space="0" w:color="auto"/>
        <w:right w:val="none" w:sz="0" w:space="0" w:color="auto"/>
      </w:divBdr>
      <w:divsChild>
        <w:div w:id="997460694">
          <w:marLeft w:val="0"/>
          <w:marRight w:val="0"/>
          <w:marTop w:val="0"/>
          <w:marBottom w:val="0"/>
          <w:divBdr>
            <w:top w:val="none" w:sz="0" w:space="0" w:color="auto"/>
            <w:left w:val="none" w:sz="0" w:space="0" w:color="auto"/>
            <w:bottom w:val="none" w:sz="0" w:space="0" w:color="auto"/>
            <w:right w:val="none" w:sz="0" w:space="0" w:color="auto"/>
          </w:divBdr>
        </w:div>
      </w:divsChild>
    </w:div>
    <w:div w:id="1054616849">
      <w:marLeft w:val="4"/>
      <w:marRight w:val="0"/>
      <w:marTop w:val="120"/>
      <w:marBottom w:val="0"/>
      <w:divBdr>
        <w:top w:val="none" w:sz="0" w:space="0" w:color="auto"/>
        <w:left w:val="none" w:sz="0" w:space="0" w:color="auto"/>
        <w:bottom w:val="none" w:sz="0" w:space="0" w:color="auto"/>
        <w:right w:val="none" w:sz="0" w:space="0" w:color="auto"/>
      </w:divBdr>
      <w:divsChild>
        <w:div w:id="923221662">
          <w:marLeft w:val="0"/>
          <w:marRight w:val="0"/>
          <w:marTop w:val="0"/>
          <w:marBottom w:val="0"/>
          <w:divBdr>
            <w:top w:val="none" w:sz="0" w:space="0" w:color="auto"/>
            <w:left w:val="none" w:sz="0" w:space="0" w:color="auto"/>
            <w:bottom w:val="none" w:sz="0" w:space="0" w:color="auto"/>
            <w:right w:val="none" w:sz="0" w:space="0" w:color="auto"/>
          </w:divBdr>
        </w:div>
      </w:divsChild>
    </w:div>
    <w:div w:id="1057123910">
      <w:marLeft w:val="4"/>
      <w:marRight w:val="0"/>
      <w:marTop w:val="120"/>
      <w:marBottom w:val="0"/>
      <w:divBdr>
        <w:top w:val="none" w:sz="0" w:space="0" w:color="auto"/>
        <w:left w:val="none" w:sz="0" w:space="0" w:color="auto"/>
        <w:bottom w:val="none" w:sz="0" w:space="0" w:color="auto"/>
        <w:right w:val="none" w:sz="0" w:space="0" w:color="auto"/>
      </w:divBdr>
      <w:divsChild>
        <w:div w:id="555749772">
          <w:marLeft w:val="0"/>
          <w:marRight w:val="0"/>
          <w:marTop w:val="0"/>
          <w:marBottom w:val="0"/>
          <w:divBdr>
            <w:top w:val="none" w:sz="0" w:space="0" w:color="auto"/>
            <w:left w:val="none" w:sz="0" w:space="0" w:color="auto"/>
            <w:bottom w:val="none" w:sz="0" w:space="0" w:color="auto"/>
            <w:right w:val="none" w:sz="0" w:space="0" w:color="auto"/>
          </w:divBdr>
        </w:div>
      </w:divsChild>
    </w:div>
    <w:div w:id="1059281628">
      <w:marLeft w:val="4"/>
      <w:marRight w:val="0"/>
      <w:marTop w:val="120"/>
      <w:marBottom w:val="0"/>
      <w:divBdr>
        <w:top w:val="none" w:sz="0" w:space="0" w:color="auto"/>
        <w:left w:val="none" w:sz="0" w:space="0" w:color="auto"/>
        <w:bottom w:val="none" w:sz="0" w:space="0" w:color="auto"/>
        <w:right w:val="none" w:sz="0" w:space="0" w:color="auto"/>
      </w:divBdr>
      <w:divsChild>
        <w:div w:id="447699179">
          <w:marLeft w:val="0"/>
          <w:marRight w:val="0"/>
          <w:marTop w:val="0"/>
          <w:marBottom w:val="0"/>
          <w:divBdr>
            <w:top w:val="none" w:sz="0" w:space="0" w:color="auto"/>
            <w:left w:val="none" w:sz="0" w:space="0" w:color="auto"/>
            <w:bottom w:val="none" w:sz="0" w:space="0" w:color="auto"/>
            <w:right w:val="none" w:sz="0" w:space="0" w:color="auto"/>
          </w:divBdr>
        </w:div>
      </w:divsChild>
    </w:div>
    <w:div w:id="1065565521">
      <w:marLeft w:val="4"/>
      <w:marRight w:val="0"/>
      <w:marTop w:val="120"/>
      <w:marBottom w:val="0"/>
      <w:divBdr>
        <w:top w:val="none" w:sz="0" w:space="0" w:color="auto"/>
        <w:left w:val="none" w:sz="0" w:space="0" w:color="auto"/>
        <w:bottom w:val="none" w:sz="0" w:space="0" w:color="auto"/>
        <w:right w:val="none" w:sz="0" w:space="0" w:color="auto"/>
      </w:divBdr>
      <w:divsChild>
        <w:div w:id="2010525397">
          <w:marLeft w:val="0"/>
          <w:marRight w:val="0"/>
          <w:marTop w:val="0"/>
          <w:marBottom w:val="0"/>
          <w:divBdr>
            <w:top w:val="none" w:sz="0" w:space="0" w:color="auto"/>
            <w:left w:val="none" w:sz="0" w:space="0" w:color="auto"/>
            <w:bottom w:val="none" w:sz="0" w:space="0" w:color="auto"/>
            <w:right w:val="none" w:sz="0" w:space="0" w:color="auto"/>
          </w:divBdr>
        </w:div>
      </w:divsChild>
    </w:div>
    <w:div w:id="1073046355">
      <w:marLeft w:val="4"/>
      <w:marRight w:val="0"/>
      <w:marTop w:val="120"/>
      <w:marBottom w:val="0"/>
      <w:divBdr>
        <w:top w:val="none" w:sz="0" w:space="0" w:color="auto"/>
        <w:left w:val="none" w:sz="0" w:space="0" w:color="auto"/>
        <w:bottom w:val="none" w:sz="0" w:space="0" w:color="auto"/>
        <w:right w:val="none" w:sz="0" w:space="0" w:color="auto"/>
      </w:divBdr>
      <w:divsChild>
        <w:div w:id="57287067">
          <w:marLeft w:val="0"/>
          <w:marRight w:val="0"/>
          <w:marTop w:val="0"/>
          <w:marBottom w:val="0"/>
          <w:divBdr>
            <w:top w:val="none" w:sz="0" w:space="0" w:color="auto"/>
            <w:left w:val="none" w:sz="0" w:space="0" w:color="auto"/>
            <w:bottom w:val="none" w:sz="0" w:space="0" w:color="auto"/>
            <w:right w:val="none" w:sz="0" w:space="0" w:color="auto"/>
          </w:divBdr>
        </w:div>
      </w:divsChild>
    </w:div>
    <w:div w:id="1073701092">
      <w:marLeft w:val="4"/>
      <w:marRight w:val="0"/>
      <w:marTop w:val="120"/>
      <w:marBottom w:val="0"/>
      <w:divBdr>
        <w:top w:val="none" w:sz="0" w:space="0" w:color="auto"/>
        <w:left w:val="none" w:sz="0" w:space="0" w:color="auto"/>
        <w:bottom w:val="none" w:sz="0" w:space="0" w:color="auto"/>
        <w:right w:val="none" w:sz="0" w:space="0" w:color="auto"/>
      </w:divBdr>
      <w:divsChild>
        <w:div w:id="741214607">
          <w:marLeft w:val="0"/>
          <w:marRight w:val="0"/>
          <w:marTop w:val="0"/>
          <w:marBottom w:val="0"/>
          <w:divBdr>
            <w:top w:val="none" w:sz="0" w:space="0" w:color="auto"/>
            <w:left w:val="none" w:sz="0" w:space="0" w:color="auto"/>
            <w:bottom w:val="none" w:sz="0" w:space="0" w:color="auto"/>
            <w:right w:val="none" w:sz="0" w:space="0" w:color="auto"/>
          </w:divBdr>
        </w:div>
      </w:divsChild>
    </w:div>
    <w:div w:id="1076439716">
      <w:marLeft w:val="4"/>
      <w:marRight w:val="0"/>
      <w:marTop w:val="120"/>
      <w:marBottom w:val="0"/>
      <w:divBdr>
        <w:top w:val="none" w:sz="0" w:space="0" w:color="auto"/>
        <w:left w:val="none" w:sz="0" w:space="0" w:color="auto"/>
        <w:bottom w:val="none" w:sz="0" w:space="0" w:color="auto"/>
        <w:right w:val="none" w:sz="0" w:space="0" w:color="auto"/>
      </w:divBdr>
      <w:divsChild>
        <w:div w:id="772365066">
          <w:marLeft w:val="0"/>
          <w:marRight w:val="0"/>
          <w:marTop w:val="0"/>
          <w:marBottom w:val="0"/>
          <w:divBdr>
            <w:top w:val="none" w:sz="0" w:space="0" w:color="auto"/>
            <w:left w:val="none" w:sz="0" w:space="0" w:color="auto"/>
            <w:bottom w:val="none" w:sz="0" w:space="0" w:color="auto"/>
            <w:right w:val="none" w:sz="0" w:space="0" w:color="auto"/>
          </w:divBdr>
        </w:div>
      </w:divsChild>
    </w:div>
    <w:div w:id="1102265435">
      <w:marLeft w:val="4"/>
      <w:marRight w:val="0"/>
      <w:marTop w:val="120"/>
      <w:marBottom w:val="0"/>
      <w:divBdr>
        <w:top w:val="none" w:sz="0" w:space="0" w:color="auto"/>
        <w:left w:val="none" w:sz="0" w:space="0" w:color="auto"/>
        <w:bottom w:val="none" w:sz="0" w:space="0" w:color="auto"/>
        <w:right w:val="none" w:sz="0" w:space="0" w:color="auto"/>
      </w:divBdr>
      <w:divsChild>
        <w:div w:id="6753709">
          <w:marLeft w:val="0"/>
          <w:marRight w:val="0"/>
          <w:marTop w:val="0"/>
          <w:marBottom w:val="0"/>
          <w:divBdr>
            <w:top w:val="none" w:sz="0" w:space="0" w:color="auto"/>
            <w:left w:val="none" w:sz="0" w:space="0" w:color="auto"/>
            <w:bottom w:val="none" w:sz="0" w:space="0" w:color="auto"/>
            <w:right w:val="none" w:sz="0" w:space="0" w:color="auto"/>
          </w:divBdr>
        </w:div>
      </w:divsChild>
    </w:div>
    <w:div w:id="1104232903">
      <w:marLeft w:val="4"/>
      <w:marRight w:val="0"/>
      <w:marTop w:val="120"/>
      <w:marBottom w:val="0"/>
      <w:divBdr>
        <w:top w:val="none" w:sz="0" w:space="0" w:color="auto"/>
        <w:left w:val="none" w:sz="0" w:space="0" w:color="auto"/>
        <w:bottom w:val="none" w:sz="0" w:space="0" w:color="auto"/>
        <w:right w:val="none" w:sz="0" w:space="0" w:color="auto"/>
      </w:divBdr>
      <w:divsChild>
        <w:div w:id="1924874366">
          <w:marLeft w:val="0"/>
          <w:marRight w:val="0"/>
          <w:marTop w:val="0"/>
          <w:marBottom w:val="0"/>
          <w:divBdr>
            <w:top w:val="none" w:sz="0" w:space="0" w:color="auto"/>
            <w:left w:val="none" w:sz="0" w:space="0" w:color="auto"/>
            <w:bottom w:val="none" w:sz="0" w:space="0" w:color="auto"/>
            <w:right w:val="none" w:sz="0" w:space="0" w:color="auto"/>
          </w:divBdr>
        </w:div>
      </w:divsChild>
    </w:div>
    <w:div w:id="1104350206">
      <w:marLeft w:val="4"/>
      <w:marRight w:val="0"/>
      <w:marTop w:val="120"/>
      <w:marBottom w:val="0"/>
      <w:divBdr>
        <w:top w:val="none" w:sz="0" w:space="0" w:color="auto"/>
        <w:left w:val="none" w:sz="0" w:space="0" w:color="auto"/>
        <w:bottom w:val="none" w:sz="0" w:space="0" w:color="auto"/>
        <w:right w:val="none" w:sz="0" w:space="0" w:color="auto"/>
      </w:divBdr>
      <w:divsChild>
        <w:div w:id="175852267">
          <w:marLeft w:val="0"/>
          <w:marRight w:val="0"/>
          <w:marTop w:val="0"/>
          <w:marBottom w:val="0"/>
          <w:divBdr>
            <w:top w:val="none" w:sz="0" w:space="0" w:color="auto"/>
            <w:left w:val="none" w:sz="0" w:space="0" w:color="auto"/>
            <w:bottom w:val="none" w:sz="0" w:space="0" w:color="auto"/>
            <w:right w:val="none" w:sz="0" w:space="0" w:color="auto"/>
          </w:divBdr>
        </w:div>
      </w:divsChild>
    </w:div>
    <w:div w:id="1108937790">
      <w:marLeft w:val="4"/>
      <w:marRight w:val="0"/>
      <w:marTop w:val="120"/>
      <w:marBottom w:val="0"/>
      <w:divBdr>
        <w:top w:val="none" w:sz="0" w:space="0" w:color="auto"/>
        <w:left w:val="none" w:sz="0" w:space="0" w:color="auto"/>
        <w:bottom w:val="none" w:sz="0" w:space="0" w:color="auto"/>
        <w:right w:val="none" w:sz="0" w:space="0" w:color="auto"/>
      </w:divBdr>
      <w:divsChild>
        <w:div w:id="853760348">
          <w:marLeft w:val="0"/>
          <w:marRight w:val="0"/>
          <w:marTop w:val="0"/>
          <w:marBottom w:val="0"/>
          <w:divBdr>
            <w:top w:val="none" w:sz="0" w:space="0" w:color="auto"/>
            <w:left w:val="none" w:sz="0" w:space="0" w:color="auto"/>
            <w:bottom w:val="none" w:sz="0" w:space="0" w:color="auto"/>
            <w:right w:val="none" w:sz="0" w:space="0" w:color="auto"/>
          </w:divBdr>
        </w:div>
      </w:divsChild>
    </w:div>
    <w:div w:id="1114402412">
      <w:marLeft w:val="3"/>
      <w:marRight w:val="0"/>
      <w:marTop w:val="120"/>
      <w:marBottom w:val="0"/>
      <w:divBdr>
        <w:top w:val="none" w:sz="0" w:space="0" w:color="auto"/>
        <w:left w:val="none" w:sz="0" w:space="0" w:color="auto"/>
        <w:bottom w:val="none" w:sz="0" w:space="0" w:color="auto"/>
        <w:right w:val="none" w:sz="0" w:space="0" w:color="auto"/>
      </w:divBdr>
      <w:divsChild>
        <w:div w:id="1734086632">
          <w:marLeft w:val="0"/>
          <w:marRight w:val="0"/>
          <w:marTop w:val="0"/>
          <w:marBottom w:val="0"/>
          <w:divBdr>
            <w:top w:val="none" w:sz="0" w:space="0" w:color="auto"/>
            <w:left w:val="none" w:sz="0" w:space="0" w:color="auto"/>
            <w:bottom w:val="none" w:sz="0" w:space="0" w:color="auto"/>
            <w:right w:val="none" w:sz="0" w:space="0" w:color="auto"/>
          </w:divBdr>
        </w:div>
      </w:divsChild>
    </w:div>
    <w:div w:id="1117333405">
      <w:marLeft w:val="4"/>
      <w:marRight w:val="0"/>
      <w:marTop w:val="120"/>
      <w:marBottom w:val="0"/>
      <w:divBdr>
        <w:top w:val="none" w:sz="0" w:space="0" w:color="auto"/>
        <w:left w:val="none" w:sz="0" w:space="0" w:color="auto"/>
        <w:bottom w:val="none" w:sz="0" w:space="0" w:color="auto"/>
        <w:right w:val="none" w:sz="0" w:space="0" w:color="auto"/>
      </w:divBdr>
      <w:divsChild>
        <w:div w:id="1445803103">
          <w:marLeft w:val="0"/>
          <w:marRight w:val="0"/>
          <w:marTop w:val="0"/>
          <w:marBottom w:val="0"/>
          <w:divBdr>
            <w:top w:val="none" w:sz="0" w:space="0" w:color="auto"/>
            <w:left w:val="none" w:sz="0" w:space="0" w:color="auto"/>
            <w:bottom w:val="none" w:sz="0" w:space="0" w:color="auto"/>
            <w:right w:val="none" w:sz="0" w:space="0" w:color="auto"/>
          </w:divBdr>
        </w:div>
      </w:divsChild>
    </w:div>
    <w:div w:id="1119490194">
      <w:marLeft w:val="4"/>
      <w:marRight w:val="0"/>
      <w:marTop w:val="120"/>
      <w:marBottom w:val="0"/>
      <w:divBdr>
        <w:top w:val="none" w:sz="0" w:space="0" w:color="auto"/>
        <w:left w:val="none" w:sz="0" w:space="0" w:color="auto"/>
        <w:bottom w:val="none" w:sz="0" w:space="0" w:color="auto"/>
        <w:right w:val="none" w:sz="0" w:space="0" w:color="auto"/>
      </w:divBdr>
      <w:divsChild>
        <w:div w:id="1010110116">
          <w:marLeft w:val="0"/>
          <w:marRight w:val="0"/>
          <w:marTop w:val="0"/>
          <w:marBottom w:val="0"/>
          <w:divBdr>
            <w:top w:val="none" w:sz="0" w:space="0" w:color="auto"/>
            <w:left w:val="none" w:sz="0" w:space="0" w:color="auto"/>
            <w:bottom w:val="none" w:sz="0" w:space="0" w:color="auto"/>
            <w:right w:val="none" w:sz="0" w:space="0" w:color="auto"/>
          </w:divBdr>
        </w:div>
      </w:divsChild>
    </w:div>
    <w:div w:id="1121725027">
      <w:marLeft w:val="4"/>
      <w:marRight w:val="0"/>
      <w:marTop w:val="120"/>
      <w:marBottom w:val="0"/>
      <w:divBdr>
        <w:top w:val="none" w:sz="0" w:space="0" w:color="auto"/>
        <w:left w:val="none" w:sz="0" w:space="0" w:color="auto"/>
        <w:bottom w:val="none" w:sz="0" w:space="0" w:color="auto"/>
        <w:right w:val="none" w:sz="0" w:space="0" w:color="auto"/>
      </w:divBdr>
      <w:divsChild>
        <w:div w:id="1973366088">
          <w:marLeft w:val="0"/>
          <w:marRight w:val="0"/>
          <w:marTop w:val="0"/>
          <w:marBottom w:val="0"/>
          <w:divBdr>
            <w:top w:val="none" w:sz="0" w:space="0" w:color="auto"/>
            <w:left w:val="none" w:sz="0" w:space="0" w:color="auto"/>
            <w:bottom w:val="none" w:sz="0" w:space="0" w:color="auto"/>
            <w:right w:val="none" w:sz="0" w:space="0" w:color="auto"/>
          </w:divBdr>
        </w:div>
      </w:divsChild>
    </w:div>
    <w:div w:id="1132559625">
      <w:marLeft w:val="4"/>
      <w:marRight w:val="0"/>
      <w:marTop w:val="120"/>
      <w:marBottom w:val="0"/>
      <w:divBdr>
        <w:top w:val="none" w:sz="0" w:space="0" w:color="auto"/>
        <w:left w:val="none" w:sz="0" w:space="0" w:color="auto"/>
        <w:bottom w:val="none" w:sz="0" w:space="0" w:color="auto"/>
        <w:right w:val="none" w:sz="0" w:space="0" w:color="auto"/>
      </w:divBdr>
      <w:divsChild>
        <w:div w:id="1335448880">
          <w:marLeft w:val="0"/>
          <w:marRight w:val="0"/>
          <w:marTop w:val="0"/>
          <w:marBottom w:val="0"/>
          <w:divBdr>
            <w:top w:val="none" w:sz="0" w:space="0" w:color="auto"/>
            <w:left w:val="none" w:sz="0" w:space="0" w:color="auto"/>
            <w:bottom w:val="none" w:sz="0" w:space="0" w:color="auto"/>
            <w:right w:val="none" w:sz="0" w:space="0" w:color="auto"/>
          </w:divBdr>
        </w:div>
      </w:divsChild>
    </w:div>
    <w:div w:id="1136800333">
      <w:marLeft w:val="4"/>
      <w:marRight w:val="0"/>
      <w:marTop w:val="120"/>
      <w:marBottom w:val="0"/>
      <w:divBdr>
        <w:top w:val="none" w:sz="0" w:space="0" w:color="auto"/>
        <w:left w:val="none" w:sz="0" w:space="0" w:color="auto"/>
        <w:bottom w:val="none" w:sz="0" w:space="0" w:color="auto"/>
        <w:right w:val="none" w:sz="0" w:space="0" w:color="auto"/>
      </w:divBdr>
      <w:divsChild>
        <w:div w:id="646084274">
          <w:marLeft w:val="0"/>
          <w:marRight w:val="0"/>
          <w:marTop w:val="0"/>
          <w:marBottom w:val="0"/>
          <w:divBdr>
            <w:top w:val="none" w:sz="0" w:space="0" w:color="auto"/>
            <w:left w:val="none" w:sz="0" w:space="0" w:color="auto"/>
            <w:bottom w:val="none" w:sz="0" w:space="0" w:color="auto"/>
            <w:right w:val="none" w:sz="0" w:space="0" w:color="auto"/>
          </w:divBdr>
        </w:div>
      </w:divsChild>
    </w:div>
    <w:div w:id="1138645691">
      <w:marLeft w:val="4"/>
      <w:marRight w:val="0"/>
      <w:marTop w:val="120"/>
      <w:marBottom w:val="0"/>
      <w:divBdr>
        <w:top w:val="none" w:sz="0" w:space="0" w:color="auto"/>
        <w:left w:val="none" w:sz="0" w:space="0" w:color="auto"/>
        <w:bottom w:val="none" w:sz="0" w:space="0" w:color="auto"/>
        <w:right w:val="none" w:sz="0" w:space="0" w:color="auto"/>
      </w:divBdr>
      <w:divsChild>
        <w:div w:id="1490098046">
          <w:marLeft w:val="0"/>
          <w:marRight w:val="0"/>
          <w:marTop w:val="0"/>
          <w:marBottom w:val="0"/>
          <w:divBdr>
            <w:top w:val="none" w:sz="0" w:space="0" w:color="auto"/>
            <w:left w:val="none" w:sz="0" w:space="0" w:color="auto"/>
            <w:bottom w:val="none" w:sz="0" w:space="0" w:color="auto"/>
            <w:right w:val="none" w:sz="0" w:space="0" w:color="auto"/>
          </w:divBdr>
        </w:div>
      </w:divsChild>
    </w:div>
    <w:div w:id="1155535239">
      <w:marLeft w:val="4"/>
      <w:marRight w:val="0"/>
      <w:marTop w:val="120"/>
      <w:marBottom w:val="0"/>
      <w:divBdr>
        <w:top w:val="none" w:sz="0" w:space="0" w:color="auto"/>
        <w:left w:val="none" w:sz="0" w:space="0" w:color="auto"/>
        <w:bottom w:val="none" w:sz="0" w:space="0" w:color="auto"/>
        <w:right w:val="none" w:sz="0" w:space="0" w:color="auto"/>
      </w:divBdr>
      <w:divsChild>
        <w:div w:id="1407652487">
          <w:marLeft w:val="0"/>
          <w:marRight w:val="0"/>
          <w:marTop w:val="0"/>
          <w:marBottom w:val="0"/>
          <w:divBdr>
            <w:top w:val="none" w:sz="0" w:space="0" w:color="auto"/>
            <w:left w:val="none" w:sz="0" w:space="0" w:color="auto"/>
            <w:bottom w:val="none" w:sz="0" w:space="0" w:color="auto"/>
            <w:right w:val="none" w:sz="0" w:space="0" w:color="auto"/>
          </w:divBdr>
        </w:div>
      </w:divsChild>
    </w:div>
    <w:div w:id="1155604609">
      <w:marLeft w:val="4"/>
      <w:marRight w:val="0"/>
      <w:marTop w:val="120"/>
      <w:marBottom w:val="0"/>
      <w:divBdr>
        <w:top w:val="none" w:sz="0" w:space="0" w:color="auto"/>
        <w:left w:val="none" w:sz="0" w:space="0" w:color="auto"/>
        <w:bottom w:val="none" w:sz="0" w:space="0" w:color="auto"/>
        <w:right w:val="none" w:sz="0" w:space="0" w:color="auto"/>
      </w:divBdr>
      <w:divsChild>
        <w:div w:id="449085074">
          <w:marLeft w:val="0"/>
          <w:marRight w:val="0"/>
          <w:marTop w:val="0"/>
          <w:marBottom w:val="0"/>
          <w:divBdr>
            <w:top w:val="none" w:sz="0" w:space="0" w:color="auto"/>
            <w:left w:val="none" w:sz="0" w:space="0" w:color="auto"/>
            <w:bottom w:val="none" w:sz="0" w:space="0" w:color="auto"/>
            <w:right w:val="none" w:sz="0" w:space="0" w:color="auto"/>
          </w:divBdr>
        </w:div>
      </w:divsChild>
    </w:div>
    <w:div w:id="1157919260">
      <w:marLeft w:val="4"/>
      <w:marRight w:val="0"/>
      <w:marTop w:val="120"/>
      <w:marBottom w:val="0"/>
      <w:divBdr>
        <w:top w:val="none" w:sz="0" w:space="0" w:color="auto"/>
        <w:left w:val="none" w:sz="0" w:space="0" w:color="auto"/>
        <w:bottom w:val="none" w:sz="0" w:space="0" w:color="auto"/>
        <w:right w:val="none" w:sz="0" w:space="0" w:color="auto"/>
      </w:divBdr>
      <w:divsChild>
        <w:div w:id="122502740">
          <w:marLeft w:val="0"/>
          <w:marRight w:val="0"/>
          <w:marTop w:val="0"/>
          <w:marBottom w:val="0"/>
          <w:divBdr>
            <w:top w:val="none" w:sz="0" w:space="0" w:color="auto"/>
            <w:left w:val="none" w:sz="0" w:space="0" w:color="auto"/>
            <w:bottom w:val="none" w:sz="0" w:space="0" w:color="auto"/>
            <w:right w:val="none" w:sz="0" w:space="0" w:color="auto"/>
          </w:divBdr>
        </w:div>
      </w:divsChild>
    </w:div>
    <w:div w:id="1159539418">
      <w:marLeft w:val="4"/>
      <w:marRight w:val="0"/>
      <w:marTop w:val="120"/>
      <w:marBottom w:val="0"/>
      <w:divBdr>
        <w:top w:val="none" w:sz="0" w:space="0" w:color="auto"/>
        <w:left w:val="none" w:sz="0" w:space="0" w:color="auto"/>
        <w:bottom w:val="none" w:sz="0" w:space="0" w:color="auto"/>
        <w:right w:val="none" w:sz="0" w:space="0" w:color="auto"/>
      </w:divBdr>
      <w:divsChild>
        <w:div w:id="568811455">
          <w:marLeft w:val="0"/>
          <w:marRight w:val="0"/>
          <w:marTop w:val="0"/>
          <w:marBottom w:val="0"/>
          <w:divBdr>
            <w:top w:val="none" w:sz="0" w:space="0" w:color="auto"/>
            <w:left w:val="none" w:sz="0" w:space="0" w:color="auto"/>
            <w:bottom w:val="none" w:sz="0" w:space="0" w:color="auto"/>
            <w:right w:val="none" w:sz="0" w:space="0" w:color="auto"/>
          </w:divBdr>
        </w:div>
      </w:divsChild>
    </w:div>
    <w:div w:id="1171067978">
      <w:marLeft w:val="4"/>
      <w:marRight w:val="0"/>
      <w:marTop w:val="120"/>
      <w:marBottom w:val="0"/>
      <w:divBdr>
        <w:top w:val="none" w:sz="0" w:space="0" w:color="auto"/>
        <w:left w:val="none" w:sz="0" w:space="0" w:color="auto"/>
        <w:bottom w:val="none" w:sz="0" w:space="0" w:color="auto"/>
        <w:right w:val="none" w:sz="0" w:space="0" w:color="auto"/>
      </w:divBdr>
      <w:divsChild>
        <w:div w:id="68499618">
          <w:marLeft w:val="0"/>
          <w:marRight w:val="0"/>
          <w:marTop w:val="0"/>
          <w:marBottom w:val="0"/>
          <w:divBdr>
            <w:top w:val="none" w:sz="0" w:space="0" w:color="auto"/>
            <w:left w:val="none" w:sz="0" w:space="0" w:color="auto"/>
            <w:bottom w:val="none" w:sz="0" w:space="0" w:color="auto"/>
            <w:right w:val="none" w:sz="0" w:space="0" w:color="auto"/>
          </w:divBdr>
        </w:div>
      </w:divsChild>
    </w:div>
    <w:div w:id="1181775356">
      <w:marLeft w:val="4"/>
      <w:marRight w:val="0"/>
      <w:marTop w:val="120"/>
      <w:marBottom w:val="0"/>
      <w:divBdr>
        <w:top w:val="none" w:sz="0" w:space="0" w:color="auto"/>
        <w:left w:val="none" w:sz="0" w:space="0" w:color="auto"/>
        <w:bottom w:val="none" w:sz="0" w:space="0" w:color="auto"/>
        <w:right w:val="none" w:sz="0" w:space="0" w:color="auto"/>
      </w:divBdr>
      <w:divsChild>
        <w:div w:id="970358631">
          <w:marLeft w:val="0"/>
          <w:marRight w:val="0"/>
          <w:marTop w:val="0"/>
          <w:marBottom w:val="0"/>
          <w:divBdr>
            <w:top w:val="none" w:sz="0" w:space="0" w:color="auto"/>
            <w:left w:val="none" w:sz="0" w:space="0" w:color="auto"/>
            <w:bottom w:val="none" w:sz="0" w:space="0" w:color="auto"/>
            <w:right w:val="none" w:sz="0" w:space="0" w:color="auto"/>
          </w:divBdr>
        </w:div>
      </w:divsChild>
    </w:div>
    <w:div w:id="1182278036">
      <w:marLeft w:val="4"/>
      <w:marRight w:val="0"/>
      <w:marTop w:val="120"/>
      <w:marBottom w:val="0"/>
      <w:divBdr>
        <w:top w:val="none" w:sz="0" w:space="0" w:color="auto"/>
        <w:left w:val="none" w:sz="0" w:space="0" w:color="auto"/>
        <w:bottom w:val="none" w:sz="0" w:space="0" w:color="auto"/>
        <w:right w:val="none" w:sz="0" w:space="0" w:color="auto"/>
      </w:divBdr>
      <w:divsChild>
        <w:div w:id="861474725">
          <w:marLeft w:val="0"/>
          <w:marRight w:val="0"/>
          <w:marTop w:val="0"/>
          <w:marBottom w:val="0"/>
          <w:divBdr>
            <w:top w:val="none" w:sz="0" w:space="0" w:color="auto"/>
            <w:left w:val="none" w:sz="0" w:space="0" w:color="auto"/>
            <w:bottom w:val="none" w:sz="0" w:space="0" w:color="auto"/>
            <w:right w:val="none" w:sz="0" w:space="0" w:color="auto"/>
          </w:divBdr>
        </w:div>
      </w:divsChild>
    </w:div>
    <w:div w:id="1215194354">
      <w:marLeft w:val="4"/>
      <w:marRight w:val="0"/>
      <w:marTop w:val="120"/>
      <w:marBottom w:val="0"/>
      <w:divBdr>
        <w:top w:val="none" w:sz="0" w:space="0" w:color="auto"/>
        <w:left w:val="none" w:sz="0" w:space="0" w:color="auto"/>
        <w:bottom w:val="none" w:sz="0" w:space="0" w:color="auto"/>
        <w:right w:val="none" w:sz="0" w:space="0" w:color="auto"/>
      </w:divBdr>
      <w:divsChild>
        <w:div w:id="1613321604">
          <w:marLeft w:val="0"/>
          <w:marRight w:val="0"/>
          <w:marTop w:val="0"/>
          <w:marBottom w:val="0"/>
          <w:divBdr>
            <w:top w:val="none" w:sz="0" w:space="0" w:color="auto"/>
            <w:left w:val="none" w:sz="0" w:space="0" w:color="auto"/>
            <w:bottom w:val="none" w:sz="0" w:space="0" w:color="auto"/>
            <w:right w:val="none" w:sz="0" w:space="0" w:color="auto"/>
          </w:divBdr>
        </w:div>
      </w:divsChild>
    </w:div>
    <w:div w:id="1220172225">
      <w:marLeft w:val="4"/>
      <w:marRight w:val="0"/>
      <w:marTop w:val="120"/>
      <w:marBottom w:val="0"/>
      <w:divBdr>
        <w:top w:val="none" w:sz="0" w:space="0" w:color="auto"/>
        <w:left w:val="none" w:sz="0" w:space="0" w:color="auto"/>
        <w:bottom w:val="none" w:sz="0" w:space="0" w:color="auto"/>
        <w:right w:val="none" w:sz="0" w:space="0" w:color="auto"/>
      </w:divBdr>
      <w:divsChild>
        <w:div w:id="1035615648">
          <w:marLeft w:val="0"/>
          <w:marRight w:val="0"/>
          <w:marTop w:val="0"/>
          <w:marBottom w:val="0"/>
          <w:divBdr>
            <w:top w:val="none" w:sz="0" w:space="0" w:color="auto"/>
            <w:left w:val="none" w:sz="0" w:space="0" w:color="auto"/>
            <w:bottom w:val="none" w:sz="0" w:space="0" w:color="auto"/>
            <w:right w:val="none" w:sz="0" w:space="0" w:color="auto"/>
          </w:divBdr>
        </w:div>
      </w:divsChild>
    </w:div>
    <w:div w:id="1223178366">
      <w:marLeft w:val="4"/>
      <w:marRight w:val="0"/>
      <w:marTop w:val="120"/>
      <w:marBottom w:val="0"/>
      <w:divBdr>
        <w:top w:val="none" w:sz="0" w:space="0" w:color="auto"/>
        <w:left w:val="none" w:sz="0" w:space="0" w:color="auto"/>
        <w:bottom w:val="none" w:sz="0" w:space="0" w:color="auto"/>
        <w:right w:val="none" w:sz="0" w:space="0" w:color="auto"/>
      </w:divBdr>
      <w:divsChild>
        <w:div w:id="502743503">
          <w:marLeft w:val="0"/>
          <w:marRight w:val="0"/>
          <w:marTop w:val="0"/>
          <w:marBottom w:val="0"/>
          <w:divBdr>
            <w:top w:val="none" w:sz="0" w:space="0" w:color="auto"/>
            <w:left w:val="none" w:sz="0" w:space="0" w:color="auto"/>
            <w:bottom w:val="none" w:sz="0" w:space="0" w:color="auto"/>
            <w:right w:val="none" w:sz="0" w:space="0" w:color="auto"/>
          </w:divBdr>
        </w:div>
      </w:divsChild>
    </w:div>
    <w:div w:id="1227688712">
      <w:marLeft w:val="4"/>
      <w:marRight w:val="0"/>
      <w:marTop w:val="120"/>
      <w:marBottom w:val="0"/>
      <w:divBdr>
        <w:top w:val="none" w:sz="0" w:space="0" w:color="auto"/>
        <w:left w:val="none" w:sz="0" w:space="0" w:color="auto"/>
        <w:bottom w:val="none" w:sz="0" w:space="0" w:color="auto"/>
        <w:right w:val="none" w:sz="0" w:space="0" w:color="auto"/>
      </w:divBdr>
      <w:divsChild>
        <w:div w:id="481821114">
          <w:marLeft w:val="0"/>
          <w:marRight w:val="0"/>
          <w:marTop w:val="0"/>
          <w:marBottom w:val="0"/>
          <w:divBdr>
            <w:top w:val="none" w:sz="0" w:space="0" w:color="auto"/>
            <w:left w:val="none" w:sz="0" w:space="0" w:color="auto"/>
            <w:bottom w:val="none" w:sz="0" w:space="0" w:color="auto"/>
            <w:right w:val="none" w:sz="0" w:space="0" w:color="auto"/>
          </w:divBdr>
        </w:div>
      </w:divsChild>
    </w:div>
    <w:div w:id="1229733200">
      <w:marLeft w:val="4"/>
      <w:marRight w:val="0"/>
      <w:marTop w:val="120"/>
      <w:marBottom w:val="0"/>
      <w:divBdr>
        <w:top w:val="none" w:sz="0" w:space="0" w:color="auto"/>
        <w:left w:val="none" w:sz="0" w:space="0" w:color="auto"/>
        <w:bottom w:val="none" w:sz="0" w:space="0" w:color="auto"/>
        <w:right w:val="none" w:sz="0" w:space="0" w:color="auto"/>
      </w:divBdr>
      <w:divsChild>
        <w:div w:id="1691030334">
          <w:marLeft w:val="0"/>
          <w:marRight w:val="0"/>
          <w:marTop w:val="0"/>
          <w:marBottom w:val="0"/>
          <w:divBdr>
            <w:top w:val="none" w:sz="0" w:space="0" w:color="auto"/>
            <w:left w:val="none" w:sz="0" w:space="0" w:color="auto"/>
            <w:bottom w:val="none" w:sz="0" w:space="0" w:color="auto"/>
            <w:right w:val="none" w:sz="0" w:space="0" w:color="auto"/>
          </w:divBdr>
        </w:div>
      </w:divsChild>
    </w:div>
    <w:div w:id="1232933685">
      <w:marLeft w:val="4"/>
      <w:marRight w:val="0"/>
      <w:marTop w:val="120"/>
      <w:marBottom w:val="0"/>
      <w:divBdr>
        <w:top w:val="none" w:sz="0" w:space="0" w:color="auto"/>
        <w:left w:val="none" w:sz="0" w:space="0" w:color="auto"/>
        <w:bottom w:val="none" w:sz="0" w:space="0" w:color="auto"/>
        <w:right w:val="none" w:sz="0" w:space="0" w:color="auto"/>
      </w:divBdr>
      <w:divsChild>
        <w:div w:id="1120101031">
          <w:marLeft w:val="0"/>
          <w:marRight w:val="0"/>
          <w:marTop w:val="0"/>
          <w:marBottom w:val="0"/>
          <w:divBdr>
            <w:top w:val="none" w:sz="0" w:space="0" w:color="auto"/>
            <w:left w:val="none" w:sz="0" w:space="0" w:color="auto"/>
            <w:bottom w:val="none" w:sz="0" w:space="0" w:color="auto"/>
            <w:right w:val="none" w:sz="0" w:space="0" w:color="auto"/>
          </w:divBdr>
        </w:div>
      </w:divsChild>
    </w:div>
    <w:div w:id="1233193717">
      <w:marLeft w:val="4"/>
      <w:marRight w:val="0"/>
      <w:marTop w:val="120"/>
      <w:marBottom w:val="0"/>
      <w:divBdr>
        <w:top w:val="none" w:sz="0" w:space="0" w:color="auto"/>
        <w:left w:val="none" w:sz="0" w:space="0" w:color="auto"/>
        <w:bottom w:val="none" w:sz="0" w:space="0" w:color="auto"/>
        <w:right w:val="none" w:sz="0" w:space="0" w:color="auto"/>
      </w:divBdr>
      <w:divsChild>
        <w:div w:id="1521553878">
          <w:marLeft w:val="0"/>
          <w:marRight w:val="0"/>
          <w:marTop w:val="0"/>
          <w:marBottom w:val="0"/>
          <w:divBdr>
            <w:top w:val="none" w:sz="0" w:space="0" w:color="auto"/>
            <w:left w:val="none" w:sz="0" w:space="0" w:color="auto"/>
            <w:bottom w:val="none" w:sz="0" w:space="0" w:color="auto"/>
            <w:right w:val="none" w:sz="0" w:space="0" w:color="auto"/>
          </w:divBdr>
        </w:div>
      </w:divsChild>
    </w:div>
    <w:div w:id="1246573962">
      <w:marLeft w:val="4"/>
      <w:marRight w:val="0"/>
      <w:marTop w:val="120"/>
      <w:marBottom w:val="0"/>
      <w:divBdr>
        <w:top w:val="none" w:sz="0" w:space="0" w:color="auto"/>
        <w:left w:val="none" w:sz="0" w:space="0" w:color="auto"/>
        <w:bottom w:val="none" w:sz="0" w:space="0" w:color="auto"/>
        <w:right w:val="none" w:sz="0" w:space="0" w:color="auto"/>
      </w:divBdr>
      <w:divsChild>
        <w:div w:id="973020150">
          <w:marLeft w:val="0"/>
          <w:marRight w:val="0"/>
          <w:marTop w:val="0"/>
          <w:marBottom w:val="0"/>
          <w:divBdr>
            <w:top w:val="none" w:sz="0" w:space="0" w:color="auto"/>
            <w:left w:val="none" w:sz="0" w:space="0" w:color="auto"/>
            <w:bottom w:val="none" w:sz="0" w:space="0" w:color="auto"/>
            <w:right w:val="none" w:sz="0" w:space="0" w:color="auto"/>
          </w:divBdr>
        </w:div>
      </w:divsChild>
    </w:div>
    <w:div w:id="1253733300">
      <w:marLeft w:val="4"/>
      <w:marRight w:val="0"/>
      <w:marTop w:val="120"/>
      <w:marBottom w:val="0"/>
      <w:divBdr>
        <w:top w:val="none" w:sz="0" w:space="0" w:color="auto"/>
        <w:left w:val="none" w:sz="0" w:space="0" w:color="auto"/>
        <w:bottom w:val="none" w:sz="0" w:space="0" w:color="auto"/>
        <w:right w:val="none" w:sz="0" w:space="0" w:color="auto"/>
      </w:divBdr>
      <w:divsChild>
        <w:div w:id="1285841562">
          <w:marLeft w:val="0"/>
          <w:marRight w:val="0"/>
          <w:marTop w:val="0"/>
          <w:marBottom w:val="0"/>
          <w:divBdr>
            <w:top w:val="none" w:sz="0" w:space="0" w:color="auto"/>
            <w:left w:val="none" w:sz="0" w:space="0" w:color="auto"/>
            <w:bottom w:val="none" w:sz="0" w:space="0" w:color="auto"/>
            <w:right w:val="none" w:sz="0" w:space="0" w:color="auto"/>
          </w:divBdr>
        </w:div>
      </w:divsChild>
    </w:div>
    <w:div w:id="1257596011">
      <w:marLeft w:val="4"/>
      <w:marRight w:val="0"/>
      <w:marTop w:val="120"/>
      <w:marBottom w:val="0"/>
      <w:divBdr>
        <w:top w:val="none" w:sz="0" w:space="0" w:color="auto"/>
        <w:left w:val="none" w:sz="0" w:space="0" w:color="auto"/>
        <w:bottom w:val="none" w:sz="0" w:space="0" w:color="auto"/>
        <w:right w:val="none" w:sz="0" w:space="0" w:color="auto"/>
      </w:divBdr>
      <w:divsChild>
        <w:div w:id="87042863">
          <w:marLeft w:val="0"/>
          <w:marRight w:val="0"/>
          <w:marTop w:val="0"/>
          <w:marBottom w:val="0"/>
          <w:divBdr>
            <w:top w:val="none" w:sz="0" w:space="0" w:color="auto"/>
            <w:left w:val="none" w:sz="0" w:space="0" w:color="auto"/>
            <w:bottom w:val="none" w:sz="0" w:space="0" w:color="auto"/>
            <w:right w:val="none" w:sz="0" w:space="0" w:color="auto"/>
          </w:divBdr>
        </w:div>
      </w:divsChild>
    </w:div>
    <w:div w:id="1261450714">
      <w:marLeft w:val="4"/>
      <w:marRight w:val="0"/>
      <w:marTop w:val="120"/>
      <w:marBottom w:val="0"/>
      <w:divBdr>
        <w:top w:val="none" w:sz="0" w:space="0" w:color="auto"/>
        <w:left w:val="none" w:sz="0" w:space="0" w:color="auto"/>
        <w:bottom w:val="none" w:sz="0" w:space="0" w:color="auto"/>
        <w:right w:val="none" w:sz="0" w:space="0" w:color="auto"/>
      </w:divBdr>
      <w:divsChild>
        <w:div w:id="1609580497">
          <w:marLeft w:val="0"/>
          <w:marRight w:val="0"/>
          <w:marTop w:val="0"/>
          <w:marBottom w:val="0"/>
          <w:divBdr>
            <w:top w:val="none" w:sz="0" w:space="0" w:color="auto"/>
            <w:left w:val="none" w:sz="0" w:space="0" w:color="auto"/>
            <w:bottom w:val="none" w:sz="0" w:space="0" w:color="auto"/>
            <w:right w:val="none" w:sz="0" w:space="0" w:color="auto"/>
          </w:divBdr>
        </w:div>
      </w:divsChild>
    </w:div>
    <w:div w:id="1265647791">
      <w:marLeft w:val="4"/>
      <w:marRight w:val="0"/>
      <w:marTop w:val="120"/>
      <w:marBottom w:val="0"/>
      <w:divBdr>
        <w:top w:val="none" w:sz="0" w:space="0" w:color="auto"/>
        <w:left w:val="none" w:sz="0" w:space="0" w:color="auto"/>
        <w:bottom w:val="none" w:sz="0" w:space="0" w:color="auto"/>
        <w:right w:val="none" w:sz="0" w:space="0" w:color="auto"/>
      </w:divBdr>
      <w:divsChild>
        <w:div w:id="682635943">
          <w:marLeft w:val="0"/>
          <w:marRight w:val="0"/>
          <w:marTop w:val="0"/>
          <w:marBottom w:val="0"/>
          <w:divBdr>
            <w:top w:val="none" w:sz="0" w:space="0" w:color="auto"/>
            <w:left w:val="none" w:sz="0" w:space="0" w:color="auto"/>
            <w:bottom w:val="none" w:sz="0" w:space="0" w:color="auto"/>
            <w:right w:val="none" w:sz="0" w:space="0" w:color="auto"/>
          </w:divBdr>
        </w:div>
      </w:divsChild>
    </w:div>
    <w:div w:id="1279871527">
      <w:marLeft w:val="4"/>
      <w:marRight w:val="0"/>
      <w:marTop w:val="120"/>
      <w:marBottom w:val="0"/>
      <w:divBdr>
        <w:top w:val="none" w:sz="0" w:space="0" w:color="auto"/>
        <w:left w:val="none" w:sz="0" w:space="0" w:color="auto"/>
        <w:bottom w:val="none" w:sz="0" w:space="0" w:color="auto"/>
        <w:right w:val="none" w:sz="0" w:space="0" w:color="auto"/>
      </w:divBdr>
      <w:divsChild>
        <w:div w:id="2062902264">
          <w:marLeft w:val="0"/>
          <w:marRight w:val="0"/>
          <w:marTop w:val="0"/>
          <w:marBottom w:val="0"/>
          <w:divBdr>
            <w:top w:val="none" w:sz="0" w:space="0" w:color="auto"/>
            <w:left w:val="none" w:sz="0" w:space="0" w:color="auto"/>
            <w:bottom w:val="none" w:sz="0" w:space="0" w:color="auto"/>
            <w:right w:val="none" w:sz="0" w:space="0" w:color="auto"/>
          </w:divBdr>
        </w:div>
      </w:divsChild>
    </w:div>
    <w:div w:id="1289968612">
      <w:marLeft w:val="4"/>
      <w:marRight w:val="0"/>
      <w:marTop w:val="120"/>
      <w:marBottom w:val="0"/>
      <w:divBdr>
        <w:top w:val="none" w:sz="0" w:space="0" w:color="auto"/>
        <w:left w:val="none" w:sz="0" w:space="0" w:color="auto"/>
        <w:bottom w:val="none" w:sz="0" w:space="0" w:color="auto"/>
        <w:right w:val="none" w:sz="0" w:space="0" w:color="auto"/>
      </w:divBdr>
      <w:divsChild>
        <w:div w:id="561528068">
          <w:marLeft w:val="0"/>
          <w:marRight w:val="0"/>
          <w:marTop w:val="0"/>
          <w:marBottom w:val="0"/>
          <w:divBdr>
            <w:top w:val="none" w:sz="0" w:space="0" w:color="auto"/>
            <w:left w:val="none" w:sz="0" w:space="0" w:color="auto"/>
            <w:bottom w:val="none" w:sz="0" w:space="0" w:color="auto"/>
            <w:right w:val="none" w:sz="0" w:space="0" w:color="auto"/>
          </w:divBdr>
        </w:div>
      </w:divsChild>
    </w:div>
    <w:div w:id="1303385975">
      <w:marLeft w:val="4"/>
      <w:marRight w:val="0"/>
      <w:marTop w:val="120"/>
      <w:marBottom w:val="0"/>
      <w:divBdr>
        <w:top w:val="none" w:sz="0" w:space="0" w:color="auto"/>
        <w:left w:val="none" w:sz="0" w:space="0" w:color="auto"/>
        <w:bottom w:val="none" w:sz="0" w:space="0" w:color="auto"/>
        <w:right w:val="none" w:sz="0" w:space="0" w:color="auto"/>
      </w:divBdr>
      <w:divsChild>
        <w:div w:id="1402293969">
          <w:marLeft w:val="0"/>
          <w:marRight w:val="0"/>
          <w:marTop w:val="0"/>
          <w:marBottom w:val="0"/>
          <w:divBdr>
            <w:top w:val="none" w:sz="0" w:space="0" w:color="auto"/>
            <w:left w:val="none" w:sz="0" w:space="0" w:color="auto"/>
            <w:bottom w:val="none" w:sz="0" w:space="0" w:color="auto"/>
            <w:right w:val="none" w:sz="0" w:space="0" w:color="auto"/>
          </w:divBdr>
        </w:div>
      </w:divsChild>
    </w:div>
    <w:div w:id="1304191138">
      <w:marLeft w:val="4"/>
      <w:marRight w:val="0"/>
      <w:marTop w:val="120"/>
      <w:marBottom w:val="0"/>
      <w:divBdr>
        <w:top w:val="none" w:sz="0" w:space="0" w:color="auto"/>
        <w:left w:val="none" w:sz="0" w:space="0" w:color="auto"/>
        <w:bottom w:val="none" w:sz="0" w:space="0" w:color="auto"/>
        <w:right w:val="none" w:sz="0" w:space="0" w:color="auto"/>
      </w:divBdr>
      <w:divsChild>
        <w:div w:id="1694919706">
          <w:marLeft w:val="0"/>
          <w:marRight w:val="0"/>
          <w:marTop w:val="0"/>
          <w:marBottom w:val="0"/>
          <w:divBdr>
            <w:top w:val="none" w:sz="0" w:space="0" w:color="auto"/>
            <w:left w:val="none" w:sz="0" w:space="0" w:color="auto"/>
            <w:bottom w:val="none" w:sz="0" w:space="0" w:color="auto"/>
            <w:right w:val="none" w:sz="0" w:space="0" w:color="auto"/>
          </w:divBdr>
        </w:div>
      </w:divsChild>
    </w:div>
    <w:div w:id="1320841809">
      <w:marLeft w:val="4"/>
      <w:marRight w:val="0"/>
      <w:marTop w:val="120"/>
      <w:marBottom w:val="0"/>
      <w:divBdr>
        <w:top w:val="none" w:sz="0" w:space="0" w:color="auto"/>
        <w:left w:val="none" w:sz="0" w:space="0" w:color="auto"/>
        <w:bottom w:val="none" w:sz="0" w:space="0" w:color="auto"/>
        <w:right w:val="none" w:sz="0" w:space="0" w:color="auto"/>
      </w:divBdr>
      <w:divsChild>
        <w:div w:id="510726581">
          <w:marLeft w:val="0"/>
          <w:marRight w:val="0"/>
          <w:marTop w:val="0"/>
          <w:marBottom w:val="0"/>
          <w:divBdr>
            <w:top w:val="none" w:sz="0" w:space="0" w:color="auto"/>
            <w:left w:val="none" w:sz="0" w:space="0" w:color="auto"/>
            <w:bottom w:val="none" w:sz="0" w:space="0" w:color="auto"/>
            <w:right w:val="none" w:sz="0" w:space="0" w:color="auto"/>
          </w:divBdr>
        </w:div>
      </w:divsChild>
    </w:div>
    <w:div w:id="1322929235">
      <w:marLeft w:val="4"/>
      <w:marRight w:val="0"/>
      <w:marTop w:val="120"/>
      <w:marBottom w:val="0"/>
      <w:divBdr>
        <w:top w:val="none" w:sz="0" w:space="0" w:color="auto"/>
        <w:left w:val="none" w:sz="0" w:space="0" w:color="auto"/>
        <w:bottom w:val="none" w:sz="0" w:space="0" w:color="auto"/>
        <w:right w:val="none" w:sz="0" w:space="0" w:color="auto"/>
      </w:divBdr>
      <w:divsChild>
        <w:div w:id="1036085017">
          <w:marLeft w:val="0"/>
          <w:marRight w:val="0"/>
          <w:marTop w:val="0"/>
          <w:marBottom w:val="0"/>
          <w:divBdr>
            <w:top w:val="none" w:sz="0" w:space="0" w:color="auto"/>
            <w:left w:val="none" w:sz="0" w:space="0" w:color="auto"/>
            <w:bottom w:val="none" w:sz="0" w:space="0" w:color="auto"/>
            <w:right w:val="none" w:sz="0" w:space="0" w:color="auto"/>
          </w:divBdr>
        </w:div>
      </w:divsChild>
    </w:div>
    <w:div w:id="1326587075">
      <w:marLeft w:val="4"/>
      <w:marRight w:val="0"/>
      <w:marTop w:val="120"/>
      <w:marBottom w:val="0"/>
      <w:divBdr>
        <w:top w:val="none" w:sz="0" w:space="0" w:color="auto"/>
        <w:left w:val="none" w:sz="0" w:space="0" w:color="auto"/>
        <w:bottom w:val="none" w:sz="0" w:space="0" w:color="auto"/>
        <w:right w:val="none" w:sz="0" w:space="0" w:color="auto"/>
      </w:divBdr>
      <w:divsChild>
        <w:div w:id="1572160369">
          <w:marLeft w:val="0"/>
          <w:marRight w:val="0"/>
          <w:marTop w:val="0"/>
          <w:marBottom w:val="0"/>
          <w:divBdr>
            <w:top w:val="none" w:sz="0" w:space="0" w:color="auto"/>
            <w:left w:val="none" w:sz="0" w:space="0" w:color="auto"/>
            <w:bottom w:val="none" w:sz="0" w:space="0" w:color="auto"/>
            <w:right w:val="none" w:sz="0" w:space="0" w:color="auto"/>
          </w:divBdr>
        </w:div>
      </w:divsChild>
    </w:div>
    <w:div w:id="1330140544">
      <w:marLeft w:val="9"/>
      <w:marRight w:val="0"/>
      <w:marTop w:val="120"/>
      <w:marBottom w:val="0"/>
      <w:divBdr>
        <w:top w:val="none" w:sz="0" w:space="0" w:color="auto"/>
        <w:left w:val="none" w:sz="0" w:space="0" w:color="auto"/>
        <w:bottom w:val="none" w:sz="0" w:space="0" w:color="auto"/>
        <w:right w:val="none" w:sz="0" w:space="0" w:color="auto"/>
      </w:divBdr>
      <w:divsChild>
        <w:div w:id="95827717">
          <w:marLeft w:val="0"/>
          <w:marRight w:val="0"/>
          <w:marTop w:val="0"/>
          <w:marBottom w:val="0"/>
          <w:divBdr>
            <w:top w:val="none" w:sz="0" w:space="0" w:color="auto"/>
            <w:left w:val="none" w:sz="0" w:space="0" w:color="auto"/>
            <w:bottom w:val="none" w:sz="0" w:space="0" w:color="auto"/>
            <w:right w:val="none" w:sz="0" w:space="0" w:color="auto"/>
          </w:divBdr>
        </w:div>
      </w:divsChild>
    </w:div>
    <w:div w:id="1331325340">
      <w:marLeft w:val="0"/>
      <w:marRight w:val="0"/>
      <w:marTop w:val="0"/>
      <w:marBottom w:val="0"/>
      <w:divBdr>
        <w:top w:val="none" w:sz="0" w:space="0" w:color="auto"/>
        <w:left w:val="none" w:sz="0" w:space="0" w:color="auto"/>
        <w:bottom w:val="none" w:sz="0" w:space="0" w:color="auto"/>
        <w:right w:val="none" w:sz="0" w:space="0" w:color="auto"/>
      </w:divBdr>
      <w:divsChild>
        <w:div w:id="25450991">
          <w:marLeft w:val="0"/>
          <w:marRight w:val="0"/>
          <w:marTop w:val="0"/>
          <w:marBottom w:val="0"/>
          <w:divBdr>
            <w:top w:val="none" w:sz="0" w:space="0" w:color="auto"/>
            <w:left w:val="none" w:sz="0" w:space="0" w:color="auto"/>
            <w:bottom w:val="none" w:sz="0" w:space="0" w:color="auto"/>
            <w:right w:val="none" w:sz="0" w:space="0" w:color="auto"/>
          </w:divBdr>
        </w:div>
      </w:divsChild>
    </w:div>
    <w:div w:id="1332218974">
      <w:marLeft w:val="4"/>
      <w:marRight w:val="0"/>
      <w:marTop w:val="120"/>
      <w:marBottom w:val="0"/>
      <w:divBdr>
        <w:top w:val="none" w:sz="0" w:space="0" w:color="auto"/>
        <w:left w:val="none" w:sz="0" w:space="0" w:color="auto"/>
        <w:bottom w:val="none" w:sz="0" w:space="0" w:color="auto"/>
        <w:right w:val="none" w:sz="0" w:space="0" w:color="auto"/>
      </w:divBdr>
      <w:divsChild>
        <w:div w:id="581570566">
          <w:marLeft w:val="0"/>
          <w:marRight w:val="0"/>
          <w:marTop w:val="0"/>
          <w:marBottom w:val="0"/>
          <w:divBdr>
            <w:top w:val="none" w:sz="0" w:space="0" w:color="auto"/>
            <w:left w:val="none" w:sz="0" w:space="0" w:color="auto"/>
            <w:bottom w:val="none" w:sz="0" w:space="0" w:color="auto"/>
            <w:right w:val="none" w:sz="0" w:space="0" w:color="auto"/>
          </w:divBdr>
        </w:div>
      </w:divsChild>
    </w:div>
    <w:div w:id="1337031700">
      <w:marLeft w:val="4"/>
      <w:marRight w:val="0"/>
      <w:marTop w:val="120"/>
      <w:marBottom w:val="0"/>
      <w:divBdr>
        <w:top w:val="none" w:sz="0" w:space="0" w:color="auto"/>
        <w:left w:val="none" w:sz="0" w:space="0" w:color="auto"/>
        <w:bottom w:val="none" w:sz="0" w:space="0" w:color="auto"/>
        <w:right w:val="none" w:sz="0" w:space="0" w:color="auto"/>
      </w:divBdr>
      <w:divsChild>
        <w:div w:id="1979991687">
          <w:marLeft w:val="0"/>
          <w:marRight w:val="0"/>
          <w:marTop w:val="0"/>
          <w:marBottom w:val="0"/>
          <w:divBdr>
            <w:top w:val="none" w:sz="0" w:space="0" w:color="auto"/>
            <w:left w:val="none" w:sz="0" w:space="0" w:color="auto"/>
            <w:bottom w:val="none" w:sz="0" w:space="0" w:color="auto"/>
            <w:right w:val="none" w:sz="0" w:space="0" w:color="auto"/>
          </w:divBdr>
        </w:div>
      </w:divsChild>
    </w:div>
    <w:div w:id="1349016292">
      <w:marLeft w:val="4"/>
      <w:marRight w:val="0"/>
      <w:marTop w:val="120"/>
      <w:marBottom w:val="0"/>
      <w:divBdr>
        <w:top w:val="none" w:sz="0" w:space="0" w:color="auto"/>
        <w:left w:val="none" w:sz="0" w:space="0" w:color="auto"/>
        <w:bottom w:val="none" w:sz="0" w:space="0" w:color="auto"/>
        <w:right w:val="none" w:sz="0" w:space="0" w:color="auto"/>
      </w:divBdr>
      <w:divsChild>
        <w:div w:id="1613324327">
          <w:marLeft w:val="0"/>
          <w:marRight w:val="0"/>
          <w:marTop w:val="0"/>
          <w:marBottom w:val="0"/>
          <w:divBdr>
            <w:top w:val="none" w:sz="0" w:space="0" w:color="auto"/>
            <w:left w:val="none" w:sz="0" w:space="0" w:color="auto"/>
            <w:bottom w:val="none" w:sz="0" w:space="0" w:color="auto"/>
            <w:right w:val="none" w:sz="0" w:space="0" w:color="auto"/>
          </w:divBdr>
        </w:div>
      </w:divsChild>
    </w:div>
    <w:div w:id="1366251093">
      <w:marLeft w:val="4"/>
      <w:marRight w:val="0"/>
      <w:marTop w:val="120"/>
      <w:marBottom w:val="0"/>
      <w:divBdr>
        <w:top w:val="none" w:sz="0" w:space="0" w:color="auto"/>
        <w:left w:val="none" w:sz="0" w:space="0" w:color="auto"/>
        <w:bottom w:val="none" w:sz="0" w:space="0" w:color="auto"/>
        <w:right w:val="none" w:sz="0" w:space="0" w:color="auto"/>
      </w:divBdr>
      <w:divsChild>
        <w:div w:id="1149520736">
          <w:marLeft w:val="0"/>
          <w:marRight w:val="0"/>
          <w:marTop w:val="0"/>
          <w:marBottom w:val="0"/>
          <w:divBdr>
            <w:top w:val="none" w:sz="0" w:space="0" w:color="auto"/>
            <w:left w:val="none" w:sz="0" w:space="0" w:color="auto"/>
            <w:bottom w:val="none" w:sz="0" w:space="0" w:color="auto"/>
            <w:right w:val="none" w:sz="0" w:space="0" w:color="auto"/>
          </w:divBdr>
        </w:div>
      </w:divsChild>
    </w:div>
    <w:div w:id="1368288363">
      <w:marLeft w:val="4"/>
      <w:marRight w:val="0"/>
      <w:marTop w:val="120"/>
      <w:marBottom w:val="0"/>
      <w:divBdr>
        <w:top w:val="none" w:sz="0" w:space="0" w:color="auto"/>
        <w:left w:val="none" w:sz="0" w:space="0" w:color="auto"/>
        <w:bottom w:val="none" w:sz="0" w:space="0" w:color="auto"/>
        <w:right w:val="none" w:sz="0" w:space="0" w:color="auto"/>
      </w:divBdr>
      <w:divsChild>
        <w:div w:id="2024286860">
          <w:marLeft w:val="0"/>
          <w:marRight w:val="0"/>
          <w:marTop w:val="0"/>
          <w:marBottom w:val="0"/>
          <w:divBdr>
            <w:top w:val="none" w:sz="0" w:space="0" w:color="auto"/>
            <w:left w:val="none" w:sz="0" w:space="0" w:color="auto"/>
            <w:bottom w:val="none" w:sz="0" w:space="0" w:color="auto"/>
            <w:right w:val="none" w:sz="0" w:space="0" w:color="auto"/>
          </w:divBdr>
        </w:div>
      </w:divsChild>
    </w:div>
    <w:div w:id="1370570186">
      <w:marLeft w:val="4"/>
      <w:marRight w:val="0"/>
      <w:marTop w:val="120"/>
      <w:marBottom w:val="0"/>
      <w:divBdr>
        <w:top w:val="none" w:sz="0" w:space="0" w:color="auto"/>
        <w:left w:val="none" w:sz="0" w:space="0" w:color="auto"/>
        <w:bottom w:val="none" w:sz="0" w:space="0" w:color="auto"/>
        <w:right w:val="none" w:sz="0" w:space="0" w:color="auto"/>
      </w:divBdr>
      <w:divsChild>
        <w:div w:id="1409226699">
          <w:marLeft w:val="0"/>
          <w:marRight w:val="0"/>
          <w:marTop w:val="0"/>
          <w:marBottom w:val="0"/>
          <w:divBdr>
            <w:top w:val="none" w:sz="0" w:space="0" w:color="auto"/>
            <w:left w:val="none" w:sz="0" w:space="0" w:color="auto"/>
            <w:bottom w:val="none" w:sz="0" w:space="0" w:color="auto"/>
            <w:right w:val="none" w:sz="0" w:space="0" w:color="auto"/>
          </w:divBdr>
        </w:div>
      </w:divsChild>
    </w:div>
    <w:div w:id="1374236538">
      <w:marLeft w:val="4"/>
      <w:marRight w:val="0"/>
      <w:marTop w:val="120"/>
      <w:marBottom w:val="0"/>
      <w:divBdr>
        <w:top w:val="none" w:sz="0" w:space="0" w:color="auto"/>
        <w:left w:val="none" w:sz="0" w:space="0" w:color="auto"/>
        <w:bottom w:val="none" w:sz="0" w:space="0" w:color="auto"/>
        <w:right w:val="none" w:sz="0" w:space="0" w:color="auto"/>
      </w:divBdr>
      <w:divsChild>
        <w:div w:id="168259247">
          <w:marLeft w:val="0"/>
          <w:marRight w:val="0"/>
          <w:marTop w:val="0"/>
          <w:marBottom w:val="0"/>
          <w:divBdr>
            <w:top w:val="none" w:sz="0" w:space="0" w:color="auto"/>
            <w:left w:val="none" w:sz="0" w:space="0" w:color="auto"/>
            <w:bottom w:val="none" w:sz="0" w:space="0" w:color="auto"/>
            <w:right w:val="none" w:sz="0" w:space="0" w:color="auto"/>
          </w:divBdr>
        </w:div>
      </w:divsChild>
    </w:div>
    <w:div w:id="1382948459">
      <w:marLeft w:val="4"/>
      <w:marRight w:val="0"/>
      <w:marTop w:val="120"/>
      <w:marBottom w:val="0"/>
      <w:divBdr>
        <w:top w:val="none" w:sz="0" w:space="0" w:color="auto"/>
        <w:left w:val="none" w:sz="0" w:space="0" w:color="auto"/>
        <w:bottom w:val="none" w:sz="0" w:space="0" w:color="auto"/>
        <w:right w:val="none" w:sz="0" w:space="0" w:color="auto"/>
      </w:divBdr>
      <w:divsChild>
        <w:div w:id="1025983989">
          <w:marLeft w:val="0"/>
          <w:marRight w:val="0"/>
          <w:marTop w:val="0"/>
          <w:marBottom w:val="0"/>
          <w:divBdr>
            <w:top w:val="none" w:sz="0" w:space="0" w:color="auto"/>
            <w:left w:val="none" w:sz="0" w:space="0" w:color="auto"/>
            <w:bottom w:val="none" w:sz="0" w:space="0" w:color="auto"/>
            <w:right w:val="none" w:sz="0" w:space="0" w:color="auto"/>
          </w:divBdr>
        </w:div>
      </w:divsChild>
    </w:div>
    <w:div w:id="1389183248">
      <w:marLeft w:val="9"/>
      <w:marRight w:val="0"/>
      <w:marTop w:val="120"/>
      <w:marBottom w:val="0"/>
      <w:divBdr>
        <w:top w:val="none" w:sz="0" w:space="0" w:color="auto"/>
        <w:left w:val="none" w:sz="0" w:space="0" w:color="auto"/>
        <w:bottom w:val="none" w:sz="0" w:space="0" w:color="auto"/>
        <w:right w:val="none" w:sz="0" w:space="0" w:color="auto"/>
      </w:divBdr>
      <w:divsChild>
        <w:div w:id="1897544467">
          <w:marLeft w:val="0"/>
          <w:marRight w:val="0"/>
          <w:marTop w:val="0"/>
          <w:marBottom w:val="0"/>
          <w:divBdr>
            <w:top w:val="none" w:sz="0" w:space="0" w:color="auto"/>
            <w:left w:val="none" w:sz="0" w:space="0" w:color="auto"/>
            <w:bottom w:val="none" w:sz="0" w:space="0" w:color="auto"/>
            <w:right w:val="none" w:sz="0" w:space="0" w:color="auto"/>
          </w:divBdr>
        </w:div>
      </w:divsChild>
    </w:div>
    <w:div w:id="1393230096">
      <w:marLeft w:val="4"/>
      <w:marRight w:val="0"/>
      <w:marTop w:val="120"/>
      <w:marBottom w:val="0"/>
      <w:divBdr>
        <w:top w:val="none" w:sz="0" w:space="0" w:color="auto"/>
        <w:left w:val="none" w:sz="0" w:space="0" w:color="auto"/>
        <w:bottom w:val="none" w:sz="0" w:space="0" w:color="auto"/>
        <w:right w:val="none" w:sz="0" w:space="0" w:color="auto"/>
      </w:divBdr>
      <w:divsChild>
        <w:div w:id="871647539">
          <w:marLeft w:val="0"/>
          <w:marRight w:val="0"/>
          <w:marTop w:val="0"/>
          <w:marBottom w:val="0"/>
          <w:divBdr>
            <w:top w:val="none" w:sz="0" w:space="0" w:color="auto"/>
            <w:left w:val="none" w:sz="0" w:space="0" w:color="auto"/>
            <w:bottom w:val="none" w:sz="0" w:space="0" w:color="auto"/>
            <w:right w:val="none" w:sz="0" w:space="0" w:color="auto"/>
          </w:divBdr>
        </w:div>
      </w:divsChild>
    </w:div>
    <w:div w:id="1414818912">
      <w:marLeft w:val="4"/>
      <w:marRight w:val="0"/>
      <w:marTop w:val="120"/>
      <w:marBottom w:val="0"/>
      <w:divBdr>
        <w:top w:val="none" w:sz="0" w:space="0" w:color="auto"/>
        <w:left w:val="none" w:sz="0" w:space="0" w:color="auto"/>
        <w:bottom w:val="none" w:sz="0" w:space="0" w:color="auto"/>
        <w:right w:val="none" w:sz="0" w:space="0" w:color="auto"/>
      </w:divBdr>
      <w:divsChild>
        <w:div w:id="291988069">
          <w:marLeft w:val="0"/>
          <w:marRight w:val="0"/>
          <w:marTop w:val="0"/>
          <w:marBottom w:val="0"/>
          <w:divBdr>
            <w:top w:val="none" w:sz="0" w:space="0" w:color="auto"/>
            <w:left w:val="none" w:sz="0" w:space="0" w:color="auto"/>
            <w:bottom w:val="none" w:sz="0" w:space="0" w:color="auto"/>
            <w:right w:val="none" w:sz="0" w:space="0" w:color="auto"/>
          </w:divBdr>
        </w:div>
      </w:divsChild>
    </w:div>
    <w:div w:id="1415787362">
      <w:marLeft w:val="9"/>
      <w:marRight w:val="0"/>
      <w:marTop w:val="120"/>
      <w:marBottom w:val="0"/>
      <w:divBdr>
        <w:top w:val="none" w:sz="0" w:space="0" w:color="auto"/>
        <w:left w:val="none" w:sz="0" w:space="0" w:color="auto"/>
        <w:bottom w:val="none" w:sz="0" w:space="0" w:color="auto"/>
        <w:right w:val="none" w:sz="0" w:space="0" w:color="auto"/>
      </w:divBdr>
      <w:divsChild>
        <w:div w:id="960569402">
          <w:marLeft w:val="0"/>
          <w:marRight w:val="0"/>
          <w:marTop w:val="0"/>
          <w:marBottom w:val="0"/>
          <w:divBdr>
            <w:top w:val="none" w:sz="0" w:space="0" w:color="auto"/>
            <w:left w:val="none" w:sz="0" w:space="0" w:color="auto"/>
            <w:bottom w:val="none" w:sz="0" w:space="0" w:color="auto"/>
            <w:right w:val="none" w:sz="0" w:space="0" w:color="auto"/>
          </w:divBdr>
        </w:div>
      </w:divsChild>
    </w:div>
    <w:div w:id="1417903032">
      <w:marLeft w:val="4"/>
      <w:marRight w:val="0"/>
      <w:marTop w:val="120"/>
      <w:marBottom w:val="0"/>
      <w:divBdr>
        <w:top w:val="none" w:sz="0" w:space="0" w:color="auto"/>
        <w:left w:val="none" w:sz="0" w:space="0" w:color="auto"/>
        <w:bottom w:val="none" w:sz="0" w:space="0" w:color="auto"/>
        <w:right w:val="none" w:sz="0" w:space="0" w:color="auto"/>
      </w:divBdr>
      <w:divsChild>
        <w:div w:id="22831917">
          <w:marLeft w:val="0"/>
          <w:marRight w:val="0"/>
          <w:marTop w:val="0"/>
          <w:marBottom w:val="0"/>
          <w:divBdr>
            <w:top w:val="none" w:sz="0" w:space="0" w:color="auto"/>
            <w:left w:val="none" w:sz="0" w:space="0" w:color="auto"/>
            <w:bottom w:val="none" w:sz="0" w:space="0" w:color="auto"/>
            <w:right w:val="none" w:sz="0" w:space="0" w:color="auto"/>
          </w:divBdr>
        </w:div>
      </w:divsChild>
    </w:div>
    <w:div w:id="1435437706">
      <w:marLeft w:val="4"/>
      <w:marRight w:val="0"/>
      <w:marTop w:val="120"/>
      <w:marBottom w:val="0"/>
      <w:divBdr>
        <w:top w:val="none" w:sz="0" w:space="0" w:color="auto"/>
        <w:left w:val="none" w:sz="0" w:space="0" w:color="auto"/>
        <w:bottom w:val="none" w:sz="0" w:space="0" w:color="auto"/>
        <w:right w:val="none" w:sz="0" w:space="0" w:color="auto"/>
      </w:divBdr>
      <w:divsChild>
        <w:div w:id="1361474300">
          <w:marLeft w:val="0"/>
          <w:marRight w:val="0"/>
          <w:marTop w:val="0"/>
          <w:marBottom w:val="0"/>
          <w:divBdr>
            <w:top w:val="none" w:sz="0" w:space="0" w:color="auto"/>
            <w:left w:val="none" w:sz="0" w:space="0" w:color="auto"/>
            <w:bottom w:val="none" w:sz="0" w:space="0" w:color="auto"/>
            <w:right w:val="none" w:sz="0" w:space="0" w:color="auto"/>
          </w:divBdr>
        </w:div>
      </w:divsChild>
    </w:div>
    <w:div w:id="1437562252">
      <w:marLeft w:val="4"/>
      <w:marRight w:val="0"/>
      <w:marTop w:val="120"/>
      <w:marBottom w:val="0"/>
      <w:divBdr>
        <w:top w:val="none" w:sz="0" w:space="0" w:color="auto"/>
        <w:left w:val="none" w:sz="0" w:space="0" w:color="auto"/>
        <w:bottom w:val="none" w:sz="0" w:space="0" w:color="auto"/>
        <w:right w:val="none" w:sz="0" w:space="0" w:color="auto"/>
      </w:divBdr>
      <w:divsChild>
        <w:div w:id="682784418">
          <w:marLeft w:val="0"/>
          <w:marRight w:val="0"/>
          <w:marTop w:val="0"/>
          <w:marBottom w:val="0"/>
          <w:divBdr>
            <w:top w:val="none" w:sz="0" w:space="0" w:color="auto"/>
            <w:left w:val="none" w:sz="0" w:space="0" w:color="auto"/>
            <w:bottom w:val="none" w:sz="0" w:space="0" w:color="auto"/>
            <w:right w:val="none" w:sz="0" w:space="0" w:color="auto"/>
          </w:divBdr>
        </w:div>
      </w:divsChild>
    </w:div>
    <w:div w:id="1441677741">
      <w:marLeft w:val="4"/>
      <w:marRight w:val="0"/>
      <w:marTop w:val="120"/>
      <w:marBottom w:val="0"/>
      <w:divBdr>
        <w:top w:val="none" w:sz="0" w:space="0" w:color="auto"/>
        <w:left w:val="none" w:sz="0" w:space="0" w:color="auto"/>
        <w:bottom w:val="none" w:sz="0" w:space="0" w:color="auto"/>
        <w:right w:val="none" w:sz="0" w:space="0" w:color="auto"/>
      </w:divBdr>
      <w:divsChild>
        <w:div w:id="257714292">
          <w:marLeft w:val="0"/>
          <w:marRight w:val="0"/>
          <w:marTop w:val="0"/>
          <w:marBottom w:val="0"/>
          <w:divBdr>
            <w:top w:val="none" w:sz="0" w:space="0" w:color="auto"/>
            <w:left w:val="none" w:sz="0" w:space="0" w:color="auto"/>
            <w:bottom w:val="none" w:sz="0" w:space="0" w:color="auto"/>
            <w:right w:val="none" w:sz="0" w:space="0" w:color="auto"/>
          </w:divBdr>
        </w:div>
      </w:divsChild>
    </w:div>
    <w:div w:id="1452243374">
      <w:marLeft w:val="4"/>
      <w:marRight w:val="0"/>
      <w:marTop w:val="120"/>
      <w:marBottom w:val="0"/>
      <w:divBdr>
        <w:top w:val="none" w:sz="0" w:space="0" w:color="auto"/>
        <w:left w:val="none" w:sz="0" w:space="0" w:color="auto"/>
        <w:bottom w:val="none" w:sz="0" w:space="0" w:color="auto"/>
        <w:right w:val="none" w:sz="0" w:space="0" w:color="auto"/>
      </w:divBdr>
      <w:divsChild>
        <w:div w:id="1178738515">
          <w:marLeft w:val="0"/>
          <w:marRight w:val="0"/>
          <w:marTop w:val="0"/>
          <w:marBottom w:val="0"/>
          <w:divBdr>
            <w:top w:val="none" w:sz="0" w:space="0" w:color="auto"/>
            <w:left w:val="none" w:sz="0" w:space="0" w:color="auto"/>
            <w:bottom w:val="none" w:sz="0" w:space="0" w:color="auto"/>
            <w:right w:val="none" w:sz="0" w:space="0" w:color="auto"/>
          </w:divBdr>
        </w:div>
      </w:divsChild>
    </w:div>
    <w:div w:id="1453212044">
      <w:marLeft w:val="4"/>
      <w:marRight w:val="0"/>
      <w:marTop w:val="120"/>
      <w:marBottom w:val="0"/>
      <w:divBdr>
        <w:top w:val="none" w:sz="0" w:space="0" w:color="auto"/>
        <w:left w:val="none" w:sz="0" w:space="0" w:color="auto"/>
        <w:bottom w:val="none" w:sz="0" w:space="0" w:color="auto"/>
        <w:right w:val="none" w:sz="0" w:space="0" w:color="auto"/>
      </w:divBdr>
      <w:divsChild>
        <w:div w:id="120850468">
          <w:marLeft w:val="0"/>
          <w:marRight w:val="0"/>
          <w:marTop w:val="0"/>
          <w:marBottom w:val="0"/>
          <w:divBdr>
            <w:top w:val="none" w:sz="0" w:space="0" w:color="auto"/>
            <w:left w:val="none" w:sz="0" w:space="0" w:color="auto"/>
            <w:bottom w:val="none" w:sz="0" w:space="0" w:color="auto"/>
            <w:right w:val="none" w:sz="0" w:space="0" w:color="auto"/>
          </w:divBdr>
        </w:div>
      </w:divsChild>
    </w:div>
    <w:div w:id="1454054190">
      <w:marLeft w:val="4"/>
      <w:marRight w:val="0"/>
      <w:marTop w:val="120"/>
      <w:marBottom w:val="0"/>
      <w:divBdr>
        <w:top w:val="none" w:sz="0" w:space="0" w:color="auto"/>
        <w:left w:val="none" w:sz="0" w:space="0" w:color="auto"/>
        <w:bottom w:val="none" w:sz="0" w:space="0" w:color="auto"/>
        <w:right w:val="none" w:sz="0" w:space="0" w:color="auto"/>
      </w:divBdr>
      <w:divsChild>
        <w:div w:id="1000547129">
          <w:marLeft w:val="0"/>
          <w:marRight w:val="0"/>
          <w:marTop w:val="0"/>
          <w:marBottom w:val="0"/>
          <w:divBdr>
            <w:top w:val="none" w:sz="0" w:space="0" w:color="auto"/>
            <w:left w:val="none" w:sz="0" w:space="0" w:color="auto"/>
            <w:bottom w:val="none" w:sz="0" w:space="0" w:color="auto"/>
            <w:right w:val="none" w:sz="0" w:space="0" w:color="auto"/>
          </w:divBdr>
        </w:div>
      </w:divsChild>
    </w:div>
    <w:div w:id="1456413922">
      <w:marLeft w:val="4"/>
      <w:marRight w:val="0"/>
      <w:marTop w:val="120"/>
      <w:marBottom w:val="0"/>
      <w:divBdr>
        <w:top w:val="none" w:sz="0" w:space="0" w:color="auto"/>
        <w:left w:val="none" w:sz="0" w:space="0" w:color="auto"/>
        <w:bottom w:val="none" w:sz="0" w:space="0" w:color="auto"/>
        <w:right w:val="none" w:sz="0" w:space="0" w:color="auto"/>
      </w:divBdr>
      <w:divsChild>
        <w:div w:id="1746536150">
          <w:marLeft w:val="0"/>
          <w:marRight w:val="0"/>
          <w:marTop w:val="0"/>
          <w:marBottom w:val="0"/>
          <w:divBdr>
            <w:top w:val="none" w:sz="0" w:space="0" w:color="auto"/>
            <w:left w:val="none" w:sz="0" w:space="0" w:color="auto"/>
            <w:bottom w:val="none" w:sz="0" w:space="0" w:color="auto"/>
            <w:right w:val="none" w:sz="0" w:space="0" w:color="auto"/>
          </w:divBdr>
        </w:div>
      </w:divsChild>
    </w:div>
    <w:div w:id="1470704061">
      <w:marLeft w:val="4"/>
      <w:marRight w:val="0"/>
      <w:marTop w:val="120"/>
      <w:marBottom w:val="0"/>
      <w:divBdr>
        <w:top w:val="none" w:sz="0" w:space="0" w:color="auto"/>
        <w:left w:val="none" w:sz="0" w:space="0" w:color="auto"/>
        <w:bottom w:val="none" w:sz="0" w:space="0" w:color="auto"/>
        <w:right w:val="none" w:sz="0" w:space="0" w:color="auto"/>
      </w:divBdr>
      <w:divsChild>
        <w:div w:id="148980589">
          <w:marLeft w:val="0"/>
          <w:marRight w:val="0"/>
          <w:marTop w:val="0"/>
          <w:marBottom w:val="0"/>
          <w:divBdr>
            <w:top w:val="none" w:sz="0" w:space="0" w:color="auto"/>
            <w:left w:val="none" w:sz="0" w:space="0" w:color="auto"/>
            <w:bottom w:val="none" w:sz="0" w:space="0" w:color="auto"/>
            <w:right w:val="none" w:sz="0" w:space="0" w:color="auto"/>
          </w:divBdr>
        </w:div>
      </w:divsChild>
    </w:div>
    <w:div w:id="1501192745">
      <w:marLeft w:val="4"/>
      <w:marRight w:val="0"/>
      <w:marTop w:val="120"/>
      <w:marBottom w:val="0"/>
      <w:divBdr>
        <w:top w:val="none" w:sz="0" w:space="0" w:color="auto"/>
        <w:left w:val="none" w:sz="0" w:space="0" w:color="auto"/>
        <w:bottom w:val="none" w:sz="0" w:space="0" w:color="auto"/>
        <w:right w:val="none" w:sz="0" w:space="0" w:color="auto"/>
      </w:divBdr>
      <w:divsChild>
        <w:div w:id="626132004">
          <w:marLeft w:val="0"/>
          <w:marRight w:val="0"/>
          <w:marTop w:val="0"/>
          <w:marBottom w:val="0"/>
          <w:divBdr>
            <w:top w:val="none" w:sz="0" w:space="0" w:color="auto"/>
            <w:left w:val="none" w:sz="0" w:space="0" w:color="auto"/>
            <w:bottom w:val="none" w:sz="0" w:space="0" w:color="auto"/>
            <w:right w:val="none" w:sz="0" w:space="0" w:color="auto"/>
          </w:divBdr>
        </w:div>
      </w:divsChild>
    </w:div>
    <w:div w:id="1513454162">
      <w:marLeft w:val="4"/>
      <w:marRight w:val="0"/>
      <w:marTop w:val="120"/>
      <w:marBottom w:val="0"/>
      <w:divBdr>
        <w:top w:val="none" w:sz="0" w:space="0" w:color="auto"/>
        <w:left w:val="none" w:sz="0" w:space="0" w:color="auto"/>
        <w:bottom w:val="none" w:sz="0" w:space="0" w:color="auto"/>
        <w:right w:val="none" w:sz="0" w:space="0" w:color="auto"/>
      </w:divBdr>
      <w:divsChild>
        <w:div w:id="1987735282">
          <w:marLeft w:val="0"/>
          <w:marRight w:val="0"/>
          <w:marTop w:val="0"/>
          <w:marBottom w:val="0"/>
          <w:divBdr>
            <w:top w:val="none" w:sz="0" w:space="0" w:color="auto"/>
            <w:left w:val="none" w:sz="0" w:space="0" w:color="auto"/>
            <w:bottom w:val="none" w:sz="0" w:space="0" w:color="auto"/>
            <w:right w:val="none" w:sz="0" w:space="0" w:color="auto"/>
          </w:divBdr>
        </w:div>
      </w:divsChild>
    </w:div>
    <w:div w:id="1523322787">
      <w:marLeft w:val="4"/>
      <w:marRight w:val="0"/>
      <w:marTop w:val="120"/>
      <w:marBottom w:val="0"/>
      <w:divBdr>
        <w:top w:val="none" w:sz="0" w:space="0" w:color="auto"/>
        <w:left w:val="none" w:sz="0" w:space="0" w:color="auto"/>
        <w:bottom w:val="none" w:sz="0" w:space="0" w:color="auto"/>
        <w:right w:val="none" w:sz="0" w:space="0" w:color="auto"/>
      </w:divBdr>
      <w:divsChild>
        <w:div w:id="1010639576">
          <w:marLeft w:val="0"/>
          <w:marRight w:val="0"/>
          <w:marTop w:val="0"/>
          <w:marBottom w:val="0"/>
          <w:divBdr>
            <w:top w:val="none" w:sz="0" w:space="0" w:color="auto"/>
            <w:left w:val="none" w:sz="0" w:space="0" w:color="auto"/>
            <w:bottom w:val="none" w:sz="0" w:space="0" w:color="auto"/>
            <w:right w:val="none" w:sz="0" w:space="0" w:color="auto"/>
          </w:divBdr>
        </w:div>
      </w:divsChild>
    </w:div>
    <w:div w:id="1527526000">
      <w:marLeft w:val="4"/>
      <w:marRight w:val="0"/>
      <w:marTop w:val="120"/>
      <w:marBottom w:val="0"/>
      <w:divBdr>
        <w:top w:val="none" w:sz="0" w:space="0" w:color="auto"/>
        <w:left w:val="none" w:sz="0" w:space="0" w:color="auto"/>
        <w:bottom w:val="none" w:sz="0" w:space="0" w:color="auto"/>
        <w:right w:val="none" w:sz="0" w:space="0" w:color="auto"/>
      </w:divBdr>
      <w:divsChild>
        <w:div w:id="1734694240">
          <w:marLeft w:val="0"/>
          <w:marRight w:val="0"/>
          <w:marTop w:val="0"/>
          <w:marBottom w:val="0"/>
          <w:divBdr>
            <w:top w:val="none" w:sz="0" w:space="0" w:color="auto"/>
            <w:left w:val="none" w:sz="0" w:space="0" w:color="auto"/>
            <w:bottom w:val="none" w:sz="0" w:space="0" w:color="auto"/>
            <w:right w:val="none" w:sz="0" w:space="0" w:color="auto"/>
          </w:divBdr>
        </w:div>
      </w:divsChild>
    </w:div>
    <w:div w:id="1528568602">
      <w:marLeft w:val="4"/>
      <w:marRight w:val="0"/>
      <w:marTop w:val="120"/>
      <w:marBottom w:val="0"/>
      <w:divBdr>
        <w:top w:val="none" w:sz="0" w:space="0" w:color="auto"/>
        <w:left w:val="none" w:sz="0" w:space="0" w:color="auto"/>
        <w:bottom w:val="none" w:sz="0" w:space="0" w:color="auto"/>
        <w:right w:val="none" w:sz="0" w:space="0" w:color="auto"/>
      </w:divBdr>
      <w:divsChild>
        <w:div w:id="864902767">
          <w:marLeft w:val="0"/>
          <w:marRight w:val="0"/>
          <w:marTop w:val="0"/>
          <w:marBottom w:val="0"/>
          <w:divBdr>
            <w:top w:val="none" w:sz="0" w:space="0" w:color="auto"/>
            <w:left w:val="none" w:sz="0" w:space="0" w:color="auto"/>
            <w:bottom w:val="none" w:sz="0" w:space="0" w:color="auto"/>
            <w:right w:val="none" w:sz="0" w:space="0" w:color="auto"/>
          </w:divBdr>
        </w:div>
      </w:divsChild>
    </w:div>
    <w:div w:id="1530991388">
      <w:marLeft w:val="4"/>
      <w:marRight w:val="0"/>
      <w:marTop w:val="120"/>
      <w:marBottom w:val="0"/>
      <w:divBdr>
        <w:top w:val="none" w:sz="0" w:space="0" w:color="auto"/>
        <w:left w:val="none" w:sz="0" w:space="0" w:color="auto"/>
        <w:bottom w:val="none" w:sz="0" w:space="0" w:color="auto"/>
        <w:right w:val="none" w:sz="0" w:space="0" w:color="auto"/>
      </w:divBdr>
      <w:divsChild>
        <w:div w:id="2068795884">
          <w:marLeft w:val="0"/>
          <w:marRight w:val="0"/>
          <w:marTop w:val="0"/>
          <w:marBottom w:val="0"/>
          <w:divBdr>
            <w:top w:val="none" w:sz="0" w:space="0" w:color="auto"/>
            <w:left w:val="none" w:sz="0" w:space="0" w:color="auto"/>
            <w:bottom w:val="none" w:sz="0" w:space="0" w:color="auto"/>
            <w:right w:val="none" w:sz="0" w:space="0" w:color="auto"/>
          </w:divBdr>
        </w:div>
      </w:divsChild>
    </w:div>
    <w:div w:id="1539660421">
      <w:marLeft w:val="4"/>
      <w:marRight w:val="0"/>
      <w:marTop w:val="120"/>
      <w:marBottom w:val="0"/>
      <w:divBdr>
        <w:top w:val="none" w:sz="0" w:space="0" w:color="auto"/>
        <w:left w:val="none" w:sz="0" w:space="0" w:color="auto"/>
        <w:bottom w:val="none" w:sz="0" w:space="0" w:color="auto"/>
        <w:right w:val="none" w:sz="0" w:space="0" w:color="auto"/>
      </w:divBdr>
      <w:divsChild>
        <w:div w:id="1528524763">
          <w:marLeft w:val="0"/>
          <w:marRight w:val="0"/>
          <w:marTop w:val="0"/>
          <w:marBottom w:val="0"/>
          <w:divBdr>
            <w:top w:val="none" w:sz="0" w:space="0" w:color="auto"/>
            <w:left w:val="none" w:sz="0" w:space="0" w:color="auto"/>
            <w:bottom w:val="none" w:sz="0" w:space="0" w:color="auto"/>
            <w:right w:val="none" w:sz="0" w:space="0" w:color="auto"/>
          </w:divBdr>
        </w:div>
      </w:divsChild>
    </w:div>
    <w:div w:id="1549755212">
      <w:marLeft w:val="4"/>
      <w:marRight w:val="0"/>
      <w:marTop w:val="120"/>
      <w:marBottom w:val="0"/>
      <w:divBdr>
        <w:top w:val="none" w:sz="0" w:space="0" w:color="auto"/>
        <w:left w:val="none" w:sz="0" w:space="0" w:color="auto"/>
        <w:bottom w:val="none" w:sz="0" w:space="0" w:color="auto"/>
        <w:right w:val="none" w:sz="0" w:space="0" w:color="auto"/>
      </w:divBdr>
      <w:divsChild>
        <w:div w:id="838542501">
          <w:marLeft w:val="0"/>
          <w:marRight w:val="0"/>
          <w:marTop w:val="0"/>
          <w:marBottom w:val="0"/>
          <w:divBdr>
            <w:top w:val="none" w:sz="0" w:space="0" w:color="auto"/>
            <w:left w:val="none" w:sz="0" w:space="0" w:color="auto"/>
            <w:bottom w:val="none" w:sz="0" w:space="0" w:color="auto"/>
            <w:right w:val="none" w:sz="0" w:space="0" w:color="auto"/>
          </w:divBdr>
        </w:div>
      </w:divsChild>
    </w:div>
    <w:div w:id="1552423436">
      <w:marLeft w:val="4"/>
      <w:marRight w:val="0"/>
      <w:marTop w:val="120"/>
      <w:marBottom w:val="0"/>
      <w:divBdr>
        <w:top w:val="none" w:sz="0" w:space="0" w:color="auto"/>
        <w:left w:val="none" w:sz="0" w:space="0" w:color="auto"/>
        <w:bottom w:val="none" w:sz="0" w:space="0" w:color="auto"/>
        <w:right w:val="none" w:sz="0" w:space="0" w:color="auto"/>
      </w:divBdr>
      <w:divsChild>
        <w:div w:id="812911082">
          <w:marLeft w:val="0"/>
          <w:marRight w:val="0"/>
          <w:marTop w:val="0"/>
          <w:marBottom w:val="0"/>
          <w:divBdr>
            <w:top w:val="none" w:sz="0" w:space="0" w:color="auto"/>
            <w:left w:val="none" w:sz="0" w:space="0" w:color="auto"/>
            <w:bottom w:val="none" w:sz="0" w:space="0" w:color="auto"/>
            <w:right w:val="none" w:sz="0" w:space="0" w:color="auto"/>
          </w:divBdr>
        </w:div>
      </w:divsChild>
    </w:div>
    <w:div w:id="1553541937">
      <w:marLeft w:val="4"/>
      <w:marRight w:val="0"/>
      <w:marTop w:val="120"/>
      <w:marBottom w:val="0"/>
      <w:divBdr>
        <w:top w:val="none" w:sz="0" w:space="0" w:color="auto"/>
        <w:left w:val="none" w:sz="0" w:space="0" w:color="auto"/>
        <w:bottom w:val="none" w:sz="0" w:space="0" w:color="auto"/>
        <w:right w:val="none" w:sz="0" w:space="0" w:color="auto"/>
      </w:divBdr>
      <w:divsChild>
        <w:div w:id="1514302450">
          <w:marLeft w:val="0"/>
          <w:marRight w:val="0"/>
          <w:marTop w:val="0"/>
          <w:marBottom w:val="0"/>
          <w:divBdr>
            <w:top w:val="none" w:sz="0" w:space="0" w:color="auto"/>
            <w:left w:val="none" w:sz="0" w:space="0" w:color="auto"/>
            <w:bottom w:val="none" w:sz="0" w:space="0" w:color="auto"/>
            <w:right w:val="none" w:sz="0" w:space="0" w:color="auto"/>
          </w:divBdr>
        </w:div>
      </w:divsChild>
    </w:div>
    <w:div w:id="1555895957">
      <w:marLeft w:val="4"/>
      <w:marRight w:val="0"/>
      <w:marTop w:val="120"/>
      <w:marBottom w:val="0"/>
      <w:divBdr>
        <w:top w:val="none" w:sz="0" w:space="0" w:color="auto"/>
        <w:left w:val="none" w:sz="0" w:space="0" w:color="auto"/>
        <w:bottom w:val="none" w:sz="0" w:space="0" w:color="auto"/>
        <w:right w:val="none" w:sz="0" w:space="0" w:color="auto"/>
      </w:divBdr>
      <w:divsChild>
        <w:div w:id="1001933561">
          <w:marLeft w:val="0"/>
          <w:marRight w:val="0"/>
          <w:marTop w:val="0"/>
          <w:marBottom w:val="0"/>
          <w:divBdr>
            <w:top w:val="none" w:sz="0" w:space="0" w:color="auto"/>
            <w:left w:val="none" w:sz="0" w:space="0" w:color="auto"/>
            <w:bottom w:val="none" w:sz="0" w:space="0" w:color="auto"/>
            <w:right w:val="none" w:sz="0" w:space="0" w:color="auto"/>
          </w:divBdr>
        </w:div>
      </w:divsChild>
    </w:div>
    <w:div w:id="1568684939">
      <w:marLeft w:val="9"/>
      <w:marRight w:val="0"/>
      <w:marTop w:val="120"/>
      <w:marBottom w:val="0"/>
      <w:divBdr>
        <w:top w:val="none" w:sz="0" w:space="0" w:color="auto"/>
        <w:left w:val="none" w:sz="0" w:space="0" w:color="auto"/>
        <w:bottom w:val="none" w:sz="0" w:space="0" w:color="auto"/>
        <w:right w:val="none" w:sz="0" w:space="0" w:color="auto"/>
      </w:divBdr>
      <w:divsChild>
        <w:div w:id="1708289297">
          <w:marLeft w:val="0"/>
          <w:marRight w:val="0"/>
          <w:marTop w:val="0"/>
          <w:marBottom w:val="0"/>
          <w:divBdr>
            <w:top w:val="none" w:sz="0" w:space="0" w:color="auto"/>
            <w:left w:val="none" w:sz="0" w:space="0" w:color="auto"/>
            <w:bottom w:val="none" w:sz="0" w:space="0" w:color="auto"/>
            <w:right w:val="none" w:sz="0" w:space="0" w:color="auto"/>
          </w:divBdr>
        </w:div>
      </w:divsChild>
    </w:div>
    <w:div w:id="1575237015">
      <w:marLeft w:val="4"/>
      <w:marRight w:val="0"/>
      <w:marTop w:val="120"/>
      <w:marBottom w:val="0"/>
      <w:divBdr>
        <w:top w:val="none" w:sz="0" w:space="0" w:color="auto"/>
        <w:left w:val="none" w:sz="0" w:space="0" w:color="auto"/>
        <w:bottom w:val="none" w:sz="0" w:space="0" w:color="auto"/>
        <w:right w:val="none" w:sz="0" w:space="0" w:color="auto"/>
      </w:divBdr>
      <w:divsChild>
        <w:div w:id="1929849488">
          <w:marLeft w:val="0"/>
          <w:marRight w:val="0"/>
          <w:marTop w:val="0"/>
          <w:marBottom w:val="0"/>
          <w:divBdr>
            <w:top w:val="none" w:sz="0" w:space="0" w:color="auto"/>
            <w:left w:val="none" w:sz="0" w:space="0" w:color="auto"/>
            <w:bottom w:val="none" w:sz="0" w:space="0" w:color="auto"/>
            <w:right w:val="none" w:sz="0" w:space="0" w:color="auto"/>
          </w:divBdr>
        </w:div>
      </w:divsChild>
    </w:div>
    <w:div w:id="1594894106">
      <w:marLeft w:val="4"/>
      <w:marRight w:val="0"/>
      <w:marTop w:val="120"/>
      <w:marBottom w:val="0"/>
      <w:divBdr>
        <w:top w:val="none" w:sz="0" w:space="0" w:color="auto"/>
        <w:left w:val="none" w:sz="0" w:space="0" w:color="auto"/>
        <w:bottom w:val="none" w:sz="0" w:space="0" w:color="auto"/>
        <w:right w:val="none" w:sz="0" w:space="0" w:color="auto"/>
      </w:divBdr>
      <w:divsChild>
        <w:div w:id="1971127245">
          <w:marLeft w:val="0"/>
          <w:marRight w:val="0"/>
          <w:marTop w:val="0"/>
          <w:marBottom w:val="0"/>
          <w:divBdr>
            <w:top w:val="none" w:sz="0" w:space="0" w:color="auto"/>
            <w:left w:val="none" w:sz="0" w:space="0" w:color="auto"/>
            <w:bottom w:val="none" w:sz="0" w:space="0" w:color="auto"/>
            <w:right w:val="none" w:sz="0" w:space="0" w:color="auto"/>
          </w:divBdr>
        </w:div>
      </w:divsChild>
    </w:div>
    <w:div w:id="1595286876">
      <w:marLeft w:val="4"/>
      <w:marRight w:val="0"/>
      <w:marTop w:val="120"/>
      <w:marBottom w:val="0"/>
      <w:divBdr>
        <w:top w:val="none" w:sz="0" w:space="0" w:color="auto"/>
        <w:left w:val="none" w:sz="0" w:space="0" w:color="auto"/>
        <w:bottom w:val="none" w:sz="0" w:space="0" w:color="auto"/>
        <w:right w:val="none" w:sz="0" w:space="0" w:color="auto"/>
      </w:divBdr>
      <w:divsChild>
        <w:div w:id="824007709">
          <w:marLeft w:val="0"/>
          <w:marRight w:val="0"/>
          <w:marTop w:val="0"/>
          <w:marBottom w:val="0"/>
          <w:divBdr>
            <w:top w:val="none" w:sz="0" w:space="0" w:color="auto"/>
            <w:left w:val="none" w:sz="0" w:space="0" w:color="auto"/>
            <w:bottom w:val="none" w:sz="0" w:space="0" w:color="auto"/>
            <w:right w:val="none" w:sz="0" w:space="0" w:color="auto"/>
          </w:divBdr>
        </w:div>
      </w:divsChild>
    </w:div>
    <w:div w:id="1596547814">
      <w:marLeft w:val="4"/>
      <w:marRight w:val="0"/>
      <w:marTop w:val="120"/>
      <w:marBottom w:val="0"/>
      <w:divBdr>
        <w:top w:val="none" w:sz="0" w:space="0" w:color="auto"/>
        <w:left w:val="none" w:sz="0" w:space="0" w:color="auto"/>
        <w:bottom w:val="none" w:sz="0" w:space="0" w:color="auto"/>
        <w:right w:val="none" w:sz="0" w:space="0" w:color="auto"/>
      </w:divBdr>
      <w:divsChild>
        <w:div w:id="316153167">
          <w:marLeft w:val="0"/>
          <w:marRight w:val="0"/>
          <w:marTop w:val="0"/>
          <w:marBottom w:val="0"/>
          <w:divBdr>
            <w:top w:val="none" w:sz="0" w:space="0" w:color="auto"/>
            <w:left w:val="none" w:sz="0" w:space="0" w:color="auto"/>
            <w:bottom w:val="none" w:sz="0" w:space="0" w:color="auto"/>
            <w:right w:val="none" w:sz="0" w:space="0" w:color="auto"/>
          </w:divBdr>
        </w:div>
      </w:divsChild>
    </w:div>
    <w:div w:id="1603302274">
      <w:marLeft w:val="4"/>
      <w:marRight w:val="0"/>
      <w:marTop w:val="120"/>
      <w:marBottom w:val="0"/>
      <w:divBdr>
        <w:top w:val="none" w:sz="0" w:space="0" w:color="auto"/>
        <w:left w:val="none" w:sz="0" w:space="0" w:color="auto"/>
        <w:bottom w:val="none" w:sz="0" w:space="0" w:color="auto"/>
        <w:right w:val="none" w:sz="0" w:space="0" w:color="auto"/>
      </w:divBdr>
      <w:divsChild>
        <w:div w:id="2031373740">
          <w:marLeft w:val="0"/>
          <w:marRight w:val="0"/>
          <w:marTop w:val="0"/>
          <w:marBottom w:val="0"/>
          <w:divBdr>
            <w:top w:val="none" w:sz="0" w:space="0" w:color="auto"/>
            <w:left w:val="none" w:sz="0" w:space="0" w:color="auto"/>
            <w:bottom w:val="none" w:sz="0" w:space="0" w:color="auto"/>
            <w:right w:val="none" w:sz="0" w:space="0" w:color="auto"/>
          </w:divBdr>
        </w:div>
      </w:divsChild>
    </w:div>
    <w:div w:id="1603565600">
      <w:marLeft w:val="4"/>
      <w:marRight w:val="0"/>
      <w:marTop w:val="120"/>
      <w:marBottom w:val="0"/>
      <w:divBdr>
        <w:top w:val="none" w:sz="0" w:space="0" w:color="auto"/>
        <w:left w:val="none" w:sz="0" w:space="0" w:color="auto"/>
        <w:bottom w:val="none" w:sz="0" w:space="0" w:color="auto"/>
        <w:right w:val="none" w:sz="0" w:space="0" w:color="auto"/>
      </w:divBdr>
      <w:divsChild>
        <w:div w:id="399867805">
          <w:marLeft w:val="0"/>
          <w:marRight w:val="0"/>
          <w:marTop w:val="0"/>
          <w:marBottom w:val="0"/>
          <w:divBdr>
            <w:top w:val="none" w:sz="0" w:space="0" w:color="auto"/>
            <w:left w:val="none" w:sz="0" w:space="0" w:color="auto"/>
            <w:bottom w:val="none" w:sz="0" w:space="0" w:color="auto"/>
            <w:right w:val="none" w:sz="0" w:space="0" w:color="auto"/>
          </w:divBdr>
        </w:div>
      </w:divsChild>
    </w:div>
    <w:div w:id="1613122642">
      <w:marLeft w:val="9"/>
      <w:marRight w:val="0"/>
      <w:marTop w:val="120"/>
      <w:marBottom w:val="0"/>
      <w:divBdr>
        <w:top w:val="none" w:sz="0" w:space="0" w:color="auto"/>
        <w:left w:val="none" w:sz="0" w:space="0" w:color="auto"/>
        <w:bottom w:val="none" w:sz="0" w:space="0" w:color="auto"/>
        <w:right w:val="none" w:sz="0" w:space="0" w:color="auto"/>
      </w:divBdr>
      <w:divsChild>
        <w:div w:id="674957045">
          <w:marLeft w:val="0"/>
          <w:marRight w:val="0"/>
          <w:marTop w:val="0"/>
          <w:marBottom w:val="0"/>
          <w:divBdr>
            <w:top w:val="none" w:sz="0" w:space="0" w:color="auto"/>
            <w:left w:val="none" w:sz="0" w:space="0" w:color="auto"/>
            <w:bottom w:val="none" w:sz="0" w:space="0" w:color="auto"/>
            <w:right w:val="none" w:sz="0" w:space="0" w:color="auto"/>
          </w:divBdr>
        </w:div>
      </w:divsChild>
    </w:div>
    <w:div w:id="1617985450">
      <w:marLeft w:val="4"/>
      <w:marRight w:val="0"/>
      <w:marTop w:val="120"/>
      <w:marBottom w:val="0"/>
      <w:divBdr>
        <w:top w:val="none" w:sz="0" w:space="0" w:color="auto"/>
        <w:left w:val="none" w:sz="0" w:space="0" w:color="auto"/>
        <w:bottom w:val="none" w:sz="0" w:space="0" w:color="auto"/>
        <w:right w:val="none" w:sz="0" w:space="0" w:color="auto"/>
      </w:divBdr>
      <w:divsChild>
        <w:div w:id="326902215">
          <w:marLeft w:val="0"/>
          <w:marRight w:val="0"/>
          <w:marTop w:val="0"/>
          <w:marBottom w:val="0"/>
          <w:divBdr>
            <w:top w:val="none" w:sz="0" w:space="0" w:color="auto"/>
            <w:left w:val="none" w:sz="0" w:space="0" w:color="auto"/>
            <w:bottom w:val="none" w:sz="0" w:space="0" w:color="auto"/>
            <w:right w:val="none" w:sz="0" w:space="0" w:color="auto"/>
          </w:divBdr>
        </w:div>
      </w:divsChild>
    </w:div>
    <w:div w:id="1629555413">
      <w:marLeft w:val="0"/>
      <w:marRight w:val="0"/>
      <w:marTop w:val="0"/>
      <w:marBottom w:val="0"/>
      <w:divBdr>
        <w:top w:val="none" w:sz="0" w:space="0" w:color="auto"/>
        <w:left w:val="none" w:sz="0" w:space="0" w:color="auto"/>
        <w:bottom w:val="none" w:sz="0" w:space="0" w:color="auto"/>
        <w:right w:val="none" w:sz="0" w:space="0" w:color="auto"/>
      </w:divBdr>
      <w:divsChild>
        <w:div w:id="1389646336">
          <w:marLeft w:val="0"/>
          <w:marRight w:val="0"/>
          <w:marTop w:val="0"/>
          <w:marBottom w:val="0"/>
          <w:divBdr>
            <w:top w:val="none" w:sz="0" w:space="0" w:color="auto"/>
            <w:left w:val="none" w:sz="0" w:space="0" w:color="auto"/>
            <w:bottom w:val="none" w:sz="0" w:space="0" w:color="auto"/>
            <w:right w:val="none" w:sz="0" w:space="0" w:color="auto"/>
          </w:divBdr>
        </w:div>
      </w:divsChild>
    </w:div>
    <w:div w:id="1635135878">
      <w:marLeft w:val="4"/>
      <w:marRight w:val="0"/>
      <w:marTop w:val="120"/>
      <w:marBottom w:val="0"/>
      <w:divBdr>
        <w:top w:val="none" w:sz="0" w:space="0" w:color="auto"/>
        <w:left w:val="none" w:sz="0" w:space="0" w:color="auto"/>
        <w:bottom w:val="none" w:sz="0" w:space="0" w:color="auto"/>
        <w:right w:val="none" w:sz="0" w:space="0" w:color="auto"/>
      </w:divBdr>
      <w:divsChild>
        <w:div w:id="2018728712">
          <w:marLeft w:val="0"/>
          <w:marRight w:val="0"/>
          <w:marTop w:val="0"/>
          <w:marBottom w:val="0"/>
          <w:divBdr>
            <w:top w:val="none" w:sz="0" w:space="0" w:color="auto"/>
            <w:left w:val="none" w:sz="0" w:space="0" w:color="auto"/>
            <w:bottom w:val="none" w:sz="0" w:space="0" w:color="auto"/>
            <w:right w:val="none" w:sz="0" w:space="0" w:color="auto"/>
          </w:divBdr>
        </w:div>
      </w:divsChild>
    </w:div>
    <w:div w:id="1645770880">
      <w:marLeft w:val="4"/>
      <w:marRight w:val="0"/>
      <w:marTop w:val="120"/>
      <w:marBottom w:val="0"/>
      <w:divBdr>
        <w:top w:val="none" w:sz="0" w:space="0" w:color="auto"/>
        <w:left w:val="none" w:sz="0" w:space="0" w:color="auto"/>
        <w:bottom w:val="none" w:sz="0" w:space="0" w:color="auto"/>
        <w:right w:val="none" w:sz="0" w:space="0" w:color="auto"/>
      </w:divBdr>
      <w:divsChild>
        <w:div w:id="572011986">
          <w:marLeft w:val="0"/>
          <w:marRight w:val="0"/>
          <w:marTop w:val="0"/>
          <w:marBottom w:val="0"/>
          <w:divBdr>
            <w:top w:val="none" w:sz="0" w:space="0" w:color="auto"/>
            <w:left w:val="none" w:sz="0" w:space="0" w:color="auto"/>
            <w:bottom w:val="none" w:sz="0" w:space="0" w:color="auto"/>
            <w:right w:val="none" w:sz="0" w:space="0" w:color="auto"/>
          </w:divBdr>
        </w:div>
      </w:divsChild>
    </w:div>
    <w:div w:id="1648973902">
      <w:marLeft w:val="4"/>
      <w:marRight w:val="0"/>
      <w:marTop w:val="120"/>
      <w:marBottom w:val="0"/>
      <w:divBdr>
        <w:top w:val="none" w:sz="0" w:space="0" w:color="auto"/>
        <w:left w:val="none" w:sz="0" w:space="0" w:color="auto"/>
        <w:bottom w:val="none" w:sz="0" w:space="0" w:color="auto"/>
        <w:right w:val="none" w:sz="0" w:space="0" w:color="auto"/>
      </w:divBdr>
      <w:divsChild>
        <w:div w:id="1894853854">
          <w:marLeft w:val="0"/>
          <w:marRight w:val="0"/>
          <w:marTop w:val="0"/>
          <w:marBottom w:val="0"/>
          <w:divBdr>
            <w:top w:val="none" w:sz="0" w:space="0" w:color="auto"/>
            <w:left w:val="none" w:sz="0" w:space="0" w:color="auto"/>
            <w:bottom w:val="none" w:sz="0" w:space="0" w:color="auto"/>
            <w:right w:val="none" w:sz="0" w:space="0" w:color="auto"/>
          </w:divBdr>
        </w:div>
      </w:divsChild>
    </w:div>
    <w:div w:id="1664506448">
      <w:marLeft w:val="4"/>
      <w:marRight w:val="0"/>
      <w:marTop w:val="120"/>
      <w:marBottom w:val="0"/>
      <w:divBdr>
        <w:top w:val="none" w:sz="0" w:space="0" w:color="auto"/>
        <w:left w:val="none" w:sz="0" w:space="0" w:color="auto"/>
        <w:bottom w:val="none" w:sz="0" w:space="0" w:color="auto"/>
        <w:right w:val="none" w:sz="0" w:space="0" w:color="auto"/>
      </w:divBdr>
      <w:divsChild>
        <w:div w:id="1485925549">
          <w:marLeft w:val="0"/>
          <w:marRight w:val="0"/>
          <w:marTop w:val="0"/>
          <w:marBottom w:val="0"/>
          <w:divBdr>
            <w:top w:val="none" w:sz="0" w:space="0" w:color="auto"/>
            <w:left w:val="none" w:sz="0" w:space="0" w:color="auto"/>
            <w:bottom w:val="none" w:sz="0" w:space="0" w:color="auto"/>
            <w:right w:val="none" w:sz="0" w:space="0" w:color="auto"/>
          </w:divBdr>
        </w:div>
      </w:divsChild>
    </w:div>
    <w:div w:id="1675961869">
      <w:marLeft w:val="4"/>
      <w:marRight w:val="0"/>
      <w:marTop w:val="120"/>
      <w:marBottom w:val="0"/>
      <w:divBdr>
        <w:top w:val="none" w:sz="0" w:space="0" w:color="auto"/>
        <w:left w:val="none" w:sz="0" w:space="0" w:color="auto"/>
        <w:bottom w:val="none" w:sz="0" w:space="0" w:color="auto"/>
        <w:right w:val="none" w:sz="0" w:space="0" w:color="auto"/>
      </w:divBdr>
      <w:divsChild>
        <w:div w:id="950555977">
          <w:marLeft w:val="0"/>
          <w:marRight w:val="0"/>
          <w:marTop w:val="0"/>
          <w:marBottom w:val="0"/>
          <w:divBdr>
            <w:top w:val="none" w:sz="0" w:space="0" w:color="auto"/>
            <w:left w:val="none" w:sz="0" w:space="0" w:color="auto"/>
            <w:bottom w:val="none" w:sz="0" w:space="0" w:color="auto"/>
            <w:right w:val="none" w:sz="0" w:space="0" w:color="auto"/>
          </w:divBdr>
        </w:div>
      </w:divsChild>
    </w:div>
    <w:div w:id="1678455703">
      <w:marLeft w:val="4"/>
      <w:marRight w:val="0"/>
      <w:marTop w:val="120"/>
      <w:marBottom w:val="0"/>
      <w:divBdr>
        <w:top w:val="none" w:sz="0" w:space="0" w:color="auto"/>
        <w:left w:val="none" w:sz="0" w:space="0" w:color="auto"/>
        <w:bottom w:val="none" w:sz="0" w:space="0" w:color="auto"/>
        <w:right w:val="none" w:sz="0" w:space="0" w:color="auto"/>
      </w:divBdr>
      <w:divsChild>
        <w:div w:id="1170413429">
          <w:marLeft w:val="0"/>
          <w:marRight w:val="0"/>
          <w:marTop w:val="0"/>
          <w:marBottom w:val="0"/>
          <w:divBdr>
            <w:top w:val="none" w:sz="0" w:space="0" w:color="auto"/>
            <w:left w:val="none" w:sz="0" w:space="0" w:color="auto"/>
            <w:bottom w:val="none" w:sz="0" w:space="0" w:color="auto"/>
            <w:right w:val="none" w:sz="0" w:space="0" w:color="auto"/>
          </w:divBdr>
        </w:div>
      </w:divsChild>
    </w:div>
    <w:div w:id="1684740034">
      <w:marLeft w:val="4"/>
      <w:marRight w:val="0"/>
      <w:marTop w:val="120"/>
      <w:marBottom w:val="0"/>
      <w:divBdr>
        <w:top w:val="none" w:sz="0" w:space="0" w:color="auto"/>
        <w:left w:val="none" w:sz="0" w:space="0" w:color="auto"/>
        <w:bottom w:val="none" w:sz="0" w:space="0" w:color="auto"/>
        <w:right w:val="none" w:sz="0" w:space="0" w:color="auto"/>
      </w:divBdr>
      <w:divsChild>
        <w:div w:id="2076463079">
          <w:marLeft w:val="0"/>
          <w:marRight w:val="0"/>
          <w:marTop w:val="0"/>
          <w:marBottom w:val="0"/>
          <w:divBdr>
            <w:top w:val="none" w:sz="0" w:space="0" w:color="auto"/>
            <w:left w:val="none" w:sz="0" w:space="0" w:color="auto"/>
            <w:bottom w:val="none" w:sz="0" w:space="0" w:color="auto"/>
            <w:right w:val="none" w:sz="0" w:space="0" w:color="auto"/>
          </w:divBdr>
        </w:div>
      </w:divsChild>
    </w:div>
    <w:div w:id="1689866661">
      <w:marLeft w:val="0"/>
      <w:marRight w:val="0"/>
      <w:marTop w:val="0"/>
      <w:marBottom w:val="0"/>
      <w:divBdr>
        <w:top w:val="none" w:sz="0" w:space="0" w:color="auto"/>
        <w:left w:val="none" w:sz="0" w:space="0" w:color="auto"/>
        <w:bottom w:val="none" w:sz="0" w:space="0" w:color="auto"/>
        <w:right w:val="none" w:sz="0" w:space="0" w:color="auto"/>
      </w:divBdr>
      <w:divsChild>
        <w:div w:id="896169054">
          <w:marLeft w:val="0"/>
          <w:marRight w:val="0"/>
          <w:marTop w:val="0"/>
          <w:marBottom w:val="0"/>
          <w:divBdr>
            <w:top w:val="none" w:sz="0" w:space="0" w:color="auto"/>
            <w:left w:val="none" w:sz="0" w:space="0" w:color="auto"/>
            <w:bottom w:val="none" w:sz="0" w:space="0" w:color="auto"/>
            <w:right w:val="none" w:sz="0" w:space="0" w:color="auto"/>
          </w:divBdr>
        </w:div>
      </w:divsChild>
    </w:div>
    <w:div w:id="1701736581">
      <w:marLeft w:val="4"/>
      <w:marRight w:val="0"/>
      <w:marTop w:val="120"/>
      <w:marBottom w:val="0"/>
      <w:divBdr>
        <w:top w:val="none" w:sz="0" w:space="0" w:color="auto"/>
        <w:left w:val="none" w:sz="0" w:space="0" w:color="auto"/>
        <w:bottom w:val="none" w:sz="0" w:space="0" w:color="auto"/>
        <w:right w:val="none" w:sz="0" w:space="0" w:color="auto"/>
      </w:divBdr>
      <w:divsChild>
        <w:div w:id="1875921064">
          <w:marLeft w:val="0"/>
          <w:marRight w:val="0"/>
          <w:marTop w:val="0"/>
          <w:marBottom w:val="0"/>
          <w:divBdr>
            <w:top w:val="none" w:sz="0" w:space="0" w:color="auto"/>
            <w:left w:val="none" w:sz="0" w:space="0" w:color="auto"/>
            <w:bottom w:val="none" w:sz="0" w:space="0" w:color="auto"/>
            <w:right w:val="none" w:sz="0" w:space="0" w:color="auto"/>
          </w:divBdr>
        </w:div>
      </w:divsChild>
    </w:div>
    <w:div w:id="1706373042">
      <w:marLeft w:val="4"/>
      <w:marRight w:val="0"/>
      <w:marTop w:val="120"/>
      <w:marBottom w:val="0"/>
      <w:divBdr>
        <w:top w:val="none" w:sz="0" w:space="0" w:color="auto"/>
        <w:left w:val="none" w:sz="0" w:space="0" w:color="auto"/>
        <w:bottom w:val="none" w:sz="0" w:space="0" w:color="auto"/>
        <w:right w:val="none" w:sz="0" w:space="0" w:color="auto"/>
      </w:divBdr>
      <w:divsChild>
        <w:div w:id="726073727">
          <w:marLeft w:val="0"/>
          <w:marRight w:val="0"/>
          <w:marTop w:val="0"/>
          <w:marBottom w:val="0"/>
          <w:divBdr>
            <w:top w:val="none" w:sz="0" w:space="0" w:color="auto"/>
            <w:left w:val="none" w:sz="0" w:space="0" w:color="auto"/>
            <w:bottom w:val="none" w:sz="0" w:space="0" w:color="auto"/>
            <w:right w:val="none" w:sz="0" w:space="0" w:color="auto"/>
          </w:divBdr>
        </w:div>
      </w:divsChild>
    </w:div>
    <w:div w:id="1715539600">
      <w:marLeft w:val="0"/>
      <w:marRight w:val="0"/>
      <w:marTop w:val="0"/>
      <w:marBottom w:val="0"/>
      <w:divBdr>
        <w:top w:val="none" w:sz="0" w:space="0" w:color="auto"/>
        <w:left w:val="none" w:sz="0" w:space="0" w:color="auto"/>
        <w:bottom w:val="none" w:sz="0" w:space="0" w:color="auto"/>
        <w:right w:val="none" w:sz="0" w:space="0" w:color="auto"/>
      </w:divBdr>
      <w:divsChild>
        <w:div w:id="451755281">
          <w:marLeft w:val="0"/>
          <w:marRight w:val="0"/>
          <w:marTop w:val="0"/>
          <w:marBottom w:val="0"/>
          <w:divBdr>
            <w:top w:val="none" w:sz="0" w:space="0" w:color="auto"/>
            <w:left w:val="none" w:sz="0" w:space="0" w:color="auto"/>
            <w:bottom w:val="none" w:sz="0" w:space="0" w:color="auto"/>
            <w:right w:val="none" w:sz="0" w:space="0" w:color="auto"/>
          </w:divBdr>
        </w:div>
        <w:div w:id="264118672">
          <w:marLeft w:val="0"/>
          <w:marRight w:val="0"/>
          <w:marTop w:val="0"/>
          <w:marBottom w:val="0"/>
          <w:divBdr>
            <w:top w:val="none" w:sz="0" w:space="0" w:color="auto"/>
            <w:left w:val="none" w:sz="0" w:space="0" w:color="auto"/>
            <w:bottom w:val="none" w:sz="0" w:space="0" w:color="auto"/>
            <w:right w:val="none" w:sz="0" w:space="0" w:color="auto"/>
          </w:divBdr>
        </w:div>
        <w:div w:id="398212422">
          <w:marLeft w:val="0"/>
          <w:marRight w:val="0"/>
          <w:marTop w:val="0"/>
          <w:marBottom w:val="0"/>
          <w:divBdr>
            <w:top w:val="none" w:sz="0" w:space="0" w:color="auto"/>
            <w:left w:val="none" w:sz="0" w:space="0" w:color="auto"/>
            <w:bottom w:val="none" w:sz="0" w:space="0" w:color="auto"/>
            <w:right w:val="none" w:sz="0" w:space="0" w:color="auto"/>
          </w:divBdr>
        </w:div>
        <w:div w:id="491483752">
          <w:marLeft w:val="0"/>
          <w:marRight w:val="0"/>
          <w:marTop w:val="0"/>
          <w:marBottom w:val="0"/>
          <w:divBdr>
            <w:top w:val="none" w:sz="0" w:space="0" w:color="auto"/>
            <w:left w:val="none" w:sz="0" w:space="0" w:color="auto"/>
            <w:bottom w:val="none" w:sz="0" w:space="0" w:color="auto"/>
            <w:right w:val="none" w:sz="0" w:space="0" w:color="auto"/>
          </w:divBdr>
        </w:div>
        <w:div w:id="125661825">
          <w:marLeft w:val="0"/>
          <w:marRight w:val="0"/>
          <w:marTop w:val="0"/>
          <w:marBottom w:val="0"/>
          <w:divBdr>
            <w:top w:val="none" w:sz="0" w:space="0" w:color="auto"/>
            <w:left w:val="none" w:sz="0" w:space="0" w:color="auto"/>
            <w:bottom w:val="none" w:sz="0" w:space="0" w:color="auto"/>
            <w:right w:val="none" w:sz="0" w:space="0" w:color="auto"/>
          </w:divBdr>
        </w:div>
      </w:divsChild>
    </w:div>
    <w:div w:id="1728649432">
      <w:marLeft w:val="4"/>
      <w:marRight w:val="0"/>
      <w:marTop w:val="120"/>
      <w:marBottom w:val="0"/>
      <w:divBdr>
        <w:top w:val="none" w:sz="0" w:space="0" w:color="auto"/>
        <w:left w:val="none" w:sz="0" w:space="0" w:color="auto"/>
        <w:bottom w:val="none" w:sz="0" w:space="0" w:color="auto"/>
        <w:right w:val="none" w:sz="0" w:space="0" w:color="auto"/>
      </w:divBdr>
      <w:divsChild>
        <w:div w:id="1040975975">
          <w:marLeft w:val="0"/>
          <w:marRight w:val="0"/>
          <w:marTop w:val="0"/>
          <w:marBottom w:val="0"/>
          <w:divBdr>
            <w:top w:val="none" w:sz="0" w:space="0" w:color="auto"/>
            <w:left w:val="none" w:sz="0" w:space="0" w:color="auto"/>
            <w:bottom w:val="none" w:sz="0" w:space="0" w:color="auto"/>
            <w:right w:val="none" w:sz="0" w:space="0" w:color="auto"/>
          </w:divBdr>
        </w:div>
      </w:divsChild>
    </w:div>
    <w:div w:id="1746300998">
      <w:marLeft w:val="4"/>
      <w:marRight w:val="0"/>
      <w:marTop w:val="120"/>
      <w:marBottom w:val="0"/>
      <w:divBdr>
        <w:top w:val="none" w:sz="0" w:space="0" w:color="auto"/>
        <w:left w:val="none" w:sz="0" w:space="0" w:color="auto"/>
        <w:bottom w:val="none" w:sz="0" w:space="0" w:color="auto"/>
        <w:right w:val="none" w:sz="0" w:space="0" w:color="auto"/>
      </w:divBdr>
      <w:divsChild>
        <w:div w:id="1351637508">
          <w:marLeft w:val="0"/>
          <w:marRight w:val="0"/>
          <w:marTop w:val="0"/>
          <w:marBottom w:val="0"/>
          <w:divBdr>
            <w:top w:val="none" w:sz="0" w:space="0" w:color="auto"/>
            <w:left w:val="none" w:sz="0" w:space="0" w:color="auto"/>
            <w:bottom w:val="none" w:sz="0" w:space="0" w:color="auto"/>
            <w:right w:val="none" w:sz="0" w:space="0" w:color="auto"/>
          </w:divBdr>
        </w:div>
      </w:divsChild>
    </w:div>
    <w:div w:id="1748728314">
      <w:marLeft w:val="4"/>
      <w:marRight w:val="0"/>
      <w:marTop w:val="120"/>
      <w:marBottom w:val="0"/>
      <w:divBdr>
        <w:top w:val="none" w:sz="0" w:space="0" w:color="auto"/>
        <w:left w:val="none" w:sz="0" w:space="0" w:color="auto"/>
        <w:bottom w:val="none" w:sz="0" w:space="0" w:color="auto"/>
        <w:right w:val="none" w:sz="0" w:space="0" w:color="auto"/>
      </w:divBdr>
      <w:divsChild>
        <w:div w:id="1102263232">
          <w:marLeft w:val="0"/>
          <w:marRight w:val="0"/>
          <w:marTop w:val="0"/>
          <w:marBottom w:val="0"/>
          <w:divBdr>
            <w:top w:val="none" w:sz="0" w:space="0" w:color="auto"/>
            <w:left w:val="none" w:sz="0" w:space="0" w:color="auto"/>
            <w:bottom w:val="none" w:sz="0" w:space="0" w:color="auto"/>
            <w:right w:val="none" w:sz="0" w:space="0" w:color="auto"/>
          </w:divBdr>
        </w:div>
      </w:divsChild>
    </w:div>
    <w:div w:id="1752384904">
      <w:marLeft w:val="4"/>
      <w:marRight w:val="0"/>
      <w:marTop w:val="120"/>
      <w:marBottom w:val="0"/>
      <w:divBdr>
        <w:top w:val="none" w:sz="0" w:space="0" w:color="auto"/>
        <w:left w:val="none" w:sz="0" w:space="0" w:color="auto"/>
        <w:bottom w:val="none" w:sz="0" w:space="0" w:color="auto"/>
        <w:right w:val="none" w:sz="0" w:space="0" w:color="auto"/>
      </w:divBdr>
      <w:divsChild>
        <w:div w:id="2101825154">
          <w:marLeft w:val="0"/>
          <w:marRight w:val="0"/>
          <w:marTop w:val="0"/>
          <w:marBottom w:val="0"/>
          <w:divBdr>
            <w:top w:val="none" w:sz="0" w:space="0" w:color="auto"/>
            <w:left w:val="none" w:sz="0" w:space="0" w:color="auto"/>
            <w:bottom w:val="none" w:sz="0" w:space="0" w:color="auto"/>
            <w:right w:val="none" w:sz="0" w:space="0" w:color="auto"/>
          </w:divBdr>
        </w:div>
      </w:divsChild>
    </w:div>
    <w:div w:id="1761945093">
      <w:marLeft w:val="4"/>
      <w:marRight w:val="0"/>
      <w:marTop w:val="120"/>
      <w:marBottom w:val="0"/>
      <w:divBdr>
        <w:top w:val="none" w:sz="0" w:space="0" w:color="auto"/>
        <w:left w:val="none" w:sz="0" w:space="0" w:color="auto"/>
        <w:bottom w:val="none" w:sz="0" w:space="0" w:color="auto"/>
        <w:right w:val="none" w:sz="0" w:space="0" w:color="auto"/>
      </w:divBdr>
      <w:divsChild>
        <w:div w:id="92167104">
          <w:marLeft w:val="0"/>
          <w:marRight w:val="0"/>
          <w:marTop w:val="0"/>
          <w:marBottom w:val="0"/>
          <w:divBdr>
            <w:top w:val="none" w:sz="0" w:space="0" w:color="auto"/>
            <w:left w:val="none" w:sz="0" w:space="0" w:color="auto"/>
            <w:bottom w:val="none" w:sz="0" w:space="0" w:color="auto"/>
            <w:right w:val="none" w:sz="0" w:space="0" w:color="auto"/>
          </w:divBdr>
        </w:div>
      </w:divsChild>
    </w:div>
    <w:div w:id="1764061599">
      <w:marLeft w:val="4"/>
      <w:marRight w:val="0"/>
      <w:marTop w:val="120"/>
      <w:marBottom w:val="0"/>
      <w:divBdr>
        <w:top w:val="none" w:sz="0" w:space="0" w:color="auto"/>
        <w:left w:val="none" w:sz="0" w:space="0" w:color="auto"/>
        <w:bottom w:val="none" w:sz="0" w:space="0" w:color="auto"/>
        <w:right w:val="none" w:sz="0" w:space="0" w:color="auto"/>
      </w:divBdr>
      <w:divsChild>
        <w:div w:id="1816528946">
          <w:marLeft w:val="0"/>
          <w:marRight w:val="0"/>
          <w:marTop w:val="0"/>
          <w:marBottom w:val="0"/>
          <w:divBdr>
            <w:top w:val="none" w:sz="0" w:space="0" w:color="auto"/>
            <w:left w:val="none" w:sz="0" w:space="0" w:color="auto"/>
            <w:bottom w:val="none" w:sz="0" w:space="0" w:color="auto"/>
            <w:right w:val="none" w:sz="0" w:space="0" w:color="auto"/>
          </w:divBdr>
        </w:div>
      </w:divsChild>
    </w:div>
    <w:div w:id="1770000748">
      <w:marLeft w:val="4"/>
      <w:marRight w:val="0"/>
      <w:marTop w:val="120"/>
      <w:marBottom w:val="0"/>
      <w:divBdr>
        <w:top w:val="none" w:sz="0" w:space="0" w:color="auto"/>
        <w:left w:val="none" w:sz="0" w:space="0" w:color="auto"/>
        <w:bottom w:val="none" w:sz="0" w:space="0" w:color="auto"/>
        <w:right w:val="none" w:sz="0" w:space="0" w:color="auto"/>
      </w:divBdr>
      <w:divsChild>
        <w:div w:id="1714767176">
          <w:marLeft w:val="0"/>
          <w:marRight w:val="0"/>
          <w:marTop w:val="0"/>
          <w:marBottom w:val="0"/>
          <w:divBdr>
            <w:top w:val="none" w:sz="0" w:space="0" w:color="auto"/>
            <w:left w:val="none" w:sz="0" w:space="0" w:color="auto"/>
            <w:bottom w:val="none" w:sz="0" w:space="0" w:color="auto"/>
            <w:right w:val="none" w:sz="0" w:space="0" w:color="auto"/>
          </w:divBdr>
        </w:div>
      </w:divsChild>
    </w:div>
    <w:div w:id="1770201982">
      <w:marLeft w:val="4"/>
      <w:marRight w:val="0"/>
      <w:marTop w:val="120"/>
      <w:marBottom w:val="0"/>
      <w:divBdr>
        <w:top w:val="none" w:sz="0" w:space="0" w:color="auto"/>
        <w:left w:val="none" w:sz="0" w:space="0" w:color="auto"/>
        <w:bottom w:val="none" w:sz="0" w:space="0" w:color="auto"/>
        <w:right w:val="none" w:sz="0" w:space="0" w:color="auto"/>
      </w:divBdr>
      <w:divsChild>
        <w:div w:id="1046222295">
          <w:marLeft w:val="0"/>
          <w:marRight w:val="0"/>
          <w:marTop w:val="0"/>
          <w:marBottom w:val="0"/>
          <w:divBdr>
            <w:top w:val="none" w:sz="0" w:space="0" w:color="auto"/>
            <w:left w:val="none" w:sz="0" w:space="0" w:color="auto"/>
            <w:bottom w:val="none" w:sz="0" w:space="0" w:color="auto"/>
            <w:right w:val="none" w:sz="0" w:space="0" w:color="auto"/>
          </w:divBdr>
        </w:div>
      </w:divsChild>
    </w:div>
    <w:div w:id="1771777860">
      <w:marLeft w:val="4"/>
      <w:marRight w:val="0"/>
      <w:marTop w:val="120"/>
      <w:marBottom w:val="0"/>
      <w:divBdr>
        <w:top w:val="none" w:sz="0" w:space="0" w:color="auto"/>
        <w:left w:val="none" w:sz="0" w:space="0" w:color="auto"/>
        <w:bottom w:val="none" w:sz="0" w:space="0" w:color="auto"/>
        <w:right w:val="none" w:sz="0" w:space="0" w:color="auto"/>
      </w:divBdr>
      <w:divsChild>
        <w:div w:id="184682416">
          <w:marLeft w:val="0"/>
          <w:marRight w:val="0"/>
          <w:marTop w:val="0"/>
          <w:marBottom w:val="0"/>
          <w:divBdr>
            <w:top w:val="none" w:sz="0" w:space="0" w:color="auto"/>
            <w:left w:val="none" w:sz="0" w:space="0" w:color="auto"/>
            <w:bottom w:val="none" w:sz="0" w:space="0" w:color="auto"/>
            <w:right w:val="none" w:sz="0" w:space="0" w:color="auto"/>
          </w:divBdr>
        </w:div>
      </w:divsChild>
    </w:div>
    <w:div w:id="1773931802">
      <w:marLeft w:val="4"/>
      <w:marRight w:val="0"/>
      <w:marTop w:val="120"/>
      <w:marBottom w:val="0"/>
      <w:divBdr>
        <w:top w:val="none" w:sz="0" w:space="0" w:color="auto"/>
        <w:left w:val="none" w:sz="0" w:space="0" w:color="auto"/>
        <w:bottom w:val="none" w:sz="0" w:space="0" w:color="auto"/>
        <w:right w:val="none" w:sz="0" w:space="0" w:color="auto"/>
      </w:divBdr>
      <w:divsChild>
        <w:div w:id="716977889">
          <w:marLeft w:val="0"/>
          <w:marRight w:val="0"/>
          <w:marTop w:val="0"/>
          <w:marBottom w:val="0"/>
          <w:divBdr>
            <w:top w:val="none" w:sz="0" w:space="0" w:color="auto"/>
            <w:left w:val="none" w:sz="0" w:space="0" w:color="auto"/>
            <w:bottom w:val="none" w:sz="0" w:space="0" w:color="auto"/>
            <w:right w:val="none" w:sz="0" w:space="0" w:color="auto"/>
          </w:divBdr>
        </w:div>
      </w:divsChild>
    </w:div>
    <w:div w:id="1784573228">
      <w:marLeft w:val="4"/>
      <w:marRight w:val="0"/>
      <w:marTop w:val="120"/>
      <w:marBottom w:val="0"/>
      <w:divBdr>
        <w:top w:val="none" w:sz="0" w:space="0" w:color="auto"/>
        <w:left w:val="none" w:sz="0" w:space="0" w:color="auto"/>
        <w:bottom w:val="none" w:sz="0" w:space="0" w:color="auto"/>
        <w:right w:val="none" w:sz="0" w:space="0" w:color="auto"/>
      </w:divBdr>
      <w:divsChild>
        <w:div w:id="678191721">
          <w:marLeft w:val="0"/>
          <w:marRight w:val="0"/>
          <w:marTop w:val="0"/>
          <w:marBottom w:val="0"/>
          <w:divBdr>
            <w:top w:val="none" w:sz="0" w:space="0" w:color="auto"/>
            <w:left w:val="none" w:sz="0" w:space="0" w:color="auto"/>
            <w:bottom w:val="none" w:sz="0" w:space="0" w:color="auto"/>
            <w:right w:val="none" w:sz="0" w:space="0" w:color="auto"/>
          </w:divBdr>
        </w:div>
      </w:divsChild>
    </w:div>
    <w:div w:id="1789616150">
      <w:marLeft w:val="0"/>
      <w:marRight w:val="0"/>
      <w:marTop w:val="0"/>
      <w:marBottom w:val="0"/>
      <w:divBdr>
        <w:top w:val="none" w:sz="0" w:space="0" w:color="auto"/>
        <w:left w:val="none" w:sz="0" w:space="0" w:color="auto"/>
        <w:bottom w:val="none" w:sz="0" w:space="0" w:color="auto"/>
        <w:right w:val="none" w:sz="0" w:space="0" w:color="auto"/>
      </w:divBdr>
    </w:div>
    <w:div w:id="1789933488">
      <w:marLeft w:val="9"/>
      <w:marRight w:val="0"/>
      <w:marTop w:val="120"/>
      <w:marBottom w:val="0"/>
      <w:divBdr>
        <w:top w:val="none" w:sz="0" w:space="0" w:color="auto"/>
        <w:left w:val="none" w:sz="0" w:space="0" w:color="auto"/>
        <w:bottom w:val="none" w:sz="0" w:space="0" w:color="auto"/>
        <w:right w:val="none" w:sz="0" w:space="0" w:color="auto"/>
      </w:divBdr>
      <w:divsChild>
        <w:div w:id="45372451">
          <w:marLeft w:val="0"/>
          <w:marRight w:val="0"/>
          <w:marTop w:val="0"/>
          <w:marBottom w:val="0"/>
          <w:divBdr>
            <w:top w:val="none" w:sz="0" w:space="0" w:color="auto"/>
            <w:left w:val="none" w:sz="0" w:space="0" w:color="auto"/>
            <w:bottom w:val="none" w:sz="0" w:space="0" w:color="auto"/>
            <w:right w:val="none" w:sz="0" w:space="0" w:color="auto"/>
          </w:divBdr>
        </w:div>
      </w:divsChild>
    </w:div>
    <w:div w:id="1797870694">
      <w:marLeft w:val="4"/>
      <w:marRight w:val="0"/>
      <w:marTop w:val="120"/>
      <w:marBottom w:val="0"/>
      <w:divBdr>
        <w:top w:val="none" w:sz="0" w:space="0" w:color="auto"/>
        <w:left w:val="none" w:sz="0" w:space="0" w:color="auto"/>
        <w:bottom w:val="none" w:sz="0" w:space="0" w:color="auto"/>
        <w:right w:val="none" w:sz="0" w:space="0" w:color="auto"/>
      </w:divBdr>
      <w:divsChild>
        <w:div w:id="164251018">
          <w:marLeft w:val="0"/>
          <w:marRight w:val="0"/>
          <w:marTop w:val="0"/>
          <w:marBottom w:val="0"/>
          <w:divBdr>
            <w:top w:val="none" w:sz="0" w:space="0" w:color="auto"/>
            <w:left w:val="none" w:sz="0" w:space="0" w:color="auto"/>
            <w:bottom w:val="none" w:sz="0" w:space="0" w:color="auto"/>
            <w:right w:val="none" w:sz="0" w:space="0" w:color="auto"/>
          </w:divBdr>
        </w:div>
      </w:divsChild>
    </w:div>
    <w:div w:id="1803230124">
      <w:marLeft w:val="4"/>
      <w:marRight w:val="0"/>
      <w:marTop w:val="120"/>
      <w:marBottom w:val="0"/>
      <w:divBdr>
        <w:top w:val="none" w:sz="0" w:space="0" w:color="auto"/>
        <w:left w:val="none" w:sz="0" w:space="0" w:color="auto"/>
        <w:bottom w:val="none" w:sz="0" w:space="0" w:color="auto"/>
        <w:right w:val="none" w:sz="0" w:space="0" w:color="auto"/>
      </w:divBdr>
      <w:divsChild>
        <w:div w:id="1880505701">
          <w:marLeft w:val="0"/>
          <w:marRight w:val="0"/>
          <w:marTop w:val="0"/>
          <w:marBottom w:val="0"/>
          <w:divBdr>
            <w:top w:val="none" w:sz="0" w:space="0" w:color="auto"/>
            <w:left w:val="none" w:sz="0" w:space="0" w:color="auto"/>
            <w:bottom w:val="none" w:sz="0" w:space="0" w:color="auto"/>
            <w:right w:val="none" w:sz="0" w:space="0" w:color="auto"/>
          </w:divBdr>
        </w:div>
      </w:divsChild>
    </w:div>
    <w:div w:id="1821994924">
      <w:marLeft w:val="4"/>
      <w:marRight w:val="0"/>
      <w:marTop w:val="120"/>
      <w:marBottom w:val="0"/>
      <w:divBdr>
        <w:top w:val="none" w:sz="0" w:space="0" w:color="auto"/>
        <w:left w:val="none" w:sz="0" w:space="0" w:color="auto"/>
        <w:bottom w:val="none" w:sz="0" w:space="0" w:color="auto"/>
        <w:right w:val="none" w:sz="0" w:space="0" w:color="auto"/>
      </w:divBdr>
      <w:divsChild>
        <w:div w:id="597910751">
          <w:marLeft w:val="0"/>
          <w:marRight w:val="0"/>
          <w:marTop w:val="0"/>
          <w:marBottom w:val="0"/>
          <w:divBdr>
            <w:top w:val="none" w:sz="0" w:space="0" w:color="auto"/>
            <w:left w:val="none" w:sz="0" w:space="0" w:color="auto"/>
            <w:bottom w:val="none" w:sz="0" w:space="0" w:color="auto"/>
            <w:right w:val="none" w:sz="0" w:space="0" w:color="auto"/>
          </w:divBdr>
        </w:div>
      </w:divsChild>
    </w:div>
    <w:div w:id="1827432955">
      <w:marLeft w:val="4"/>
      <w:marRight w:val="0"/>
      <w:marTop w:val="120"/>
      <w:marBottom w:val="0"/>
      <w:divBdr>
        <w:top w:val="none" w:sz="0" w:space="0" w:color="auto"/>
        <w:left w:val="none" w:sz="0" w:space="0" w:color="auto"/>
        <w:bottom w:val="none" w:sz="0" w:space="0" w:color="auto"/>
        <w:right w:val="none" w:sz="0" w:space="0" w:color="auto"/>
      </w:divBdr>
      <w:divsChild>
        <w:div w:id="932008868">
          <w:marLeft w:val="0"/>
          <w:marRight w:val="0"/>
          <w:marTop w:val="0"/>
          <w:marBottom w:val="0"/>
          <w:divBdr>
            <w:top w:val="none" w:sz="0" w:space="0" w:color="auto"/>
            <w:left w:val="none" w:sz="0" w:space="0" w:color="auto"/>
            <w:bottom w:val="none" w:sz="0" w:space="0" w:color="auto"/>
            <w:right w:val="none" w:sz="0" w:space="0" w:color="auto"/>
          </w:divBdr>
        </w:div>
      </w:divsChild>
    </w:div>
    <w:div w:id="1829979382">
      <w:marLeft w:val="4"/>
      <w:marRight w:val="0"/>
      <w:marTop w:val="120"/>
      <w:marBottom w:val="0"/>
      <w:divBdr>
        <w:top w:val="none" w:sz="0" w:space="0" w:color="auto"/>
        <w:left w:val="none" w:sz="0" w:space="0" w:color="auto"/>
        <w:bottom w:val="none" w:sz="0" w:space="0" w:color="auto"/>
        <w:right w:val="none" w:sz="0" w:space="0" w:color="auto"/>
      </w:divBdr>
      <w:divsChild>
        <w:div w:id="1324972707">
          <w:marLeft w:val="0"/>
          <w:marRight w:val="0"/>
          <w:marTop w:val="0"/>
          <w:marBottom w:val="0"/>
          <w:divBdr>
            <w:top w:val="none" w:sz="0" w:space="0" w:color="auto"/>
            <w:left w:val="none" w:sz="0" w:space="0" w:color="auto"/>
            <w:bottom w:val="none" w:sz="0" w:space="0" w:color="auto"/>
            <w:right w:val="none" w:sz="0" w:space="0" w:color="auto"/>
          </w:divBdr>
        </w:div>
      </w:divsChild>
    </w:div>
    <w:div w:id="1839998435">
      <w:marLeft w:val="4"/>
      <w:marRight w:val="0"/>
      <w:marTop w:val="120"/>
      <w:marBottom w:val="0"/>
      <w:divBdr>
        <w:top w:val="none" w:sz="0" w:space="0" w:color="auto"/>
        <w:left w:val="none" w:sz="0" w:space="0" w:color="auto"/>
        <w:bottom w:val="none" w:sz="0" w:space="0" w:color="auto"/>
        <w:right w:val="none" w:sz="0" w:space="0" w:color="auto"/>
      </w:divBdr>
      <w:divsChild>
        <w:div w:id="938948438">
          <w:marLeft w:val="0"/>
          <w:marRight w:val="0"/>
          <w:marTop w:val="0"/>
          <w:marBottom w:val="0"/>
          <w:divBdr>
            <w:top w:val="none" w:sz="0" w:space="0" w:color="auto"/>
            <w:left w:val="none" w:sz="0" w:space="0" w:color="auto"/>
            <w:bottom w:val="none" w:sz="0" w:space="0" w:color="auto"/>
            <w:right w:val="none" w:sz="0" w:space="0" w:color="auto"/>
          </w:divBdr>
        </w:div>
      </w:divsChild>
    </w:div>
    <w:div w:id="1846894533">
      <w:marLeft w:val="4"/>
      <w:marRight w:val="0"/>
      <w:marTop w:val="120"/>
      <w:marBottom w:val="0"/>
      <w:divBdr>
        <w:top w:val="none" w:sz="0" w:space="0" w:color="auto"/>
        <w:left w:val="none" w:sz="0" w:space="0" w:color="auto"/>
        <w:bottom w:val="none" w:sz="0" w:space="0" w:color="auto"/>
        <w:right w:val="none" w:sz="0" w:space="0" w:color="auto"/>
      </w:divBdr>
      <w:divsChild>
        <w:div w:id="774904336">
          <w:marLeft w:val="0"/>
          <w:marRight w:val="0"/>
          <w:marTop w:val="0"/>
          <w:marBottom w:val="0"/>
          <w:divBdr>
            <w:top w:val="none" w:sz="0" w:space="0" w:color="auto"/>
            <w:left w:val="none" w:sz="0" w:space="0" w:color="auto"/>
            <w:bottom w:val="none" w:sz="0" w:space="0" w:color="auto"/>
            <w:right w:val="none" w:sz="0" w:space="0" w:color="auto"/>
          </w:divBdr>
        </w:div>
      </w:divsChild>
    </w:div>
    <w:div w:id="1869444859">
      <w:marLeft w:val="4"/>
      <w:marRight w:val="0"/>
      <w:marTop w:val="120"/>
      <w:marBottom w:val="0"/>
      <w:divBdr>
        <w:top w:val="none" w:sz="0" w:space="0" w:color="auto"/>
        <w:left w:val="none" w:sz="0" w:space="0" w:color="auto"/>
        <w:bottom w:val="none" w:sz="0" w:space="0" w:color="auto"/>
        <w:right w:val="none" w:sz="0" w:space="0" w:color="auto"/>
      </w:divBdr>
      <w:divsChild>
        <w:div w:id="650869735">
          <w:marLeft w:val="0"/>
          <w:marRight w:val="0"/>
          <w:marTop w:val="0"/>
          <w:marBottom w:val="0"/>
          <w:divBdr>
            <w:top w:val="none" w:sz="0" w:space="0" w:color="auto"/>
            <w:left w:val="none" w:sz="0" w:space="0" w:color="auto"/>
            <w:bottom w:val="none" w:sz="0" w:space="0" w:color="auto"/>
            <w:right w:val="none" w:sz="0" w:space="0" w:color="auto"/>
          </w:divBdr>
        </w:div>
      </w:divsChild>
    </w:div>
    <w:div w:id="1882667182">
      <w:marLeft w:val="4"/>
      <w:marRight w:val="0"/>
      <w:marTop w:val="120"/>
      <w:marBottom w:val="0"/>
      <w:divBdr>
        <w:top w:val="none" w:sz="0" w:space="0" w:color="auto"/>
        <w:left w:val="none" w:sz="0" w:space="0" w:color="auto"/>
        <w:bottom w:val="none" w:sz="0" w:space="0" w:color="auto"/>
        <w:right w:val="none" w:sz="0" w:space="0" w:color="auto"/>
      </w:divBdr>
      <w:divsChild>
        <w:div w:id="138771427">
          <w:marLeft w:val="0"/>
          <w:marRight w:val="0"/>
          <w:marTop w:val="0"/>
          <w:marBottom w:val="0"/>
          <w:divBdr>
            <w:top w:val="none" w:sz="0" w:space="0" w:color="auto"/>
            <w:left w:val="none" w:sz="0" w:space="0" w:color="auto"/>
            <w:bottom w:val="none" w:sz="0" w:space="0" w:color="auto"/>
            <w:right w:val="none" w:sz="0" w:space="0" w:color="auto"/>
          </w:divBdr>
        </w:div>
      </w:divsChild>
    </w:div>
    <w:div w:id="1885946747">
      <w:marLeft w:val="4"/>
      <w:marRight w:val="0"/>
      <w:marTop w:val="120"/>
      <w:marBottom w:val="0"/>
      <w:divBdr>
        <w:top w:val="none" w:sz="0" w:space="0" w:color="auto"/>
        <w:left w:val="none" w:sz="0" w:space="0" w:color="auto"/>
        <w:bottom w:val="none" w:sz="0" w:space="0" w:color="auto"/>
        <w:right w:val="none" w:sz="0" w:space="0" w:color="auto"/>
      </w:divBdr>
      <w:divsChild>
        <w:div w:id="81075949">
          <w:marLeft w:val="0"/>
          <w:marRight w:val="0"/>
          <w:marTop w:val="0"/>
          <w:marBottom w:val="0"/>
          <w:divBdr>
            <w:top w:val="none" w:sz="0" w:space="0" w:color="auto"/>
            <w:left w:val="none" w:sz="0" w:space="0" w:color="auto"/>
            <w:bottom w:val="none" w:sz="0" w:space="0" w:color="auto"/>
            <w:right w:val="none" w:sz="0" w:space="0" w:color="auto"/>
          </w:divBdr>
        </w:div>
      </w:divsChild>
    </w:div>
    <w:div w:id="1897348739">
      <w:marLeft w:val="4"/>
      <w:marRight w:val="0"/>
      <w:marTop w:val="120"/>
      <w:marBottom w:val="0"/>
      <w:divBdr>
        <w:top w:val="none" w:sz="0" w:space="0" w:color="auto"/>
        <w:left w:val="none" w:sz="0" w:space="0" w:color="auto"/>
        <w:bottom w:val="none" w:sz="0" w:space="0" w:color="auto"/>
        <w:right w:val="none" w:sz="0" w:space="0" w:color="auto"/>
      </w:divBdr>
      <w:divsChild>
        <w:div w:id="1745058154">
          <w:marLeft w:val="0"/>
          <w:marRight w:val="0"/>
          <w:marTop w:val="0"/>
          <w:marBottom w:val="0"/>
          <w:divBdr>
            <w:top w:val="none" w:sz="0" w:space="0" w:color="auto"/>
            <w:left w:val="none" w:sz="0" w:space="0" w:color="auto"/>
            <w:bottom w:val="none" w:sz="0" w:space="0" w:color="auto"/>
            <w:right w:val="none" w:sz="0" w:space="0" w:color="auto"/>
          </w:divBdr>
        </w:div>
      </w:divsChild>
    </w:div>
    <w:div w:id="1909218943">
      <w:marLeft w:val="4"/>
      <w:marRight w:val="0"/>
      <w:marTop w:val="120"/>
      <w:marBottom w:val="0"/>
      <w:divBdr>
        <w:top w:val="none" w:sz="0" w:space="0" w:color="auto"/>
        <w:left w:val="none" w:sz="0" w:space="0" w:color="auto"/>
        <w:bottom w:val="none" w:sz="0" w:space="0" w:color="auto"/>
        <w:right w:val="none" w:sz="0" w:space="0" w:color="auto"/>
      </w:divBdr>
      <w:divsChild>
        <w:div w:id="1061056920">
          <w:marLeft w:val="0"/>
          <w:marRight w:val="0"/>
          <w:marTop w:val="0"/>
          <w:marBottom w:val="0"/>
          <w:divBdr>
            <w:top w:val="none" w:sz="0" w:space="0" w:color="auto"/>
            <w:left w:val="none" w:sz="0" w:space="0" w:color="auto"/>
            <w:bottom w:val="none" w:sz="0" w:space="0" w:color="auto"/>
            <w:right w:val="none" w:sz="0" w:space="0" w:color="auto"/>
          </w:divBdr>
        </w:div>
      </w:divsChild>
    </w:div>
    <w:div w:id="1912696844">
      <w:marLeft w:val="4"/>
      <w:marRight w:val="0"/>
      <w:marTop w:val="120"/>
      <w:marBottom w:val="0"/>
      <w:divBdr>
        <w:top w:val="none" w:sz="0" w:space="0" w:color="auto"/>
        <w:left w:val="none" w:sz="0" w:space="0" w:color="auto"/>
        <w:bottom w:val="none" w:sz="0" w:space="0" w:color="auto"/>
        <w:right w:val="none" w:sz="0" w:space="0" w:color="auto"/>
      </w:divBdr>
      <w:divsChild>
        <w:div w:id="2097901832">
          <w:marLeft w:val="0"/>
          <w:marRight w:val="0"/>
          <w:marTop w:val="0"/>
          <w:marBottom w:val="0"/>
          <w:divBdr>
            <w:top w:val="none" w:sz="0" w:space="0" w:color="auto"/>
            <w:left w:val="none" w:sz="0" w:space="0" w:color="auto"/>
            <w:bottom w:val="none" w:sz="0" w:space="0" w:color="auto"/>
            <w:right w:val="none" w:sz="0" w:space="0" w:color="auto"/>
          </w:divBdr>
        </w:div>
      </w:divsChild>
    </w:div>
    <w:div w:id="1919634018">
      <w:marLeft w:val="4"/>
      <w:marRight w:val="0"/>
      <w:marTop w:val="120"/>
      <w:marBottom w:val="0"/>
      <w:divBdr>
        <w:top w:val="none" w:sz="0" w:space="0" w:color="auto"/>
        <w:left w:val="none" w:sz="0" w:space="0" w:color="auto"/>
        <w:bottom w:val="none" w:sz="0" w:space="0" w:color="auto"/>
        <w:right w:val="none" w:sz="0" w:space="0" w:color="auto"/>
      </w:divBdr>
      <w:divsChild>
        <w:div w:id="1073429458">
          <w:marLeft w:val="0"/>
          <w:marRight w:val="0"/>
          <w:marTop w:val="0"/>
          <w:marBottom w:val="0"/>
          <w:divBdr>
            <w:top w:val="none" w:sz="0" w:space="0" w:color="auto"/>
            <w:left w:val="none" w:sz="0" w:space="0" w:color="auto"/>
            <w:bottom w:val="none" w:sz="0" w:space="0" w:color="auto"/>
            <w:right w:val="none" w:sz="0" w:space="0" w:color="auto"/>
          </w:divBdr>
        </w:div>
      </w:divsChild>
    </w:div>
    <w:div w:id="1925794371">
      <w:marLeft w:val="4"/>
      <w:marRight w:val="0"/>
      <w:marTop w:val="120"/>
      <w:marBottom w:val="0"/>
      <w:divBdr>
        <w:top w:val="none" w:sz="0" w:space="0" w:color="auto"/>
        <w:left w:val="none" w:sz="0" w:space="0" w:color="auto"/>
        <w:bottom w:val="none" w:sz="0" w:space="0" w:color="auto"/>
        <w:right w:val="none" w:sz="0" w:space="0" w:color="auto"/>
      </w:divBdr>
      <w:divsChild>
        <w:div w:id="310017302">
          <w:marLeft w:val="0"/>
          <w:marRight w:val="0"/>
          <w:marTop w:val="0"/>
          <w:marBottom w:val="0"/>
          <w:divBdr>
            <w:top w:val="none" w:sz="0" w:space="0" w:color="auto"/>
            <w:left w:val="none" w:sz="0" w:space="0" w:color="auto"/>
            <w:bottom w:val="none" w:sz="0" w:space="0" w:color="auto"/>
            <w:right w:val="none" w:sz="0" w:space="0" w:color="auto"/>
          </w:divBdr>
        </w:div>
      </w:divsChild>
    </w:div>
    <w:div w:id="1928689148">
      <w:marLeft w:val="9"/>
      <w:marRight w:val="0"/>
      <w:marTop w:val="120"/>
      <w:marBottom w:val="0"/>
      <w:divBdr>
        <w:top w:val="none" w:sz="0" w:space="0" w:color="auto"/>
        <w:left w:val="none" w:sz="0" w:space="0" w:color="auto"/>
        <w:bottom w:val="none" w:sz="0" w:space="0" w:color="auto"/>
        <w:right w:val="none" w:sz="0" w:space="0" w:color="auto"/>
      </w:divBdr>
      <w:divsChild>
        <w:div w:id="729422092">
          <w:marLeft w:val="0"/>
          <w:marRight w:val="0"/>
          <w:marTop w:val="0"/>
          <w:marBottom w:val="0"/>
          <w:divBdr>
            <w:top w:val="none" w:sz="0" w:space="0" w:color="auto"/>
            <w:left w:val="none" w:sz="0" w:space="0" w:color="auto"/>
            <w:bottom w:val="none" w:sz="0" w:space="0" w:color="auto"/>
            <w:right w:val="none" w:sz="0" w:space="0" w:color="auto"/>
          </w:divBdr>
        </w:div>
      </w:divsChild>
    </w:div>
    <w:div w:id="1934168871">
      <w:marLeft w:val="4"/>
      <w:marRight w:val="0"/>
      <w:marTop w:val="120"/>
      <w:marBottom w:val="0"/>
      <w:divBdr>
        <w:top w:val="none" w:sz="0" w:space="0" w:color="auto"/>
        <w:left w:val="none" w:sz="0" w:space="0" w:color="auto"/>
        <w:bottom w:val="none" w:sz="0" w:space="0" w:color="auto"/>
        <w:right w:val="none" w:sz="0" w:space="0" w:color="auto"/>
      </w:divBdr>
      <w:divsChild>
        <w:div w:id="288781133">
          <w:marLeft w:val="0"/>
          <w:marRight w:val="0"/>
          <w:marTop w:val="0"/>
          <w:marBottom w:val="0"/>
          <w:divBdr>
            <w:top w:val="none" w:sz="0" w:space="0" w:color="auto"/>
            <w:left w:val="none" w:sz="0" w:space="0" w:color="auto"/>
            <w:bottom w:val="none" w:sz="0" w:space="0" w:color="auto"/>
            <w:right w:val="none" w:sz="0" w:space="0" w:color="auto"/>
          </w:divBdr>
        </w:div>
      </w:divsChild>
    </w:div>
    <w:div w:id="1936205972">
      <w:marLeft w:val="4"/>
      <w:marRight w:val="0"/>
      <w:marTop w:val="120"/>
      <w:marBottom w:val="0"/>
      <w:divBdr>
        <w:top w:val="none" w:sz="0" w:space="0" w:color="auto"/>
        <w:left w:val="none" w:sz="0" w:space="0" w:color="auto"/>
        <w:bottom w:val="none" w:sz="0" w:space="0" w:color="auto"/>
        <w:right w:val="none" w:sz="0" w:space="0" w:color="auto"/>
      </w:divBdr>
      <w:divsChild>
        <w:div w:id="539127909">
          <w:marLeft w:val="0"/>
          <w:marRight w:val="0"/>
          <w:marTop w:val="0"/>
          <w:marBottom w:val="0"/>
          <w:divBdr>
            <w:top w:val="none" w:sz="0" w:space="0" w:color="auto"/>
            <w:left w:val="none" w:sz="0" w:space="0" w:color="auto"/>
            <w:bottom w:val="none" w:sz="0" w:space="0" w:color="auto"/>
            <w:right w:val="none" w:sz="0" w:space="0" w:color="auto"/>
          </w:divBdr>
        </w:div>
      </w:divsChild>
    </w:div>
    <w:div w:id="1939367739">
      <w:marLeft w:val="4"/>
      <w:marRight w:val="0"/>
      <w:marTop w:val="120"/>
      <w:marBottom w:val="0"/>
      <w:divBdr>
        <w:top w:val="none" w:sz="0" w:space="0" w:color="auto"/>
        <w:left w:val="none" w:sz="0" w:space="0" w:color="auto"/>
        <w:bottom w:val="none" w:sz="0" w:space="0" w:color="auto"/>
        <w:right w:val="none" w:sz="0" w:space="0" w:color="auto"/>
      </w:divBdr>
      <w:divsChild>
        <w:div w:id="1099444397">
          <w:marLeft w:val="0"/>
          <w:marRight w:val="0"/>
          <w:marTop w:val="0"/>
          <w:marBottom w:val="0"/>
          <w:divBdr>
            <w:top w:val="none" w:sz="0" w:space="0" w:color="auto"/>
            <w:left w:val="none" w:sz="0" w:space="0" w:color="auto"/>
            <w:bottom w:val="none" w:sz="0" w:space="0" w:color="auto"/>
            <w:right w:val="none" w:sz="0" w:space="0" w:color="auto"/>
          </w:divBdr>
        </w:div>
      </w:divsChild>
    </w:div>
    <w:div w:id="1944266919">
      <w:marLeft w:val="4"/>
      <w:marRight w:val="0"/>
      <w:marTop w:val="120"/>
      <w:marBottom w:val="0"/>
      <w:divBdr>
        <w:top w:val="none" w:sz="0" w:space="0" w:color="auto"/>
        <w:left w:val="none" w:sz="0" w:space="0" w:color="auto"/>
        <w:bottom w:val="none" w:sz="0" w:space="0" w:color="auto"/>
        <w:right w:val="none" w:sz="0" w:space="0" w:color="auto"/>
      </w:divBdr>
      <w:divsChild>
        <w:div w:id="191842165">
          <w:marLeft w:val="0"/>
          <w:marRight w:val="0"/>
          <w:marTop w:val="0"/>
          <w:marBottom w:val="0"/>
          <w:divBdr>
            <w:top w:val="none" w:sz="0" w:space="0" w:color="auto"/>
            <w:left w:val="none" w:sz="0" w:space="0" w:color="auto"/>
            <w:bottom w:val="none" w:sz="0" w:space="0" w:color="auto"/>
            <w:right w:val="none" w:sz="0" w:space="0" w:color="auto"/>
          </w:divBdr>
        </w:div>
      </w:divsChild>
    </w:div>
    <w:div w:id="1961493862">
      <w:marLeft w:val="4"/>
      <w:marRight w:val="0"/>
      <w:marTop w:val="120"/>
      <w:marBottom w:val="0"/>
      <w:divBdr>
        <w:top w:val="none" w:sz="0" w:space="0" w:color="auto"/>
        <w:left w:val="none" w:sz="0" w:space="0" w:color="auto"/>
        <w:bottom w:val="none" w:sz="0" w:space="0" w:color="auto"/>
        <w:right w:val="none" w:sz="0" w:space="0" w:color="auto"/>
      </w:divBdr>
      <w:divsChild>
        <w:div w:id="1228567463">
          <w:marLeft w:val="0"/>
          <w:marRight w:val="0"/>
          <w:marTop w:val="0"/>
          <w:marBottom w:val="0"/>
          <w:divBdr>
            <w:top w:val="none" w:sz="0" w:space="0" w:color="auto"/>
            <w:left w:val="none" w:sz="0" w:space="0" w:color="auto"/>
            <w:bottom w:val="none" w:sz="0" w:space="0" w:color="auto"/>
            <w:right w:val="none" w:sz="0" w:space="0" w:color="auto"/>
          </w:divBdr>
        </w:div>
      </w:divsChild>
    </w:div>
    <w:div w:id="1963417592">
      <w:marLeft w:val="4"/>
      <w:marRight w:val="0"/>
      <w:marTop w:val="120"/>
      <w:marBottom w:val="0"/>
      <w:divBdr>
        <w:top w:val="none" w:sz="0" w:space="0" w:color="auto"/>
        <w:left w:val="none" w:sz="0" w:space="0" w:color="auto"/>
        <w:bottom w:val="none" w:sz="0" w:space="0" w:color="auto"/>
        <w:right w:val="none" w:sz="0" w:space="0" w:color="auto"/>
      </w:divBdr>
      <w:divsChild>
        <w:div w:id="315499896">
          <w:marLeft w:val="0"/>
          <w:marRight w:val="0"/>
          <w:marTop w:val="0"/>
          <w:marBottom w:val="0"/>
          <w:divBdr>
            <w:top w:val="none" w:sz="0" w:space="0" w:color="auto"/>
            <w:left w:val="none" w:sz="0" w:space="0" w:color="auto"/>
            <w:bottom w:val="none" w:sz="0" w:space="0" w:color="auto"/>
            <w:right w:val="none" w:sz="0" w:space="0" w:color="auto"/>
          </w:divBdr>
        </w:div>
      </w:divsChild>
    </w:div>
    <w:div w:id="1969819137">
      <w:marLeft w:val="3"/>
      <w:marRight w:val="0"/>
      <w:marTop w:val="120"/>
      <w:marBottom w:val="0"/>
      <w:divBdr>
        <w:top w:val="none" w:sz="0" w:space="0" w:color="auto"/>
        <w:left w:val="none" w:sz="0" w:space="0" w:color="auto"/>
        <w:bottom w:val="none" w:sz="0" w:space="0" w:color="auto"/>
        <w:right w:val="none" w:sz="0" w:space="0" w:color="auto"/>
      </w:divBdr>
      <w:divsChild>
        <w:div w:id="1546747896">
          <w:marLeft w:val="0"/>
          <w:marRight w:val="0"/>
          <w:marTop w:val="0"/>
          <w:marBottom w:val="0"/>
          <w:divBdr>
            <w:top w:val="none" w:sz="0" w:space="0" w:color="auto"/>
            <w:left w:val="none" w:sz="0" w:space="0" w:color="auto"/>
            <w:bottom w:val="none" w:sz="0" w:space="0" w:color="auto"/>
            <w:right w:val="none" w:sz="0" w:space="0" w:color="auto"/>
          </w:divBdr>
        </w:div>
      </w:divsChild>
    </w:div>
    <w:div w:id="1991516684">
      <w:marLeft w:val="4"/>
      <w:marRight w:val="0"/>
      <w:marTop w:val="120"/>
      <w:marBottom w:val="0"/>
      <w:divBdr>
        <w:top w:val="none" w:sz="0" w:space="0" w:color="auto"/>
        <w:left w:val="none" w:sz="0" w:space="0" w:color="auto"/>
        <w:bottom w:val="none" w:sz="0" w:space="0" w:color="auto"/>
        <w:right w:val="none" w:sz="0" w:space="0" w:color="auto"/>
      </w:divBdr>
      <w:divsChild>
        <w:div w:id="524759390">
          <w:marLeft w:val="0"/>
          <w:marRight w:val="0"/>
          <w:marTop w:val="0"/>
          <w:marBottom w:val="0"/>
          <w:divBdr>
            <w:top w:val="none" w:sz="0" w:space="0" w:color="auto"/>
            <w:left w:val="none" w:sz="0" w:space="0" w:color="auto"/>
            <w:bottom w:val="none" w:sz="0" w:space="0" w:color="auto"/>
            <w:right w:val="none" w:sz="0" w:space="0" w:color="auto"/>
          </w:divBdr>
        </w:div>
      </w:divsChild>
    </w:div>
    <w:div w:id="1994942310">
      <w:marLeft w:val="4"/>
      <w:marRight w:val="0"/>
      <w:marTop w:val="120"/>
      <w:marBottom w:val="0"/>
      <w:divBdr>
        <w:top w:val="none" w:sz="0" w:space="0" w:color="auto"/>
        <w:left w:val="none" w:sz="0" w:space="0" w:color="auto"/>
        <w:bottom w:val="none" w:sz="0" w:space="0" w:color="auto"/>
        <w:right w:val="none" w:sz="0" w:space="0" w:color="auto"/>
      </w:divBdr>
      <w:divsChild>
        <w:div w:id="1422143581">
          <w:marLeft w:val="0"/>
          <w:marRight w:val="0"/>
          <w:marTop w:val="0"/>
          <w:marBottom w:val="0"/>
          <w:divBdr>
            <w:top w:val="none" w:sz="0" w:space="0" w:color="auto"/>
            <w:left w:val="none" w:sz="0" w:space="0" w:color="auto"/>
            <w:bottom w:val="none" w:sz="0" w:space="0" w:color="auto"/>
            <w:right w:val="none" w:sz="0" w:space="0" w:color="auto"/>
          </w:divBdr>
        </w:div>
      </w:divsChild>
    </w:div>
    <w:div w:id="1999116449">
      <w:marLeft w:val="4"/>
      <w:marRight w:val="0"/>
      <w:marTop w:val="120"/>
      <w:marBottom w:val="0"/>
      <w:divBdr>
        <w:top w:val="none" w:sz="0" w:space="0" w:color="auto"/>
        <w:left w:val="none" w:sz="0" w:space="0" w:color="auto"/>
        <w:bottom w:val="none" w:sz="0" w:space="0" w:color="auto"/>
        <w:right w:val="none" w:sz="0" w:space="0" w:color="auto"/>
      </w:divBdr>
      <w:divsChild>
        <w:div w:id="1240092884">
          <w:marLeft w:val="0"/>
          <w:marRight w:val="0"/>
          <w:marTop w:val="0"/>
          <w:marBottom w:val="0"/>
          <w:divBdr>
            <w:top w:val="none" w:sz="0" w:space="0" w:color="auto"/>
            <w:left w:val="none" w:sz="0" w:space="0" w:color="auto"/>
            <w:bottom w:val="none" w:sz="0" w:space="0" w:color="auto"/>
            <w:right w:val="none" w:sz="0" w:space="0" w:color="auto"/>
          </w:divBdr>
        </w:div>
      </w:divsChild>
    </w:div>
    <w:div w:id="2000377177">
      <w:marLeft w:val="3"/>
      <w:marRight w:val="0"/>
      <w:marTop w:val="120"/>
      <w:marBottom w:val="0"/>
      <w:divBdr>
        <w:top w:val="none" w:sz="0" w:space="0" w:color="auto"/>
        <w:left w:val="none" w:sz="0" w:space="0" w:color="auto"/>
        <w:bottom w:val="none" w:sz="0" w:space="0" w:color="auto"/>
        <w:right w:val="none" w:sz="0" w:space="0" w:color="auto"/>
      </w:divBdr>
      <w:divsChild>
        <w:div w:id="1431008744">
          <w:marLeft w:val="0"/>
          <w:marRight w:val="0"/>
          <w:marTop w:val="0"/>
          <w:marBottom w:val="0"/>
          <w:divBdr>
            <w:top w:val="none" w:sz="0" w:space="0" w:color="auto"/>
            <w:left w:val="none" w:sz="0" w:space="0" w:color="auto"/>
            <w:bottom w:val="none" w:sz="0" w:space="0" w:color="auto"/>
            <w:right w:val="none" w:sz="0" w:space="0" w:color="auto"/>
          </w:divBdr>
        </w:div>
      </w:divsChild>
    </w:div>
    <w:div w:id="2011251172">
      <w:marLeft w:val="4"/>
      <w:marRight w:val="0"/>
      <w:marTop w:val="120"/>
      <w:marBottom w:val="0"/>
      <w:divBdr>
        <w:top w:val="none" w:sz="0" w:space="0" w:color="auto"/>
        <w:left w:val="none" w:sz="0" w:space="0" w:color="auto"/>
        <w:bottom w:val="none" w:sz="0" w:space="0" w:color="auto"/>
        <w:right w:val="none" w:sz="0" w:space="0" w:color="auto"/>
      </w:divBdr>
      <w:divsChild>
        <w:div w:id="638730531">
          <w:marLeft w:val="0"/>
          <w:marRight w:val="0"/>
          <w:marTop w:val="0"/>
          <w:marBottom w:val="0"/>
          <w:divBdr>
            <w:top w:val="none" w:sz="0" w:space="0" w:color="auto"/>
            <w:left w:val="none" w:sz="0" w:space="0" w:color="auto"/>
            <w:bottom w:val="none" w:sz="0" w:space="0" w:color="auto"/>
            <w:right w:val="none" w:sz="0" w:space="0" w:color="auto"/>
          </w:divBdr>
        </w:div>
      </w:divsChild>
    </w:div>
    <w:div w:id="2012416473">
      <w:marLeft w:val="4"/>
      <w:marRight w:val="0"/>
      <w:marTop w:val="120"/>
      <w:marBottom w:val="0"/>
      <w:divBdr>
        <w:top w:val="none" w:sz="0" w:space="0" w:color="auto"/>
        <w:left w:val="none" w:sz="0" w:space="0" w:color="auto"/>
        <w:bottom w:val="none" w:sz="0" w:space="0" w:color="auto"/>
        <w:right w:val="none" w:sz="0" w:space="0" w:color="auto"/>
      </w:divBdr>
      <w:divsChild>
        <w:div w:id="1882742226">
          <w:marLeft w:val="0"/>
          <w:marRight w:val="0"/>
          <w:marTop w:val="0"/>
          <w:marBottom w:val="0"/>
          <w:divBdr>
            <w:top w:val="none" w:sz="0" w:space="0" w:color="auto"/>
            <w:left w:val="none" w:sz="0" w:space="0" w:color="auto"/>
            <w:bottom w:val="none" w:sz="0" w:space="0" w:color="auto"/>
            <w:right w:val="none" w:sz="0" w:space="0" w:color="auto"/>
          </w:divBdr>
        </w:div>
      </w:divsChild>
    </w:div>
    <w:div w:id="2024504939">
      <w:marLeft w:val="4"/>
      <w:marRight w:val="0"/>
      <w:marTop w:val="120"/>
      <w:marBottom w:val="0"/>
      <w:divBdr>
        <w:top w:val="none" w:sz="0" w:space="0" w:color="auto"/>
        <w:left w:val="none" w:sz="0" w:space="0" w:color="auto"/>
        <w:bottom w:val="none" w:sz="0" w:space="0" w:color="auto"/>
        <w:right w:val="none" w:sz="0" w:space="0" w:color="auto"/>
      </w:divBdr>
      <w:divsChild>
        <w:div w:id="1101343156">
          <w:marLeft w:val="0"/>
          <w:marRight w:val="0"/>
          <w:marTop w:val="0"/>
          <w:marBottom w:val="0"/>
          <w:divBdr>
            <w:top w:val="none" w:sz="0" w:space="0" w:color="auto"/>
            <w:left w:val="none" w:sz="0" w:space="0" w:color="auto"/>
            <w:bottom w:val="none" w:sz="0" w:space="0" w:color="auto"/>
            <w:right w:val="none" w:sz="0" w:space="0" w:color="auto"/>
          </w:divBdr>
        </w:div>
      </w:divsChild>
    </w:div>
    <w:div w:id="2028479188">
      <w:marLeft w:val="0"/>
      <w:marRight w:val="0"/>
      <w:marTop w:val="0"/>
      <w:marBottom w:val="0"/>
      <w:divBdr>
        <w:top w:val="none" w:sz="0" w:space="0" w:color="auto"/>
        <w:left w:val="none" w:sz="0" w:space="0" w:color="auto"/>
        <w:bottom w:val="none" w:sz="0" w:space="0" w:color="auto"/>
        <w:right w:val="none" w:sz="0" w:space="0" w:color="auto"/>
      </w:divBdr>
    </w:div>
    <w:div w:id="2034960824">
      <w:marLeft w:val="4"/>
      <w:marRight w:val="0"/>
      <w:marTop w:val="120"/>
      <w:marBottom w:val="0"/>
      <w:divBdr>
        <w:top w:val="none" w:sz="0" w:space="0" w:color="auto"/>
        <w:left w:val="none" w:sz="0" w:space="0" w:color="auto"/>
        <w:bottom w:val="none" w:sz="0" w:space="0" w:color="auto"/>
        <w:right w:val="none" w:sz="0" w:space="0" w:color="auto"/>
      </w:divBdr>
      <w:divsChild>
        <w:div w:id="1727992059">
          <w:marLeft w:val="0"/>
          <w:marRight w:val="0"/>
          <w:marTop w:val="0"/>
          <w:marBottom w:val="0"/>
          <w:divBdr>
            <w:top w:val="none" w:sz="0" w:space="0" w:color="auto"/>
            <w:left w:val="none" w:sz="0" w:space="0" w:color="auto"/>
            <w:bottom w:val="none" w:sz="0" w:space="0" w:color="auto"/>
            <w:right w:val="none" w:sz="0" w:space="0" w:color="auto"/>
          </w:divBdr>
        </w:div>
      </w:divsChild>
    </w:div>
    <w:div w:id="2040086954">
      <w:marLeft w:val="4"/>
      <w:marRight w:val="0"/>
      <w:marTop w:val="120"/>
      <w:marBottom w:val="0"/>
      <w:divBdr>
        <w:top w:val="none" w:sz="0" w:space="0" w:color="auto"/>
        <w:left w:val="none" w:sz="0" w:space="0" w:color="auto"/>
        <w:bottom w:val="none" w:sz="0" w:space="0" w:color="auto"/>
        <w:right w:val="none" w:sz="0" w:space="0" w:color="auto"/>
      </w:divBdr>
      <w:divsChild>
        <w:div w:id="1559390729">
          <w:marLeft w:val="0"/>
          <w:marRight w:val="0"/>
          <w:marTop w:val="0"/>
          <w:marBottom w:val="0"/>
          <w:divBdr>
            <w:top w:val="none" w:sz="0" w:space="0" w:color="auto"/>
            <w:left w:val="none" w:sz="0" w:space="0" w:color="auto"/>
            <w:bottom w:val="none" w:sz="0" w:space="0" w:color="auto"/>
            <w:right w:val="none" w:sz="0" w:space="0" w:color="auto"/>
          </w:divBdr>
        </w:div>
      </w:divsChild>
    </w:div>
    <w:div w:id="2047630905">
      <w:marLeft w:val="4"/>
      <w:marRight w:val="0"/>
      <w:marTop w:val="120"/>
      <w:marBottom w:val="0"/>
      <w:divBdr>
        <w:top w:val="none" w:sz="0" w:space="0" w:color="auto"/>
        <w:left w:val="none" w:sz="0" w:space="0" w:color="auto"/>
        <w:bottom w:val="none" w:sz="0" w:space="0" w:color="auto"/>
        <w:right w:val="none" w:sz="0" w:space="0" w:color="auto"/>
      </w:divBdr>
      <w:divsChild>
        <w:div w:id="1516310859">
          <w:marLeft w:val="0"/>
          <w:marRight w:val="0"/>
          <w:marTop w:val="0"/>
          <w:marBottom w:val="0"/>
          <w:divBdr>
            <w:top w:val="none" w:sz="0" w:space="0" w:color="auto"/>
            <w:left w:val="none" w:sz="0" w:space="0" w:color="auto"/>
            <w:bottom w:val="none" w:sz="0" w:space="0" w:color="auto"/>
            <w:right w:val="none" w:sz="0" w:space="0" w:color="auto"/>
          </w:divBdr>
        </w:div>
      </w:divsChild>
    </w:div>
    <w:div w:id="2048142795">
      <w:marLeft w:val="4"/>
      <w:marRight w:val="0"/>
      <w:marTop w:val="120"/>
      <w:marBottom w:val="0"/>
      <w:divBdr>
        <w:top w:val="none" w:sz="0" w:space="0" w:color="auto"/>
        <w:left w:val="none" w:sz="0" w:space="0" w:color="auto"/>
        <w:bottom w:val="none" w:sz="0" w:space="0" w:color="auto"/>
        <w:right w:val="none" w:sz="0" w:space="0" w:color="auto"/>
      </w:divBdr>
      <w:divsChild>
        <w:div w:id="697505683">
          <w:marLeft w:val="0"/>
          <w:marRight w:val="0"/>
          <w:marTop w:val="0"/>
          <w:marBottom w:val="0"/>
          <w:divBdr>
            <w:top w:val="none" w:sz="0" w:space="0" w:color="auto"/>
            <w:left w:val="none" w:sz="0" w:space="0" w:color="auto"/>
            <w:bottom w:val="none" w:sz="0" w:space="0" w:color="auto"/>
            <w:right w:val="none" w:sz="0" w:space="0" w:color="auto"/>
          </w:divBdr>
        </w:div>
      </w:divsChild>
    </w:div>
    <w:div w:id="2066174851">
      <w:marLeft w:val="3"/>
      <w:marRight w:val="0"/>
      <w:marTop w:val="120"/>
      <w:marBottom w:val="0"/>
      <w:divBdr>
        <w:top w:val="none" w:sz="0" w:space="0" w:color="auto"/>
        <w:left w:val="none" w:sz="0" w:space="0" w:color="auto"/>
        <w:bottom w:val="none" w:sz="0" w:space="0" w:color="auto"/>
        <w:right w:val="none" w:sz="0" w:space="0" w:color="auto"/>
      </w:divBdr>
      <w:divsChild>
        <w:div w:id="1445926556">
          <w:marLeft w:val="0"/>
          <w:marRight w:val="0"/>
          <w:marTop w:val="0"/>
          <w:marBottom w:val="0"/>
          <w:divBdr>
            <w:top w:val="none" w:sz="0" w:space="0" w:color="auto"/>
            <w:left w:val="none" w:sz="0" w:space="0" w:color="auto"/>
            <w:bottom w:val="none" w:sz="0" w:space="0" w:color="auto"/>
            <w:right w:val="none" w:sz="0" w:space="0" w:color="auto"/>
          </w:divBdr>
        </w:div>
      </w:divsChild>
    </w:div>
    <w:div w:id="2066178069">
      <w:marLeft w:val="4"/>
      <w:marRight w:val="0"/>
      <w:marTop w:val="120"/>
      <w:marBottom w:val="0"/>
      <w:divBdr>
        <w:top w:val="none" w:sz="0" w:space="0" w:color="auto"/>
        <w:left w:val="none" w:sz="0" w:space="0" w:color="auto"/>
        <w:bottom w:val="none" w:sz="0" w:space="0" w:color="auto"/>
        <w:right w:val="none" w:sz="0" w:space="0" w:color="auto"/>
      </w:divBdr>
      <w:divsChild>
        <w:div w:id="278873049">
          <w:marLeft w:val="0"/>
          <w:marRight w:val="0"/>
          <w:marTop w:val="0"/>
          <w:marBottom w:val="0"/>
          <w:divBdr>
            <w:top w:val="none" w:sz="0" w:space="0" w:color="auto"/>
            <w:left w:val="none" w:sz="0" w:space="0" w:color="auto"/>
            <w:bottom w:val="none" w:sz="0" w:space="0" w:color="auto"/>
            <w:right w:val="none" w:sz="0" w:space="0" w:color="auto"/>
          </w:divBdr>
        </w:div>
      </w:divsChild>
    </w:div>
    <w:div w:id="2071220788">
      <w:marLeft w:val="4"/>
      <w:marRight w:val="0"/>
      <w:marTop w:val="120"/>
      <w:marBottom w:val="0"/>
      <w:divBdr>
        <w:top w:val="none" w:sz="0" w:space="0" w:color="auto"/>
        <w:left w:val="none" w:sz="0" w:space="0" w:color="auto"/>
        <w:bottom w:val="none" w:sz="0" w:space="0" w:color="auto"/>
        <w:right w:val="none" w:sz="0" w:space="0" w:color="auto"/>
      </w:divBdr>
      <w:divsChild>
        <w:div w:id="1089622145">
          <w:marLeft w:val="0"/>
          <w:marRight w:val="0"/>
          <w:marTop w:val="0"/>
          <w:marBottom w:val="0"/>
          <w:divBdr>
            <w:top w:val="none" w:sz="0" w:space="0" w:color="auto"/>
            <w:left w:val="none" w:sz="0" w:space="0" w:color="auto"/>
            <w:bottom w:val="none" w:sz="0" w:space="0" w:color="auto"/>
            <w:right w:val="none" w:sz="0" w:space="0" w:color="auto"/>
          </w:divBdr>
        </w:div>
      </w:divsChild>
    </w:div>
    <w:div w:id="2072998663">
      <w:marLeft w:val="0"/>
      <w:marRight w:val="0"/>
      <w:marTop w:val="0"/>
      <w:marBottom w:val="0"/>
      <w:divBdr>
        <w:top w:val="none" w:sz="0" w:space="0" w:color="auto"/>
        <w:left w:val="none" w:sz="0" w:space="0" w:color="auto"/>
        <w:bottom w:val="none" w:sz="0" w:space="0" w:color="auto"/>
        <w:right w:val="none" w:sz="0" w:space="0" w:color="auto"/>
      </w:divBdr>
      <w:divsChild>
        <w:div w:id="1369454594">
          <w:marLeft w:val="0"/>
          <w:marRight w:val="0"/>
          <w:marTop w:val="0"/>
          <w:marBottom w:val="0"/>
          <w:divBdr>
            <w:top w:val="none" w:sz="0" w:space="0" w:color="auto"/>
            <w:left w:val="none" w:sz="0" w:space="0" w:color="auto"/>
            <w:bottom w:val="none" w:sz="0" w:space="0" w:color="auto"/>
            <w:right w:val="none" w:sz="0" w:space="0" w:color="auto"/>
          </w:divBdr>
        </w:div>
        <w:div w:id="1427655074">
          <w:marLeft w:val="0"/>
          <w:marRight w:val="0"/>
          <w:marTop w:val="0"/>
          <w:marBottom w:val="0"/>
          <w:divBdr>
            <w:top w:val="none" w:sz="0" w:space="0" w:color="auto"/>
            <w:left w:val="none" w:sz="0" w:space="0" w:color="auto"/>
            <w:bottom w:val="none" w:sz="0" w:space="0" w:color="auto"/>
            <w:right w:val="none" w:sz="0" w:space="0" w:color="auto"/>
          </w:divBdr>
        </w:div>
      </w:divsChild>
    </w:div>
    <w:div w:id="2074884226">
      <w:marLeft w:val="4"/>
      <w:marRight w:val="0"/>
      <w:marTop w:val="120"/>
      <w:marBottom w:val="0"/>
      <w:divBdr>
        <w:top w:val="none" w:sz="0" w:space="0" w:color="auto"/>
        <w:left w:val="none" w:sz="0" w:space="0" w:color="auto"/>
        <w:bottom w:val="none" w:sz="0" w:space="0" w:color="auto"/>
        <w:right w:val="none" w:sz="0" w:space="0" w:color="auto"/>
      </w:divBdr>
      <w:divsChild>
        <w:div w:id="209733717">
          <w:marLeft w:val="0"/>
          <w:marRight w:val="0"/>
          <w:marTop w:val="0"/>
          <w:marBottom w:val="0"/>
          <w:divBdr>
            <w:top w:val="none" w:sz="0" w:space="0" w:color="auto"/>
            <w:left w:val="none" w:sz="0" w:space="0" w:color="auto"/>
            <w:bottom w:val="none" w:sz="0" w:space="0" w:color="auto"/>
            <w:right w:val="none" w:sz="0" w:space="0" w:color="auto"/>
          </w:divBdr>
        </w:div>
      </w:divsChild>
    </w:div>
    <w:div w:id="2081904727">
      <w:marLeft w:val="9"/>
      <w:marRight w:val="0"/>
      <w:marTop w:val="120"/>
      <w:marBottom w:val="0"/>
      <w:divBdr>
        <w:top w:val="none" w:sz="0" w:space="0" w:color="auto"/>
        <w:left w:val="none" w:sz="0" w:space="0" w:color="auto"/>
        <w:bottom w:val="none" w:sz="0" w:space="0" w:color="auto"/>
        <w:right w:val="none" w:sz="0" w:space="0" w:color="auto"/>
      </w:divBdr>
      <w:divsChild>
        <w:div w:id="1593277055">
          <w:marLeft w:val="0"/>
          <w:marRight w:val="0"/>
          <w:marTop w:val="0"/>
          <w:marBottom w:val="0"/>
          <w:divBdr>
            <w:top w:val="none" w:sz="0" w:space="0" w:color="auto"/>
            <w:left w:val="none" w:sz="0" w:space="0" w:color="auto"/>
            <w:bottom w:val="none" w:sz="0" w:space="0" w:color="auto"/>
            <w:right w:val="none" w:sz="0" w:space="0" w:color="auto"/>
          </w:divBdr>
        </w:div>
      </w:divsChild>
    </w:div>
    <w:div w:id="2086799921">
      <w:marLeft w:val="4"/>
      <w:marRight w:val="0"/>
      <w:marTop w:val="120"/>
      <w:marBottom w:val="0"/>
      <w:divBdr>
        <w:top w:val="none" w:sz="0" w:space="0" w:color="auto"/>
        <w:left w:val="none" w:sz="0" w:space="0" w:color="auto"/>
        <w:bottom w:val="none" w:sz="0" w:space="0" w:color="auto"/>
        <w:right w:val="none" w:sz="0" w:space="0" w:color="auto"/>
      </w:divBdr>
      <w:divsChild>
        <w:div w:id="323356265">
          <w:marLeft w:val="0"/>
          <w:marRight w:val="0"/>
          <w:marTop w:val="0"/>
          <w:marBottom w:val="0"/>
          <w:divBdr>
            <w:top w:val="none" w:sz="0" w:space="0" w:color="auto"/>
            <w:left w:val="none" w:sz="0" w:space="0" w:color="auto"/>
            <w:bottom w:val="none" w:sz="0" w:space="0" w:color="auto"/>
            <w:right w:val="none" w:sz="0" w:space="0" w:color="auto"/>
          </w:divBdr>
        </w:div>
      </w:divsChild>
    </w:div>
    <w:div w:id="2092778446">
      <w:marLeft w:val="4"/>
      <w:marRight w:val="0"/>
      <w:marTop w:val="120"/>
      <w:marBottom w:val="0"/>
      <w:divBdr>
        <w:top w:val="none" w:sz="0" w:space="0" w:color="auto"/>
        <w:left w:val="none" w:sz="0" w:space="0" w:color="auto"/>
        <w:bottom w:val="none" w:sz="0" w:space="0" w:color="auto"/>
        <w:right w:val="none" w:sz="0" w:space="0" w:color="auto"/>
      </w:divBdr>
      <w:divsChild>
        <w:div w:id="2119375980">
          <w:marLeft w:val="0"/>
          <w:marRight w:val="0"/>
          <w:marTop w:val="0"/>
          <w:marBottom w:val="0"/>
          <w:divBdr>
            <w:top w:val="none" w:sz="0" w:space="0" w:color="auto"/>
            <w:left w:val="none" w:sz="0" w:space="0" w:color="auto"/>
            <w:bottom w:val="none" w:sz="0" w:space="0" w:color="auto"/>
            <w:right w:val="none" w:sz="0" w:space="0" w:color="auto"/>
          </w:divBdr>
        </w:div>
      </w:divsChild>
    </w:div>
    <w:div w:id="2093090067">
      <w:marLeft w:val="4"/>
      <w:marRight w:val="0"/>
      <w:marTop w:val="120"/>
      <w:marBottom w:val="0"/>
      <w:divBdr>
        <w:top w:val="none" w:sz="0" w:space="0" w:color="auto"/>
        <w:left w:val="none" w:sz="0" w:space="0" w:color="auto"/>
        <w:bottom w:val="none" w:sz="0" w:space="0" w:color="auto"/>
        <w:right w:val="none" w:sz="0" w:space="0" w:color="auto"/>
      </w:divBdr>
      <w:divsChild>
        <w:div w:id="1491867366">
          <w:marLeft w:val="0"/>
          <w:marRight w:val="0"/>
          <w:marTop w:val="0"/>
          <w:marBottom w:val="0"/>
          <w:divBdr>
            <w:top w:val="none" w:sz="0" w:space="0" w:color="auto"/>
            <w:left w:val="none" w:sz="0" w:space="0" w:color="auto"/>
            <w:bottom w:val="none" w:sz="0" w:space="0" w:color="auto"/>
            <w:right w:val="none" w:sz="0" w:space="0" w:color="auto"/>
          </w:divBdr>
        </w:div>
      </w:divsChild>
    </w:div>
    <w:div w:id="2094474507">
      <w:marLeft w:val="4"/>
      <w:marRight w:val="0"/>
      <w:marTop w:val="120"/>
      <w:marBottom w:val="0"/>
      <w:divBdr>
        <w:top w:val="none" w:sz="0" w:space="0" w:color="auto"/>
        <w:left w:val="none" w:sz="0" w:space="0" w:color="auto"/>
        <w:bottom w:val="none" w:sz="0" w:space="0" w:color="auto"/>
        <w:right w:val="none" w:sz="0" w:space="0" w:color="auto"/>
      </w:divBdr>
      <w:divsChild>
        <w:div w:id="842205071">
          <w:marLeft w:val="0"/>
          <w:marRight w:val="0"/>
          <w:marTop w:val="0"/>
          <w:marBottom w:val="0"/>
          <w:divBdr>
            <w:top w:val="none" w:sz="0" w:space="0" w:color="auto"/>
            <w:left w:val="none" w:sz="0" w:space="0" w:color="auto"/>
            <w:bottom w:val="none" w:sz="0" w:space="0" w:color="auto"/>
            <w:right w:val="none" w:sz="0" w:space="0" w:color="auto"/>
          </w:divBdr>
        </w:div>
      </w:divsChild>
    </w:div>
    <w:div w:id="2100174343">
      <w:marLeft w:val="4"/>
      <w:marRight w:val="0"/>
      <w:marTop w:val="120"/>
      <w:marBottom w:val="0"/>
      <w:divBdr>
        <w:top w:val="none" w:sz="0" w:space="0" w:color="auto"/>
        <w:left w:val="none" w:sz="0" w:space="0" w:color="auto"/>
        <w:bottom w:val="none" w:sz="0" w:space="0" w:color="auto"/>
        <w:right w:val="none" w:sz="0" w:space="0" w:color="auto"/>
      </w:divBdr>
      <w:divsChild>
        <w:div w:id="1249191548">
          <w:marLeft w:val="0"/>
          <w:marRight w:val="0"/>
          <w:marTop w:val="0"/>
          <w:marBottom w:val="0"/>
          <w:divBdr>
            <w:top w:val="none" w:sz="0" w:space="0" w:color="auto"/>
            <w:left w:val="none" w:sz="0" w:space="0" w:color="auto"/>
            <w:bottom w:val="none" w:sz="0" w:space="0" w:color="auto"/>
            <w:right w:val="none" w:sz="0" w:space="0" w:color="auto"/>
          </w:divBdr>
        </w:div>
      </w:divsChild>
    </w:div>
    <w:div w:id="2103526550">
      <w:marLeft w:val="4"/>
      <w:marRight w:val="0"/>
      <w:marTop w:val="120"/>
      <w:marBottom w:val="0"/>
      <w:divBdr>
        <w:top w:val="none" w:sz="0" w:space="0" w:color="auto"/>
        <w:left w:val="none" w:sz="0" w:space="0" w:color="auto"/>
        <w:bottom w:val="none" w:sz="0" w:space="0" w:color="auto"/>
        <w:right w:val="none" w:sz="0" w:space="0" w:color="auto"/>
      </w:divBdr>
      <w:divsChild>
        <w:div w:id="1426266153">
          <w:marLeft w:val="0"/>
          <w:marRight w:val="0"/>
          <w:marTop w:val="0"/>
          <w:marBottom w:val="0"/>
          <w:divBdr>
            <w:top w:val="none" w:sz="0" w:space="0" w:color="auto"/>
            <w:left w:val="none" w:sz="0" w:space="0" w:color="auto"/>
            <w:bottom w:val="none" w:sz="0" w:space="0" w:color="auto"/>
            <w:right w:val="none" w:sz="0" w:space="0" w:color="auto"/>
          </w:divBdr>
        </w:div>
      </w:divsChild>
    </w:div>
    <w:div w:id="2105029011">
      <w:marLeft w:val="4"/>
      <w:marRight w:val="0"/>
      <w:marTop w:val="120"/>
      <w:marBottom w:val="0"/>
      <w:divBdr>
        <w:top w:val="none" w:sz="0" w:space="0" w:color="auto"/>
        <w:left w:val="none" w:sz="0" w:space="0" w:color="auto"/>
        <w:bottom w:val="none" w:sz="0" w:space="0" w:color="auto"/>
        <w:right w:val="none" w:sz="0" w:space="0" w:color="auto"/>
      </w:divBdr>
      <w:divsChild>
        <w:div w:id="74403105">
          <w:marLeft w:val="0"/>
          <w:marRight w:val="0"/>
          <w:marTop w:val="0"/>
          <w:marBottom w:val="0"/>
          <w:divBdr>
            <w:top w:val="none" w:sz="0" w:space="0" w:color="auto"/>
            <w:left w:val="none" w:sz="0" w:space="0" w:color="auto"/>
            <w:bottom w:val="none" w:sz="0" w:space="0" w:color="auto"/>
            <w:right w:val="none" w:sz="0" w:space="0" w:color="auto"/>
          </w:divBdr>
        </w:div>
      </w:divsChild>
    </w:div>
    <w:div w:id="2112771545">
      <w:marLeft w:val="4"/>
      <w:marRight w:val="0"/>
      <w:marTop w:val="120"/>
      <w:marBottom w:val="0"/>
      <w:divBdr>
        <w:top w:val="none" w:sz="0" w:space="0" w:color="auto"/>
        <w:left w:val="none" w:sz="0" w:space="0" w:color="auto"/>
        <w:bottom w:val="none" w:sz="0" w:space="0" w:color="auto"/>
        <w:right w:val="none" w:sz="0" w:space="0" w:color="auto"/>
      </w:divBdr>
      <w:divsChild>
        <w:div w:id="2047556031">
          <w:marLeft w:val="0"/>
          <w:marRight w:val="0"/>
          <w:marTop w:val="0"/>
          <w:marBottom w:val="0"/>
          <w:divBdr>
            <w:top w:val="none" w:sz="0" w:space="0" w:color="auto"/>
            <w:left w:val="none" w:sz="0" w:space="0" w:color="auto"/>
            <w:bottom w:val="none" w:sz="0" w:space="0" w:color="auto"/>
            <w:right w:val="none" w:sz="0" w:space="0" w:color="auto"/>
          </w:divBdr>
        </w:div>
      </w:divsChild>
    </w:div>
    <w:div w:id="2117362469">
      <w:marLeft w:val="4"/>
      <w:marRight w:val="0"/>
      <w:marTop w:val="120"/>
      <w:marBottom w:val="0"/>
      <w:divBdr>
        <w:top w:val="none" w:sz="0" w:space="0" w:color="auto"/>
        <w:left w:val="none" w:sz="0" w:space="0" w:color="auto"/>
        <w:bottom w:val="none" w:sz="0" w:space="0" w:color="auto"/>
        <w:right w:val="none" w:sz="0" w:space="0" w:color="auto"/>
      </w:divBdr>
      <w:divsChild>
        <w:div w:id="1692486144">
          <w:marLeft w:val="0"/>
          <w:marRight w:val="0"/>
          <w:marTop w:val="0"/>
          <w:marBottom w:val="0"/>
          <w:divBdr>
            <w:top w:val="none" w:sz="0" w:space="0" w:color="auto"/>
            <w:left w:val="none" w:sz="0" w:space="0" w:color="auto"/>
            <w:bottom w:val="none" w:sz="0" w:space="0" w:color="auto"/>
            <w:right w:val="none" w:sz="0" w:space="0" w:color="auto"/>
          </w:divBdr>
        </w:div>
      </w:divsChild>
    </w:div>
    <w:div w:id="2121606255">
      <w:marLeft w:val="4"/>
      <w:marRight w:val="0"/>
      <w:marTop w:val="120"/>
      <w:marBottom w:val="0"/>
      <w:divBdr>
        <w:top w:val="none" w:sz="0" w:space="0" w:color="auto"/>
        <w:left w:val="none" w:sz="0" w:space="0" w:color="auto"/>
        <w:bottom w:val="none" w:sz="0" w:space="0" w:color="auto"/>
        <w:right w:val="none" w:sz="0" w:space="0" w:color="auto"/>
      </w:divBdr>
      <w:divsChild>
        <w:div w:id="1108820069">
          <w:marLeft w:val="0"/>
          <w:marRight w:val="0"/>
          <w:marTop w:val="0"/>
          <w:marBottom w:val="0"/>
          <w:divBdr>
            <w:top w:val="none" w:sz="0" w:space="0" w:color="auto"/>
            <w:left w:val="none" w:sz="0" w:space="0" w:color="auto"/>
            <w:bottom w:val="none" w:sz="0" w:space="0" w:color="auto"/>
            <w:right w:val="none" w:sz="0" w:space="0" w:color="auto"/>
          </w:divBdr>
        </w:div>
      </w:divsChild>
    </w:div>
    <w:div w:id="2128236319">
      <w:marLeft w:val="4"/>
      <w:marRight w:val="0"/>
      <w:marTop w:val="120"/>
      <w:marBottom w:val="0"/>
      <w:divBdr>
        <w:top w:val="none" w:sz="0" w:space="0" w:color="auto"/>
        <w:left w:val="none" w:sz="0" w:space="0" w:color="auto"/>
        <w:bottom w:val="none" w:sz="0" w:space="0" w:color="auto"/>
        <w:right w:val="none" w:sz="0" w:space="0" w:color="auto"/>
      </w:divBdr>
      <w:divsChild>
        <w:div w:id="44989712">
          <w:marLeft w:val="0"/>
          <w:marRight w:val="0"/>
          <w:marTop w:val="0"/>
          <w:marBottom w:val="0"/>
          <w:divBdr>
            <w:top w:val="none" w:sz="0" w:space="0" w:color="auto"/>
            <w:left w:val="none" w:sz="0" w:space="0" w:color="auto"/>
            <w:bottom w:val="none" w:sz="0" w:space="0" w:color="auto"/>
            <w:right w:val="none" w:sz="0" w:space="0" w:color="auto"/>
          </w:divBdr>
        </w:div>
      </w:divsChild>
    </w:div>
    <w:div w:id="2133285263">
      <w:marLeft w:val="4"/>
      <w:marRight w:val="0"/>
      <w:marTop w:val="120"/>
      <w:marBottom w:val="0"/>
      <w:divBdr>
        <w:top w:val="none" w:sz="0" w:space="0" w:color="auto"/>
        <w:left w:val="none" w:sz="0" w:space="0" w:color="auto"/>
        <w:bottom w:val="none" w:sz="0" w:space="0" w:color="auto"/>
        <w:right w:val="none" w:sz="0" w:space="0" w:color="auto"/>
      </w:divBdr>
      <w:divsChild>
        <w:div w:id="1907445989">
          <w:marLeft w:val="0"/>
          <w:marRight w:val="0"/>
          <w:marTop w:val="0"/>
          <w:marBottom w:val="0"/>
          <w:divBdr>
            <w:top w:val="none" w:sz="0" w:space="0" w:color="auto"/>
            <w:left w:val="none" w:sz="0" w:space="0" w:color="auto"/>
            <w:bottom w:val="none" w:sz="0" w:space="0" w:color="auto"/>
            <w:right w:val="none" w:sz="0" w:space="0" w:color="auto"/>
          </w:divBdr>
        </w:div>
      </w:divsChild>
    </w:div>
    <w:div w:id="2134667230">
      <w:marLeft w:val="4"/>
      <w:marRight w:val="0"/>
      <w:marTop w:val="120"/>
      <w:marBottom w:val="0"/>
      <w:divBdr>
        <w:top w:val="none" w:sz="0" w:space="0" w:color="auto"/>
        <w:left w:val="none" w:sz="0" w:space="0" w:color="auto"/>
        <w:bottom w:val="none" w:sz="0" w:space="0" w:color="auto"/>
        <w:right w:val="none" w:sz="0" w:space="0" w:color="auto"/>
      </w:divBdr>
      <w:divsChild>
        <w:div w:id="134567160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1636651/000119312517127476/d286200dex101.htm" TargetMode="External"/><Relationship Id="rId18" Type="http://schemas.openxmlformats.org/officeDocument/2006/relationships/hyperlink" Target="https://www.sec.gov/Archives/edgar/data/1636651/000119312517118846/d286200dex107.htm" TargetMode="External"/><Relationship Id="rId26" Type="http://schemas.openxmlformats.org/officeDocument/2006/relationships/hyperlink" Target="https://www.sec.gov/Archives/edgar/data/1636651/000119312517127476/d286200dex1013.htm" TargetMode="External"/><Relationship Id="rId39" Type="http://schemas.openxmlformats.org/officeDocument/2006/relationships/hyperlink" Target="ovid-ex32_1.htm" TargetMode="External"/><Relationship Id="rId21" Type="http://schemas.openxmlformats.org/officeDocument/2006/relationships/hyperlink" Target="https://www.sec.gov/Archives/edgar/data/1636651/000119312517118846/d286200dex1010.htm" TargetMode="External"/><Relationship Id="rId34" Type="http://schemas.openxmlformats.org/officeDocument/2006/relationships/hyperlink" Target="https://www.sec.gov/Archives/edgar/data/1636651/000156459022000016/ovid-ex101_6.htm" TargetMode="External"/><Relationship Id="rId7" Type="http://schemas.openxmlformats.org/officeDocument/2006/relationships/hyperlink" Target="https://www.sec.gov/Archives/edgar/data/1636651/000156459019035235/ovid-ex31_6.htm" TargetMode="External"/><Relationship Id="rId2" Type="http://schemas.openxmlformats.org/officeDocument/2006/relationships/settings" Target="settings.xml"/><Relationship Id="rId16" Type="http://schemas.openxmlformats.org/officeDocument/2006/relationships/hyperlink" Target="https://www.sec.gov/Archives/edgar/data/1636651/000119312517118846/d286200dex105.htm" TargetMode="External"/><Relationship Id="rId20" Type="http://schemas.openxmlformats.org/officeDocument/2006/relationships/hyperlink" Target="https://www.sec.gov/Archives/edgar/data/1636651/000119312517118846/d286200dex109.htm" TargetMode="External"/><Relationship Id="rId29" Type="http://schemas.openxmlformats.org/officeDocument/2006/relationships/hyperlink" Target="https://www.sec.gov/Archives/edgar/data/1636651/000156459021013016/ovid-ex1019_727.htm"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c.gov/Archives/edgar/data/1636651/000119312517166080/d382437dex31.htm" TargetMode="External"/><Relationship Id="rId11" Type="http://schemas.openxmlformats.org/officeDocument/2006/relationships/hyperlink" Target="https://www.sec.gov/Archives/edgar/data/0001636651/000156459020010108/ovid-ex43_544.htm" TargetMode="External"/><Relationship Id="rId24" Type="http://schemas.openxmlformats.org/officeDocument/2006/relationships/hyperlink" Target="https://www.sec.gov/Archives/edgar/data/1636651/000119312517178147/d399411dex414.htm" TargetMode="External"/><Relationship Id="rId32" Type="http://schemas.openxmlformats.org/officeDocument/2006/relationships/hyperlink" Target="https://www.sec.gov/Archives/edgar/data/1636651/000156459019022662/ovid-ex101_6.htm" TargetMode="External"/><Relationship Id="rId37" Type="http://schemas.openxmlformats.org/officeDocument/2006/relationships/hyperlink" Target="ovid-ex31_1.htm" TargetMode="External"/><Relationship Id="rId40" Type="http://schemas.openxmlformats.org/officeDocument/2006/relationships/fontTable" Target="fontTable.xml"/><Relationship Id="rId5" Type="http://schemas.openxmlformats.org/officeDocument/2006/relationships/image" Target="file:///E:\projects\LLMs\new_data_collection\data_new\htm\Ovid%20Therapeutics%20Inc\img41469671_1.jpg" TargetMode="External"/><Relationship Id="rId15" Type="http://schemas.openxmlformats.org/officeDocument/2006/relationships/hyperlink" Target="https://www.sec.gov/Archives/edgar/data/1636651/000119312517127476/d286200dex103.htm" TargetMode="External"/><Relationship Id="rId23" Type="http://schemas.openxmlformats.org/officeDocument/2006/relationships/hyperlink" Target="https://www.sec.gov/Archives/edgar/data/1636651/000119312517118846/d286200dex1012.htm" TargetMode="External"/><Relationship Id="rId28" Type="http://schemas.openxmlformats.org/officeDocument/2006/relationships/hyperlink" Target="https://www.sec.gov/Archives/edgar/data/1636651/000156459021013016/ovid-ex1018_728.htm" TargetMode="External"/><Relationship Id="rId36" Type="http://schemas.openxmlformats.org/officeDocument/2006/relationships/hyperlink" Target="ovid-ex23_1.htm" TargetMode="External"/><Relationship Id="rId10" Type="http://schemas.openxmlformats.org/officeDocument/2006/relationships/hyperlink" Target="https://www.sec.gov/Archives/edgar/data/1636651/000119312517118846/d286200dex42.htm" TargetMode="External"/><Relationship Id="rId19" Type="http://schemas.openxmlformats.org/officeDocument/2006/relationships/hyperlink" Target="https://www.sec.gov/Archives/edgar/data/1636651/000119312517118846/d286200dex108.htm" TargetMode="External"/><Relationship Id="rId31" Type="http://schemas.openxmlformats.org/officeDocument/2006/relationships/hyperlink" Target="https://www.sec.gov/Archives/edgar/data/1636651/000156459018007152/ovid-ex1019_672.htm" TargetMode="External"/><Relationship Id="rId4" Type="http://schemas.openxmlformats.org/officeDocument/2006/relationships/image" Target="file:///E:\projects\LLMs\new_data_collection\data_new\htm\Ovid%20Therapeutics%20Inc\img41469671_0.jpg" TargetMode="External"/><Relationship Id="rId9" Type="http://schemas.openxmlformats.org/officeDocument/2006/relationships/hyperlink" Target="https://www.sec.gov/Archives/edgar/data/1636651/000119312517135563/d286200dex41.htm" TargetMode="External"/><Relationship Id="rId14" Type="http://schemas.openxmlformats.org/officeDocument/2006/relationships/hyperlink" Target="https://www.sec.gov/Archives/edgar/data/1636651/000119312517178147/d399411dex412.htm" TargetMode="External"/><Relationship Id="rId22" Type="http://schemas.openxmlformats.org/officeDocument/2006/relationships/hyperlink" Target="https://www.sec.gov/Archives/edgar/data/1636651/000119312517118846/d286200dex1011.htm" TargetMode="External"/><Relationship Id="rId27" Type="http://schemas.openxmlformats.org/officeDocument/2006/relationships/hyperlink" Target="https://www.sec.gov/Archives/edgar/data/1636651/000156459021013016/ovid-ex1017_726.htm" TargetMode="External"/><Relationship Id="rId30" Type="http://schemas.openxmlformats.org/officeDocument/2006/relationships/hyperlink" Target="https://www.sec.gov/Archives/edgar/data/1636651/000119312517152270/d286200dex1016.htm" TargetMode="External"/><Relationship Id="rId35" Type="http://schemas.openxmlformats.org/officeDocument/2006/relationships/hyperlink" Target="https://www.sec.gov/Archives/edgar/data/1636651/000156459022000016/ovid-ex101_6.htm" TargetMode="External"/><Relationship Id="rId8" Type="http://schemas.openxmlformats.org/officeDocument/2006/relationships/hyperlink" Target="https://www.sec.gov/Archives/edgar/data/1636651/000119312517166080/d382437dex32.htm" TargetMode="External"/><Relationship Id="rId3" Type="http://schemas.openxmlformats.org/officeDocument/2006/relationships/webSettings" Target="webSettings.xml"/><Relationship Id="rId12" Type="http://schemas.openxmlformats.org/officeDocument/2006/relationships/hyperlink" Target="https://www.sec.gov/Archives/edgar/data/1636651/000119312519047109/d714860dex41.htm" TargetMode="External"/><Relationship Id="rId17" Type="http://schemas.openxmlformats.org/officeDocument/2006/relationships/hyperlink" Target="https://www.sec.gov/Archives/edgar/data/1636651/000119312517118846/d286200dex106.htm" TargetMode="External"/><Relationship Id="rId25" Type="http://schemas.openxmlformats.org/officeDocument/2006/relationships/hyperlink" Target="https://www.sec.gov/Archives/edgar/data/1636651/000095017021004066/ovid-ex10_1.htm" TargetMode="External"/><Relationship Id="rId33" Type="http://schemas.openxmlformats.org/officeDocument/2006/relationships/hyperlink" Target="https://www.sec.gov/Archives/edgar/data/1636651/000156459021027623/ovid-ex101_428.htm" TargetMode="External"/><Relationship Id="rId38" Type="http://schemas.openxmlformats.org/officeDocument/2006/relationships/hyperlink" Target="ovid-ex31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63170</Words>
  <Characters>360074</Characters>
  <Application>Microsoft Office Word</Application>
  <DocSecurity>0</DocSecurity>
  <Lines>3000</Lines>
  <Paragraphs>844</Paragraphs>
  <ScaleCrop>false</ScaleCrop>
  <Company/>
  <LinksUpToDate>false</LinksUpToDate>
  <CharactersWithSpaces>422400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