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CF461A">
      <w:pPr>
        <w:divId w:val="2065637831"/>
        <w:rPr>
          <w:rFonts w:eastAsia="Times New Roman"/>
          <w:vanish/>
        </w:rPr>
      </w:pPr>
      <w:r>
        <w:rPr>
          <w:rFonts w:eastAsia="Times New Roman"/>
          <w:vanish/>
        </w:rPr>
        <w:t>Q10001636651--12-31false00016366512022-01-012022-03-310001636651ovid:SeriesAConvertiblePreferredStockMemberus-gaap:PreferredStockMember2021-03-310001636651ovid:AstrazenecaMember2021-12-300001636651us-gaap:CommonStockMember2021-12-310001636651</w:t>
      </w:r>
      <w:r>
        <w:rPr>
          <w:rFonts w:eastAsia="Times New Roman"/>
          <w:vanish/>
        </w:rPr>
        <w:t>ovid:MoneyMarketFundsAndShortTermInvestmentsMemberus-gaap:FairValueInputsLevel1Member2022-03-3100016366512022-03-310001636651us-gaap:CommonStockMember2022-01-012022-03-310001636651us-gaap:FurnitureAndFixturesMember2022-03-310001636651ovid:AstrazenecaMember</w:t>
      </w:r>
      <w:r>
        <w:rPr>
          <w:rFonts w:eastAsia="Times New Roman"/>
          <w:vanish/>
        </w:rPr>
        <w:t>2021-12-302021-12-3000016366512022-05-060001636651ovid:HLundbeckASMembersrt:MaximumMemberovid:LicenseAgreementMember2015-03-260001636651us-gaap:EmployeeStockOptionMember2021-01-012021-03-310001636651ovid:NorthwesternUniversityMembersrt:MaximumMemberovid:Li</w:t>
      </w:r>
      <w:r>
        <w:rPr>
          <w:rFonts w:eastAsia="Times New Roman"/>
          <w:vanish/>
        </w:rPr>
        <w:t>censeAgreementMember2016-12-310001636651us-gaap:MoneyMarketFundsMember2021-12-310001636651ovid:MarinusPharmaceuticalsIncMemberovid:MarinusLicenseAgreementMember2022-01-012022-03-310001636651us-gaap:SeriesAPreferredStockMember2021-12-310001636651ovid:HLundb</w:t>
      </w:r>
      <w:r>
        <w:rPr>
          <w:rFonts w:eastAsia="Times New Roman"/>
          <w:vanish/>
        </w:rPr>
        <w:t>eckASMemberovid:LicenseAgreementMember2015-03-262015-03-260001636651us-gaap:AdditionalPaidInCapitalMember2021-12-310001636651us-gaap:CommonStockMember2021-01-012021-03-310001636651ovid:TwoThousandSeventeenEquityIncentivePlanMember2022-01-012022-01-01000163</w:t>
      </w:r>
      <w:r>
        <w:rPr>
          <w:rFonts w:eastAsia="Times New Roman"/>
          <w:vanish/>
        </w:rPr>
        <w:t>66512021-03-310001636651ovid:TwoThousandSeventeenEquityIncentivePlanMember2021-01-012021-01-010001636651us-gaap:ResearchAndDevelopmentExpenseMember2021-01-012021-03-310001636651ovid:SeriesAConvertiblePreferredStockMember2021-12-310001636651ovid:HLundbeckAS</w:t>
      </w:r>
      <w:r>
        <w:rPr>
          <w:rFonts w:eastAsia="Times New Roman"/>
          <w:vanish/>
        </w:rPr>
        <w:t>Member2021-12-302021-12-300001636651us-gaap:CollaborativeArrangementMemberovid:TakedaPharmaceuticalCompanyLimitedMember2021-03-290001636651ovid:AstrazenecaMember2021-01-012021-12-310001636651ovid:MarinusPharmaceuticalsIncMemberovid:MarinusLicenseAgreementM</w:t>
      </w:r>
      <w:r>
        <w:rPr>
          <w:rFonts w:eastAsia="Times New Roman"/>
          <w:vanish/>
        </w:rPr>
        <w:t>ember2022-03-012022-03-010001636651us-gaap:EmployeeStockOptionMember2022-03-310001636651ovid:NonEmployeeStockOptionsMember2021-01-012021-03-310001636651ovid:MarinusTherapeuticsIncMember2022-03-310001636651us-gaap:LicenseMember2022-01-012022-03-310001636651</w:t>
      </w:r>
      <w:r>
        <w:rPr>
          <w:rFonts w:eastAsia="Times New Roman"/>
          <w:vanish/>
        </w:rPr>
        <w:t>ovid:NorthwesternUniversityMemberovid:LicenseAgreementMember2022-01-012022-03-310001636651us-gaap:SellingGeneralAndAdministrativeExpensesMember2021-01-012021-03-310001636651ovid:SeriesAConvertiblePreferredStockMemberus-gaap:PreferredStockMember2020-12-3100</w:t>
      </w:r>
      <w:r>
        <w:rPr>
          <w:rFonts w:eastAsia="Times New Roman"/>
          <w:vanish/>
        </w:rPr>
        <w:t>01636651us-gaap:CommonStockMember2022-03-310001636651ovid:TwoThousandSeventeenEmployeeStockPurchasePlanMember2022-01-012022-01-010001636651us-gaap:CollaborativeArrangementMemberovid:TakedaPharmaceuticalCompanyLimitedMember2022-01-012022-03-310001636651ovid</w:t>
      </w:r>
      <w:r>
        <w:rPr>
          <w:rFonts w:eastAsia="Times New Roman"/>
          <w:vanish/>
        </w:rPr>
        <w:t>:NonEmployeeStockOptionsMember2022-03-310001636651us-gaap:PerformanceSharesMember2022-03-310001636651us-gaap:FurnitureAndFixturesMember2021-12-310001636651ovid:EmployeeStockPurchasePlanMember2022-01-012022-03-310001636651ovid:PromissoryNotesMember2022-03-1</w:t>
      </w:r>
      <w:r>
        <w:rPr>
          <w:rFonts w:eastAsia="Times New Roman"/>
          <w:vanish/>
        </w:rPr>
        <w:t>70001636651us-gaap:RetainedEarningsMember2021-12-310001636651ovid:SeriesAConvertiblePreferredStockMember2022-01-012022-03-310001636651ovid:TwoThousandSeventeenEquityIncentivePlanMember2022-01-012022-03-310001636651us-gaap:ResearchAndDevelopmentExpenseMembe</w:t>
      </w:r>
      <w:r>
        <w:rPr>
          <w:rFonts w:eastAsia="Times New Roman"/>
          <w:vanish/>
        </w:rPr>
        <w:t>r2022-01-012022-03-310001636651us-gaap:EmployeeStockOptionMember2022-01-012022-03-310001636651us-gaap:CollaborativeArrangementMemberovid:TakedaPharmaceuticalCompanyLimitedMember2021-01-012021-03-310001636651ovid:NonEmployeeStockOptionsMember2021-03-3100016</w:t>
      </w:r>
      <w:r>
        <w:rPr>
          <w:rFonts w:eastAsia="Times New Roman"/>
          <w:vanish/>
        </w:rPr>
        <w:t>36651ovid:MarinusPharmaceuticalsIncMemberovid:MarinusLicenseAgreementMember2022-03-010001636651us-gaap:CollaborativeArrangementMemberovid:TakedaPharmaceuticalCompanyLimitedMember2022-03-310001636651ovid:PromissoryNotesMember2022-03-310001636651ovid:Employe</w:t>
      </w:r>
      <w:r>
        <w:rPr>
          <w:rFonts w:eastAsia="Times New Roman"/>
          <w:vanish/>
        </w:rPr>
        <w:t>ePerformanceBasedOptionAwardsMember2022-01-012022-03-310001636651ovid:HealxLicenseAndOptionAgreementMember2022-02-012022-02-010001636651us-gaap:AdditionalPaidInCapitalMember2021-03-310001636651us-gaap:SellingGeneralAndAdministrativeExpensesMember2022-01-01</w:t>
      </w:r>
      <w:r>
        <w:rPr>
          <w:rFonts w:eastAsia="Times New Roman"/>
          <w:vanish/>
        </w:rPr>
        <w:t>2022-03-310001636651us-gaap:FairValueInputsLevel3Member2022-03-310001636651ovid:EmployeeStockPurchasePlanMember2021-01-012021-03-310001636651ovid:MoneyMarketFundsAndShortTermInvestmentsMemberus-gaap:FairValueInputsLevel1Member2021-12-310001636651srt:Maximu</w:t>
      </w:r>
      <w:r>
        <w:rPr>
          <w:rFonts w:eastAsia="Times New Roman"/>
          <w:vanish/>
        </w:rPr>
        <w:t>mMemberovid:CowenAndCompanyLLCMemberovid:ATMAgreementMember2020-11-300001636651ovid:TwoThousandSeventeenEmployeeStockPurchasePlanMember2022-03-310001636651ovid:NorthwesternUniversityMemberovid:LicenseAgreementMember2016-12-310001636651us-gaap:AdditionalPai</w:t>
      </w:r>
      <w:r>
        <w:rPr>
          <w:rFonts w:eastAsia="Times New Roman"/>
          <w:vanish/>
        </w:rPr>
        <w:t>dInCapitalMember2022-03-310001636651us-gaap:CashMember2022-03-310001636651ovid:TwoThousandSeventeenEmployeeStockPurchasePlanMember2021-01-012021-01-010001636651ovid:HealxLicenseAndOptionAgreementMember2022-01-012022-03-310001636651ovid:TwoThousandSeventeen</w:t>
      </w:r>
      <w:r>
        <w:rPr>
          <w:rFonts w:eastAsia="Times New Roman"/>
          <w:vanish/>
        </w:rPr>
        <w:t>EquityIncentivePlanMember2022-03-310001636651us-gaap:CommonStockMember2020-12-310001636651us-gaap:FairValueInputsLevel3Member2021-12-310001636651ovid:MarinusPharmaceuticalsIncMemberovid:PatentLicenseAgreementMember2022-03-012022-03-0100016366512020-12-3100</w:t>
      </w:r>
      <w:r>
        <w:rPr>
          <w:rFonts w:eastAsia="Times New Roman"/>
          <w:vanish/>
        </w:rPr>
        <w:t>01636651us-gaap:EmployeeStockOptionMember2022-01-012022-03-310001636651us-gaap:LicenseMember2021-01-012021-03-310001636651ovid:CowenAndCompanyLLCMemberus-gaap:CommonStockMemberovid:ATMAgreementMember2022-01-012022-03-3100016366512021-01-012021-03-310001636</w:t>
      </w:r>
      <w:r>
        <w:rPr>
          <w:rFonts w:eastAsia="Times New Roman"/>
          <w:vanish/>
        </w:rPr>
        <w:t>651ovid:EmployeePerformanceBasedOptionAwardsMember2021-01-012021-03-310001636651ovid:SeriesAConvertiblePreferredStockMemberus-gaap:PreferredStockMember2021-12-310001636651ovid:NonEmployeeStockOptionsMember2022-01-012022-03-310001636651ovid:AngeliniLicenseA</w:t>
      </w:r>
      <w:r>
        <w:rPr>
          <w:rFonts w:eastAsia="Times New Roman"/>
          <w:vanish/>
        </w:rPr>
        <w:t>greementMember2022-01-012022-03-310001636651ovid:SeriesAConvertiblePreferredStockMemberus-gaap:PreferredStockMember2021-01-012021-03-310001636651us-gaap:CollaborativeArrangementMembersrt:MaximumMemberovid:TakedaPharmaceuticalCompanyLimitedMember2021-03-292</w:t>
      </w:r>
      <w:r>
        <w:rPr>
          <w:rFonts w:eastAsia="Times New Roman"/>
          <w:vanish/>
        </w:rPr>
        <w:t>021-03-290001636651ovid:TwoThousandSeventeenEmployeeStockPurchasePlanMember2021-01-012021-03-310001636651us-gaap:RetainedEarningsMember2022-03-310001636651us-gaap:EmployeeStockOptionMember2021-03-310001636651us-gaap:FairValueInputsLevel2Member2022-03-31000</w:t>
      </w:r>
      <w:r>
        <w:rPr>
          <w:rFonts w:eastAsia="Times New Roman"/>
          <w:vanish/>
        </w:rPr>
        <w:t>1636651us-gaap:AdditionalPaidInCapitalMember2020-12-310001636651ovid:SeriesAConvertiblePreferredStockMember2021-01-012021-03-310001636651us-gaap:LetterOfCreditMember2022-03-310001636651us-gaap:RetainedEarningsMember2020-12-310001636651us-gaap:EmployeeStock</w:t>
      </w:r>
      <w:r>
        <w:rPr>
          <w:rFonts w:eastAsia="Times New Roman"/>
          <w:vanish/>
        </w:rPr>
        <w:t>OptionMember2021-01-012021-03-310001636651ovid:SeriesAConvertiblePreferredStockMember2021-01-012021-03-3100016366512014-04-012022-03-310001636651ovid:TwoThousandSeventeenEmployeeStockPurchasePlanMember2022-01-012022-03-3100016366512021-12-300001636651ovid:</w:t>
      </w:r>
      <w:r>
        <w:rPr>
          <w:rFonts w:eastAsia="Times New Roman"/>
          <w:vanish/>
        </w:rPr>
        <w:t>AngeliniLicenseAgreementMemberovid:LicenseAgreementMember2020-07-092020-07-090001636651us-gaap:RetainedEarningsMember2022-01-012022-03-310001636651ovid:SeriesAConvertiblePreferredStockMemberus-gaap:PreferredStockMember2022-03-310001636651ovid:NorthwesternU</w:t>
      </w:r>
      <w:r>
        <w:rPr>
          <w:rFonts w:eastAsia="Times New Roman"/>
          <w:vanish/>
        </w:rPr>
        <w:t>niversityMemberovid:LicenseAgreementMember2016-12-012016-12-3100016366512021-01-012021-12-310001636651ovid:NonemployeePerformanceBasedOptionAwardsMember2022-01-012022-03-310001636651ovid:AngeliniLicenseAgreementMemberovid:LicenseAgreementMember2022-01-0120</w:t>
      </w:r>
      <w:r>
        <w:rPr>
          <w:rFonts w:eastAsia="Times New Roman"/>
          <w:vanish/>
        </w:rPr>
        <w:t>22-03-310001636651ovid:StockOptionsMember2021-01-012021-03-310001636651us-gaap:FairValueInputsLevel2Member2021-12-310001636651us-gaap:CashMember2021-12-310001636651ovid:SeriesAConvertiblePreferredStockMember2022-03-310001636651us-gaap:RetainedEarningsMembe</w:t>
      </w:r>
      <w:r>
        <w:rPr>
          <w:rFonts w:eastAsia="Times New Roman"/>
          <w:vanish/>
        </w:rPr>
        <w:t>r2021-01-012021-03-310001636651us-gaap:SeriesAPreferredStockMember2022-03-310001636651ovid:RelatedPartyMember2021-01-012021-03-310001636651ovid:SeriesAConvertiblePreferredStockMember2022-01-012022-03-310001636651us-gaap:AdditionalPaidInCapitalMember2021-01</w:t>
      </w:r>
      <w:r>
        <w:rPr>
          <w:rFonts w:eastAsia="Times New Roman"/>
          <w:vanish/>
        </w:rPr>
        <w:t>-012021-03-310001636651us-gaap:CommonStockMember2021-03-310001636651us-gaap:AdditionalPaidInCapitalMember2022-01-012022-03-310001636651us-gaap:RetainedEarningsMember2021-03-310001636651ovid:AngeliniLicenseAgreementMemberovid:LicenseAgreementMember2022-03-3</w:t>
      </w:r>
      <w:r>
        <w:rPr>
          <w:rFonts w:eastAsia="Times New Roman"/>
          <w:vanish/>
        </w:rPr>
        <w:t>10001636651us-gaap:MoneyMarketFundsMember2022-03-3100016366512021-12-310001636651ovid:AngeliniLicenseAgreementMember2021-01-012021-03-310001636651ovid:StockOptionsMember2022-01-012022-03-310001636651ovid:RelatedPartyMember2022-01-012022-03-31ovid:Investmen</w:t>
      </w:r>
      <w:r>
        <w:rPr>
          <w:rFonts w:eastAsia="Times New Roman"/>
          <w:vanish/>
        </w:rPr>
        <w:t>txbrli:pureiso4217:USDxbrli:sharesxbrli:sharesovid:Trialovid:Productiso4217:USD</w: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pBdr>
          <w:bottom w:val="double" w:sz="6" w:space="1" w:color="auto"/>
        </w:pBdr>
        <w:spacing w:before="0" w:beforeAutospacing="0" w:after="0" w:afterAutospacing="0"/>
        <w:rPr>
          <w:sz w:val="20"/>
          <w:szCs w:val="20"/>
        </w:rPr>
      </w:pPr>
      <w:r>
        <w:rPr>
          <w:sz w:val="20"/>
          <w:szCs w:val="20"/>
        </w:rPr>
        <w:t> </w: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UNITED STATE</w:t>
      </w:r>
      <w:r>
        <w:rPr>
          <w:b/>
          <w:bCs/>
          <w:sz w:val="18"/>
          <w:szCs w:val="18"/>
        </w:rPr>
        <w:t>S</w:t>
      </w:r>
    </w:p>
    <w:p w:rsidR="00000000" w:rsidRDefault="00CF461A">
      <w:pPr>
        <w:pStyle w:val="a3"/>
        <w:spacing w:before="0" w:beforeAutospacing="0" w:after="0" w:afterAutospacing="0"/>
        <w:jc w:val="center"/>
        <w:rPr>
          <w:sz w:val="20"/>
          <w:szCs w:val="20"/>
        </w:rPr>
      </w:pPr>
      <w:r>
        <w:rPr>
          <w:b/>
          <w:bCs/>
          <w:sz w:val="18"/>
          <w:szCs w:val="18"/>
        </w:rPr>
        <w:t>SECURITIES AND EXCHANGE COMMISSIO</w:t>
      </w:r>
      <w:r>
        <w:rPr>
          <w:b/>
          <w:bCs/>
          <w:sz w:val="18"/>
          <w:szCs w:val="18"/>
        </w:rPr>
        <w:t>N</w:t>
      </w:r>
    </w:p>
    <w:p w:rsidR="00000000" w:rsidRDefault="00CF461A">
      <w:pPr>
        <w:pStyle w:val="a3"/>
        <w:spacing w:before="0" w:beforeAutospacing="0" w:after="0" w:afterAutospacing="0"/>
        <w:jc w:val="center"/>
        <w:rPr>
          <w:sz w:val="20"/>
          <w:szCs w:val="20"/>
        </w:rPr>
      </w:pPr>
      <w:r>
        <w:rPr>
          <w:b/>
          <w:bCs/>
          <w:sz w:val="18"/>
          <w:szCs w:val="18"/>
        </w:rPr>
        <w:t>WASHINGTON, DC 2054</w:t>
      </w:r>
      <w:r>
        <w:rPr>
          <w:b/>
          <w:bCs/>
          <w:sz w:val="18"/>
          <w:szCs w:val="18"/>
        </w:rPr>
        <w:t>9</w:t>
      </w:r>
    </w:p>
    <w:p w:rsidR="00000000" w:rsidRDefault="00CF461A">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CF461A">
      <w:pPr>
        <w:pStyle w:val="a3"/>
        <w:spacing w:before="120" w:beforeAutospacing="0" w:after="0" w:afterAutospacing="0"/>
        <w:jc w:val="center"/>
        <w:rPr>
          <w:sz w:val="20"/>
          <w:szCs w:val="20"/>
        </w:rPr>
      </w:pPr>
      <w:r>
        <w:rPr>
          <w:b/>
          <w:bCs/>
          <w:sz w:val="18"/>
          <w:szCs w:val="18"/>
        </w:rPr>
        <w:t>FORM</w:t>
      </w:r>
      <w:r>
        <w:rPr>
          <w:b/>
          <w:bCs/>
          <w:sz w:val="18"/>
          <w:szCs w:val="18"/>
        </w:rPr>
        <w:t xml:space="preserve"> </w:t>
      </w:r>
      <w:r>
        <w:rPr>
          <w:b/>
          <w:bCs/>
          <w:sz w:val="18"/>
          <w:szCs w:val="18"/>
        </w:rPr>
        <w:t>10-</w:t>
      </w:r>
      <w:r>
        <w:rPr>
          <w:b/>
          <w:bCs/>
          <w:sz w:val="18"/>
          <w:szCs w:val="18"/>
        </w:rPr>
        <w:t>Q</w:t>
      </w:r>
    </w:p>
    <w:p w:rsidR="00000000" w:rsidRDefault="00CF461A">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CF461A">
      <w:pPr>
        <w:pStyle w:val="a3"/>
        <w:spacing w:before="120" w:beforeAutospacing="0" w:after="0" w:afterAutospacing="0"/>
        <w:rPr>
          <w:sz w:val="20"/>
          <w:szCs w:val="20"/>
        </w:rPr>
      </w:pPr>
      <w:r>
        <w:rPr>
          <w:b/>
          <w:bCs/>
          <w:sz w:val="18"/>
          <w:szCs w:val="18"/>
        </w:rPr>
        <w:t>(Mark One</w:t>
      </w:r>
      <w:r>
        <w:rPr>
          <w:b/>
          <w:bCs/>
          <w:sz w:val="18"/>
          <w:szCs w:val="18"/>
        </w:rPr>
        <w:t>)</w: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ind w:hanging="581"/>
        <w:rPr>
          <w:sz w:val="20"/>
          <w:szCs w:val="20"/>
        </w:rPr>
      </w:pPr>
      <w:r>
        <w:rPr>
          <w:rFonts w:ascii="Segoe UI Symbol" w:hAnsi="Segoe UI Symbol" w:cs="Segoe UI Symbol"/>
          <w:b/>
          <w:bCs/>
          <w:sz w:val="18"/>
          <w:szCs w:val="18"/>
        </w:rPr>
        <w:t>☒</w:t>
      </w:r>
      <w:r>
        <w:rPr>
          <w:b/>
          <w:bCs/>
          <w:sz w:val="18"/>
          <w:szCs w:val="18"/>
        </w:rPr>
        <w:t xml:space="preserve"> QUARTERLY REPORT PURSUANT TO SECTION 13 OR 15(d) OF THE SECURITIES EXCH</w:t>
      </w:r>
      <w:r>
        <w:rPr>
          <w:b/>
          <w:bCs/>
          <w:sz w:val="18"/>
          <w:szCs w:val="18"/>
        </w:rPr>
        <w:t>ANGE ACT OF 193</w:t>
      </w:r>
      <w:r>
        <w:rPr>
          <w:b/>
          <w:bCs/>
          <w:sz w:val="18"/>
          <w:szCs w:val="18"/>
        </w:rPr>
        <w:t>4</w:t>
      </w:r>
    </w:p>
    <w:p w:rsidR="00000000" w:rsidRDefault="00CF461A">
      <w:pPr>
        <w:pStyle w:val="a3"/>
        <w:spacing w:before="80" w:beforeAutospacing="0" w:after="0" w:afterAutospacing="0"/>
        <w:jc w:val="center"/>
        <w:rPr>
          <w:sz w:val="20"/>
          <w:szCs w:val="20"/>
        </w:rPr>
      </w:pPr>
      <w:r>
        <w:rPr>
          <w:b/>
          <w:bCs/>
          <w:sz w:val="18"/>
          <w:szCs w:val="18"/>
        </w:rPr>
        <w:t>For the quarterly period ended</w:t>
      </w:r>
      <w:r>
        <w:rPr>
          <w:b/>
          <w:bCs/>
          <w:sz w:val="18"/>
          <w:szCs w:val="18"/>
        </w:rPr>
        <w:t xml:space="preserve"> </w:t>
      </w:r>
      <w:r>
        <w:rPr>
          <w:b/>
          <w:bCs/>
          <w:sz w:val="18"/>
          <w:szCs w:val="18"/>
        </w:rPr>
        <w:t>March 31,</w:t>
      </w:r>
      <w:r>
        <w:rPr>
          <w:b/>
          <w:bCs/>
          <w:sz w:val="18"/>
          <w:szCs w:val="18"/>
        </w:rPr>
        <w:t xml:space="preserve"> </w:t>
      </w:r>
      <w:r>
        <w:rPr>
          <w:b/>
          <w:bCs/>
          <w:sz w:val="18"/>
          <w:szCs w:val="18"/>
        </w:rPr>
        <w:t>202</w:t>
      </w:r>
      <w:r>
        <w:rPr>
          <w:b/>
          <w:bCs/>
          <w:sz w:val="18"/>
          <w:szCs w:val="18"/>
        </w:rPr>
        <w:t>2</w:t>
      </w:r>
    </w:p>
    <w:p w:rsidR="00000000" w:rsidRDefault="00CF461A">
      <w:pPr>
        <w:pStyle w:val="a3"/>
        <w:spacing w:before="80" w:beforeAutospacing="0" w:after="0" w:afterAutospacing="0"/>
        <w:jc w:val="center"/>
        <w:rPr>
          <w:sz w:val="20"/>
          <w:szCs w:val="20"/>
        </w:rPr>
      </w:pPr>
      <w:r>
        <w:rPr>
          <w:b/>
          <w:bCs/>
          <w:sz w:val="18"/>
          <w:szCs w:val="18"/>
        </w:rPr>
        <w:t>O</w:t>
      </w:r>
      <w:r>
        <w:rPr>
          <w:b/>
          <w:bCs/>
          <w:sz w:val="18"/>
          <w:szCs w:val="18"/>
        </w:rPr>
        <w:t>R</w:t>
      </w:r>
    </w:p>
    <w:p w:rsidR="00000000" w:rsidRDefault="00CF461A">
      <w:pPr>
        <w:pStyle w:val="a3"/>
        <w:spacing w:before="80" w:beforeAutospacing="0" w:after="0" w:afterAutospacing="0"/>
        <w:ind w:hanging="581"/>
        <w:rPr>
          <w:sz w:val="20"/>
          <w:szCs w:val="20"/>
        </w:rPr>
      </w:pPr>
      <w:r>
        <w:rPr>
          <w:rFonts w:ascii="Segoe UI Symbol" w:hAnsi="Segoe UI Symbol" w:cs="Segoe UI Symbol"/>
          <w:b/>
          <w:bCs/>
          <w:sz w:val="18"/>
          <w:szCs w:val="18"/>
        </w:rPr>
        <w:t>☐</w:t>
      </w:r>
      <w:r>
        <w:rPr>
          <w:b/>
          <w:bCs/>
          <w:sz w:val="18"/>
          <w:szCs w:val="18"/>
        </w:rPr>
        <w:t xml:space="preserve"> TRANSITION REPORT PURSUANT TO SECTION 13 OR 15(d) OF THE SECURITIES EXCHANGE ACT OF 193</w:t>
      </w:r>
      <w:r>
        <w:rPr>
          <w:b/>
          <w:bCs/>
          <w:sz w:val="18"/>
          <w:szCs w:val="18"/>
        </w:rPr>
        <w:t>4</w:t>
      </w:r>
    </w:p>
    <w:p w:rsidR="00000000" w:rsidRDefault="00CF461A">
      <w:pPr>
        <w:pStyle w:val="a3"/>
        <w:spacing w:before="120" w:beforeAutospacing="0" w:after="0" w:afterAutospacing="0"/>
        <w:jc w:val="center"/>
        <w:rPr>
          <w:sz w:val="20"/>
          <w:szCs w:val="20"/>
        </w:rPr>
      </w:pPr>
      <w:r>
        <w:rPr>
          <w:b/>
          <w:bCs/>
          <w:sz w:val="18"/>
          <w:szCs w:val="18"/>
        </w:rPr>
        <w:t>For the transition period from ______________________ to _____________________</w:t>
      </w:r>
      <w:r>
        <w:rPr>
          <w:b/>
          <w:bCs/>
          <w:sz w:val="18"/>
          <w:szCs w:val="18"/>
        </w:rPr>
        <w:t>_</w:t>
      </w:r>
    </w:p>
    <w:p w:rsidR="00000000" w:rsidRDefault="00CF461A">
      <w:pPr>
        <w:pStyle w:val="a3"/>
        <w:spacing w:before="120" w:beforeAutospacing="0" w:after="0" w:afterAutospacing="0"/>
        <w:jc w:val="center"/>
        <w:rPr>
          <w:sz w:val="20"/>
          <w:szCs w:val="20"/>
        </w:rPr>
      </w:pPr>
      <w:r>
        <w:rPr>
          <w:b/>
          <w:bCs/>
          <w:sz w:val="18"/>
          <w:szCs w:val="18"/>
        </w:rPr>
        <w:t>Commission File Number:</w:t>
      </w:r>
      <w:r>
        <w:rPr>
          <w:b/>
          <w:bCs/>
          <w:sz w:val="18"/>
          <w:szCs w:val="18"/>
        </w:rPr>
        <w:t xml:space="preserve"> </w:t>
      </w:r>
      <w:r>
        <w:rPr>
          <w:b/>
          <w:bCs/>
          <w:sz w:val="18"/>
          <w:szCs w:val="18"/>
        </w:rPr>
        <w:t>001-3808</w:t>
      </w:r>
      <w:r>
        <w:rPr>
          <w:b/>
          <w:bCs/>
          <w:sz w:val="18"/>
          <w:szCs w:val="18"/>
        </w:rPr>
        <w:t>5</w:t>
      </w:r>
    </w:p>
    <w:p w:rsidR="00000000" w:rsidRDefault="00CF461A">
      <w:pPr>
        <w:pStyle w:val="a3"/>
        <w:pBdr>
          <w:bottom w:val="single" w:sz="4" w:space="1" w:color="auto"/>
        </w:pBdr>
        <w:spacing w:before="0" w:beforeAutospacing="0" w:after="0" w:afterAutospacing="0"/>
        <w:ind w:left="4762" w:right="4762"/>
        <w:jc w:val="center"/>
        <w:rPr>
          <w:sz w:val="20"/>
          <w:szCs w:val="20"/>
        </w:rPr>
      </w:pPr>
      <w:r>
        <w:rPr>
          <w:sz w:val="16"/>
          <w:szCs w:val="16"/>
        </w:rPr>
        <w:t> </w:t>
      </w:r>
    </w:p>
    <w:p w:rsidR="00000000" w:rsidRDefault="00CF461A">
      <w:pPr>
        <w:pStyle w:val="a3"/>
        <w:spacing w:before="120" w:beforeAutospacing="0" w:after="0" w:afterAutospacing="0"/>
        <w:jc w:val="center"/>
        <w:rPr>
          <w:sz w:val="20"/>
          <w:szCs w:val="20"/>
        </w:rPr>
      </w:pPr>
      <w:r>
        <w:rPr>
          <w:b/>
          <w:bCs/>
          <w:sz w:val="48"/>
          <w:szCs w:val="48"/>
        </w:rPr>
        <w:t>Ovid Therapeutics Inc</w:t>
      </w:r>
      <w:r>
        <w:rPr>
          <w:b/>
          <w:bCs/>
          <w:sz w:val="48"/>
          <w:szCs w:val="48"/>
        </w:rPr>
        <w:t>.</w:t>
      </w:r>
    </w:p>
    <w:p w:rsidR="00000000" w:rsidRDefault="00CF461A">
      <w:pPr>
        <w:pStyle w:val="a3"/>
        <w:spacing w:before="0" w:beforeAutospacing="0" w:after="0" w:afterAutospacing="0"/>
        <w:jc w:val="center"/>
        <w:rPr>
          <w:sz w:val="20"/>
          <w:szCs w:val="20"/>
        </w:rPr>
      </w:pPr>
      <w:r>
        <w:rPr>
          <w:b/>
          <w:bCs/>
          <w:sz w:val="18"/>
          <w:szCs w:val="18"/>
        </w:rPr>
        <w:t>(Exact Name of Registrant as Specified in its Charter</w:t>
      </w:r>
      <w:r>
        <w:rPr>
          <w:b/>
          <w:bCs/>
          <w:sz w:val="18"/>
          <w:szCs w:val="18"/>
        </w:rPr>
        <w:t>)</w:t>
      </w:r>
    </w:p>
    <w:p w:rsidR="00000000" w:rsidRDefault="00CF461A">
      <w:pPr>
        <w:pStyle w:val="a3"/>
        <w:pBdr>
          <w:bottom w:val="single" w:sz="4" w:space="1" w:color="auto"/>
        </w:pBdr>
        <w:spacing w:before="0" w:beforeAutospacing="0" w:after="0" w:afterAutospacing="0"/>
        <w:ind w:left="4762" w:right="4762"/>
        <w:jc w:val="center"/>
        <w:rPr>
          <w:sz w:val="20"/>
          <w:szCs w:val="20"/>
        </w:rPr>
      </w:pPr>
      <w:r>
        <w:rPr>
          <w:sz w:val="18"/>
          <w:szCs w:val="18"/>
        </w:rPr>
        <w:t> </w:t>
      </w:r>
    </w:p>
    <w:p w:rsidR="00000000" w:rsidRDefault="00CF461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40"/>
        <w:gridCol w:w="153"/>
        <w:gridCol w:w="152"/>
        <w:gridCol w:w="4061"/>
      </w:tblGrid>
      <w:tr w:rsidR="00000000">
        <w:trPr>
          <w:tblCellSpacing w:w="15" w:type="dxa"/>
        </w:trPr>
        <w:tc>
          <w:tcPr>
            <w:tcW w:w="2387" w:type="pct"/>
            <w:vAlign w:val="center"/>
            <w:hideMark/>
          </w:tcPr>
          <w:p w:rsidR="00000000" w:rsidRDefault="00CF461A">
            <w:pPr>
              <w:rPr>
                <w:sz w:val="20"/>
                <w:szCs w:val="20"/>
              </w:rPr>
            </w:pPr>
          </w:p>
        </w:tc>
        <w:tc>
          <w:tcPr>
            <w:tcW w:w="75" w:type="pct"/>
            <w:vAlign w:val="center"/>
            <w:hideMark/>
          </w:tcPr>
          <w:p w:rsidR="00000000" w:rsidRDefault="00CF461A">
            <w:pPr>
              <w:rPr>
                <w:rFonts w:eastAsia="Times New Roman"/>
                <w:sz w:val="20"/>
                <w:szCs w:val="20"/>
              </w:rPr>
            </w:pPr>
          </w:p>
        </w:tc>
        <w:tc>
          <w:tcPr>
            <w:tcW w:w="75" w:type="pct"/>
            <w:vAlign w:val="center"/>
            <w:hideMark/>
          </w:tcPr>
          <w:p w:rsidR="00000000" w:rsidRDefault="00CF461A">
            <w:pPr>
              <w:rPr>
                <w:rFonts w:eastAsia="Times New Roman"/>
                <w:sz w:val="20"/>
                <w:szCs w:val="20"/>
              </w:rPr>
            </w:pPr>
          </w:p>
        </w:tc>
        <w:tc>
          <w:tcPr>
            <w:tcW w:w="2462"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hideMark/>
          </w:tcPr>
          <w:p w:rsidR="00000000" w:rsidRDefault="00CF461A">
            <w:pPr>
              <w:pStyle w:val="a3"/>
              <w:spacing w:before="0" w:beforeAutospacing="0" w:after="0" w:afterAutospacing="0" w:line="0" w:lineRule="auto"/>
              <w:ind w:right="9"/>
              <w:jc w:val="center"/>
              <w:rPr>
                <w:sz w:val="20"/>
                <w:szCs w:val="20"/>
              </w:rPr>
            </w:pPr>
            <w:r>
              <w:rPr>
                <w:b/>
                <w:bCs/>
                <w:sz w:val="18"/>
                <w:szCs w:val="18"/>
              </w:rPr>
              <w:t>Delawar</w:t>
            </w:r>
            <w:r>
              <w:rPr>
                <w:b/>
                <w:bCs/>
                <w:sz w:val="18"/>
                <w:szCs w:val="18"/>
              </w:rPr>
              <w:t>e</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hideMark/>
          </w:tcPr>
          <w:p w:rsidR="00000000" w:rsidRDefault="00CF461A">
            <w:pPr>
              <w:pStyle w:val="a3"/>
              <w:spacing w:before="0" w:beforeAutospacing="0" w:after="0" w:afterAutospacing="0" w:line="0" w:lineRule="auto"/>
              <w:ind w:right="9"/>
              <w:jc w:val="center"/>
              <w:rPr>
                <w:sz w:val="20"/>
                <w:szCs w:val="20"/>
              </w:rPr>
            </w:pPr>
            <w:r>
              <w:rPr>
                <w:b/>
                <w:bCs/>
                <w:sz w:val="18"/>
                <w:szCs w:val="18"/>
              </w:rPr>
              <w:t>46-527089</w:t>
            </w:r>
            <w:r>
              <w:rPr>
                <w:b/>
                <w:bCs/>
                <w:sz w:val="18"/>
                <w:szCs w:val="18"/>
              </w:rPr>
              <w:t>5</w:t>
            </w:r>
          </w:p>
        </w:tc>
      </w:tr>
      <w:tr w:rsidR="00000000">
        <w:trPr>
          <w:trHeight w:val="180"/>
          <w:tblCellSpacing w:w="15" w:type="dxa"/>
        </w:trPr>
        <w:tc>
          <w:tcPr>
            <w:tcW w:w="0" w:type="auto"/>
            <w:hideMark/>
          </w:tcPr>
          <w:p w:rsidR="00000000" w:rsidRDefault="00CF461A">
            <w:pPr>
              <w:pStyle w:val="a3"/>
              <w:spacing w:before="0" w:beforeAutospacing="0" w:after="0" w:afterAutospacing="0" w:line="0" w:lineRule="auto"/>
              <w:ind w:right="9"/>
              <w:jc w:val="center"/>
              <w:rPr>
                <w:sz w:val="18"/>
                <w:szCs w:val="18"/>
              </w:rPr>
            </w:pPr>
            <w:r>
              <w:rPr>
                <w:b/>
                <w:bCs/>
                <w:sz w:val="18"/>
                <w:szCs w:val="18"/>
              </w:rPr>
              <w:t>(State or Other Jurisdiction o</w:t>
            </w:r>
            <w:r>
              <w:rPr>
                <w:b/>
                <w:bCs/>
                <w:sz w:val="18"/>
                <w:szCs w:val="18"/>
              </w:rPr>
              <w:t>f</w:t>
            </w:r>
          </w:p>
          <w:p w:rsidR="00000000" w:rsidRDefault="00CF461A">
            <w:pPr>
              <w:pStyle w:val="a3"/>
              <w:spacing w:before="0" w:beforeAutospacing="0" w:after="0" w:afterAutospacing="0" w:line="0" w:lineRule="auto"/>
              <w:ind w:right="9"/>
              <w:jc w:val="center"/>
              <w:rPr>
                <w:sz w:val="18"/>
                <w:szCs w:val="18"/>
              </w:rPr>
            </w:pPr>
            <w:r>
              <w:rPr>
                <w:b/>
                <w:bCs/>
                <w:sz w:val="18"/>
                <w:szCs w:val="18"/>
              </w:rPr>
              <w:t>Incorporation or Organization</w:t>
            </w:r>
            <w:r>
              <w:rPr>
                <w:b/>
                <w:bCs/>
                <w:sz w:val="18"/>
                <w:szCs w:val="18"/>
              </w:rPr>
              <w:t>)</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hideMark/>
          </w:tcPr>
          <w:p w:rsidR="00000000" w:rsidRDefault="00CF461A">
            <w:pPr>
              <w:pStyle w:val="a3"/>
              <w:spacing w:before="0" w:beforeAutospacing="0" w:after="0" w:afterAutospacing="0" w:line="0" w:lineRule="auto"/>
              <w:ind w:right="9"/>
              <w:jc w:val="center"/>
              <w:rPr>
                <w:sz w:val="18"/>
                <w:szCs w:val="18"/>
              </w:rPr>
            </w:pPr>
            <w:r>
              <w:rPr>
                <w:b/>
                <w:bCs/>
                <w:sz w:val="18"/>
                <w:szCs w:val="18"/>
              </w:rPr>
              <w:t>(I.R.S. Employe</w:t>
            </w:r>
            <w:r>
              <w:rPr>
                <w:b/>
                <w:bCs/>
                <w:sz w:val="18"/>
                <w:szCs w:val="18"/>
              </w:rPr>
              <w:t>r</w:t>
            </w:r>
          </w:p>
          <w:p w:rsidR="00000000" w:rsidRDefault="00CF461A">
            <w:pPr>
              <w:pStyle w:val="a3"/>
              <w:spacing w:before="0" w:beforeAutospacing="0" w:after="0" w:afterAutospacing="0" w:line="0" w:lineRule="auto"/>
              <w:ind w:right="9"/>
              <w:jc w:val="center"/>
              <w:rPr>
                <w:sz w:val="18"/>
                <w:szCs w:val="18"/>
              </w:rPr>
            </w:pPr>
            <w:r>
              <w:rPr>
                <w:b/>
                <w:bCs/>
                <w:sz w:val="18"/>
                <w:szCs w:val="18"/>
              </w:rPr>
              <w:t>Identification Number</w:t>
            </w:r>
            <w:r>
              <w:rPr>
                <w:b/>
                <w:bCs/>
                <w:sz w:val="18"/>
                <w:szCs w:val="18"/>
              </w:rPr>
              <w:t>)</w:t>
            </w:r>
          </w:p>
        </w:tc>
      </w:tr>
    </w:tbl>
    <w:p w:rsidR="00000000" w:rsidRDefault="00CF461A">
      <w:pPr>
        <w:pStyle w:val="a3"/>
        <w:spacing w:before="0" w:beforeAutospacing="0" w:after="0" w:afterAutospacing="0"/>
        <w:jc w:val="center"/>
        <w:rPr>
          <w:sz w:val="20"/>
          <w:szCs w:val="20"/>
        </w:rPr>
      </w:pPr>
      <w:r>
        <w:rPr>
          <w:sz w:val="16"/>
          <w:szCs w:val="16"/>
        </w:rPr>
        <w:t> </w:t>
      </w:r>
    </w:p>
    <w:p w:rsidR="00000000" w:rsidRDefault="00CF461A">
      <w:pPr>
        <w:pStyle w:val="a3"/>
        <w:spacing w:before="0" w:beforeAutospacing="0" w:after="0" w:afterAutospacing="0"/>
        <w:jc w:val="center"/>
        <w:rPr>
          <w:sz w:val="20"/>
          <w:szCs w:val="20"/>
        </w:rPr>
      </w:pPr>
      <w:r>
        <w:rPr>
          <w:sz w:val="16"/>
          <w:szCs w:val="16"/>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CF461A">
            <w:pPr>
              <w:rPr>
                <w:sz w:val="20"/>
                <w:szCs w:val="20"/>
              </w:rPr>
            </w:pPr>
          </w:p>
        </w:tc>
        <w:tc>
          <w:tcPr>
            <w:tcW w:w="2500" w:type="pct"/>
            <w:vAlign w:val="center"/>
            <w:hideMark/>
          </w:tcPr>
          <w:p w:rsidR="00000000" w:rsidRDefault="00CF461A">
            <w:pPr>
              <w:rPr>
                <w:rFonts w:eastAsia="Times New Roman"/>
                <w:sz w:val="20"/>
                <w:szCs w:val="20"/>
              </w:rPr>
            </w:pPr>
          </w:p>
        </w:tc>
      </w:tr>
      <w:tr w:rsidR="00000000">
        <w:trPr>
          <w:trHeight w:val="200"/>
          <w:tblCellSpacing w:w="15" w:type="dxa"/>
        </w:trPr>
        <w:tc>
          <w:tcPr>
            <w:tcW w:w="0" w:type="auto"/>
            <w:tcMar>
              <w:top w:w="15" w:type="dxa"/>
              <w:left w:w="15" w:type="dxa"/>
              <w:bottom w:w="15" w:type="dxa"/>
              <w:right w:w="14" w:type="dxa"/>
            </w:tcMar>
            <w:vAlign w:val="bottom"/>
            <w:hideMark/>
          </w:tcPr>
          <w:p w:rsidR="00000000" w:rsidRDefault="00CF461A">
            <w:pPr>
              <w:pStyle w:val="a3"/>
              <w:spacing w:before="0" w:beforeAutospacing="0" w:after="15" w:afterAutospacing="0"/>
              <w:jc w:val="center"/>
              <w:rPr>
                <w:sz w:val="20"/>
                <w:szCs w:val="20"/>
              </w:rPr>
            </w:pPr>
            <w:r>
              <w:rPr>
                <w:b/>
                <w:bCs/>
                <w:sz w:val="20"/>
                <w:szCs w:val="20"/>
              </w:rPr>
              <w:t>1460 Broadwa</w:t>
            </w:r>
            <w:r>
              <w:rPr>
                <w:b/>
                <w:bCs/>
                <w:sz w:val="20"/>
                <w:szCs w:val="20"/>
              </w:rPr>
              <w:t>y</w:t>
            </w:r>
            <w:r>
              <w:rPr>
                <w:b/>
                <w:bCs/>
                <w:sz w:val="20"/>
                <w:szCs w:val="20"/>
              </w:rPr>
              <w:t>,</w:t>
            </w:r>
            <w:r>
              <w:rPr>
                <w:b/>
                <w:bCs/>
                <w:sz w:val="20"/>
                <w:szCs w:val="20"/>
              </w:rPr>
              <w:t xml:space="preserve"> </w:t>
            </w:r>
            <w:r>
              <w:rPr>
                <w:b/>
                <w:bCs/>
                <w:sz w:val="20"/>
                <w:szCs w:val="20"/>
              </w:rPr>
              <w:t>Suite 1504</w:t>
            </w:r>
            <w:r>
              <w:rPr>
                <w:b/>
                <w:bCs/>
                <w:sz w:val="20"/>
                <w:szCs w:val="20"/>
              </w:rPr>
              <w:t>4</w:t>
            </w:r>
          </w:p>
          <w:p w:rsidR="00000000" w:rsidRDefault="00CF461A">
            <w:pPr>
              <w:pStyle w:val="a3"/>
              <w:spacing w:before="0" w:beforeAutospacing="0" w:after="15" w:afterAutospacing="0"/>
              <w:jc w:val="center"/>
              <w:rPr>
                <w:sz w:val="20"/>
                <w:szCs w:val="20"/>
              </w:rPr>
            </w:pPr>
            <w:r>
              <w:rPr>
                <w:b/>
                <w:bCs/>
                <w:sz w:val="20"/>
                <w:szCs w:val="20"/>
              </w:rPr>
              <w:t>New Yor</w:t>
            </w:r>
            <w:r>
              <w:rPr>
                <w:b/>
                <w:bCs/>
                <w:sz w:val="20"/>
                <w:szCs w:val="20"/>
              </w:rPr>
              <w:t>k</w:t>
            </w:r>
            <w:r>
              <w:rPr>
                <w:b/>
                <w:bCs/>
                <w:sz w:val="20"/>
                <w:szCs w:val="20"/>
              </w:rPr>
              <w:t>,</w:t>
            </w:r>
            <w:r>
              <w:rPr>
                <w:b/>
                <w:bCs/>
                <w:sz w:val="20"/>
                <w:szCs w:val="20"/>
              </w:rPr>
              <w:t xml:space="preserve"> </w:t>
            </w:r>
            <w:r>
              <w:rPr>
                <w:b/>
                <w:bCs/>
                <w:sz w:val="20"/>
                <w:szCs w:val="20"/>
              </w:rPr>
              <w:t>New Yor</w:t>
            </w:r>
            <w:r>
              <w:rPr>
                <w:b/>
                <w:bCs/>
                <w:sz w:val="20"/>
                <w:szCs w:val="20"/>
              </w:rPr>
              <w:t>k</w:t>
            </w:r>
            <w:r>
              <w:rPr>
                <w:b/>
                <w:bCs/>
                <w:sz w:val="20"/>
                <w:szCs w:val="20"/>
              </w:rPr>
              <w:t xml:space="preserve"> </w:t>
            </w:r>
          </w:p>
        </w:tc>
        <w:tc>
          <w:tcPr>
            <w:tcW w:w="0" w:type="auto"/>
            <w:tcMar>
              <w:top w:w="15" w:type="dxa"/>
              <w:left w:w="15" w:type="dxa"/>
              <w:bottom w:w="15" w:type="dxa"/>
              <w:right w:w="14" w:type="dxa"/>
            </w:tcMar>
            <w:vAlign w:val="bottom"/>
            <w:hideMark/>
          </w:tcPr>
          <w:p w:rsidR="00000000" w:rsidRDefault="00CF461A">
            <w:pPr>
              <w:pStyle w:val="a3"/>
              <w:spacing w:before="0" w:beforeAutospacing="0" w:after="0" w:afterAutospacing="0"/>
              <w:jc w:val="center"/>
              <w:rPr>
                <w:sz w:val="20"/>
                <w:szCs w:val="20"/>
              </w:rPr>
            </w:pPr>
            <w:r>
              <w:rPr>
                <w:b/>
                <w:bCs/>
                <w:sz w:val="20"/>
                <w:szCs w:val="20"/>
              </w:rPr>
              <w:t>1003</w:t>
            </w:r>
            <w:r>
              <w:rPr>
                <w:b/>
                <w:bCs/>
                <w:sz w:val="20"/>
                <w:szCs w:val="20"/>
              </w:rPr>
              <w:t>6</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CF461A">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rsidR="00000000" w:rsidRDefault="00CF461A">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CF461A">
      <w:pPr>
        <w:pStyle w:val="a3"/>
        <w:spacing w:before="120" w:beforeAutospacing="0" w:after="0" w:afterAutospacing="0"/>
        <w:jc w:val="center"/>
        <w:rPr>
          <w:sz w:val="20"/>
          <w:szCs w:val="20"/>
        </w:rPr>
      </w:pPr>
      <w:r>
        <w:rPr>
          <w:b/>
          <w:bCs/>
          <w:sz w:val="20"/>
          <w:szCs w:val="20"/>
        </w:rPr>
        <w:t>Registrant’</w:t>
      </w:r>
      <w:r>
        <w:rPr>
          <w:b/>
          <w:bCs/>
          <w:sz w:val="20"/>
          <w:szCs w:val="20"/>
        </w:rPr>
        <w:t xml:space="preserve">s telephone number, including area code: </w:t>
      </w:r>
      <w:r>
        <w:rPr>
          <w:b/>
          <w:bCs/>
          <w:sz w:val="20"/>
          <w:szCs w:val="20"/>
        </w:rPr>
        <w:t>(</w:t>
      </w:r>
      <w:r>
        <w:rPr>
          <w:b/>
          <w:bCs/>
          <w:sz w:val="20"/>
          <w:szCs w:val="20"/>
        </w:rPr>
        <w:t>64</w:t>
      </w:r>
      <w:r>
        <w:rPr>
          <w:b/>
          <w:bCs/>
          <w:sz w:val="20"/>
          <w:szCs w:val="20"/>
        </w:rPr>
        <w:t>6</w:t>
      </w:r>
      <w:r>
        <w:rPr>
          <w:b/>
          <w:bCs/>
          <w:sz w:val="20"/>
          <w:szCs w:val="20"/>
        </w:rPr>
        <w:t>)</w:t>
      </w:r>
      <w:r>
        <w:rPr>
          <w:b/>
          <w:bCs/>
          <w:sz w:val="20"/>
          <w:szCs w:val="20"/>
        </w:rPr>
        <w:t xml:space="preserve"> </w:t>
      </w:r>
      <w:r>
        <w:rPr>
          <w:b/>
          <w:bCs/>
          <w:sz w:val="20"/>
          <w:szCs w:val="20"/>
        </w:rPr>
        <w:t>661-766</w:t>
      </w:r>
      <w:r>
        <w:rPr>
          <w:b/>
          <w:bCs/>
          <w:sz w:val="20"/>
          <w:szCs w:val="20"/>
        </w:rPr>
        <w:t>1</w:t>
      </w:r>
    </w:p>
    <w:p w:rsidR="00000000" w:rsidRDefault="00CF461A">
      <w:pPr>
        <w:pStyle w:val="a3"/>
        <w:spacing w:before="0" w:beforeAutospacing="0" w:after="0" w:afterAutospacing="0"/>
        <w:jc w:val="center"/>
        <w:rPr>
          <w:sz w:val="20"/>
          <w:szCs w:val="20"/>
        </w:rPr>
      </w:pPr>
      <w:r>
        <w:rPr>
          <w:sz w:val="16"/>
          <w:szCs w:val="16"/>
        </w:rPr>
        <w:t> </w:t>
      </w:r>
    </w:p>
    <w:p w:rsidR="00000000" w:rsidRDefault="00CF461A">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CF461A">
      <w:pPr>
        <w:pStyle w:val="a3"/>
        <w:spacing w:before="60" w:beforeAutospacing="0" w:after="0" w:afterAutospacing="0"/>
        <w:jc w:val="center"/>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3"/>
        <w:gridCol w:w="111"/>
        <w:gridCol w:w="1249"/>
        <w:gridCol w:w="111"/>
        <w:gridCol w:w="3702"/>
      </w:tblGrid>
      <w:tr w:rsidR="00000000">
        <w:trPr>
          <w:tblCellSpacing w:w="15" w:type="dxa"/>
        </w:trPr>
        <w:tc>
          <w:tcPr>
            <w:tcW w:w="1900" w:type="pct"/>
            <w:vAlign w:val="center"/>
            <w:hideMark/>
          </w:tcPr>
          <w:p w:rsidR="00000000" w:rsidRDefault="00CF461A">
            <w:pPr>
              <w:rPr>
                <w:sz w:val="20"/>
                <w:szCs w:val="20"/>
              </w:rPr>
            </w:pPr>
          </w:p>
        </w:tc>
        <w:tc>
          <w:tcPr>
            <w:tcW w:w="50" w:type="pct"/>
            <w:vAlign w:val="center"/>
            <w:hideMark/>
          </w:tcPr>
          <w:p w:rsidR="00000000" w:rsidRDefault="00CF461A">
            <w:pPr>
              <w:rPr>
                <w:rFonts w:eastAsia="Times New Roman"/>
                <w:sz w:val="20"/>
                <w:szCs w:val="20"/>
              </w:rPr>
            </w:pPr>
          </w:p>
        </w:tc>
        <w:tc>
          <w:tcPr>
            <w:tcW w:w="750"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2250"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tcBorders>
              <w:bottom w:val="single" w:sz="4" w:space="0" w:color="auto"/>
            </w:tcBorders>
            <w:vAlign w:val="bottom"/>
            <w:hideMark/>
          </w:tcPr>
          <w:p w:rsidR="00000000" w:rsidRDefault="00CF461A">
            <w:pPr>
              <w:pStyle w:val="a3"/>
              <w:spacing w:before="0" w:beforeAutospacing="0" w:after="0" w:afterAutospacing="0" w:line="0" w:lineRule="auto"/>
              <w:jc w:val="center"/>
              <w:rPr>
                <w:sz w:val="18"/>
                <w:szCs w:val="18"/>
              </w:rPr>
            </w:pPr>
            <w:r>
              <w:rPr>
                <w:b/>
                <w:bCs/>
                <w:sz w:val="18"/>
                <w:szCs w:val="18"/>
              </w:rPr>
              <w:t>Title of each clas</w:t>
            </w:r>
            <w:r>
              <w:rPr>
                <w:b/>
                <w:bCs/>
                <w:sz w:val="18"/>
                <w:szCs w:val="18"/>
              </w:rPr>
              <w:t>s</w:t>
            </w:r>
          </w:p>
        </w:tc>
        <w:tc>
          <w:tcPr>
            <w:tcW w:w="0" w:type="auto"/>
            <w:vAlign w:val="bottom"/>
            <w:hideMark/>
          </w:tcPr>
          <w:p w:rsidR="00000000" w:rsidRDefault="00CF461A">
            <w:pPr>
              <w:pStyle w:val="a3"/>
              <w:spacing w:before="0" w:beforeAutospacing="0" w:after="0" w:afterAutospacing="0" w:line="0" w:lineRule="auto"/>
              <w:jc w:val="center"/>
              <w:rPr>
                <w:sz w:val="18"/>
                <w:szCs w:val="18"/>
              </w:rPr>
            </w:pPr>
            <w:r>
              <w:rPr>
                <w:sz w:val="18"/>
                <w:szCs w:val="18"/>
              </w:rPr>
              <w:t> </w:t>
            </w:r>
          </w:p>
        </w:tc>
        <w:tc>
          <w:tcPr>
            <w:tcW w:w="0" w:type="auto"/>
            <w:tcBorders>
              <w:bottom w:val="single" w:sz="4" w:space="0" w:color="auto"/>
            </w:tcBorders>
            <w:vAlign w:val="bottom"/>
            <w:hideMark/>
          </w:tcPr>
          <w:p w:rsidR="00000000" w:rsidRDefault="00CF461A">
            <w:pPr>
              <w:pStyle w:val="a3"/>
              <w:spacing w:before="0" w:beforeAutospacing="0" w:after="0" w:afterAutospacing="0" w:line="0" w:lineRule="auto"/>
              <w:jc w:val="center"/>
              <w:rPr>
                <w:sz w:val="18"/>
                <w:szCs w:val="18"/>
              </w:rPr>
            </w:pPr>
            <w:r>
              <w:rPr>
                <w:b/>
                <w:bCs/>
                <w:sz w:val="18"/>
                <w:szCs w:val="18"/>
              </w:rPr>
              <w:t>Tradin</w:t>
            </w:r>
            <w:r>
              <w:rPr>
                <w:b/>
                <w:bCs/>
                <w:sz w:val="18"/>
                <w:szCs w:val="18"/>
              </w:rPr>
              <w:t>g</w:t>
            </w:r>
          </w:p>
          <w:p w:rsidR="00000000" w:rsidRDefault="00CF461A">
            <w:pPr>
              <w:pStyle w:val="a3"/>
              <w:spacing w:before="0" w:beforeAutospacing="0" w:after="0" w:afterAutospacing="0" w:line="0" w:lineRule="auto"/>
              <w:jc w:val="center"/>
              <w:rPr>
                <w:sz w:val="18"/>
                <w:szCs w:val="18"/>
              </w:rPr>
            </w:pPr>
            <w:r>
              <w:rPr>
                <w:b/>
                <w:bCs/>
                <w:sz w:val="18"/>
                <w:szCs w:val="18"/>
              </w:rPr>
              <w:t>Symbol(s</w:t>
            </w:r>
            <w:r>
              <w:rPr>
                <w:b/>
                <w:bCs/>
                <w:sz w:val="18"/>
                <w:szCs w:val="18"/>
              </w:rPr>
              <w:t>)</w:t>
            </w:r>
          </w:p>
        </w:tc>
        <w:tc>
          <w:tcPr>
            <w:tcW w:w="0" w:type="auto"/>
            <w:vAlign w:val="bottom"/>
            <w:hideMark/>
          </w:tcPr>
          <w:p w:rsidR="00000000" w:rsidRDefault="00CF461A">
            <w:pPr>
              <w:pStyle w:val="a3"/>
              <w:spacing w:before="0" w:beforeAutospacing="0" w:after="0" w:afterAutospacing="0" w:line="0" w:lineRule="auto"/>
              <w:jc w:val="center"/>
              <w:rPr>
                <w:sz w:val="18"/>
                <w:szCs w:val="18"/>
              </w:rPr>
            </w:pPr>
            <w:r>
              <w:rPr>
                <w:sz w:val="18"/>
                <w:szCs w:val="18"/>
              </w:rPr>
              <w:t> </w:t>
            </w:r>
          </w:p>
        </w:tc>
        <w:tc>
          <w:tcPr>
            <w:tcW w:w="0" w:type="auto"/>
            <w:tcBorders>
              <w:bottom w:val="single" w:sz="4" w:space="0" w:color="auto"/>
            </w:tcBorders>
            <w:vAlign w:val="bottom"/>
            <w:hideMark/>
          </w:tcPr>
          <w:p w:rsidR="00000000" w:rsidRDefault="00CF461A">
            <w:pPr>
              <w:pStyle w:val="a3"/>
              <w:spacing w:before="0" w:beforeAutospacing="0" w:after="0" w:afterAutospacing="0" w:line="0" w:lineRule="auto"/>
              <w:jc w:val="center"/>
              <w:rPr>
                <w:sz w:val="18"/>
                <w:szCs w:val="18"/>
              </w:rPr>
            </w:pPr>
            <w:r>
              <w:rPr>
                <w:b/>
                <w:bCs/>
                <w:sz w:val="18"/>
                <w:szCs w:val="18"/>
              </w:rPr>
              <w:t>Name of each exchange on which registere</w:t>
            </w:r>
            <w:r>
              <w:rPr>
                <w:b/>
                <w:bCs/>
                <w:sz w:val="18"/>
                <w:szCs w:val="18"/>
              </w:rPr>
              <w:t>d</w:t>
            </w:r>
          </w:p>
        </w:tc>
      </w:tr>
      <w:tr w:rsidR="00000000">
        <w:trPr>
          <w:trHeight w:val="180"/>
          <w:tblCellSpacing w:w="15" w:type="dxa"/>
        </w:trPr>
        <w:tc>
          <w:tcPr>
            <w:tcW w:w="0" w:type="auto"/>
            <w:hideMark/>
          </w:tcPr>
          <w:p w:rsidR="00000000" w:rsidRDefault="00CF461A">
            <w:pPr>
              <w:pStyle w:val="a3"/>
              <w:spacing w:before="0" w:beforeAutospacing="0" w:after="0" w:afterAutospacing="0" w:line="0" w:lineRule="auto"/>
              <w:jc w:val="center"/>
              <w:rPr>
                <w:sz w:val="20"/>
                <w:szCs w:val="20"/>
              </w:rPr>
            </w:pPr>
            <w:r>
              <w:rPr>
                <w:sz w:val="18"/>
                <w:szCs w:val="18"/>
              </w:rPr>
              <w:t>Common Stock, par value $0.001 per shar</w:t>
            </w:r>
            <w:r>
              <w:rPr>
                <w:sz w:val="18"/>
                <w:szCs w:val="18"/>
              </w:rPr>
              <w:t>e</w:t>
            </w:r>
          </w:p>
        </w:tc>
        <w:tc>
          <w:tcPr>
            <w:tcW w:w="0" w:type="auto"/>
            <w:vAlign w:val="bottom"/>
            <w:hideMark/>
          </w:tcPr>
          <w:p w:rsidR="00000000" w:rsidRDefault="00CF461A">
            <w:pPr>
              <w:pStyle w:val="a3"/>
              <w:spacing w:before="0" w:beforeAutospacing="0" w:after="0" w:afterAutospacing="0" w:line="0" w:lineRule="auto"/>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jc w:val="center"/>
              <w:rPr>
                <w:sz w:val="20"/>
                <w:szCs w:val="20"/>
              </w:rPr>
            </w:pPr>
            <w:r>
              <w:rPr>
                <w:sz w:val="18"/>
                <w:szCs w:val="18"/>
              </w:rPr>
              <w:t>OVI</w:t>
            </w:r>
            <w:r>
              <w:rPr>
                <w:sz w:val="18"/>
                <w:szCs w:val="18"/>
              </w:rPr>
              <w:t>D</w:t>
            </w:r>
          </w:p>
        </w:tc>
        <w:tc>
          <w:tcPr>
            <w:tcW w:w="0" w:type="auto"/>
            <w:vAlign w:val="bottom"/>
            <w:hideMark/>
          </w:tcPr>
          <w:p w:rsidR="00000000" w:rsidRDefault="00CF461A">
            <w:pPr>
              <w:pStyle w:val="a3"/>
              <w:spacing w:before="0" w:beforeAutospacing="0" w:after="0" w:afterAutospacing="0" w:line="0" w:lineRule="auto"/>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jc w:val="center"/>
              <w:rPr>
                <w:sz w:val="20"/>
                <w:szCs w:val="20"/>
              </w:rPr>
            </w:pPr>
            <w:r>
              <w:rPr>
                <w:sz w:val="18"/>
                <w:szCs w:val="18"/>
              </w:rPr>
              <w:t>The Nasdaq Stock Market LL</w:t>
            </w:r>
            <w:r>
              <w:rPr>
                <w:sz w:val="18"/>
                <w:szCs w:val="18"/>
              </w:rPr>
              <w:t>C</w:t>
            </w:r>
          </w:p>
        </w:tc>
      </w:tr>
    </w:tbl>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60" w:beforeAutospacing="0" w:after="0" w:afterAutospacing="0"/>
        <w:jc w:val="center"/>
        <w:rPr>
          <w:sz w:val="20"/>
          <w:szCs w:val="20"/>
        </w:rPr>
      </w:pPr>
      <w:r>
        <w:rPr>
          <w:b/>
          <w:bCs/>
          <w:sz w:val="18"/>
          <w:szCs w:val="18"/>
        </w:rPr>
        <w:t>Securities registered pursuant to Section 12(g) of the Act: Non</w:t>
      </w:r>
      <w:r>
        <w:rPr>
          <w:b/>
          <w:bCs/>
          <w:sz w:val="18"/>
          <w:szCs w:val="18"/>
        </w:rPr>
        <w:t>e</w:t>
      </w:r>
    </w:p>
    <w:p w:rsidR="00000000" w:rsidRDefault="00CF461A">
      <w:pPr>
        <w:pStyle w:val="a3"/>
        <w:spacing w:before="0" w:beforeAutospacing="0" w:after="0" w:afterAutospacing="0"/>
        <w:ind w:left="5000" w:right="5000"/>
        <w:jc w:val="center"/>
        <w:rPr>
          <w:sz w:val="20"/>
          <w:szCs w:val="20"/>
        </w:rPr>
      </w:pPr>
      <w:r>
        <w:rPr>
          <w:sz w:val="20"/>
          <w:szCs w:val="20"/>
        </w:rPr>
        <w:t> </w:t>
      </w:r>
    </w:p>
    <w:p w:rsidR="00000000" w:rsidRDefault="00CF461A">
      <w:pPr>
        <w:pStyle w:val="a3"/>
        <w:spacing w:before="60" w:beforeAutospacing="0" w:after="0" w:afterAutospacing="0"/>
        <w:ind w:firstLine="555"/>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the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CF461A">
      <w:pPr>
        <w:pStyle w:val="a3"/>
        <w:spacing w:before="60" w:beforeAutospacing="0" w:after="0" w:afterAutospacing="0"/>
        <w:ind w:firstLine="555"/>
        <w:rPr>
          <w:sz w:val="20"/>
          <w:szCs w:val="20"/>
        </w:rPr>
      </w:pPr>
      <w:r>
        <w:rPr>
          <w:sz w:val="18"/>
          <w:szCs w:val="18"/>
        </w:rPr>
        <w:t>Indicate by check mark whether the registrant has submitted electronically every Interactive Data File required to be submitted pursuant to Rule 405 of Regul</w:t>
      </w:r>
      <w:r>
        <w:rPr>
          <w:sz w:val="18"/>
          <w:szCs w:val="18"/>
        </w:rPr>
        <w:t>ation S-T (§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CF461A">
      <w:pPr>
        <w:pStyle w:val="a3"/>
        <w:spacing w:before="60" w:beforeAutospacing="0" w:after="0" w:afterAutospacing="0"/>
        <w:ind w:firstLine="555"/>
        <w:rPr>
          <w:sz w:val="20"/>
          <w:szCs w:val="20"/>
        </w:rPr>
      </w:pPr>
      <w:r>
        <w:rPr>
          <w:sz w:val="18"/>
          <w:szCs w:val="18"/>
        </w:rPr>
        <w:t>Indicate by check mark whether the registrant is a large accelerated filer, an accelerated f</w:t>
      </w:r>
      <w:r>
        <w:rPr>
          <w:sz w:val="18"/>
          <w:szCs w:val="18"/>
        </w:rPr>
        <w:t>iler, a non-accelerated filer, smaller reporting company or an emerging growth company. See the definitions of “large accelerated filer,” “accelerated filer,” “smaller reporting company,” and “emerging growth company” in Rule 12b-2 of the Exchange Act.</w:t>
      </w:r>
      <w:r>
        <w:rPr>
          <w:sz w:val="18"/>
          <w:szCs w:val="18"/>
        </w:rPr>
        <w:t>:</w:t>
      </w:r>
    </w:p>
    <w:p w:rsidR="00000000" w:rsidRDefault="00CF461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48"/>
        <w:gridCol w:w="184"/>
        <w:gridCol w:w="4219"/>
        <w:gridCol w:w="114"/>
        <w:gridCol w:w="1787"/>
        <w:gridCol w:w="114"/>
        <w:gridCol w:w="240"/>
      </w:tblGrid>
      <w:tr w:rsidR="00000000">
        <w:trPr>
          <w:tblCellSpacing w:w="15" w:type="dxa"/>
        </w:trPr>
        <w:tc>
          <w:tcPr>
            <w:tcW w:w="998" w:type="pct"/>
            <w:vAlign w:val="center"/>
            <w:hideMark/>
          </w:tcPr>
          <w:p w:rsidR="00000000" w:rsidRDefault="00CF461A">
            <w:pPr>
              <w:rPr>
                <w:sz w:val="20"/>
                <w:szCs w:val="20"/>
              </w:rPr>
            </w:pPr>
          </w:p>
        </w:tc>
        <w:tc>
          <w:tcPr>
            <w:tcW w:w="100" w:type="pct"/>
            <w:vAlign w:val="center"/>
            <w:hideMark/>
          </w:tcPr>
          <w:p w:rsidR="00000000" w:rsidRDefault="00CF461A">
            <w:pPr>
              <w:rPr>
                <w:rFonts w:eastAsia="Times New Roman"/>
                <w:sz w:val="20"/>
                <w:szCs w:val="20"/>
              </w:rPr>
            </w:pPr>
          </w:p>
        </w:tc>
        <w:tc>
          <w:tcPr>
            <w:tcW w:w="2600" w:type="pct"/>
            <w:vAlign w:val="center"/>
            <w:hideMark/>
          </w:tcPr>
          <w:p w:rsidR="00000000" w:rsidRDefault="00CF461A">
            <w:pPr>
              <w:rPr>
                <w:rFonts w:eastAsia="Times New Roman"/>
                <w:sz w:val="20"/>
                <w:szCs w:val="20"/>
              </w:rPr>
            </w:pPr>
          </w:p>
        </w:tc>
        <w:tc>
          <w:tcPr>
            <w:tcW w:w="56" w:type="pct"/>
            <w:vAlign w:val="center"/>
            <w:hideMark/>
          </w:tcPr>
          <w:p w:rsidR="00000000" w:rsidRDefault="00CF461A">
            <w:pPr>
              <w:rPr>
                <w:rFonts w:eastAsia="Times New Roman"/>
                <w:sz w:val="20"/>
                <w:szCs w:val="20"/>
              </w:rPr>
            </w:pPr>
          </w:p>
        </w:tc>
        <w:tc>
          <w:tcPr>
            <w:tcW w:w="1093" w:type="pct"/>
            <w:vAlign w:val="center"/>
            <w:hideMark/>
          </w:tcPr>
          <w:p w:rsidR="00000000" w:rsidRDefault="00CF461A">
            <w:pPr>
              <w:rPr>
                <w:rFonts w:eastAsia="Times New Roman"/>
                <w:sz w:val="20"/>
                <w:szCs w:val="20"/>
              </w:rPr>
            </w:pPr>
          </w:p>
        </w:tc>
        <w:tc>
          <w:tcPr>
            <w:tcW w:w="56" w:type="pct"/>
            <w:vAlign w:val="center"/>
            <w:hideMark/>
          </w:tcPr>
          <w:p w:rsidR="00000000" w:rsidRDefault="00CF461A">
            <w:pPr>
              <w:rPr>
                <w:rFonts w:eastAsia="Times New Roman"/>
                <w:sz w:val="20"/>
                <w:szCs w:val="20"/>
              </w:rPr>
            </w:pPr>
          </w:p>
        </w:tc>
        <w:tc>
          <w:tcPr>
            <w:tcW w:w="95" w:type="pct"/>
            <w:vAlign w:val="center"/>
            <w:hideMark/>
          </w:tcPr>
          <w:p w:rsidR="00000000" w:rsidRDefault="00CF461A">
            <w:pPr>
              <w:rPr>
                <w:rFonts w:eastAsia="Times New Roman"/>
                <w:sz w:val="20"/>
                <w:szCs w:val="20"/>
              </w:rPr>
            </w:pPr>
          </w:p>
        </w:tc>
      </w:tr>
      <w:tr w:rsidR="00000000">
        <w:trPr>
          <w:trHeight w:val="14"/>
          <w:tblCellSpacing w:w="15" w:type="dxa"/>
        </w:trPr>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Large Accelerated File</w:t>
            </w:r>
            <w:r>
              <w:rPr>
                <w:sz w:val="18"/>
                <w:szCs w:val="18"/>
              </w:rPr>
              <w:t>r</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rFonts w:ascii="Segoe UI Symbol" w:hAnsi="Segoe UI Symbol" w:cs="Segoe UI Symbol"/>
                <w:sz w:val="18"/>
                <w:szCs w:val="18"/>
              </w:rPr>
              <w:t>☐</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20"/>
                <w:szCs w:val="20"/>
              </w:rPr>
            </w:pPr>
            <w:r>
              <w:rPr>
                <w:sz w:val="18"/>
                <w:szCs w:val="18"/>
              </w:rPr>
              <w:t>Accelerated File</w:t>
            </w:r>
            <w:r>
              <w:rPr>
                <w:sz w:val="18"/>
                <w:szCs w:val="18"/>
              </w:rPr>
              <w:t>r</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rFonts w:ascii="Segoe UI Symbol" w:hAnsi="Segoe UI Symbol" w:cs="Segoe UI Symbol"/>
                <w:sz w:val="18"/>
                <w:szCs w:val="18"/>
              </w:rPr>
              <w:t>☒</w:t>
            </w:r>
          </w:p>
        </w:tc>
      </w:tr>
      <w:tr w:rsidR="00000000">
        <w:trPr>
          <w:trHeight w:val="14"/>
          <w:tblCellSpacing w:w="15" w:type="dxa"/>
        </w:trPr>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Non-accelerated File</w:t>
            </w:r>
            <w:r>
              <w:rPr>
                <w:sz w:val="18"/>
                <w:szCs w:val="18"/>
              </w:rPr>
              <w:t>r</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rFonts w:ascii="Segoe UI Symbol" w:hAnsi="Segoe UI Symbol" w:cs="Segoe UI Symbol"/>
                <w:sz w:val="18"/>
                <w:szCs w:val="18"/>
              </w:rPr>
              <w:t>☐</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Smaller Reporting Compan</w:t>
            </w:r>
            <w:r>
              <w:rPr>
                <w:sz w:val="18"/>
                <w:szCs w:val="18"/>
              </w:rPr>
              <w:t>y</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20"/>
                <w:szCs w:val="20"/>
              </w:rPr>
            </w:pPr>
            <w:r>
              <w:rPr>
                <w:rFonts w:ascii="Segoe UI Symbol" w:hAnsi="Segoe UI Symbol" w:cs="Segoe UI Symbol"/>
                <w:sz w:val="18"/>
                <w:szCs w:val="18"/>
              </w:rPr>
              <w:t>☒</w:t>
            </w:r>
          </w:p>
        </w:tc>
      </w:tr>
      <w:tr w:rsidR="00000000">
        <w:trPr>
          <w:trHeight w:val="14"/>
          <w:tblCellSpacing w:w="15" w:type="dxa"/>
        </w:trPr>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Emerging growth compan</w:t>
            </w:r>
            <w:r>
              <w:rPr>
                <w:sz w:val="18"/>
                <w:szCs w:val="18"/>
              </w:rPr>
              <w:t>y</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20"/>
                <w:szCs w:val="20"/>
              </w:rPr>
            </w:pPr>
            <w:r>
              <w:rPr>
                <w:rFonts w:ascii="Segoe UI Symbol" w:hAnsi="Segoe UI Symbol" w:cs="Segoe UI Symbol"/>
                <w:sz w:val="18"/>
                <w:szCs w:val="18"/>
              </w:rPr>
              <w:t>☒</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line="0" w:lineRule="auto"/>
              <w:ind w:right="9"/>
              <w:rPr>
                <w:sz w:val="18"/>
                <w:szCs w:val="18"/>
              </w:rPr>
            </w:pPr>
            <w:r>
              <w:rPr>
                <w:sz w:val="18"/>
                <w:szCs w:val="18"/>
              </w:rPr>
              <w:t> </w:t>
            </w:r>
          </w:p>
        </w:tc>
      </w:tr>
    </w:tbl>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60" w:beforeAutospacing="0" w:after="0" w:afterAutospacing="0"/>
        <w:ind w:firstLine="555"/>
        <w:rPr>
          <w:sz w:val="20"/>
          <w:szCs w:val="20"/>
        </w:rPr>
      </w:pPr>
      <w:r>
        <w:rPr>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sz w:val="18"/>
          <w:szCs w:val="18"/>
        </w:rPr>
        <w:t xml:space="preserve"> </w:t>
      </w:r>
      <w:r>
        <w:rPr>
          <w:rFonts w:ascii="Segoe UI Symbol" w:hAnsi="Segoe UI Symbol" w:cs="Segoe UI Symbol"/>
          <w:sz w:val="18"/>
          <w:szCs w:val="18"/>
        </w:rPr>
        <w:t>☒</w:t>
      </w:r>
    </w:p>
    <w:p w:rsidR="00000000" w:rsidRDefault="00CF461A">
      <w:pPr>
        <w:pStyle w:val="a3"/>
        <w:spacing w:before="60" w:beforeAutospacing="0" w:after="0" w:afterAutospacing="0"/>
        <w:ind w:firstLine="555"/>
        <w:rPr>
          <w:sz w:val="20"/>
          <w:szCs w:val="20"/>
        </w:rPr>
      </w:pPr>
      <w:r>
        <w:rPr>
          <w:sz w:val="18"/>
          <w:szCs w:val="18"/>
        </w:rPr>
        <w:t>Indi</w:t>
      </w:r>
      <w:r>
        <w:rPr>
          <w:sz w:val="18"/>
          <w:szCs w:val="18"/>
        </w:rPr>
        <w:t xml:space="preserve">cate by check mark whether the registrant is a shell company (as defined in Rule 12b-2 of the Exchange Act.) Yes </w:t>
      </w:r>
      <w:r>
        <w:rPr>
          <w:rFonts w:ascii="Segoe UI Symbol" w:hAnsi="Segoe UI Symbol" w:cs="Segoe UI Symbol"/>
          <w:sz w:val="18"/>
          <w:szCs w:val="18"/>
        </w:rPr>
        <w:t>☐</w:t>
      </w:r>
      <w:r>
        <w:rPr>
          <w:sz w:val="18"/>
          <w:szCs w:val="18"/>
        </w:rPr>
        <w:t xml:space="preserve"> No</w:t>
      </w:r>
      <w:r>
        <w:rPr>
          <w:sz w:val="18"/>
          <w:szCs w:val="18"/>
        </w:rPr>
        <w:t xml:space="preserve"> </w:t>
      </w:r>
      <w:r>
        <w:rPr>
          <w:rFonts w:ascii="Segoe UI Symbol" w:hAnsi="Segoe UI Symbol" w:cs="Segoe UI Symbol"/>
          <w:sz w:val="18"/>
          <w:szCs w:val="18"/>
        </w:rPr>
        <w:t>☒</w: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rPr>
          <w:sz w:val="20"/>
          <w:szCs w:val="20"/>
        </w:rPr>
      </w:pPr>
      <w:r>
        <w:rPr>
          <w:sz w:val="18"/>
          <w:szCs w:val="18"/>
        </w:rPr>
        <w:t>As of May 6, 2022, the</w:t>
      </w:r>
      <w:r>
        <w:rPr>
          <w:sz w:val="18"/>
          <w:szCs w:val="18"/>
        </w:rPr>
        <w:t xml:space="preserve"> </w:t>
      </w:r>
      <w:r>
        <w:rPr>
          <w:sz w:val="18"/>
          <w:szCs w:val="18"/>
        </w:rPr>
        <w:t>registrant had</w:t>
      </w:r>
      <w:r>
        <w:rPr>
          <w:sz w:val="18"/>
          <w:szCs w:val="18"/>
        </w:rPr>
        <w:t xml:space="preserve"> </w:t>
      </w:r>
      <w:r>
        <w:rPr>
          <w:sz w:val="18"/>
          <w:szCs w:val="18"/>
        </w:rPr>
        <w:t>70,417,34</w:t>
      </w:r>
      <w:r>
        <w:rPr>
          <w:sz w:val="18"/>
          <w:szCs w:val="18"/>
        </w:rPr>
        <w:t>5</w:t>
      </w:r>
      <w:r>
        <w:rPr>
          <w:sz w:val="18"/>
          <w:szCs w:val="18"/>
        </w:rPr>
        <w:t xml:space="preserve"> shares of </w:t>
      </w:r>
      <w:r>
        <w:rPr>
          <w:sz w:val="18"/>
          <w:szCs w:val="18"/>
        </w:rPr>
        <w:t>c</w:t>
      </w:r>
      <w:r>
        <w:rPr>
          <w:sz w:val="18"/>
          <w:szCs w:val="18"/>
        </w:rPr>
        <w:t>ommon stock, $0.001 par value per share, outstanding</w:t>
      </w:r>
      <w:r>
        <w:rPr>
          <w:sz w:val="18"/>
          <w:szCs w:val="18"/>
        </w:rPr>
        <w:t>.</w:t>
      </w:r>
    </w:p>
    <w:p w:rsidR="00000000" w:rsidRDefault="00CF461A">
      <w:pPr>
        <w:pStyle w:val="a3"/>
        <w:pBdr>
          <w:bottom w:val="double" w:sz="6" w:space="1" w:color="auto"/>
        </w:pBdr>
        <w:spacing w:before="80" w:beforeAutospacing="0" w:after="0" w:afterAutospacing="0"/>
        <w:jc w:val="both"/>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 </w:t>
      </w:r>
    </w:p>
    <w:p w:rsidR="00000000" w:rsidRDefault="00CF461A">
      <w:pPr>
        <w:rPr>
          <w:rFonts w:eastAsia="Times New Roman"/>
        </w:rPr>
      </w:pPr>
      <w:r>
        <w:rPr>
          <w:rFonts w:eastAsia="Times New Roman"/>
        </w:rPr>
        <w:pict>
          <v:rect id="_x0000_i1025" style="width:0;height:1.5pt" o:hralign="center" o:hrstd="t" o:hr="t" fillcolor="#a0a0a0" stroked="f"/>
        </w:pic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Table of Content</w:t>
      </w:r>
      <w:r>
        <w:rPr>
          <w:b/>
          <w:bCs/>
          <w:sz w:val="18"/>
          <w:szCs w:val="18"/>
        </w:rPr>
        <w:t>s</w:t>
      </w:r>
    </w:p>
    <w:p w:rsidR="00000000" w:rsidRDefault="00CF461A">
      <w:pPr>
        <w:pStyle w:val="a3"/>
        <w:spacing w:before="0" w:beforeAutospacing="0" w:after="0" w:afterAutospacing="0"/>
        <w:rPr>
          <w:sz w:val="20"/>
          <w:szCs w:val="20"/>
        </w:rPr>
      </w:pPr>
      <w:r>
        <w:rPr>
          <w:sz w:val="22"/>
          <w:szCs w:val="22"/>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42"/>
        <w:gridCol w:w="104"/>
        <w:gridCol w:w="6920"/>
        <w:gridCol w:w="237"/>
        <w:gridCol w:w="403"/>
      </w:tblGrid>
      <w:tr w:rsidR="00000000">
        <w:trPr>
          <w:tblCellSpacing w:w="15" w:type="dxa"/>
        </w:trPr>
        <w:tc>
          <w:tcPr>
            <w:tcW w:w="408" w:type="pct"/>
            <w:vAlign w:val="center"/>
            <w:hideMark/>
          </w:tcPr>
          <w:p w:rsidR="00000000" w:rsidRDefault="00CF461A">
            <w:pPr>
              <w:rPr>
                <w:sz w:val="20"/>
                <w:szCs w:val="20"/>
              </w:rPr>
            </w:pPr>
          </w:p>
        </w:tc>
        <w:tc>
          <w:tcPr>
            <w:tcW w:w="32" w:type="pct"/>
            <w:vAlign w:val="center"/>
            <w:hideMark/>
          </w:tcPr>
          <w:p w:rsidR="00000000" w:rsidRDefault="00CF461A">
            <w:pPr>
              <w:rPr>
                <w:rFonts w:eastAsia="Times New Roman"/>
                <w:sz w:val="20"/>
                <w:szCs w:val="20"/>
              </w:rPr>
            </w:pPr>
          </w:p>
        </w:tc>
        <w:tc>
          <w:tcPr>
            <w:tcW w:w="4278" w:type="pct"/>
            <w:vAlign w:val="center"/>
            <w:hideMark/>
          </w:tcPr>
          <w:p w:rsidR="00000000" w:rsidRDefault="00CF461A">
            <w:pPr>
              <w:rPr>
                <w:rFonts w:eastAsia="Times New Roman"/>
                <w:sz w:val="20"/>
                <w:szCs w:val="20"/>
              </w:rPr>
            </w:pPr>
          </w:p>
        </w:tc>
        <w:tc>
          <w:tcPr>
            <w:tcW w:w="55" w:type="pct"/>
            <w:vAlign w:val="center"/>
            <w:hideMark/>
          </w:tcPr>
          <w:p w:rsidR="00000000" w:rsidRDefault="00CF461A">
            <w:pPr>
              <w:rPr>
                <w:rFonts w:eastAsia="Times New Roman"/>
                <w:sz w:val="20"/>
                <w:szCs w:val="20"/>
              </w:rPr>
            </w:pPr>
          </w:p>
        </w:tc>
        <w:tc>
          <w:tcPr>
            <w:tcW w:w="225" w:type="pct"/>
            <w:vAlign w:val="center"/>
            <w:hideMark/>
          </w:tcPr>
          <w:p w:rsidR="00000000" w:rsidRDefault="00CF461A">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ind w:left="137"/>
              <w:jc w:val="center"/>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6"/>
                <w:szCs w:val="16"/>
              </w:rPr>
            </w:pPr>
            <w:r>
              <w:rPr>
                <w:b/>
                <w:bCs/>
                <w:sz w:val="16"/>
                <w:szCs w:val="16"/>
              </w:rPr>
              <w:t>Pag</w:t>
            </w:r>
            <w:r>
              <w:rPr>
                <w:b/>
                <w:bCs/>
                <w:sz w:val="16"/>
                <w:szCs w:val="16"/>
              </w:rPr>
              <w:t>e</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b/>
                <w:bCs/>
                <w:sz w:val="18"/>
                <w:szCs w:val="18"/>
              </w:rPr>
              <w:t>PART I</w:t>
            </w:r>
            <w:r>
              <w:rPr>
                <w:b/>
                <w:bCs/>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part_ifinancial_information" w:history="1">
              <w:r>
                <w:rPr>
                  <w:rStyle w:val="a4"/>
                  <w:b/>
                  <w:bCs/>
                  <w:sz w:val="18"/>
                  <w:szCs w:val="18"/>
                </w:rPr>
                <w:t>FINANCIAL INFORMATIO</w:t>
              </w:r>
              <w:r>
                <w:rPr>
                  <w:rStyle w:val="a4"/>
                  <w:b/>
                  <w:bCs/>
                  <w:sz w:val="18"/>
                  <w:szCs w:val="18"/>
                </w:rPr>
                <w:t>N</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right"/>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right"/>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sz w:val="18"/>
                <w:szCs w:val="18"/>
              </w:rPr>
              <w:t>Item 1</w:t>
            </w:r>
            <w:r>
              <w:rPr>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item_1_financial_statements" w:history="1">
              <w:r>
                <w:rPr>
                  <w:rStyle w:val="a4"/>
                  <w:sz w:val="18"/>
                  <w:szCs w:val="18"/>
                </w:rPr>
                <w:t>Financial Statements (Unaudited</w:t>
              </w:r>
              <w:r>
                <w:rPr>
                  <w:rStyle w:val="a4"/>
                  <w:sz w:val="18"/>
                  <w:szCs w:val="18"/>
                </w:rPr>
                <w:t>)</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3</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condensed_consolidated_balance_sheets" w:history="1">
              <w:r>
                <w:rPr>
                  <w:rStyle w:val="a4"/>
                  <w:sz w:val="18"/>
                  <w:szCs w:val="18"/>
                </w:rPr>
                <w:t>Condensed Consolidated Balance Sheet</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3</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condensed_consolidated_statements_opera" w:history="1">
              <w:r>
                <w:rPr>
                  <w:rStyle w:val="a4"/>
                  <w:sz w:val="18"/>
                  <w:szCs w:val="18"/>
                </w:rPr>
                <w:t>Condensed Consolidated Statements of Operatio</w:t>
              </w:r>
              <w:r>
                <w:rPr>
                  <w:rStyle w:val="a4"/>
                  <w:sz w:val="18"/>
                  <w:szCs w:val="18"/>
                </w:rPr>
                <w:t>n</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4</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condensed_consolidated_statements_stock" w:history="1">
              <w:r>
                <w:rPr>
                  <w:rStyle w:val="a4"/>
                  <w:sz w:val="18"/>
                  <w:szCs w:val="18"/>
                </w:rPr>
                <w:t>Condensed Consolidated Statements of Stockholders’ Equit</w:t>
              </w:r>
              <w:r>
                <w:rPr>
                  <w:rStyle w:val="a4"/>
                  <w:sz w:val="18"/>
                  <w:szCs w:val="18"/>
                </w:rPr>
                <w:t>y</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5</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condensed_consolidated_statements_cash_" w:history="1">
              <w:r>
                <w:rPr>
                  <w:rStyle w:val="a4"/>
                  <w:sz w:val="18"/>
                  <w:szCs w:val="18"/>
                </w:rPr>
                <w:t>Condensed Consolidated Statements of Cash Flow</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ind w:left="137"/>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note_1_nature_operations" w:history="1">
              <w:r>
                <w:rPr>
                  <w:rStyle w:val="a4"/>
                  <w:sz w:val="18"/>
                  <w:szCs w:val="18"/>
                </w:rPr>
                <w:t>Notes to Unaudited Condensed Consolidated Financial Statement</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20"/>
                <w:szCs w:val="20"/>
              </w:rPr>
            </w:pPr>
            <w:r>
              <w:rPr>
                <w:sz w:val="20"/>
                <w:szCs w:val="20"/>
              </w:rPr>
              <w:t>7</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sz w:val="18"/>
                <w:szCs w:val="18"/>
              </w:rPr>
              <w:t>Item 2</w:t>
            </w:r>
            <w:r>
              <w:rPr>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item_2_mda" w:history="1">
              <w:r>
                <w:rPr>
                  <w:rStyle w:val="a4"/>
                  <w:sz w:val="18"/>
                  <w:szCs w:val="18"/>
                </w:rPr>
                <w:t>Management’s Discussion and Analysis of F</w:t>
              </w:r>
              <w:r>
                <w:rPr>
                  <w:rStyle w:val="a4"/>
                  <w:sz w:val="18"/>
                  <w:szCs w:val="18"/>
                </w:rPr>
                <w:t>inancial Condition and Results of Operation</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1</w:t>
            </w:r>
            <w:r>
              <w:rPr>
                <w:sz w:val="18"/>
                <w:szCs w:val="18"/>
              </w:rPr>
              <w:t>8</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sz w:val="18"/>
                <w:szCs w:val="18"/>
              </w:rPr>
              <w:t>Item 3</w:t>
            </w:r>
            <w:r>
              <w:rPr>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item_3_quantitative_qualitative_disclos" w:history="1">
              <w:r>
                <w:rPr>
                  <w:rStyle w:val="a4"/>
                  <w:sz w:val="18"/>
                  <w:szCs w:val="18"/>
                </w:rPr>
                <w:t>Quantitative and Qualitative Disclosures About Market Ris</w:t>
              </w:r>
              <w:r>
                <w:rPr>
                  <w:rStyle w:val="a4"/>
                  <w:sz w:val="18"/>
                  <w:szCs w:val="18"/>
                </w:rPr>
                <w:t>k</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2</w:t>
            </w:r>
            <w:r>
              <w:rPr>
                <w:sz w:val="18"/>
                <w:szCs w:val="18"/>
              </w:rPr>
              <w:t>4</w:t>
            </w:r>
            <w:r>
              <w:rPr>
                <w:sz w:val="18"/>
                <w:szCs w:val="18"/>
              </w:rPr>
              <w:t xml:space="preserve"> </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sz w:val="18"/>
                <w:szCs w:val="18"/>
              </w:rPr>
              <w:t>Item 4</w:t>
            </w:r>
            <w:r>
              <w:rPr>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hyperlink w:anchor="item_4_controls_procedures" w:history="1">
              <w:r>
                <w:rPr>
                  <w:rStyle w:val="a4"/>
                  <w:sz w:val="18"/>
                  <w:szCs w:val="18"/>
                </w:rPr>
                <w:t>Controls and Procedure</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2</w:t>
            </w:r>
            <w:r>
              <w:rPr>
                <w:sz w:val="18"/>
                <w:szCs w:val="18"/>
              </w:rPr>
              <w:t>4</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b/>
                <w:bCs/>
                <w:sz w:val="18"/>
                <w:szCs w:val="18"/>
              </w:rPr>
              <w:t>PART II</w:t>
            </w:r>
            <w:r>
              <w:rPr>
                <w:b/>
                <w:bCs/>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part_ii_other_information" w:history="1">
              <w:r>
                <w:rPr>
                  <w:rStyle w:val="a4"/>
                  <w:b/>
                  <w:bCs/>
                  <w:sz w:val="18"/>
                  <w:szCs w:val="18"/>
                </w:rPr>
                <w:t>OTHER INFORMATIO</w:t>
              </w:r>
              <w:r>
                <w:rPr>
                  <w:rStyle w:val="a4"/>
                  <w:b/>
                  <w:bCs/>
                  <w:sz w:val="18"/>
                  <w:szCs w:val="18"/>
                </w:rPr>
                <w:t>N</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sz w:val="18"/>
                <w:szCs w:val="18"/>
              </w:rPr>
              <w:t>Item 1</w:t>
            </w:r>
            <w:r>
              <w:rPr>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item_1_legal_proceedings" w:history="1">
              <w:r>
                <w:rPr>
                  <w:rStyle w:val="a4"/>
                  <w:sz w:val="18"/>
                  <w:szCs w:val="18"/>
                </w:rPr>
                <w:t>Legal Proceeding</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2</w:t>
            </w:r>
            <w:r>
              <w:rPr>
                <w:sz w:val="18"/>
                <w:szCs w:val="18"/>
              </w:rPr>
              <w:t>5</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sz w:val="18"/>
                <w:szCs w:val="18"/>
              </w:rPr>
              <w:t>Item 1A</w:t>
            </w:r>
            <w:r>
              <w:rPr>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item_1a_risk_factors" w:history="1">
              <w:r>
                <w:rPr>
                  <w:rStyle w:val="a4"/>
                  <w:sz w:val="18"/>
                  <w:szCs w:val="18"/>
                </w:rPr>
                <w:t>Risk Factor</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2</w:t>
            </w:r>
            <w:r>
              <w:rPr>
                <w:sz w:val="18"/>
                <w:szCs w:val="18"/>
              </w:rPr>
              <w:t>5</w:t>
            </w:r>
          </w:p>
        </w:tc>
      </w:tr>
      <w:tr w:rsidR="00000000">
        <w:trPr>
          <w:trHeight w:val="43"/>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sz w:val="18"/>
                <w:szCs w:val="18"/>
              </w:rPr>
              <w:t>Item 6</w:t>
            </w:r>
            <w:r>
              <w:rPr>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item_6_exhibits" w:history="1">
              <w:r>
                <w:rPr>
                  <w:rStyle w:val="a4"/>
                  <w:sz w:val="18"/>
                  <w:szCs w:val="18"/>
                </w:rPr>
                <w:t>Exhibit</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8"/>
                <w:szCs w:val="18"/>
              </w:rPr>
            </w:pPr>
            <w:r>
              <w:rPr>
                <w:sz w:val="18"/>
                <w:szCs w:val="18"/>
              </w:rPr>
              <w:t>5</w:t>
            </w:r>
            <w:r>
              <w:rPr>
                <w:sz w:val="18"/>
                <w:szCs w:val="18"/>
              </w:rPr>
              <w:t>4</w:t>
            </w:r>
          </w:p>
        </w:tc>
      </w:tr>
      <w:tr w:rsidR="00000000">
        <w:trPr>
          <w:trHeight w:val="180"/>
          <w:tblCellSpacing w:w="15" w:type="dxa"/>
        </w:trPr>
        <w:tc>
          <w:tcPr>
            <w:tcW w:w="0" w:type="auto"/>
            <w:gridSpan w:val="3"/>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hyperlink w:anchor="signatures" w:history="1">
              <w:r>
                <w:rPr>
                  <w:rStyle w:val="a4"/>
                  <w:sz w:val="18"/>
                  <w:szCs w:val="18"/>
                </w:rPr>
                <w:t>Signature</w:t>
              </w:r>
              <w:r>
                <w:rPr>
                  <w:rStyle w:val="a4"/>
                  <w:sz w:val="18"/>
                  <w:szCs w:val="18"/>
                </w:rPr>
                <w:t>s</w:t>
              </w:r>
            </w:hyperlink>
          </w:p>
        </w:tc>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20"/>
                <w:szCs w:val="20"/>
              </w:rPr>
            </w:pPr>
            <w:r>
              <w:rPr>
                <w:sz w:val="20"/>
                <w:szCs w:val="20"/>
              </w:rPr>
              <w:t> </w:t>
            </w:r>
          </w:p>
        </w:tc>
      </w:tr>
    </w:tbl>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i</w:t>
      </w:r>
    </w:p>
    <w:p w:rsidR="00000000" w:rsidRDefault="00CF461A">
      <w:pPr>
        <w:rPr>
          <w:rFonts w:eastAsia="Times New Roman"/>
        </w:rPr>
      </w:pPr>
      <w:r>
        <w:rPr>
          <w:rFonts w:eastAsia="Times New Roman"/>
        </w:rPr>
        <w:pict>
          <v:rect id="_x0000_i1026" style="width:0;height:1.5pt" o:hralign="center" o:hrstd="t" o:hr="t" fillcolor="#a0a0a0" stroked="f"/>
        </w:pic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0" w:beforeAutospacing="0" w:after="0" w:afterAutospacing="0"/>
        <w:jc w:val="center"/>
        <w:rPr>
          <w:sz w:val="20"/>
          <w:szCs w:val="20"/>
        </w:rPr>
      </w:pPr>
      <w:r>
        <w:rPr>
          <w:b/>
          <w:bCs/>
          <w:sz w:val="18"/>
          <w:szCs w:val="18"/>
        </w:rPr>
        <w:t xml:space="preserve">SPECIAL NOTE REGARDING </w:t>
      </w:r>
      <w:r>
        <w:rPr>
          <w:b/>
          <w:bCs/>
          <w:sz w:val="18"/>
          <w:szCs w:val="18"/>
        </w:rPr>
        <w:t>F</w:t>
      </w:r>
      <w:r>
        <w:rPr>
          <w:b/>
          <w:bCs/>
          <w:sz w:val="18"/>
          <w:szCs w:val="18"/>
        </w:rPr>
        <w:t>ORWARD-LOOKING STATEMENT</w:t>
      </w:r>
      <w:r>
        <w:rPr>
          <w:b/>
          <w:bCs/>
          <w:sz w:val="18"/>
          <w:szCs w:val="18"/>
        </w:rPr>
        <w:t>S</w:t>
      </w:r>
    </w:p>
    <w:p w:rsidR="00000000" w:rsidRDefault="00CF461A">
      <w:pPr>
        <w:pStyle w:val="a3"/>
        <w:spacing w:before="200" w:beforeAutospacing="0" w:after="0" w:afterAutospacing="0"/>
        <w:ind w:firstLine="555"/>
        <w:jc w:val="both"/>
        <w:rPr>
          <w:sz w:val="20"/>
          <w:szCs w:val="20"/>
        </w:rPr>
      </w:pPr>
      <w:r>
        <w:rPr>
          <w:sz w:val="18"/>
          <w:szCs w:val="18"/>
        </w:rPr>
        <w:t>This Quarterly Report on Form 10-Q contains forward-looking statements within the meaning of Section 27A of the Securities Act of 1933, as amended, or the Securities Ac</w:t>
      </w:r>
      <w:r>
        <w:rPr>
          <w:sz w:val="18"/>
          <w:szCs w:val="18"/>
        </w:rPr>
        <w:t xml:space="preserve">t, and Section 21E of the Securities Exchange Act of 1934, as amended, or the Exchange Act. All statements other than statements of historical fact are “forward-looking statements” for purposes of this Quarterly Report on Form 10-Q. In some cases, you can </w:t>
      </w:r>
      <w:r>
        <w:rPr>
          <w:sz w:val="18"/>
          <w:szCs w:val="18"/>
        </w:rPr>
        <w:t>identify forward-looking statements by terminology such as “aim,” “anticipate,” “assume,” “believe,” “contemplate,” continue,” “could,” “design,” “due,” “estimate,” “expect,” “goal,” “intend,” “may,” “objective,” “plan,” “positioned,” “potential,” “predict</w:t>
      </w:r>
      <w:r>
        <w:rPr>
          <w:sz w:val="18"/>
          <w:szCs w:val="18"/>
        </w:rPr>
        <w:t>,” “project,” “should,” “target,” “will,” “would” or the negative or plural of those terms, and similar expressions</w:t>
      </w:r>
      <w:r>
        <w:rPr>
          <w:sz w:val="18"/>
          <w:szCs w:val="18"/>
        </w:rPr>
        <w:t>.</w:t>
      </w:r>
    </w:p>
    <w:p w:rsidR="00000000" w:rsidRDefault="00CF461A">
      <w:pPr>
        <w:pStyle w:val="a3"/>
        <w:spacing w:before="200" w:beforeAutospacing="0" w:after="0" w:afterAutospacing="0"/>
        <w:ind w:firstLine="555"/>
        <w:jc w:val="both"/>
        <w:rPr>
          <w:sz w:val="20"/>
          <w:szCs w:val="20"/>
        </w:rPr>
      </w:pPr>
      <w:r>
        <w:rPr>
          <w:sz w:val="18"/>
          <w:szCs w:val="18"/>
        </w:rPr>
        <w:t>Forward-looking statements include, but are not limited to, statements about</w:t>
      </w:r>
      <w:r>
        <w:rPr>
          <w:sz w:val="18"/>
          <w:szCs w:val="18"/>
        </w:rPr>
        <w:t>:</w:t>
      </w:r>
    </w:p>
    <w:p w:rsidR="00000000" w:rsidRDefault="00CF461A">
      <w:pPr>
        <w:jc w:val="both"/>
        <w:divId w:val="1274169498"/>
        <w:rPr>
          <w:rFonts w:eastAsia="Times New Roman"/>
        </w:rPr>
      </w:pPr>
      <w:r>
        <w:rPr>
          <w:rFonts w:eastAsia="Times New Roman"/>
          <w:sz w:val="18"/>
          <w:szCs w:val="18"/>
        </w:rPr>
        <w:t>•</w:t>
      </w:r>
    </w:p>
    <w:p w:rsidR="00000000" w:rsidRDefault="00CF461A">
      <w:pPr>
        <w:jc w:val="both"/>
        <w:divId w:val="1500845630"/>
        <w:rPr>
          <w:rFonts w:eastAsia="Times New Roman"/>
        </w:rPr>
      </w:pPr>
      <w:r>
        <w:rPr>
          <w:rFonts w:eastAsia="Times New Roman"/>
          <w:sz w:val="18"/>
          <w:szCs w:val="18"/>
        </w:rPr>
        <w:t>our ability to identify additional novel compounds with sig</w:t>
      </w:r>
      <w:r>
        <w:rPr>
          <w:rFonts w:eastAsia="Times New Roman"/>
          <w:sz w:val="18"/>
          <w:szCs w:val="18"/>
        </w:rPr>
        <w:t>nificant commercial potential to acquire or in-license;</w:t>
      </w:r>
      <w:r>
        <w:rPr>
          <w:rFonts w:eastAsia="Times New Roman"/>
          <w:sz w:val="18"/>
          <w:szCs w:val="18"/>
        </w:rPr>
        <w:t xml:space="preserve"> </w:t>
      </w:r>
    </w:p>
    <w:p w:rsidR="00000000" w:rsidRDefault="00CF461A">
      <w:pPr>
        <w:jc w:val="both"/>
        <w:divId w:val="1088380546"/>
        <w:rPr>
          <w:rFonts w:eastAsia="Times New Roman"/>
        </w:rPr>
      </w:pPr>
      <w:r>
        <w:rPr>
          <w:rFonts w:eastAsia="Times New Roman"/>
          <w:sz w:val="18"/>
          <w:szCs w:val="18"/>
        </w:rPr>
        <w:t>•</w:t>
      </w:r>
    </w:p>
    <w:p w:rsidR="00000000" w:rsidRDefault="00CF461A">
      <w:pPr>
        <w:jc w:val="both"/>
        <w:divId w:val="1372805822"/>
        <w:rPr>
          <w:rFonts w:eastAsia="Times New Roman"/>
        </w:rPr>
      </w:pPr>
      <w:r>
        <w:rPr>
          <w:rFonts w:eastAsia="Times New Roman"/>
          <w:sz w:val="18"/>
          <w:szCs w:val="18"/>
        </w:rPr>
        <w:t>our ability to successfully acquire or in-license additional drug candidates on reasonable terms;</w:t>
      </w:r>
      <w:r>
        <w:rPr>
          <w:rFonts w:eastAsia="Times New Roman"/>
          <w:sz w:val="18"/>
          <w:szCs w:val="18"/>
        </w:rPr>
        <w:t xml:space="preserve"> </w:t>
      </w:r>
    </w:p>
    <w:p w:rsidR="00000000" w:rsidRDefault="00CF461A">
      <w:pPr>
        <w:jc w:val="both"/>
        <w:divId w:val="1080785200"/>
        <w:rPr>
          <w:rFonts w:eastAsia="Times New Roman"/>
        </w:rPr>
      </w:pPr>
      <w:r>
        <w:rPr>
          <w:rFonts w:eastAsia="Times New Roman"/>
          <w:sz w:val="18"/>
          <w:szCs w:val="18"/>
        </w:rPr>
        <w:lastRenderedPageBreak/>
        <w:t>•</w:t>
      </w:r>
    </w:p>
    <w:p w:rsidR="00000000" w:rsidRDefault="00CF461A">
      <w:pPr>
        <w:jc w:val="both"/>
        <w:divId w:val="1438408585"/>
        <w:rPr>
          <w:rFonts w:eastAsia="Times New Roman"/>
        </w:rPr>
      </w:pPr>
      <w:r>
        <w:rPr>
          <w:rFonts w:eastAsia="Times New Roman"/>
          <w:sz w:val="18"/>
          <w:szCs w:val="18"/>
        </w:rPr>
        <w:t xml:space="preserve">our estimates regarding expenses, future revenue, capital requirements and needs for additional </w:t>
      </w:r>
      <w:r>
        <w:rPr>
          <w:rFonts w:eastAsia="Times New Roman"/>
          <w:sz w:val="18"/>
          <w:szCs w:val="18"/>
        </w:rPr>
        <w:t>financing;</w:t>
      </w:r>
      <w:r>
        <w:rPr>
          <w:rFonts w:eastAsia="Times New Roman"/>
          <w:sz w:val="18"/>
          <w:szCs w:val="18"/>
        </w:rPr>
        <w:t xml:space="preserve"> </w:t>
      </w:r>
    </w:p>
    <w:p w:rsidR="00000000" w:rsidRDefault="00CF461A">
      <w:pPr>
        <w:jc w:val="both"/>
        <w:divId w:val="1912959263"/>
        <w:rPr>
          <w:rFonts w:eastAsia="Times New Roman"/>
        </w:rPr>
      </w:pPr>
      <w:r>
        <w:rPr>
          <w:rFonts w:eastAsia="Times New Roman"/>
          <w:sz w:val="18"/>
          <w:szCs w:val="18"/>
        </w:rPr>
        <w:t>•</w:t>
      </w:r>
    </w:p>
    <w:p w:rsidR="00000000" w:rsidRDefault="00CF461A">
      <w:pPr>
        <w:jc w:val="both"/>
        <w:divId w:val="1085151160"/>
        <w:rPr>
          <w:rFonts w:eastAsia="Times New Roman"/>
        </w:rPr>
      </w:pPr>
      <w:r>
        <w:rPr>
          <w:rFonts w:eastAsia="Times New Roman"/>
          <w:sz w:val="18"/>
          <w:szCs w:val="18"/>
        </w:rPr>
        <w:t>our ability to obtain regulatory approval of our current and future drug candidates;</w:t>
      </w:r>
      <w:r>
        <w:rPr>
          <w:rFonts w:eastAsia="Times New Roman"/>
          <w:sz w:val="18"/>
          <w:szCs w:val="18"/>
        </w:rPr>
        <w:t xml:space="preserve"> </w:t>
      </w:r>
    </w:p>
    <w:p w:rsidR="00000000" w:rsidRDefault="00CF461A">
      <w:pPr>
        <w:jc w:val="both"/>
        <w:divId w:val="2114788095"/>
        <w:rPr>
          <w:rFonts w:eastAsia="Times New Roman"/>
        </w:rPr>
      </w:pPr>
      <w:r>
        <w:rPr>
          <w:rFonts w:eastAsia="Times New Roman"/>
          <w:sz w:val="18"/>
          <w:szCs w:val="18"/>
        </w:rPr>
        <w:t>•</w:t>
      </w:r>
    </w:p>
    <w:p w:rsidR="00000000" w:rsidRDefault="00CF461A">
      <w:pPr>
        <w:jc w:val="both"/>
        <w:divId w:val="1409956818"/>
        <w:rPr>
          <w:rFonts w:eastAsia="Times New Roman"/>
        </w:rPr>
      </w:pPr>
      <w:r>
        <w:rPr>
          <w:rFonts w:eastAsia="Times New Roman"/>
          <w:sz w:val="18"/>
          <w:szCs w:val="18"/>
        </w:rPr>
        <w:t>our expectations regarding the potential market size and the rate and degree of market acceptance of such drug candidates;</w:t>
      </w:r>
      <w:r>
        <w:rPr>
          <w:rFonts w:eastAsia="Times New Roman"/>
          <w:sz w:val="18"/>
          <w:szCs w:val="18"/>
        </w:rPr>
        <w:t xml:space="preserve"> </w:t>
      </w:r>
    </w:p>
    <w:p w:rsidR="00000000" w:rsidRDefault="00CF461A">
      <w:pPr>
        <w:jc w:val="both"/>
        <w:divId w:val="611862577"/>
        <w:rPr>
          <w:rFonts w:eastAsia="Times New Roman"/>
        </w:rPr>
      </w:pPr>
      <w:r>
        <w:rPr>
          <w:rFonts w:eastAsia="Times New Roman"/>
          <w:sz w:val="18"/>
          <w:szCs w:val="18"/>
        </w:rPr>
        <w:t>•</w:t>
      </w:r>
    </w:p>
    <w:p w:rsidR="00000000" w:rsidRDefault="00CF461A">
      <w:pPr>
        <w:jc w:val="both"/>
        <w:divId w:val="766460410"/>
        <w:rPr>
          <w:rFonts w:eastAsia="Times New Roman"/>
        </w:rPr>
      </w:pPr>
      <w:r>
        <w:rPr>
          <w:rFonts w:eastAsia="Times New Roman"/>
          <w:sz w:val="18"/>
          <w:szCs w:val="18"/>
        </w:rPr>
        <w:t>our ability to fund our working capital requirements;</w:t>
      </w:r>
      <w:r>
        <w:rPr>
          <w:rFonts w:eastAsia="Times New Roman"/>
          <w:sz w:val="18"/>
          <w:szCs w:val="18"/>
        </w:rPr>
        <w:t xml:space="preserve"> </w:t>
      </w:r>
    </w:p>
    <w:p w:rsidR="00000000" w:rsidRDefault="00CF461A">
      <w:pPr>
        <w:jc w:val="both"/>
        <w:divId w:val="294216774"/>
        <w:rPr>
          <w:rFonts w:eastAsia="Times New Roman"/>
        </w:rPr>
      </w:pPr>
      <w:r>
        <w:rPr>
          <w:rFonts w:eastAsia="Times New Roman"/>
          <w:sz w:val="18"/>
          <w:szCs w:val="18"/>
        </w:rPr>
        <w:t>•</w:t>
      </w:r>
    </w:p>
    <w:p w:rsidR="00000000" w:rsidRDefault="00CF461A">
      <w:pPr>
        <w:jc w:val="both"/>
        <w:divId w:val="359816466"/>
        <w:rPr>
          <w:rFonts w:eastAsia="Times New Roman"/>
        </w:rPr>
      </w:pPr>
      <w:r>
        <w:rPr>
          <w:rFonts w:eastAsia="Times New Roman"/>
          <w:sz w:val="18"/>
          <w:szCs w:val="18"/>
        </w:rPr>
        <w:t>the implementation of our business model and strategic plans for our busi</w:t>
      </w:r>
      <w:r>
        <w:rPr>
          <w:rFonts w:eastAsia="Times New Roman"/>
          <w:sz w:val="18"/>
          <w:szCs w:val="18"/>
        </w:rPr>
        <w:t>ness and drug candidates;</w:t>
      </w:r>
      <w:r>
        <w:rPr>
          <w:rFonts w:eastAsia="Times New Roman"/>
          <w:sz w:val="18"/>
          <w:szCs w:val="18"/>
        </w:rPr>
        <w:t xml:space="preserve"> </w:t>
      </w:r>
    </w:p>
    <w:p w:rsidR="00000000" w:rsidRDefault="00CF461A">
      <w:pPr>
        <w:jc w:val="both"/>
        <w:divId w:val="1837912901"/>
        <w:rPr>
          <w:rFonts w:eastAsia="Times New Roman"/>
        </w:rPr>
      </w:pPr>
      <w:r>
        <w:rPr>
          <w:rFonts w:eastAsia="Times New Roman"/>
          <w:sz w:val="18"/>
          <w:szCs w:val="18"/>
        </w:rPr>
        <w:t>•</w:t>
      </w:r>
    </w:p>
    <w:p w:rsidR="00000000" w:rsidRDefault="00CF461A">
      <w:pPr>
        <w:jc w:val="both"/>
        <w:divId w:val="1743134581"/>
        <w:rPr>
          <w:rFonts w:eastAsia="Times New Roman"/>
        </w:rPr>
      </w:pPr>
      <w:r>
        <w:rPr>
          <w:rFonts w:eastAsia="Times New Roman"/>
          <w:sz w:val="18"/>
          <w:szCs w:val="18"/>
        </w:rPr>
        <w:t>developments or disputes concerning our intellectual property or other proprietary rights;</w:t>
      </w:r>
      <w:r>
        <w:rPr>
          <w:rFonts w:eastAsia="Times New Roman"/>
          <w:sz w:val="18"/>
          <w:szCs w:val="18"/>
        </w:rPr>
        <w:t xml:space="preserve"> </w:t>
      </w:r>
    </w:p>
    <w:p w:rsidR="00000000" w:rsidRDefault="00CF461A">
      <w:pPr>
        <w:jc w:val="both"/>
        <w:divId w:val="1159465052"/>
        <w:rPr>
          <w:rFonts w:eastAsia="Times New Roman"/>
        </w:rPr>
      </w:pPr>
      <w:r>
        <w:rPr>
          <w:rFonts w:eastAsia="Times New Roman"/>
          <w:sz w:val="18"/>
          <w:szCs w:val="18"/>
        </w:rPr>
        <w:t>•</w:t>
      </w:r>
    </w:p>
    <w:p w:rsidR="00000000" w:rsidRDefault="00CF461A">
      <w:pPr>
        <w:jc w:val="both"/>
        <w:divId w:val="225380251"/>
        <w:rPr>
          <w:rFonts w:eastAsia="Times New Roman"/>
        </w:rPr>
      </w:pPr>
      <w:r>
        <w:rPr>
          <w:rFonts w:eastAsia="Times New Roman"/>
          <w:sz w:val="18"/>
          <w:szCs w:val="18"/>
        </w:rPr>
        <w:t>our ability to maintain and establish collaborations or obtain additional funding;</w:t>
      </w:r>
      <w:r>
        <w:rPr>
          <w:rFonts w:eastAsia="Times New Roman"/>
          <w:sz w:val="18"/>
          <w:szCs w:val="18"/>
        </w:rPr>
        <w:t xml:space="preserve"> </w:t>
      </w:r>
    </w:p>
    <w:p w:rsidR="00000000" w:rsidRDefault="00CF461A">
      <w:pPr>
        <w:jc w:val="both"/>
        <w:divId w:val="1358241467"/>
        <w:rPr>
          <w:rFonts w:eastAsia="Times New Roman"/>
        </w:rPr>
      </w:pPr>
      <w:r>
        <w:rPr>
          <w:rFonts w:eastAsia="Times New Roman"/>
          <w:sz w:val="18"/>
          <w:szCs w:val="18"/>
        </w:rPr>
        <w:t>•</w:t>
      </w:r>
    </w:p>
    <w:p w:rsidR="00000000" w:rsidRDefault="00CF461A">
      <w:pPr>
        <w:jc w:val="both"/>
        <w:divId w:val="1289698130"/>
        <w:rPr>
          <w:rFonts w:eastAsia="Times New Roman"/>
        </w:rPr>
      </w:pPr>
      <w:r>
        <w:rPr>
          <w:rFonts w:eastAsia="Times New Roman"/>
          <w:sz w:val="18"/>
          <w:szCs w:val="18"/>
        </w:rPr>
        <w:t>statements regarding the impact of the COVID-19 pandemic and its effects on our operations, access to capital, research and development and clinical trials and potential disruption in the operations and business of third-party manufacturers, contract resea</w:t>
      </w:r>
      <w:r>
        <w:rPr>
          <w:rFonts w:eastAsia="Times New Roman"/>
          <w:sz w:val="18"/>
          <w:szCs w:val="18"/>
        </w:rPr>
        <w:t>rch organizations, or CROs, other service providers, and collaborators with whom we conduct business</w:t>
      </w:r>
      <w:r>
        <w:rPr>
          <w:rFonts w:eastAsia="Times New Roman"/>
          <w:sz w:val="18"/>
          <w:szCs w:val="18"/>
        </w:rPr>
        <w:t>;</w:t>
      </w:r>
    </w:p>
    <w:p w:rsidR="00000000" w:rsidRDefault="00CF461A">
      <w:pPr>
        <w:jc w:val="both"/>
        <w:divId w:val="683943312"/>
        <w:rPr>
          <w:rFonts w:eastAsia="Times New Roman"/>
        </w:rPr>
      </w:pPr>
      <w:r>
        <w:rPr>
          <w:rFonts w:eastAsia="Times New Roman"/>
          <w:sz w:val="18"/>
          <w:szCs w:val="18"/>
        </w:rPr>
        <w:t>•</w:t>
      </w:r>
    </w:p>
    <w:p w:rsidR="00000000" w:rsidRDefault="00CF461A">
      <w:pPr>
        <w:jc w:val="both"/>
        <w:divId w:val="64112362"/>
        <w:rPr>
          <w:rFonts w:eastAsia="Times New Roman"/>
        </w:rPr>
      </w:pPr>
      <w:r>
        <w:rPr>
          <w:rFonts w:eastAsia="Times New Roman"/>
          <w:sz w:val="18"/>
          <w:szCs w:val="18"/>
        </w:rPr>
        <w:t>our expectations regarding government and third-party payor coverage and reimbursement;</w:t>
      </w:r>
      <w:r>
        <w:rPr>
          <w:rFonts w:eastAsia="Times New Roman"/>
          <w:sz w:val="18"/>
          <w:szCs w:val="18"/>
        </w:rPr>
        <w:t xml:space="preserve"> </w:t>
      </w:r>
    </w:p>
    <w:p w:rsidR="00000000" w:rsidRDefault="00CF461A">
      <w:pPr>
        <w:jc w:val="both"/>
        <w:divId w:val="984240412"/>
        <w:rPr>
          <w:rFonts w:eastAsia="Times New Roman"/>
        </w:rPr>
      </w:pPr>
      <w:r>
        <w:rPr>
          <w:rFonts w:eastAsia="Times New Roman"/>
          <w:sz w:val="18"/>
          <w:szCs w:val="18"/>
        </w:rPr>
        <w:t>•</w:t>
      </w:r>
    </w:p>
    <w:p w:rsidR="00000000" w:rsidRDefault="00CF461A">
      <w:pPr>
        <w:jc w:val="both"/>
        <w:divId w:val="158084094"/>
        <w:rPr>
          <w:rFonts w:eastAsia="Times New Roman"/>
        </w:rPr>
      </w:pPr>
      <w:r>
        <w:rPr>
          <w:rFonts w:eastAsia="Times New Roman"/>
          <w:sz w:val="18"/>
          <w:szCs w:val="18"/>
        </w:rPr>
        <w:t>our ability to compete in the markets we serve;</w:t>
      </w:r>
      <w:r>
        <w:rPr>
          <w:rFonts w:eastAsia="Times New Roman"/>
          <w:sz w:val="18"/>
          <w:szCs w:val="18"/>
        </w:rPr>
        <w:t xml:space="preserve"> </w:t>
      </w:r>
    </w:p>
    <w:p w:rsidR="00000000" w:rsidRDefault="00CF461A">
      <w:pPr>
        <w:jc w:val="both"/>
        <w:divId w:val="289551738"/>
        <w:rPr>
          <w:rFonts w:eastAsia="Times New Roman"/>
        </w:rPr>
      </w:pPr>
      <w:r>
        <w:rPr>
          <w:rFonts w:eastAsia="Times New Roman"/>
          <w:sz w:val="18"/>
          <w:szCs w:val="18"/>
        </w:rPr>
        <w:t>•</w:t>
      </w:r>
    </w:p>
    <w:p w:rsidR="00000000" w:rsidRDefault="00CF461A">
      <w:pPr>
        <w:jc w:val="both"/>
        <w:divId w:val="1282416876"/>
        <w:rPr>
          <w:rFonts w:eastAsia="Times New Roman"/>
        </w:rPr>
      </w:pPr>
      <w:r>
        <w:rPr>
          <w:rFonts w:eastAsia="Times New Roman"/>
          <w:sz w:val="18"/>
          <w:szCs w:val="18"/>
        </w:rPr>
        <w:t>the impact</w:t>
      </w:r>
      <w:r>
        <w:rPr>
          <w:rFonts w:eastAsia="Times New Roman"/>
          <w:sz w:val="18"/>
          <w:szCs w:val="18"/>
        </w:rPr>
        <w:t xml:space="preserve"> of government laws and regulations;</w:t>
      </w:r>
      <w:r>
        <w:rPr>
          <w:rFonts w:eastAsia="Times New Roman"/>
          <w:sz w:val="18"/>
          <w:szCs w:val="18"/>
        </w:rPr>
        <w:t xml:space="preserve"> </w:t>
      </w:r>
    </w:p>
    <w:p w:rsidR="00000000" w:rsidRDefault="00CF461A">
      <w:pPr>
        <w:jc w:val="both"/>
        <w:divId w:val="786965552"/>
        <w:rPr>
          <w:rFonts w:eastAsia="Times New Roman"/>
        </w:rPr>
      </w:pPr>
      <w:r>
        <w:rPr>
          <w:rFonts w:eastAsia="Times New Roman"/>
          <w:sz w:val="18"/>
          <w:szCs w:val="18"/>
        </w:rPr>
        <w:t>•</w:t>
      </w:r>
    </w:p>
    <w:p w:rsidR="00000000" w:rsidRDefault="00CF461A">
      <w:pPr>
        <w:jc w:val="both"/>
        <w:divId w:val="565576101"/>
        <w:rPr>
          <w:rFonts w:eastAsia="Times New Roman"/>
        </w:rPr>
      </w:pPr>
      <w:r>
        <w:rPr>
          <w:rFonts w:eastAsia="Times New Roman"/>
          <w:sz w:val="18"/>
          <w:szCs w:val="18"/>
        </w:rPr>
        <w:t>developments relating to our competitors and our industry; and</w:t>
      </w:r>
      <w:r>
        <w:rPr>
          <w:rFonts w:eastAsia="Times New Roman"/>
          <w:sz w:val="18"/>
          <w:szCs w:val="18"/>
        </w:rPr>
        <w:t xml:space="preserve"> </w:t>
      </w:r>
    </w:p>
    <w:p w:rsidR="00000000" w:rsidRDefault="00CF461A">
      <w:pPr>
        <w:jc w:val="both"/>
        <w:divId w:val="730928832"/>
        <w:rPr>
          <w:rFonts w:eastAsia="Times New Roman"/>
        </w:rPr>
      </w:pPr>
      <w:r>
        <w:rPr>
          <w:rFonts w:eastAsia="Times New Roman"/>
          <w:sz w:val="18"/>
          <w:szCs w:val="18"/>
        </w:rPr>
        <w:t>•</w:t>
      </w:r>
    </w:p>
    <w:p w:rsidR="00000000" w:rsidRDefault="00CF461A">
      <w:pPr>
        <w:jc w:val="both"/>
        <w:divId w:val="1445537212"/>
        <w:rPr>
          <w:rFonts w:eastAsia="Times New Roman"/>
        </w:rPr>
      </w:pPr>
      <w:r>
        <w:rPr>
          <w:rFonts w:eastAsia="Times New Roman"/>
          <w:sz w:val="18"/>
          <w:szCs w:val="18"/>
        </w:rPr>
        <w:t>the factors that may impact our financial results.</w:t>
      </w:r>
      <w:r>
        <w:rPr>
          <w:rFonts w:eastAsia="Times New Roman"/>
          <w:sz w:val="18"/>
          <w:szCs w:val="18"/>
        </w:rPr>
        <w:t xml:space="preserve"> </w:t>
      </w:r>
    </w:p>
    <w:p w:rsidR="00000000" w:rsidRDefault="00CF461A">
      <w:pPr>
        <w:pStyle w:val="a3"/>
        <w:spacing w:before="200" w:beforeAutospacing="0" w:after="0" w:afterAutospacing="0"/>
        <w:ind w:firstLine="555"/>
        <w:jc w:val="both"/>
        <w:rPr>
          <w:sz w:val="20"/>
          <w:szCs w:val="20"/>
        </w:rPr>
      </w:pPr>
      <w:r>
        <w:rPr>
          <w:sz w:val="18"/>
          <w:szCs w:val="18"/>
        </w:rPr>
        <w:t>Factors that may cause actual results to differ materially from current expectations include, amon</w:t>
      </w:r>
      <w:r>
        <w:rPr>
          <w:sz w:val="18"/>
          <w:szCs w:val="18"/>
        </w:rPr>
        <w:t>g other things, those set forth in Part II, Item 1A, “Risk Factors,” herein and for the reasons described elsewhere in this Quarterly Report on Form 10-Q. Any forward-looking statement in this Quarterly Report on Form 10-Q reflects our current view with re</w:t>
      </w:r>
      <w:r>
        <w:rPr>
          <w:sz w:val="18"/>
          <w:szCs w:val="18"/>
        </w:rPr>
        <w:t xml:space="preserve">spect to future events and is subject to these and other risks, uncertainties and assumptions relating to our operations, results of operations, industry and future growth. Given these uncertainties, you should not rely on these forward-looking statements </w:t>
      </w:r>
      <w:r>
        <w:rPr>
          <w:sz w:val="18"/>
          <w:szCs w:val="18"/>
        </w:rPr>
        <w:t>as predictions of future events. Although we believe that the expectations reflected in the forward-looking statements are reasonable, we cannot guarantee future results, levels of activity, performance or achievements. Except as required by law, we assume</w:t>
      </w:r>
      <w:r>
        <w:rPr>
          <w:sz w:val="18"/>
          <w:szCs w:val="18"/>
        </w:rPr>
        <w:t xml:space="preserve"> no obligation to update or revise these forward-looking statements for any reason, even if new information becomes available in the future</w:t>
      </w:r>
      <w:r>
        <w:rPr>
          <w:sz w:val="18"/>
          <w:szCs w:val="18"/>
        </w:rPr>
        <w:t>.</w:t>
      </w:r>
    </w:p>
    <w:p w:rsidR="00000000" w:rsidRDefault="00CF461A">
      <w:pPr>
        <w:pStyle w:val="a3"/>
        <w:spacing w:before="200" w:beforeAutospacing="0" w:after="0" w:afterAutospacing="0"/>
        <w:ind w:firstLine="555"/>
        <w:jc w:val="both"/>
        <w:rPr>
          <w:sz w:val="20"/>
          <w:szCs w:val="20"/>
        </w:rPr>
      </w:pPr>
      <w:r>
        <w:rPr>
          <w:sz w:val="18"/>
          <w:szCs w:val="18"/>
        </w:rPr>
        <w:t>This Quarterly Report on Form 10-Q also contains estimates, projections and other information concerning our indust</w:t>
      </w:r>
      <w:r>
        <w:rPr>
          <w:sz w:val="18"/>
          <w:szCs w:val="18"/>
        </w:rPr>
        <w:t>ry, our business and the markets for certain drugs and consumer products, including data regarding the estimated size of those markets, their projected growth rates and the incidence of certain medical conditions. Information that is based on estimates, fo</w:t>
      </w:r>
      <w:r>
        <w:rPr>
          <w:sz w:val="18"/>
          <w:szCs w:val="18"/>
        </w:rPr>
        <w:t xml:space="preserve">recasts, projections or similar methodologies is inherently subject to uncertainties and actual events or circumstances may differ materially from events and circumstances reflected in this information. Unless otherwise expressly stated, we obtained these </w:t>
      </w:r>
      <w:r>
        <w:rPr>
          <w:sz w:val="18"/>
          <w:szCs w:val="18"/>
        </w:rPr>
        <w:t>industry, business, market and other data from reports, research surveys, studies and similar data prepared by third parties, industry, medical and general publications, government data and similar sources and we have not independently verified the data fr</w:t>
      </w:r>
      <w:r>
        <w:rPr>
          <w:sz w:val="18"/>
          <w:szCs w:val="18"/>
        </w:rPr>
        <w:t>om third party sources. In some cases, we do not expressly refer to the sources from which these data are derived</w:t>
      </w:r>
      <w:r>
        <w:rPr>
          <w:sz w:val="18"/>
          <w:szCs w:val="18"/>
        </w:rPr>
        <w:t>.</w:t>
      </w:r>
    </w:p>
    <w:p w:rsidR="00000000" w:rsidRDefault="00CF461A">
      <w:pPr>
        <w:pStyle w:val="a3"/>
        <w:spacing w:before="200" w:beforeAutospacing="0" w:after="0" w:afterAutospacing="0"/>
        <w:ind w:firstLine="555"/>
        <w:jc w:val="both"/>
        <w:rPr>
          <w:sz w:val="20"/>
          <w:szCs w:val="20"/>
        </w:rPr>
      </w:pPr>
      <w:r>
        <w:rPr>
          <w:sz w:val="18"/>
          <w:szCs w:val="18"/>
        </w:rPr>
        <w:t>In this Quarterly Report on Form 10-Q, unless otherwise stated or as the context otherwise requires, references to “Ovid,” “the Company,” “we</w:t>
      </w:r>
      <w:r>
        <w:rPr>
          <w:sz w:val="18"/>
          <w:szCs w:val="18"/>
        </w:rPr>
        <w:t>,” “us,” “our” and similar references refer to Ovid Therapeutics Inc. and its wholly owned subsidiaries. This Quarterly Report on Form 10-Q also contains references to our trademarks and to trademarks belonging to other entities. Solely for convenience, tr</w:t>
      </w:r>
      <w:r>
        <w:rPr>
          <w:sz w:val="18"/>
          <w:szCs w:val="18"/>
        </w:rPr>
        <w:t>ademarks and trade names referred to, including logos, artwork and other visual displays, may appear without the ® or TM symbols, but such references are not intended to indicate, in any way, that their respective owners will not assert, to the fullest ext</w:t>
      </w:r>
      <w:r>
        <w:rPr>
          <w:sz w:val="18"/>
          <w:szCs w:val="18"/>
        </w:rPr>
        <w:t>ent under applicable law, their rights thereto. We do not intend our use or display of other companies’ trade names or trademarks to imply a relationship with, or endorsement or sponsorship of us by, any other companies</w:t>
      </w:r>
      <w:r>
        <w:rPr>
          <w:sz w:val="18"/>
          <w:szCs w:val="18"/>
        </w:rPr>
        <w:t>.</w:t>
      </w:r>
    </w:p>
    <w:p w:rsidR="00000000" w:rsidRDefault="00CF461A">
      <w:pPr>
        <w:pStyle w:val="a3"/>
        <w:spacing w:before="240" w:beforeAutospacing="0" w:after="0" w:afterAutospacing="0"/>
        <w:jc w:val="center"/>
        <w:rPr>
          <w:sz w:val="20"/>
          <w:szCs w:val="20"/>
        </w:rPr>
      </w:pPr>
      <w:r>
        <w:rPr>
          <w:sz w:val="18"/>
          <w:szCs w:val="18"/>
        </w:rPr>
        <w:lastRenderedPageBreak/>
        <w:t>i</w:t>
      </w:r>
      <w:r>
        <w:rPr>
          <w:sz w:val="18"/>
          <w:szCs w:val="18"/>
        </w:rPr>
        <w:t>i</w:t>
      </w:r>
    </w:p>
    <w:p w:rsidR="00000000" w:rsidRDefault="00CF461A">
      <w:pPr>
        <w:rPr>
          <w:rFonts w:eastAsia="Times New Roman"/>
        </w:rPr>
      </w:pPr>
      <w:r>
        <w:rPr>
          <w:rFonts w:eastAsia="Times New Roman"/>
        </w:rPr>
        <w:pict>
          <v:rect id="_x0000_i1027"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PART I—FINANC</w:t>
      </w:r>
      <w:r>
        <w:rPr>
          <w:b/>
          <w:bCs/>
          <w:sz w:val="18"/>
          <w:szCs w:val="18"/>
        </w:rPr>
        <w:t>I</w:t>
      </w:r>
      <w:r>
        <w:rPr>
          <w:b/>
          <w:bCs/>
          <w:sz w:val="18"/>
          <w:szCs w:val="18"/>
        </w:rPr>
        <w:t>AL INFORMATIO</w:t>
      </w:r>
      <w:r>
        <w:rPr>
          <w:b/>
          <w:bCs/>
          <w:sz w:val="18"/>
          <w:szCs w:val="18"/>
        </w:rPr>
        <w:t>N</w:t>
      </w:r>
    </w:p>
    <w:p w:rsidR="00000000" w:rsidRDefault="00CF461A">
      <w:pPr>
        <w:pStyle w:val="a3"/>
        <w:spacing w:before="240" w:beforeAutospacing="0" w:after="0" w:afterAutospacing="0"/>
        <w:rPr>
          <w:sz w:val="20"/>
          <w:szCs w:val="20"/>
        </w:rPr>
      </w:pPr>
      <w:r>
        <w:rPr>
          <w:b/>
          <w:bCs/>
          <w:sz w:val="18"/>
          <w:szCs w:val="18"/>
        </w:rPr>
        <w:t>Item 1. Financ</w:t>
      </w:r>
      <w:r>
        <w:rPr>
          <w:b/>
          <w:bCs/>
          <w:sz w:val="18"/>
          <w:szCs w:val="18"/>
        </w:rPr>
        <w:t>i</w:t>
      </w:r>
      <w:r>
        <w:rPr>
          <w:b/>
          <w:bCs/>
          <w:sz w:val="18"/>
          <w:szCs w:val="18"/>
        </w:rPr>
        <w:t>al Statements</w:t>
      </w:r>
      <w:r>
        <w:rPr>
          <w:b/>
          <w:bCs/>
          <w:sz w:val="18"/>
          <w:szCs w:val="18"/>
        </w:rPr>
        <w:t>.</w:t>
      </w:r>
    </w:p>
    <w:p w:rsidR="00000000" w:rsidRDefault="00CF461A">
      <w:pPr>
        <w:pStyle w:val="a3"/>
        <w:spacing w:before="240" w:beforeAutospacing="0" w:after="0" w:afterAutospacing="0"/>
        <w:jc w:val="center"/>
        <w:rPr>
          <w:sz w:val="20"/>
          <w:szCs w:val="20"/>
        </w:rPr>
      </w:pPr>
      <w:r>
        <w:rPr>
          <w:b/>
          <w:bCs/>
          <w:sz w:val="18"/>
          <w:szCs w:val="18"/>
        </w:rPr>
        <w:t>OVID THERAPEUTICS INC</w:t>
      </w:r>
      <w:r>
        <w:rPr>
          <w:b/>
          <w:bCs/>
          <w:sz w:val="18"/>
          <w:szCs w:val="18"/>
        </w:rPr>
        <w:t>.</w:t>
      </w:r>
    </w:p>
    <w:p w:rsidR="00000000" w:rsidRDefault="00CF461A">
      <w:pPr>
        <w:pStyle w:val="a3"/>
        <w:spacing w:before="0" w:beforeAutospacing="0" w:after="0" w:afterAutospacing="0"/>
        <w:jc w:val="center"/>
        <w:rPr>
          <w:sz w:val="20"/>
          <w:szCs w:val="20"/>
        </w:rPr>
      </w:pPr>
      <w:r>
        <w:rPr>
          <w:b/>
          <w:bCs/>
          <w:sz w:val="18"/>
          <w:szCs w:val="18"/>
        </w:rPr>
        <w:t>Condensed Consolid</w:t>
      </w:r>
      <w:r>
        <w:rPr>
          <w:b/>
          <w:bCs/>
          <w:sz w:val="18"/>
          <w:szCs w:val="18"/>
        </w:rPr>
        <w:t>a</w:t>
      </w:r>
      <w:r>
        <w:rPr>
          <w:b/>
          <w:bCs/>
          <w:sz w:val="18"/>
          <w:szCs w:val="18"/>
        </w:rPr>
        <w:t>ted Balance Sheet</w:t>
      </w:r>
      <w:r>
        <w:rPr>
          <w:b/>
          <w:bCs/>
          <w:sz w:val="18"/>
          <w:szCs w:val="18"/>
        </w:rPr>
        <w:t>s</w:t>
      </w:r>
    </w:p>
    <w:p w:rsidR="00000000" w:rsidRDefault="00CF461A">
      <w:pPr>
        <w:pStyle w:val="a3"/>
        <w:spacing w:before="0" w:beforeAutospacing="0" w:after="0" w:afterAutospacing="0"/>
        <w:jc w:val="center"/>
        <w:rPr>
          <w:sz w:val="20"/>
          <w:szCs w:val="20"/>
        </w:rPr>
      </w:pPr>
      <w:r>
        <w:rPr>
          <w:sz w:val="18"/>
          <w:szCs w:val="18"/>
        </w:rPr>
        <w:t> </w:t>
      </w:r>
    </w:p>
    <w:p w:rsidR="00000000" w:rsidRDefault="00CF461A">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01"/>
        <w:gridCol w:w="105"/>
        <w:gridCol w:w="150"/>
        <w:gridCol w:w="1020"/>
        <w:gridCol w:w="120"/>
        <w:gridCol w:w="105"/>
        <w:gridCol w:w="150"/>
        <w:gridCol w:w="1020"/>
        <w:gridCol w:w="135"/>
      </w:tblGrid>
      <w:tr w:rsidR="00000000">
        <w:trPr>
          <w:tblCellSpacing w:w="15" w:type="dxa"/>
        </w:trPr>
        <w:tc>
          <w:tcPr>
            <w:tcW w:w="3649" w:type="pct"/>
            <w:vAlign w:val="center"/>
            <w:hideMark/>
          </w:tcPr>
          <w:p w:rsidR="00000000" w:rsidRDefault="00CF461A">
            <w:pPr>
              <w:rPr>
                <w:sz w:val="20"/>
                <w:szCs w:val="20"/>
              </w:rPr>
            </w:pPr>
          </w:p>
        </w:tc>
        <w:tc>
          <w:tcPr>
            <w:tcW w:w="6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521"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c>
          <w:tcPr>
            <w:tcW w:w="6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515"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b/>
                <w:bCs/>
                <w:sz w:val="18"/>
                <w:szCs w:val="18"/>
              </w:rPr>
              <w:t>Asset</w:t>
            </w:r>
            <w:r>
              <w:rPr>
                <w:b/>
                <w:bCs/>
                <w:sz w:val="18"/>
                <w:szCs w:val="18"/>
              </w:rPr>
              <w:t>s</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(unaudited</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Current assets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Cash and cash equivalent</w:t>
            </w:r>
            <w:r>
              <w:rPr>
                <w:sz w:val="18"/>
                <w:szCs w:val="18"/>
              </w:rPr>
              <w:t>s</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166,668,02</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187,797,53</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Prepaid expenses and other current asset</w:t>
            </w:r>
            <w:r>
              <w:rPr>
                <w:sz w:val="18"/>
                <w:szCs w:val="18"/>
              </w:rPr>
              <w:t>s</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2,419,16</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2,681,59</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Note receivabl</w:t>
            </w:r>
            <w:r>
              <w:rPr>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1,000,00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Total current asset</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170,087,18</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190,479,12</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Long-term equity investment</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2,784,42</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1,631,99</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Restricted cas</w:t>
            </w:r>
            <w:r>
              <w:rPr>
                <w:sz w:val="18"/>
                <w:szCs w:val="18"/>
              </w:rPr>
              <w:t>h</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1,930,75</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1,930,75</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Security deposi</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100,33</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96,03</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Property and equipment, ne</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257,85</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242,75</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Right-of-use asse</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15,691,48</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Other asset</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244,03</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164,09</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Total asset</w:t>
            </w:r>
            <w:r>
              <w:rPr>
                <w:sz w:val="18"/>
                <w:szCs w:val="18"/>
              </w:rPr>
              <w:t>s</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191,096,07</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194,544,75</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b/>
                <w:bCs/>
                <w:sz w:val="18"/>
                <w:szCs w:val="18"/>
              </w:rPr>
              <w:t>Liabilities and Stockholders' Equit</w:t>
            </w:r>
            <w:r>
              <w:rPr>
                <w:b/>
                <w:bCs/>
                <w:sz w:val="18"/>
                <w:szCs w:val="18"/>
              </w:rPr>
              <w:t>y</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Current liabilities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Accounts payabl</w:t>
            </w:r>
            <w:r>
              <w:rPr>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2,256,77</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7,127,04</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Accrued expense</w:t>
            </w:r>
            <w:r>
              <w:rPr>
                <w:sz w:val="18"/>
                <w:szCs w:val="18"/>
              </w:rPr>
              <w:t>s</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7,970,94</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7,671,27</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Long-term liabilities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Lease liabilit</w:t>
            </w:r>
            <w:r>
              <w:rPr>
                <w:sz w:val="18"/>
                <w:szCs w:val="18"/>
              </w:rPr>
              <w:t>y</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15,872,08</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Total liabilitie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26,099,80</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14,798,32</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CF461A">
            <w:pPr>
              <w:pStyle w:val="a3"/>
              <w:spacing w:before="0" w:beforeAutospacing="0" w:after="0" w:afterAutospacing="0"/>
              <w:ind w:left="200"/>
              <w:rPr>
                <w:sz w:val="20"/>
                <w:szCs w:val="20"/>
              </w:rPr>
            </w:pPr>
            <w:r>
              <w:rPr>
                <w:sz w:val="18"/>
                <w:szCs w:val="18"/>
              </w:rPr>
              <w:t xml:space="preserve">Preferred stock, </w:t>
            </w:r>
            <w:r>
              <w:rPr>
                <w:sz w:val="18"/>
                <w:szCs w:val="18"/>
              </w:rPr>
              <w:t>$</w:t>
            </w:r>
            <w:r>
              <w:rPr>
                <w:sz w:val="18"/>
                <w:szCs w:val="18"/>
              </w:rPr>
              <w:t>0.00</w:t>
            </w:r>
            <w:r>
              <w:rPr>
                <w:sz w:val="18"/>
                <w:szCs w:val="18"/>
              </w:rPr>
              <w:t>1</w:t>
            </w:r>
            <w:r>
              <w:rPr>
                <w:sz w:val="18"/>
                <w:szCs w:val="18"/>
              </w:rPr>
              <w:t> par value;</w:t>
            </w:r>
            <w:r>
              <w:rPr>
                <w:sz w:val="18"/>
                <w:szCs w:val="18"/>
              </w:rPr>
              <w:t xml:space="preserve"> </w:t>
            </w:r>
            <w:r>
              <w:rPr>
                <w:sz w:val="18"/>
                <w:szCs w:val="18"/>
              </w:rPr>
              <w:t>10,000,00</w:t>
            </w:r>
            <w:r>
              <w:rPr>
                <w:sz w:val="18"/>
                <w:szCs w:val="18"/>
              </w:rPr>
              <w:t>0</w:t>
            </w:r>
            <w:r>
              <w:rPr>
                <w:sz w:val="18"/>
                <w:szCs w:val="18"/>
              </w:rPr>
              <w:t> </w:t>
            </w:r>
            <w:r>
              <w:rPr>
                <w:sz w:val="18"/>
                <w:szCs w:val="18"/>
              </w:rPr>
              <w:t>shares authorized; Series A convertible preferred stock,</w:t>
            </w:r>
            <w:r>
              <w:rPr>
                <w:sz w:val="18"/>
                <w:szCs w:val="18"/>
              </w:rPr>
              <w:t xml:space="preserve"> </w:t>
            </w:r>
            <w:r>
              <w:rPr>
                <w:sz w:val="18"/>
                <w:szCs w:val="18"/>
              </w:rPr>
              <w:t>10,00</w:t>
            </w:r>
            <w:r>
              <w:rPr>
                <w:sz w:val="18"/>
                <w:szCs w:val="18"/>
              </w:rPr>
              <w:t>0</w:t>
            </w:r>
            <w:r>
              <w:rPr>
                <w:sz w:val="18"/>
                <w:szCs w:val="18"/>
              </w:rPr>
              <w:t> shares designated,</w:t>
            </w:r>
            <w:r>
              <w:rPr>
                <w:sz w:val="18"/>
                <w:szCs w:val="18"/>
              </w:rPr>
              <w:t xml:space="preserve"> </w:t>
            </w:r>
            <w:r>
              <w:rPr>
                <w:sz w:val="18"/>
                <w:szCs w:val="18"/>
              </w:rPr>
              <w:t>1,25</w:t>
            </w:r>
            <w:r>
              <w:rPr>
                <w:sz w:val="18"/>
                <w:szCs w:val="18"/>
              </w:rPr>
              <w:t>0</w:t>
            </w:r>
            <w:r>
              <w:rPr>
                <w:sz w:val="18"/>
                <w:szCs w:val="18"/>
              </w:rPr>
              <w:t> shares issued and outstanding at March 31, 2022 and December 31, 202</w:t>
            </w:r>
            <w:r>
              <w:rPr>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CF461A">
            <w:pPr>
              <w:pStyle w:val="a3"/>
              <w:spacing w:before="0" w:beforeAutospacing="0" w:after="0" w:afterAutospacing="0"/>
              <w:ind w:left="200"/>
              <w:rPr>
                <w:sz w:val="20"/>
                <w:szCs w:val="20"/>
              </w:rPr>
            </w:pPr>
            <w:r>
              <w:rPr>
                <w:sz w:val="18"/>
                <w:szCs w:val="18"/>
              </w:rPr>
              <w:t xml:space="preserve">Common stock, </w:t>
            </w:r>
            <w:r>
              <w:rPr>
                <w:sz w:val="18"/>
                <w:szCs w:val="18"/>
              </w:rPr>
              <w:t>$</w:t>
            </w:r>
            <w:r>
              <w:rPr>
                <w:sz w:val="18"/>
                <w:szCs w:val="18"/>
              </w:rPr>
              <w:t>0.00</w:t>
            </w:r>
            <w:r>
              <w:rPr>
                <w:sz w:val="18"/>
                <w:szCs w:val="18"/>
              </w:rPr>
              <w:t>1</w:t>
            </w:r>
            <w:r>
              <w:rPr>
                <w:sz w:val="18"/>
                <w:szCs w:val="18"/>
              </w:rPr>
              <w:t> par value;</w:t>
            </w:r>
            <w:r>
              <w:rPr>
                <w:sz w:val="18"/>
                <w:szCs w:val="18"/>
              </w:rPr>
              <w:t xml:space="preserve"> </w:t>
            </w:r>
            <w:r>
              <w:rPr>
                <w:sz w:val="18"/>
                <w:szCs w:val="18"/>
              </w:rPr>
              <w:t>125,000,00</w:t>
            </w:r>
            <w:r>
              <w:rPr>
                <w:sz w:val="18"/>
                <w:szCs w:val="18"/>
              </w:rPr>
              <w:t>0</w:t>
            </w:r>
            <w:r>
              <w:rPr>
                <w:sz w:val="18"/>
                <w:szCs w:val="18"/>
              </w:rPr>
              <w:t> shares authorized;</w:t>
            </w:r>
            <w:r>
              <w:rPr>
                <w:sz w:val="18"/>
                <w:szCs w:val="18"/>
              </w:rPr>
              <w:t xml:space="preserve"> </w:t>
            </w:r>
            <w:r>
              <w:rPr>
                <w:sz w:val="18"/>
                <w:szCs w:val="18"/>
              </w:rPr>
              <w:t>70,417,24</w:t>
            </w:r>
            <w:r>
              <w:rPr>
                <w:sz w:val="18"/>
                <w:szCs w:val="18"/>
              </w:rPr>
              <w:t>5</w:t>
            </w:r>
            <w:r>
              <w:rPr>
                <w:sz w:val="18"/>
                <w:szCs w:val="18"/>
              </w:rPr>
              <w:t> and</w:t>
            </w:r>
            <w:r>
              <w:rPr>
                <w:sz w:val="18"/>
                <w:szCs w:val="18"/>
              </w:rPr>
              <w:t xml:space="preserve"> </w:t>
            </w:r>
            <w:r>
              <w:rPr>
                <w:sz w:val="18"/>
                <w:szCs w:val="18"/>
              </w:rPr>
              <w:t>70</w:t>
            </w:r>
            <w:r>
              <w:rPr>
                <w:sz w:val="18"/>
                <w:szCs w:val="18"/>
              </w:rPr>
              <w:t>,364,91</w:t>
            </w:r>
            <w:r>
              <w:rPr>
                <w:sz w:val="18"/>
                <w:szCs w:val="18"/>
              </w:rPr>
              <w:t>2</w:t>
            </w:r>
            <w:r>
              <w:rPr>
                <w:sz w:val="18"/>
                <w:szCs w:val="18"/>
              </w:rPr>
              <w:t> shares issued and outstanding at March 31, 2022 and December 31, 2021, respectivel</w:t>
            </w:r>
            <w:r>
              <w:rPr>
                <w:sz w:val="18"/>
                <w:szCs w:val="18"/>
              </w:rPr>
              <w:t>y</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70,37</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70,35</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Additional paid-in-capita</w:t>
            </w:r>
            <w:r>
              <w:rPr>
                <w:sz w:val="18"/>
                <w:szCs w:val="18"/>
              </w:rPr>
              <w:t>l</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352,391,46</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351,033,58</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Accumulated defici</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187,465,56</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171,357,51</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Total stockholders' equit</w:t>
            </w:r>
            <w:r>
              <w:rPr>
                <w:sz w:val="18"/>
                <w:szCs w:val="18"/>
              </w:rPr>
              <w:t>y</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164,996,27</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179,746,43</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Total liabilities and stockholders' equit</w:t>
            </w:r>
            <w:r>
              <w:rPr>
                <w:sz w:val="18"/>
                <w:szCs w:val="18"/>
              </w:rPr>
              <w:t>y</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191,096,07</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194,544,75</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4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rsidR="00000000" w:rsidRDefault="00CF461A">
      <w:pPr>
        <w:pStyle w:val="a3"/>
        <w:spacing w:before="240" w:beforeAutospacing="0" w:after="0" w:afterAutospacing="0"/>
        <w:jc w:val="center"/>
        <w:rPr>
          <w:sz w:val="20"/>
          <w:szCs w:val="20"/>
        </w:rPr>
      </w:pPr>
      <w:r>
        <w:rPr>
          <w:sz w:val="18"/>
          <w:szCs w:val="18"/>
        </w:rPr>
        <w:t>3</w:t>
      </w:r>
    </w:p>
    <w:p w:rsidR="00000000" w:rsidRDefault="00CF461A">
      <w:pPr>
        <w:rPr>
          <w:rFonts w:eastAsia="Times New Roman"/>
        </w:rPr>
      </w:pPr>
      <w:r>
        <w:rPr>
          <w:rFonts w:eastAsia="Times New Roman"/>
        </w:rPr>
        <w:pict>
          <v:rect id="_x0000_i1028"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CF461A">
      <w:pPr>
        <w:pStyle w:val="a3"/>
        <w:spacing w:before="0" w:beforeAutospacing="0" w:after="0" w:afterAutospacing="0"/>
        <w:jc w:val="center"/>
        <w:rPr>
          <w:sz w:val="20"/>
          <w:szCs w:val="20"/>
        </w:rPr>
      </w:pPr>
      <w:r>
        <w:rPr>
          <w:b/>
          <w:bCs/>
          <w:sz w:val="18"/>
          <w:szCs w:val="18"/>
        </w:rPr>
        <w:t xml:space="preserve">Condensed Consolidated </w:t>
      </w:r>
      <w:r>
        <w:rPr>
          <w:b/>
          <w:bCs/>
          <w:sz w:val="18"/>
          <w:szCs w:val="18"/>
        </w:rPr>
        <w:t>S</w:t>
      </w:r>
      <w:r>
        <w:rPr>
          <w:b/>
          <w:bCs/>
          <w:sz w:val="18"/>
          <w:szCs w:val="18"/>
        </w:rPr>
        <w:t>tatements of Operation</w:t>
      </w:r>
      <w:r>
        <w:rPr>
          <w:b/>
          <w:bCs/>
          <w:sz w:val="18"/>
          <w:szCs w:val="18"/>
        </w:rPr>
        <w:t>s</w:t>
      </w:r>
      <w:r>
        <w:rPr>
          <w:b/>
          <w:bCs/>
          <w:sz w:val="18"/>
          <w:szCs w:val="18"/>
        </w:rPr>
        <w:t xml:space="preserve"> </w:t>
      </w:r>
    </w:p>
    <w:p w:rsidR="00000000" w:rsidRDefault="00CF461A">
      <w:pPr>
        <w:pStyle w:val="a3"/>
        <w:spacing w:before="0" w:beforeAutospacing="0" w:after="0" w:afterAutospacing="0"/>
        <w:jc w:val="center"/>
        <w:rPr>
          <w:sz w:val="20"/>
          <w:szCs w:val="20"/>
        </w:rPr>
      </w:pPr>
      <w:r>
        <w:rPr>
          <w:b/>
          <w:bCs/>
          <w:sz w:val="18"/>
          <w:szCs w:val="18"/>
        </w:rPr>
        <w:t>(unaudited</w:t>
      </w:r>
      <w:r>
        <w:rPr>
          <w:b/>
          <w:bCs/>
          <w:sz w:val="18"/>
          <w:szCs w:val="18"/>
        </w:rPr>
        <w:t>)</w:t>
      </w:r>
    </w:p>
    <w:p w:rsidR="00000000" w:rsidRDefault="00CF461A">
      <w:pPr>
        <w:pStyle w:val="a3"/>
        <w:spacing w:before="0" w:beforeAutospacing="0" w:after="0" w:afterAutospacing="0"/>
        <w:rPr>
          <w:sz w:val="20"/>
          <w:szCs w:val="20"/>
        </w:rPr>
      </w:pPr>
      <w:r>
        <w:rPr>
          <w:sz w:val="18"/>
          <w:szCs w:val="18"/>
        </w:rPr>
        <w:lastRenderedPageBreak/>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3"/>
        <w:gridCol w:w="605"/>
        <w:gridCol w:w="150"/>
        <w:gridCol w:w="948"/>
        <w:gridCol w:w="120"/>
        <w:gridCol w:w="605"/>
        <w:gridCol w:w="150"/>
        <w:gridCol w:w="960"/>
        <w:gridCol w:w="135"/>
      </w:tblGrid>
      <w:tr w:rsidR="00000000">
        <w:trPr>
          <w:tblCellSpacing w:w="15" w:type="dxa"/>
        </w:trPr>
        <w:tc>
          <w:tcPr>
            <w:tcW w:w="2978" w:type="pct"/>
            <w:vAlign w:val="center"/>
            <w:hideMark/>
          </w:tcPr>
          <w:p w:rsidR="00000000" w:rsidRDefault="00CF461A">
            <w:pPr>
              <w:rPr>
                <w:sz w:val="20"/>
                <w:szCs w:val="20"/>
              </w:rPr>
            </w:pPr>
          </w:p>
        </w:tc>
        <w:tc>
          <w:tcPr>
            <w:tcW w:w="231" w:type="pct"/>
            <w:vAlign w:val="center"/>
            <w:hideMark/>
          </w:tcPr>
          <w:p w:rsidR="00000000" w:rsidRDefault="00CF461A">
            <w:pPr>
              <w:rPr>
                <w:rFonts w:eastAsia="Times New Roman"/>
                <w:sz w:val="20"/>
                <w:szCs w:val="20"/>
              </w:rPr>
            </w:pPr>
          </w:p>
        </w:tc>
        <w:tc>
          <w:tcPr>
            <w:tcW w:w="52" w:type="pct"/>
            <w:vAlign w:val="center"/>
            <w:hideMark/>
          </w:tcPr>
          <w:p w:rsidR="00000000" w:rsidRDefault="00CF461A">
            <w:pPr>
              <w:rPr>
                <w:rFonts w:eastAsia="Times New Roman"/>
                <w:sz w:val="20"/>
                <w:szCs w:val="20"/>
              </w:rPr>
            </w:pPr>
          </w:p>
        </w:tc>
        <w:tc>
          <w:tcPr>
            <w:tcW w:w="689" w:type="pct"/>
            <w:vAlign w:val="center"/>
            <w:hideMark/>
          </w:tcPr>
          <w:p w:rsidR="00000000" w:rsidRDefault="00CF461A">
            <w:pPr>
              <w:rPr>
                <w:rFonts w:eastAsia="Times New Roman"/>
                <w:sz w:val="20"/>
                <w:szCs w:val="20"/>
              </w:rPr>
            </w:pPr>
          </w:p>
        </w:tc>
        <w:tc>
          <w:tcPr>
            <w:tcW w:w="35" w:type="pct"/>
            <w:vAlign w:val="center"/>
            <w:hideMark/>
          </w:tcPr>
          <w:p w:rsidR="00000000" w:rsidRDefault="00CF461A">
            <w:pPr>
              <w:rPr>
                <w:rFonts w:eastAsia="Times New Roman"/>
                <w:sz w:val="20"/>
                <w:szCs w:val="20"/>
              </w:rPr>
            </w:pPr>
          </w:p>
        </w:tc>
        <w:tc>
          <w:tcPr>
            <w:tcW w:w="231" w:type="pct"/>
            <w:vAlign w:val="center"/>
            <w:hideMark/>
          </w:tcPr>
          <w:p w:rsidR="00000000" w:rsidRDefault="00CF461A">
            <w:pPr>
              <w:rPr>
                <w:rFonts w:eastAsia="Times New Roman"/>
                <w:sz w:val="20"/>
                <w:szCs w:val="20"/>
              </w:rPr>
            </w:pPr>
          </w:p>
        </w:tc>
        <w:tc>
          <w:tcPr>
            <w:tcW w:w="52" w:type="pct"/>
            <w:vAlign w:val="center"/>
            <w:hideMark/>
          </w:tcPr>
          <w:p w:rsidR="00000000" w:rsidRDefault="00CF461A">
            <w:pPr>
              <w:rPr>
                <w:rFonts w:eastAsia="Times New Roman"/>
                <w:sz w:val="20"/>
                <w:szCs w:val="20"/>
              </w:rPr>
            </w:pPr>
          </w:p>
        </w:tc>
        <w:tc>
          <w:tcPr>
            <w:tcW w:w="691" w:type="pct"/>
            <w:vAlign w:val="center"/>
            <w:hideMark/>
          </w:tcPr>
          <w:p w:rsidR="00000000" w:rsidRDefault="00CF461A">
            <w:pPr>
              <w:rPr>
                <w:rFonts w:eastAsia="Times New Roman"/>
                <w:sz w:val="20"/>
                <w:szCs w:val="20"/>
              </w:rPr>
            </w:pPr>
          </w:p>
        </w:tc>
        <w:tc>
          <w:tcPr>
            <w:tcW w:w="35"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For The 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For The 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Revenue</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License and other revenu</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1,445,36</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12,382,77</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License revenue - related part</w:t>
            </w:r>
            <w:r>
              <w:rPr>
                <w:sz w:val="18"/>
                <w:szCs w:val="18"/>
              </w:rPr>
              <w:t>y</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196,000,00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Total revenu</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1,445,36</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208,382,77</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Operating expenses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Research and developmen</w:t>
            </w:r>
            <w:r>
              <w:rPr>
                <w:sz w:val="18"/>
                <w:szCs w:val="18"/>
              </w:rPr>
              <w:t>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7,832,26</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16,248,90</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General and administrativ</w:t>
            </w:r>
            <w:r>
              <w:rPr>
                <w:sz w:val="18"/>
                <w:szCs w:val="18"/>
              </w:rPr>
              <w:t>e</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9,880,20</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15,576,55</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Total operating expense</w:t>
            </w:r>
            <w:r>
              <w:rPr>
                <w:sz w:val="18"/>
                <w:szCs w:val="18"/>
              </w:rPr>
              <w:t>s</w:t>
            </w:r>
          </w:p>
        </w:tc>
        <w:tc>
          <w:tcPr>
            <w:tcW w:w="0" w:type="auto"/>
            <w:vAlign w:val="bottom"/>
            <w:hideMark/>
          </w:tcPr>
          <w:p w:rsidR="00000000" w:rsidRDefault="00CF461A">
            <w:pPr>
              <w:pStyle w:val="a3"/>
              <w:spacing w:before="0" w:beforeAutospacing="0" w:after="0" w:afterAutospacing="0"/>
              <w:ind w:left="5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17,712,47</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ind w:left="5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31,825,46</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(Loss) income from operation</w:t>
            </w:r>
            <w:r>
              <w:rPr>
                <w:sz w:val="18"/>
                <w:szCs w:val="18"/>
              </w:rPr>
              <w:t>s</w:t>
            </w:r>
          </w:p>
        </w:tc>
        <w:tc>
          <w:tcPr>
            <w:tcW w:w="0" w:type="auto"/>
            <w:vAlign w:val="bottom"/>
            <w:hideMark/>
          </w:tcPr>
          <w:p w:rsidR="00000000" w:rsidRDefault="00CF461A">
            <w:pPr>
              <w:pStyle w:val="a3"/>
              <w:spacing w:before="0" w:beforeAutospacing="0" w:after="0" w:afterAutospacing="0"/>
              <w:ind w:left="5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16,267,10</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ind w:left="5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176,557,31</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Other income (expenses), ne</w:t>
            </w:r>
            <w:r>
              <w:rPr>
                <w:sz w:val="18"/>
                <w:szCs w:val="18"/>
              </w:rPr>
              <w:t>t</w:t>
            </w:r>
          </w:p>
        </w:tc>
        <w:tc>
          <w:tcPr>
            <w:tcW w:w="0" w:type="auto"/>
            <w:vAlign w:val="bottom"/>
            <w:hideMark/>
          </w:tcPr>
          <w:p w:rsidR="00000000" w:rsidRDefault="00CF461A">
            <w:pPr>
              <w:pStyle w:val="a3"/>
              <w:spacing w:before="0" w:beforeAutospacing="0" w:after="0" w:afterAutospacing="0"/>
              <w:ind w:left="2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209,05</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ind w:left="2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49,73</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(Loss) income before provision for income taxe</w:t>
            </w:r>
            <w:r>
              <w:rPr>
                <w:sz w:val="18"/>
                <w:szCs w:val="18"/>
              </w:rPr>
              <w:t>s</w:t>
            </w:r>
          </w:p>
        </w:tc>
        <w:tc>
          <w:tcPr>
            <w:tcW w:w="0" w:type="auto"/>
            <w:vAlign w:val="bottom"/>
            <w:hideMark/>
          </w:tcPr>
          <w:p w:rsidR="00000000" w:rsidRDefault="00CF461A">
            <w:pPr>
              <w:pStyle w:val="a3"/>
              <w:spacing w:before="0" w:beforeAutospacing="0" w:after="0" w:afterAutospacing="0"/>
              <w:ind w:left="2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16,058,05</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ind w:left="2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176,507,58</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Provision for income taxe</w:t>
            </w:r>
            <w:r>
              <w:rPr>
                <w:sz w:val="18"/>
                <w:szCs w:val="18"/>
              </w:rPr>
              <w:t>s</w:t>
            </w:r>
          </w:p>
        </w:tc>
        <w:tc>
          <w:tcPr>
            <w:tcW w:w="0" w:type="auto"/>
            <w:vAlign w:val="bottom"/>
            <w:hideMark/>
          </w:tcPr>
          <w:p w:rsidR="00000000" w:rsidRDefault="00CF461A">
            <w:pPr>
              <w:pStyle w:val="a3"/>
              <w:spacing w:before="0" w:beforeAutospacing="0" w:after="0" w:afterAutospacing="0"/>
              <w:ind w:left="2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50,00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ind w:left="20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500,27</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16,108,05</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176,007,30</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income per share, basi</w:t>
            </w:r>
            <w:r>
              <w:rPr>
                <w:sz w:val="18"/>
                <w:szCs w:val="18"/>
              </w:rPr>
              <w:t>c</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0.2</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2.5</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income per share, dilute</w:t>
            </w:r>
            <w:r>
              <w:rPr>
                <w:sz w:val="18"/>
                <w:szCs w:val="18"/>
              </w:rPr>
              <w:t>d</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0.2</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2.5</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Weighted-average common shares outstanding, basi</w:t>
            </w:r>
            <w:r>
              <w:rPr>
                <w:sz w:val="18"/>
                <w:szCs w:val="18"/>
              </w:rPr>
              <w:t>c</w:t>
            </w:r>
          </w:p>
        </w:tc>
        <w:tc>
          <w:tcPr>
            <w:tcW w:w="0" w:type="auto"/>
            <w:vAlign w:val="center"/>
            <w:hideMark/>
          </w:tcPr>
          <w:p w:rsidR="00000000" w:rsidRDefault="00CF461A">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70,345,82</w:t>
            </w:r>
            <w:r>
              <w:rPr>
                <w:sz w:val="18"/>
                <w:szCs w:val="18"/>
              </w:rPr>
              <w:t>8</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66,088,59</w:t>
            </w:r>
            <w:r>
              <w:rPr>
                <w:sz w:val="18"/>
                <w:szCs w:val="18"/>
              </w:rPr>
              <w:t>2</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Weighted-average common shares outstanding, dilute</w:t>
            </w:r>
            <w:r>
              <w:rPr>
                <w:sz w:val="18"/>
                <w:szCs w:val="18"/>
              </w:rPr>
              <w:t>d</w:t>
            </w:r>
          </w:p>
        </w:tc>
        <w:tc>
          <w:tcPr>
            <w:tcW w:w="0" w:type="auto"/>
            <w:vAlign w:val="center"/>
            <w:hideMark/>
          </w:tcPr>
          <w:p w:rsidR="00000000" w:rsidRDefault="00CF461A">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70,345,82</w:t>
            </w:r>
            <w:r>
              <w:rPr>
                <w:sz w:val="18"/>
                <w:szCs w:val="18"/>
              </w:rPr>
              <w:t>8</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ind w:left="10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66,578,37</w:t>
            </w:r>
            <w:r>
              <w:rPr>
                <w:sz w:val="18"/>
                <w:szCs w:val="18"/>
              </w:rPr>
              <w:t>7</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jc w:val="center"/>
        <w:rPr>
          <w:sz w:val="20"/>
          <w:szCs w:val="20"/>
        </w:rPr>
      </w:pPr>
      <w:r>
        <w:rPr>
          <w:sz w:val="18"/>
          <w:szCs w:val="18"/>
        </w:rPr>
        <w:t> </w:t>
      </w:r>
    </w:p>
    <w:p w:rsidR="00000000" w:rsidRDefault="00CF461A">
      <w:pPr>
        <w:pStyle w:val="a3"/>
        <w:spacing w:before="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rsidR="00000000" w:rsidRDefault="00CF461A">
      <w:pPr>
        <w:pStyle w:val="a3"/>
        <w:spacing w:before="0" w:beforeAutospacing="0" w:after="0" w:afterAutospacing="0"/>
        <w:jc w:val="center"/>
        <w:rPr>
          <w:sz w:val="20"/>
          <w:szCs w:val="20"/>
        </w:rPr>
      </w:pPr>
      <w:r>
        <w:rPr>
          <w:sz w:val="18"/>
          <w:szCs w:val="18"/>
        </w:rPr>
        <w:t> </w:t>
      </w:r>
    </w:p>
    <w:p w:rsidR="00000000" w:rsidRDefault="00CF461A">
      <w:pPr>
        <w:pStyle w:val="a3"/>
        <w:spacing w:before="0" w:beforeAutospacing="0" w:after="0" w:afterAutospacing="0"/>
        <w:jc w:val="center"/>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4</w:t>
      </w:r>
    </w:p>
    <w:p w:rsidR="00000000" w:rsidRDefault="00CF461A">
      <w:pPr>
        <w:rPr>
          <w:rFonts w:eastAsia="Times New Roman"/>
        </w:rPr>
      </w:pPr>
      <w:r>
        <w:rPr>
          <w:rFonts w:eastAsia="Times New Roman"/>
        </w:rPr>
        <w:pict>
          <v:rect id="_x0000_i1029"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CF461A">
      <w:pPr>
        <w:pStyle w:val="a3"/>
        <w:spacing w:before="0" w:beforeAutospacing="0" w:after="0" w:afterAutospacing="0"/>
        <w:jc w:val="center"/>
        <w:rPr>
          <w:sz w:val="20"/>
          <w:szCs w:val="20"/>
        </w:rPr>
      </w:pPr>
      <w:r>
        <w:rPr>
          <w:b/>
          <w:bCs/>
          <w:sz w:val="18"/>
          <w:szCs w:val="18"/>
        </w:rPr>
        <w:t>Condensed Consolidated State</w:t>
      </w:r>
      <w:r>
        <w:rPr>
          <w:b/>
          <w:bCs/>
          <w:sz w:val="18"/>
          <w:szCs w:val="18"/>
        </w:rPr>
        <w:t>m</w:t>
      </w:r>
      <w:r>
        <w:rPr>
          <w:b/>
          <w:bCs/>
          <w:sz w:val="18"/>
          <w:szCs w:val="18"/>
        </w:rPr>
        <w:t>ents of Stockholders’ Equit</w:t>
      </w:r>
      <w:r>
        <w:rPr>
          <w:b/>
          <w:bCs/>
          <w:sz w:val="18"/>
          <w:szCs w:val="18"/>
        </w:rPr>
        <w:t>y</w:t>
      </w:r>
    </w:p>
    <w:p w:rsidR="00000000" w:rsidRDefault="00CF461A">
      <w:pPr>
        <w:pStyle w:val="a3"/>
        <w:spacing w:before="0" w:beforeAutospacing="0" w:after="0" w:afterAutospacing="0"/>
        <w:jc w:val="center"/>
        <w:rPr>
          <w:sz w:val="20"/>
          <w:szCs w:val="20"/>
        </w:rPr>
      </w:pPr>
      <w:r>
        <w:rPr>
          <w:b/>
          <w:bCs/>
          <w:sz w:val="18"/>
          <w:szCs w:val="18"/>
        </w:rPr>
        <w:t>(unaudited</w:t>
      </w:r>
      <w:r>
        <w:rPr>
          <w:b/>
          <w:bCs/>
          <w:sz w:val="18"/>
          <w:szCs w:val="18"/>
        </w:rPr>
        <w:t>)</w:t>
      </w:r>
    </w:p>
    <w:p w:rsidR="00000000" w:rsidRDefault="00CF461A">
      <w:pPr>
        <w:pStyle w:val="a3"/>
        <w:spacing w:before="0" w:beforeAutospacing="0" w:after="0" w:afterAutospacing="0"/>
        <w:rPr>
          <w:sz w:val="20"/>
          <w:szCs w:val="20"/>
        </w:rPr>
      </w:pPr>
      <w:r>
        <w:rPr>
          <w:sz w:val="18"/>
          <w:szCs w:val="18"/>
        </w:rPr>
        <w:t> </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1969"/>
        <w:gridCol w:w="93"/>
        <w:gridCol w:w="93"/>
        <w:gridCol w:w="396"/>
        <w:gridCol w:w="104"/>
        <w:gridCol w:w="93"/>
        <w:gridCol w:w="126"/>
        <w:gridCol w:w="437"/>
        <w:gridCol w:w="104"/>
        <w:gridCol w:w="93"/>
        <w:gridCol w:w="93"/>
        <w:gridCol w:w="645"/>
        <w:gridCol w:w="93"/>
        <w:gridCol w:w="93"/>
        <w:gridCol w:w="125"/>
        <w:gridCol w:w="418"/>
        <w:gridCol w:w="93"/>
        <w:gridCol w:w="93"/>
        <w:gridCol w:w="125"/>
        <w:gridCol w:w="710"/>
        <w:gridCol w:w="104"/>
        <w:gridCol w:w="93"/>
        <w:gridCol w:w="125"/>
        <w:gridCol w:w="754"/>
        <w:gridCol w:w="104"/>
        <w:gridCol w:w="93"/>
        <w:gridCol w:w="125"/>
        <w:gridCol w:w="710"/>
        <w:gridCol w:w="119"/>
      </w:tblGrid>
      <w:tr w:rsidR="00000000">
        <w:trPr>
          <w:tblCellSpacing w:w="15" w:type="dxa"/>
        </w:trPr>
        <w:tc>
          <w:tcPr>
            <w:tcW w:w="1501" w:type="pct"/>
            <w:vAlign w:val="center"/>
            <w:hideMark/>
          </w:tcPr>
          <w:p w:rsidR="00000000" w:rsidRDefault="00CF461A">
            <w:pPr>
              <w:rPr>
                <w:sz w:val="20"/>
                <w:szCs w:val="20"/>
              </w:rPr>
            </w:pPr>
          </w:p>
        </w:tc>
        <w:tc>
          <w:tcPr>
            <w:tcW w:w="51" w:type="pct"/>
            <w:vAlign w:val="center"/>
            <w:hideMark/>
          </w:tcPr>
          <w:p w:rsidR="00000000" w:rsidRDefault="00CF461A">
            <w:pPr>
              <w:rPr>
                <w:rFonts w:eastAsia="Times New Roman"/>
                <w:sz w:val="20"/>
                <w:szCs w:val="20"/>
              </w:rPr>
            </w:pPr>
          </w:p>
        </w:tc>
        <w:tc>
          <w:tcPr>
            <w:tcW w:w="19" w:type="pct"/>
            <w:vAlign w:val="center"/>
            <w:hideMark/>
          </w:tcPr>
          <w:p w:rsidR="00000000" w:rsidRDefault="00CF461A">
            <w:pPr>
              <w:rPr>
                <w:rFonts w:eastAsia="Times New Roman"/>
                <w:sz w:val="20"/>
                <w:szCs w:val="20"/>
              </w:rPr>
            </w:pPr>
          </w:p>
        </w:tc>
        <w:tc>
          <w:tcPr>
            <w:tcW w:w="347" w:type="pct"/>
            <w:vAlign w:val="center"/>
            <w:hideMark/>
          </w:tcPr>
          <w:p w:rsidR="00000000" w:rsidRDefault="00CF461A">
            <w:pPr>
              <w:rPr>
                <w:rFonts w:eastAsia="Times New Roman"/>
                <w:sz w:val="20"/>
                <w:szCs w:val="20"/>
              </w:rPr>
            </w:pPr>
          </w:p>
        </w:tc>
        <w:tc>
          <w:tcPr>
            <w:tcW w:w="25" w:type="pct"/>
            <w:vAlign w:val="center"/>
            <w:hideMark/>
          </w:tcPr>
          <w:p w:rsidR="00000000" w:rsidRDefault="00CF461A">
            <w:pPr>
              <w:rPr>
                <w:rFonts w:eastAsia="Times New Roman"/>
                <w:sz w:val="20"/>
                <w:szCs w:val="20"/>
              </w:rPr>
            </w:pPr>
          </w:p>
        </w:tc>
        <w:tc>
          <w:tcPr>
            <w:tcW w:w="51" w:type="pct"/>
            <w:vAlign w:val="center"/>
            <w:hideMark/>
          </w:tcPr>
          <w:p w:rsidR="00000000" w:rsidRDefault="00CF461A">
            <w:pPr>
              <w:rPr>
                <w:rFonts w:eastAsia="Times New Roman"/>
                <w:sz w:val="20"/>
                <w:szCs w:val="20"/>
              </w:rPr>
            </w:pPr>
          </w:p>
        </w:tc>
        <w:tc>
          <w:tcPr>
            <w:tcW w:w="39" w:type="pct"/>
            <w:vAlign w:val="center"/>
            <w:hideMark/>
          </w:tcPr>
          <w:p w:rsidR="00000000" w:rsidRDefault="00CF461A">
            <w:pPr>
              <w:rPr>
                <w:rFonts w:eastAsia="Times New Roman"/>
                <w:sz w:val="20"/>
                <w:szCs w:val="20"/>
              </w:rPr>
            </w:pPr>
          </w:p>
        </w:tc>
        <w:tc>
          <w:tcPr>
            <w:tcW w:w="331" w:type="pct"/>
            <w:vAlign w:val="center"/>
            <w:hideMark/>
          </w:tcPr>
          <w:p w:rsidR="00000000" w:rsidRDefault="00CF461A">
            <w:pPr>
              <w:rPr>
                <w:rFonts w:eastAsia="Times New Roman"/>
                <w:sz w:val="20"/>
                <w:szCs w:val="20"/>
              </w:rPr>
            </w:pPr>
          </w:p>
        </w:tc>
        <w:tc>
          <w:tcPr>
            <w:tcW w:w="25" w:type="pct"/>
            <w:vAlign w:val="center"/>
            <w:hideMark/>
          </w:tcPr>
          <w:p w:rsidR="00000000" w:rsidRDefault="00CF461A">
            <w:pPr>
              <w:rPr>
                <w:rFonts w:eastAsia="Times New Roman"/>
                <w:sz w:val="20"/>
                <w:szCs w:val="20"/>
              </w:rPr>
            </w:pPr>
          </w:p>
        </w:tc>
        <w:tc>
          <w:tcPr>
            <w:tcW w:w="51" w:type="pct"/>
            <w:vAlign w:val="center"/>
            <w:hideMark/>
          </w:tcPr>
          <w:p w:rsidR="00000000" w:rsidRDefault="00CF461A">
            <w:pPr>
              <w:rPr>
                <w:rFonts w:eastAsia="Times New Roman"/>
                <w:sz w:val="20"/>
                <w:szCs w:val="20"/>
              </w:rPr>
            </w:pPr>
          </w:p>
        </w:tc>
        <w:tc>
          <w:tcPr>
            <w:tcW w:w="19" w:type="pct"/>
            <w:vAlign w:val="center"/>
            <w:hideMark/>
          </w:tcPr>
          <w:p w:rsidR="00000000" w:rsidRDefault="00CF461A">
            <w:pPr>
              <w:rPr>
                <w:rFonts w:eastAsia="Times New Roman"/>
                <w:sz w:val="20"/>
                <w:szCs w:val="20"/>
              </w:rPr>
            </w:pPr>
          </w:p>
        </w:tc>
        <w:tc>
          <w:tcPr>
            <w:tcW w:w="477" w:type="pct"/>
            <w:vAlign w:val="center"/>
            <w:hideMark/>
          </w:tcPr>
          <w:p w:rsidR="00000000" w:rsidRDefault="00CF461A">
            <w:pPr>
              <w:rPr>
                <w:rFonts w:eastAsia="Times New Roman"/>
                <w:sz w:val="20"/>
                <w:szCs w:val="20"/>
              </w:rPr>
            </w:pPr>
          </w:p>
        </w:tc>
        <w:tc>
          <w:tcPr>
            <w:tcW w:w="19" w:type="pct"/>
            <w:vAlign w:val="center"/>
            <w:hideMark/>
          </w:tcPr>
          <w:p w:rsidR="00000000" w:rsidRDefault="00CF461A">
            <w:pPr>
              <w:rPr>
                <w:rFonts w:eastAsia="Times New Roman"/>
                <w:sz w:val="20"/>
                <w:szCs w:val="20"/>
              </w:rPr>
            </w:pPr>
          </w:p>
        </w:tc>
        <w:tc>
          <w:tcPr>
            <w:tcW w:w="51" w:type="pct"/>
            <w:vAlign w:val="center"/>
            <w:hideMark/>
          </w:tcPr>
          <w:p w:rsidR="00000000" w:rsidRDefault="00CF461A">
            <w:pPr>
              <w:rPr>
                <w:rFonts w:eastAsia="Times New Roman"/>
                <w:sz w:val="20"/>
                <w:szCs w:val="20"/>
              </w:rPr>
            </w:pPr>
          </w:p>
        </w:tc>
        <w:tc>
          <w:tcPr>
            <w:tcW w:w="39" w:type="pct"/>
            <w:vAlign w:val="center"/>
            <w:hideMark/>
          </w:tcPr>
          <w:p w:rsidR="00000000" w:rsidRDefault="00CF461A">
            <w:pPr>
              <w:rPr>
                <w:rFonts w:eastAsia="Times New Roman"/>
                <w:sz w:val="20"/>
                <w:szCs w:val="20"/>
              </w:rPr>
            </w:pPr>
          </w:p>
        </w:tc>
        <w:tc>
          <w:tcPr>
            <w:tcW w:w="336" w:type="pct"/>
            <w:vAlign w:val="center"/>
            <w:hideMark/>
          </w:tcPr>
          <w:p w:rsidR="00000000" w:rsidRDefault="00CF461A">
            <w:pPr>
              <w:rPr>
                <w:rFonts w:eastAsia="Times New Roman"/>
                <w:sz w:val="20"/>
                <w:szCs w:val="20"/>
              </w:rPr>
            </w:pPr>
          </w:p>
        </w:tc>
        <w:tc>
          <w:tcPr>
            <w:tcW w:w="19" w:type="pct"/>
            <w:vAlign w:val="center"/>
            <w:hideMark/>
          </w:tcPr>
          <w:p w:rsidR="00000000" w:rsidRDefault="00CF461A">
            <w:pPr>
              <w:rPr>
                <w:rFonts w:eastAsia="Times New Roman"/>
                <w:sz w:val="20"/>
                <w:szCs w:val="20"/>
              </w:rPr>
            </w:pPr>
          </w:p>
        </w:tc>
        <w:tc>
          <w:tcPr>
            <w:tcW w:w="51" w:type="pct"/>
            <w:vAlign w:val="center"/>
            <w:hideMark/>
          </w:tcPr>
          <w:p w:rsidR="00000000" w:rsidRDefault="00CF461A">
            <w:pPr>
              <w:rPr>
                <w:rFonts w:eastAsia="Times New Roman"/>
                <w:sz w:val="20"/>
                <w:szCs w:val="20"/>
              </w:rPr>
            </w:pPr>
          </w:p>
        </w:tc>
        <w:tc>
          <w:tcPr>
            <w:tcW w:w="39" w:type="pct"/>
            <w:vAlign w:val="center"/>
            <w:hideMark/>
          </w:tcPr>
          <w:p w:rsidR="00000000" w:rsidRDefault="00CF461A">
            <w:pPr>
              <w:rPr>
                <w:rFonts w:eastAsia="Times New Roman"/>
                <w:sz w:val="20"/>
                <w:szCs w:val="20"/>
              </w:rPr>
            </w:pPr>
          </w:p>
        </w:tc>
        <w:tc>
          <w:tcPr>
            <w:tcW w:w="417" w:type="pct"/>
            <w:vAlign w:val="center"/>
            <w:hideMark/>
          </w:tcPr>
          <w:p w:rsidR="00000000" w:rsidRDefault="00CF461A">
            <w:pPr>
              <w:rPr>
                <w:rFonts w:eastAsia="Times New Roman"/>
                <w:sz w:val="20"/>
                <w:szCs w:val="20"/>
              </w:rPr>
            </w:pPr>
          </w:p>
        </w:tc>
        <w:tc>
          <w:tcPr>
            <w:tcW w:w="25" w:type="pct"/>
            <w:vAlign w:val="center"/>
            <w:hideMark/>
          </w:tcPr>
          <w:p w:rsidR="00000000" w:rsidRDefault="00CF461A">
            <w:pPr>
              <w:rPr>
                <w:rFonts w:eastAsia="Times New Roman"/>
                <w:sz w:val="20"/>
                <w:szCs w:val="20"/>
              </w:rPr>
            </w:pPr>
          </w:p>
        </w:tc>
        <w:tc>
          <w:tcPr>
            <w:tcW w:w="51" w:type="pct"/>
            <w:vAlign w:val="center"/>
            <w:hideMark/>
          </w:tcPr>
          <w:p w:rsidR="00000000" w:rsidRDefault="00CF461A">
            <w:pPr>
              <w:rPr>
                <w:rFonts w:eastAsia="Times New Roman"/>
                <w:sz w:val="20"/>
                <w:szCs w:val="20"/>
              </w:rPr>
            </w:pPr>
          </w:p>
        </w:tc>
        <w:tc>
          <w:tcPr>
            <w:tcW w:w="39" w:type="pct"/>
            <w:vAlign w:val="center"/>
            <w:hideMark/>
          </w:tcPr>
          <w:p w:rsidR="00000000" w:rsidRDefault="00CF461A">
            <w:pPr>
              <w:rPr>
                <w:rFonts w:eastAsia="Times New Roman"/>
                <w:sz w:val="20"/>
                <w:szCs w:val="20"/>
              </w:rPr>
            </w:pPr>
          </w:p>
        </w:tc>
        <w:tc>
          <w:tcPr>
            <w:tcW w:w="443" w:type="pct"/>
            <w:vAlign w:val="center"/>
            <w:hideMark/>
          </w:tcPr>
          <w:p w:rsidR="00000000" w:rsidRDefault="00CF461A">
            <w:pPr>
              <w:rPr>
                <w:rFonts w:eastAsia="Times New Roman"/>
                <w:sz w:val="20"/>
                <w:szCs w:val="20"/>
              </w:rPr>
            </w:pPr>
          </w:p>
        </w:tc>
        <w:tc>
          <w:tcPr>
            <w:tcW w:w="25" w:type="pct"/>
            <w:vAlign w:val="center"/>
            <w:hideMark/>
          </w:tcPr>
          <w:p w:rsidR="00000000" w:rsidRDefault="00CF461A">
            <w:pPr>
              <w:rPr>
                <w:rFonts w:eastAsia="Times New Roman"/>
                <w:sz w:val="20"/>
                <w:szCs w:val="20"/>
              </w:rPr>
            </w:pPr>
          </w:p>
        </w:tc>
        <w:tc>
          <w:tcPr>
            <w:tcW w:w="51" w:type="pct"/>
            <w:vAlign w:val="center"/>
            <w:hideMark/>
          </w:tcPr>
          <w:p w:rsidR="00000000" w:rsidRDefault="00CF461A">
            <w:pPr>
              <w:rPr>
                <w:rFonts w:eastAsia="Times New Roman"/>
                <w:sz w:val="20"/>
                <w:szCs w:val="20"/>
              </w:rPr>
            </w:pPr>
          </w:p>
        </w:tc>
        <w:tc>
          <w:tcPr>
            <w:tcW w:w="39" w:type="pct"/>
            <w:vAlign w:val="center"/>
            <w:hideMark/>
          </w:tcPr>
          <w:p w:rsidR="00000000" w:rsidRDefault="00CF461A">
            <w:pPr>
              <w:rPr>
                <w:rFonts w:eastAsia="Times New Roman"/>
                <w:sz w:val="20"/>
                <w:szCs w:val="20"/>
              </w:rPr>
            </w:pPr>
          </w:p>
        </w:tc>
        <w:tc>
          <w:tcPr>
            <w:tcW w:w="378" w:type="pct"/>
            <w:vAlign w:val="center"/>
            <w:hideMark/>
          </w:tcPr>
          <w:p w:rsidR="00000000" w:rsidRDefault="00CF461A">
            <w:pPr>
              <w:rPr>
                <w:rFonts w:eastAsia="Times New Roman"/>
                <w:sz w:val="20"/>
                <w:szCs w:val="20"/>
              </w:rPr>
            </w:pPr>
          </w:p>
        </w:tc>
        <w:tc>
          <w:tcPr>
            <w:tcW w:w="25" w:type="pct"/>
            <w:vAlign w:val="center"/>
            <w:hideMark/>
          </w:tcPr>
          <w:p w:rsidR="00000000" w:rsidRDefault="00CF461A">
            <w:pPr>
              <w:rPr>
                <w:rFonts w:eastAsia="Times New Roman"/>
                <w:sz w:val="20"/>
                <w:szCs w:val="20"/>
              </w:rPr>
            </w:pP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gridSpan w:val="6"/>
            <w:vAlign w:val="bottom"/>
            <w:hideMark/>
          </w:tcPr>
          <w:p w:rsidR="00000000" w:rsidRDefault="00CF461A">
            <w:pPr>
              <w:pStyle w:val="a3"/>
              <w:spacing w:before="0" w:beforeAutospacing="0" w:after="0" w:afterAutospacing="0"/>
              <w:jc w:val="center"/>
              <w:rPr>
                <w:sz w:val="13"/>
                <w:szCs w:val="13"/>
              </w:rPr>
            </w:pPr>
            <w:r>
              <w:rPr>
                <w:b/>
                <w:bCs/>
                <w:sz w:val="13"/>
                <w:szCs w:val="13"/>
              </w:rPr>
              <w:t>Series A</w:t>
            </w:r>
            <w:r>
              <w:rPr>
                <w:b/>
                <w:bCs/>
                <w:sz w:val="13"/>
                <w:szCs w:val="13"/>
              </w:rPr>
              <w:br/>
              <w:t>Convertible</w:t>
            </w:r>
            <w:r>
              <w:rPr>
                <w:b/>
                <w:bCs/>
                <w:sz w:val="13"/>
                <w:szCs w:val="13"/>
              </w:rPr>
              <w:br/>
              <w:t>Preferred Stoc</w:t>
            </w:r>
            <w:r>
              <w:rPr>
                <w:b/>
                <w:bCs/>
                <w:sz w:val="13"/>
                <w:szCs w:val="13"/>
              </w:rPr>
              <w:t>k</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6"/>
            <w:vAlign w:val="bottom"/>
            <w:hideMark/>
          </w:tcPr>
          <w:p w:rsidR="00000000" w:rsidRDefault="00CF461A">
            <w:pPr>
              <w:pStyle w:val="a3"/>
              <w:spacing w:before="0" w:beforeAutospacing="0" w:after="0" w:afterAutospacing="0"/>
              <w:jc w:val="center"/>
              <w:rPr>
                <w:sz w:val="13"/>
                <w:szCs w:val="13"/>
              </w:rPr>
            </w:pPr>
            <w:r>
              <w:rPr>
                <w:b/>
                <w:bCs/>
                <w:sz w:val="13"/>
                <w:szCs w:val="13"/>
              </w:rPr>
              <w:t>Common Stoc</w:t>
            </w:r>
            <w:r>
              <w:rPr>
                <w:b/>
                <w:bCs/>
                <w:sz w:val="13"/>
                <w:szCs w:val="13"/>
              </w:rPr>
              <w:t>k</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Additional</w:t>
            </w:r>
            <w:r>
              <w:rPr>
                <w:b/>
                <w:bCs/>
                <w:sz w:val="13"/>
                <w:szCs w:val="13"/>
              </w:rPr>
              <w:br/>
              <w:t>Paid-I</w:t>
            </w:r>
            <w:r>
              <w:rPr>
                <w:b/>
                <w:bCs/>
                <w:sz w:val="13"/>
                <w:szCs w:val="13"/>
              </w:rPr>
              <w:t>n</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Accumulate</w:t>
            </w:r>
            <w:r>
              <w:rPr>
                <w:b/>
                <w:bCs/>
                <w:sz w:val="13"/>
                <w:szCs w:val="13"/>
              </w:rPr>
              <w:t>d</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Share</w:t>
            </w:r>
            <w:r>
              <w:rPr>
                <w:b/>
                <w:bCs/>
                <w:sz w:val="13"/>
                <w:szCs w:val="13"/>
              </w:rPr>
              <w:t>s</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Share</w:t>
            </w:r>
            <w:r>
              <w:rPr>
                <w:b/>
                <w:bCs/>
                <w:sz w:val="13"/>
                <w:szCs w:val="13"/>
              </w:rPr>
              <w:t>s</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Capita</w:t>
            </w:r>
            <w:r>
              <w:rPr>
                <w:b/>
                <w:bCs/>
                <w:sz w:val="13"/>
                <w:szCs w:val="13"/>
              </w:rPr>
              <w:t>l</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Defici</w:t>
            </w:r>
            <w:r>
              <w:rPr>
                <w:b/>
                <w:bCs/>
                <w:sz w:val="13"/>
                <w:szCs w:val="13"/>
              </w:rPr>
              <w:t>t</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Tota</w:t>
            </w:r>
            <w:r>
              <w:rPr>
                <w:b/>
                <w:bCs/>
                <w:sz w:val="13"/>
                <w:szCs w:val="13"/>
              </w:rPr>
              <w:t>l</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Balance, December 31, 202</w:t>
            </w: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1,25</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70,364,91</w:t>
            </w:r>
            <w:r>
              <w:rPr>
                <w:sz w:val="13"/>
                <w:szCs w:val="13"/>
              </w:rPr>
              <w:t>2</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70,35</w:t>
            </w:r>
            <w:r>
              <w:rPr>
                <w:sz w:val="13"/>
                <w:szCs w:val="13"/>
              </w:rPr>
              <w:t>9</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351,033,58</w:t>
            </w:r>
            <w:r>
              <w:rPr>
                <w:sz w:val="13"/>
                <w:szCs w:val="13"/>
              </w:rPr>
              <w:t>9</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171,357,51</w:t>
            </w:r>
            <w:r>
              <w:rPr>
                <w:sz w:val="13"/>
                <w:szCs w:val="13"/>
              </w:rPr>
              <w:t>3</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179,746,43</w:t>
            </w:r>
            <w:r>
              <w:rPr>
                <w:sz w:val="13"/>
                <w:szCs w:val="13"/>
              </w:rPr>
              <w:t>6</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Stock-based compensation expens</w:t>
            </w:r>
            <w:r>
              <w:rPr>
                <w:sz w:val="13"/>
                <w:szCs w:val="13"/>
              </w:rPr>
              <w:t>e</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1,324,81</w:t>
            </w:r>
            <w:r>
              <w:rPr>
                <w:sz w:val="13"/>
                <w:szCs w:val="13"/>
              </w:rPr>
              <w:t>2</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1,324,81</w:t>
            </w:r>
            <w:r>
              <w:rPr>
                <w:sz w:val="13"/>
                <w:szCs w:val="13"/>
              </w:rPr>
              <w:t>2</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Issuance of common stock from exercise of stock option</w:t>
            </w:r>
            <w:r>
              <w:rPr>
                <w:sz w:val="13"/>
                <w:szCs w:val="13"/>
              </w:rPr>
              <w:t>s</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52,33</w:t>
            </w:r>
            <w:r>
              <w:rPr>
                <w:sz w:val="13"/>
                <w:szCs w:val="13"/>
              </w:rPr>
              <w:t>3</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w:t>
            </w:r>
            <w:r>
              <w:rPr>
                <w:sz w:val="13"/>
                <w:szCs w:val="13"/>
              </w:rPr>
              <w:t>4</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33,06</w:t>
            </w:r>
            <w:r>
              <w:rPr>
                <w:sz w:val="13"/>
                <w:szCs w:val="13"/>
              </w:rPr>
              <w:t>5</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33,07</w:t>
            </w:r>
            <w:r>
              <w:rPr>
                <w:sz w:val="13"/>
                <w:szCs w:val="13"/>
              </w:rPr>
              <w:t>9</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Net los</w:t>
            </w:r>
            <w:r>
              <w:rPr>
                <w:sz w:val="13"/>
                <w:szCs w:val="13"/>
              </w:rPr>
              <w:t>s</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16,108,05</w:t>
            </w:r>
            <w:r>
              <w:rPr>
                <w:sz w:val="13"/>
                <w:szCs w:val="13"/>
              </w:rPr>
              <w:t>6</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16,108,05</w:t>
            </w:r>
            <w:r>
              <w:rPr>
                <w:sz w:val="13"/>
                <w:szCs w:val="13"/>
              </w:rPr>
              <w:t>6</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Balance, March 31, 202</w:t>
            </w:r>
            <w:r>
              <w:rPr>
                <w:sz w:val="13"/>
                <w:szCs w:val="13"/>
              </w:rPr>
              <w:t>2</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1,25</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70,417,24</w:t>
            </w:r>
            <w:r>
              <w:rPr>
                <w:sz w:val="13"/>
                <w:szCs w:val="13"/>
              </w:rPr>
              <w:t>5</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70,37</w:t>
            </w:r>
            <w:r>
              <w:rPr>
                <w:sz w:val="13"/>
                <w:szCs w:val="13"/>
              </w:rPr>
              <w:t>3</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352,391,46</w:t>
            </w:r>
            <w:r>
              <w:rPr>
                <w:sz w:val="13"/>
                <w:szCs w:val="13"/>
              </w:rPr>
              <w:t>6</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187,465,56</w:t>
            </w:r>
            <w:r>
              <w:rPr>
                <w:sz w:val="13"/>
                <w:szCs w:val="13"/>
              </w:rPr>
              <w:t>9</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164,996,27</w:t>
            </w: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blCellSpacing w:w="15" w:type="dxa"/>
        </w:trPr>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gridSpan w:val="6"/>
            <w:vAlign w:val="bottom"/>
            <w:hideMark/>
          </w:tcPr>
          <w:p w:rsidR="00000000" w:rsidRDefault="00CF461A">
            <w:pPr>
              <w:pStyle w:val="a3"/>
              <w:spacing w:before="0" w:beforeAutospacing="0" w:after="0" w:afterAutospacing="0"/>
              <w:jc w:val="center"/>
              <w:rPr>
                <w:sz w:val="13"/>
                <w:szCs w:val="13"/>
              </w:rPr>
            </w:pPr>
            <w:r>
              <w:rPr>
                <w:b/>
                <w:bCs/>
                <w:sz w:val="13"/>
                <w:szCs w:val="13"/>
              </w:rPr>
              <w:t>Series A</w:t>
            </w:r>
            <w:r>
              <w:rPr>
                <w:b/>
                <w:bCs/>
                <w:sz w:val="13"/>
                <w:szCs w:val="13"/>
              </w:rPr>
              <w:br/>
              <w:t>Convertible</w:t>
            </w:r>
            <w:r>
              <w:rPr>
                <w:b/>
                <w:bCs/>
                <w:sz w:val="13"/>
                <w:szCs w:val="13"/>
              </w:rPr>
              <w:br/>
              <w:t>Preferred Stoc</w:t>
            </w:r>
            <w:r>
              <w:rPr>
                <w:b/>
                <w:bCs/>
                <w:sz w:val="13"/>
                <w:szCs w:val="13"/>
              </w:rPr>
              <w:t>k</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6"/>
            <w:vAlign w:val="bottom"/>
            <w:hideMark/>
          </w:tcPr>
          <w:p w:rsidR="00000000" w:rsidRDefault="00CF461A">
            <w:pPr>
              <w:pStyle w:val="a3"/>
              <w:spacing w:before="0" w:beforeAutospacing="0" w:after="0" w:afterAutospacing="0"/>
              <w:jc w:val="center"/>
              <w:rPr>
                <w:sz w:val="13"/>
                <w:szCs w:val="13"/>
              </w:rPr>
            </w:pPr>
            <w:r>
              <w:rPr>
                <w:b/>
                <w:bCs/>
                <w:sz w:val="13"/>
                <w:szCs w:val="13"/>
              </w:rPr>
              <w:t>Common Stoc</w:t>
            </w:r>
            <w:r>
              <w:rPr>
                <w:b/>
                <w:bCs/>
                <w:sz w:val="13"/>
                <w:szCs w:val="13"/>
              </w:rPr>
              <w:t>k</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Additional</w:t>
            </w:r>
            <w:r>
              <w:rPr>
                <w:b/>
                <w:bCs/>
                <w:sz w:val="13"/>
                <w:szCs w:val="13"/>
              </w:rPr>
              <w:br/>
              <w:t>Paid-I</w:t>
            </w:r>
            <w:r>
              <w:rPr>
                <w:b/>
                <w:bCs/>
                <w:sz w:val="13"/>
                <w:szCs w:val="13"/>
              </w:rPr>
              <w:t>n</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Accumulate</w:t>
            </w:r>
            <w:r>
              <w:rPr>
                <w:b/>
                <w:bCs/>
                <w:sz w:val="13"/>
                <w:szCs w:val="13"/>
              </w:rPr>
              <w:t>d</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Share</w:t>
            </w:r>
            <w:r>
              <w:rPr>
                <w:b/>
                <w:bCs/>
                <w:sz w:val="13"/>
                <w:szCs w:val="13"/>
              </w:rPr>
              <w:t>s</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Share</w:t>
            </w:r>
            <w:r>
              <w:rPr>
                <w:b/>
                <w:bCs/>
                <w:sz w:val="13"/>
                <w:szCs w:val="13"/>
              </w:rPr>
              <w:t>s</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Amoun</w:t>
            </w:r>
            <w:r>
              <w:rPr>
                <w:b/>
                <w:bCs/>
                <w:sz w:val="13"/>
                <w:szCs w:val="13"/>
              </w:rPr>
              <w:t>t</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Capita</w:t>
            </w:r>
            <w:r>
              <w:rPr>
                <w:b/>
                <w:bCs/>
                <w:sz w:val="13"/>
                <w:szCs w:val="13"/>
              </w:rPr>
              <w:t>l</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Defici</w:t>
            </w:r>
            <w:r>
              <w:rPr>
                <w:b/>
                <w:bCs/>
                <w:sz w:val="13"/>
                <w:szCs w:val="13"/>
              </w:rPr>
              <w:t>t</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gridSpan w:val="2"/>
            <w:vAlign w:val="bottom"/>
            <w:hideMark/>
          </w:tcPr>
          <w:p w:rsidR="00000000" w:rsidRDefault="00CF461A">
            <w:pPr>
              <w:pStyle w:val="a3"/>
              <w:spacing w:before="0" w:beforeAutospacing="0" w:after="0" w:afterAutospacing="0"/>
              <w:jc w:val="center"/>
              <w:rPr>
                <w:sz w:val="13"/>
                <w:szCs w:val="13"/>
              </w:rPr>
            </w:pPr>
            <w:r>
              <w:rPr>
                <w:b/>
                <w:bCs/>
                <w:sz w:val="13"/>
                <w:szCs w:val="13"/>
              </w:rPr>
              <w:t>Tota</w:t>
            </w:r>
            <w:r>
              <w:rPr>
                <w:b/>
                <w:bCs/>
                <w:sz w:val="13"/>
                <w:szCs w:val="13"/>
              </w:rPr>
              <w:t>l</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Balance, December 31, 202</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3,25</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65,743,17</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65,74</w:t>
            </w:r>
            <w:r>
              <w:rPr>
                <w:sz w:val="13"/>
                <w:szCs w:val="13"/>
              </w:rPr>
              <w:t>3</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337,758,00</w:t>
            </w:r>
            <w:r>
              <w:rPr>
                <w:sz w:val="13"/>
                <w:szCs w:val="13"/>
              </w:rPr>
              <w:t>7</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294,192,09</w:t>
            </w:r>
            <w:r>
              <w:rPr>
                <w:sz w:val="13"/>
                <w:szCs w:val="13"/>
              </w:rPr>
              <w:t>7</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43,631,65</w:t>
            </w:r>
            <w:r>
              <w:rPr>
                <w:sz w:val="13"/>
                <w:szCs w:val="13"/>
              </w:rPr>
              <w:t>6</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Stock-based compensation expens</w:t>
            </w:r>
            <w:r>
              <w:rPr>
                <w:sz w:val="13"/>
                <w:szCs w:val="13"/>
              </w:rPr>
              <w:t>e</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1,320,00</w:t>
            </w:r>
            <w:r>
              <w:rPr>
                <w:sz w:val="13"/>
                <w:szCs w:val="13"/>
              </w:rPr>
              <w:t>2</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1,320,00</w:t>
            </w:r>
            <w:r>
              <w:rPr>
                <w:sz w:val="13"/>
                <w:szCs w:val="13"/>
              </w:rPr>
              <w:t>2</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Issuance of common stock from employee stock purchase pla</w:t>
            </w:r>
            <w:r>
              <w:rPr>
                <w:sz w:val="13"/>
                <w:szCs w:val="13"/>
              </w:rPr>
              <w:t>n</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34,25</w:t>
            </w:r>
            <w:r>
              <w:rPr>
                <w:sz w:val="13"/>
                <w:szCs w:val="13"/>
              </w:rPr>
              <w:t>6</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w:t>
            </w:r>
            <w:r>
              <w:rPr>
                <w:sz w:val="13"/>
                <w:szCs w:val="13"/>
              </w:rPr>
              <w:t>4</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130,13</w:t>
            </w:r>
            <w:r>
              <w:rPr>
                <w:sz w:val="13"/>
                <w:szCs w:val="13"/>
              </w:rPr>
              <w:t>9</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130,17</w:t>
            </w:r>
            <w:r>
              <w:rPr>
                <w:sz w:val="13"/>
                <w:szCs w:val="13"/>
              </w:rPr>
              <w:t>3</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Issuance of common stock from exercise of stock option</w:t>
            </w:r>
            <w:r>
              <w:rPr>
                <w:sz w:val="13"/>
                <w:szCs w:val="13"/>
              </w:rPr>
              <w:t>s</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10,40</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w:t>
            </w: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20,79</w:t>
            </w: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20,80</w:t>
            </w:r>
            <w:r>
              <w:rPr>
                <w:sz w:val="13"/>
                <w:szCs w:val="13"/>
              </w:rPr>
              <w:t>2</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Conversion of series A convertible preferred stock to common stoc</w:t>
            </w:r>
            <w:r>
              <w:rPr>
                <w:sz w:val="13"/>
                <w:szCs w:val="13"/>
              </w:rPr>
              <w:t>k</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2,00</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2</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2,000,00</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center"/>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2,00</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1,99</w:t>
            </w:r>
            <w:r>
              <w:rPr>
                <w:sz w:val="13"/>
                <w:szCs w:val="13"/>
              </w:rPr>
              <w:t>8</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Net incom</w:t>
            </w:r>
            <w:r>
              <w:rPr>
                <w:sz w:val="13"/>
                <w:szCs w:val="13"/>
              </w:rPr>
              <w:t>e</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176,007,30</w:t>
            </w:r>
            <w:r>
              <w:rPr>
                <w:sz w:val="13"/>
                <w:szCs w:val="13"/>
              </w:rPr>
              <w:t>7</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176,007,30</w:t>
            </w:r>
            <w:r>
              <w:rPr>
                <w:sz w:val="13"/>
                <w:szCs w:val="13"/>
              </w:rPr>
              <w:t>7</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r w:rsidR="00000000">
        <w:trPr>
          <w:trHeight w:val="120"/>
          <w:tblCellSpacing w:w="15" w:type="dxa"/>
        </w:trPr>
        <w:tc>
          <w:tcPr>
            <w:tcW w:w="0" w:type="auto"/>
            <w:vAlign w:val="bottom"/>
            <w:hideMark/>
          </w:tcPr>
          <w:p w:rsidR="00000000" w:rsidRDefault="00CF461A">
            <w:pPr>
              <w:pStyle w:val="a3"/>
              <w:spacing w:before="0" w:beforeAutospacing="0" w:after="0" w:afterAutospacing="0"/>
              <w:rPr>
                <w:sz w:val="13"/>
                <w:szCs w:val="13"/>
              </w:rPr>
            </w:pPr>
            <w:r>
              <w:rPr>
                <w:sz w:val="13"/>
                <w:szCs w:val="13"/>
              </w:rPr>
              <w:t>Balance, March 31, 202</w:t>
            </w: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1,25</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67,787,82</w:t>
            </w:r>
            <w:r>
              <w:rPr>
                <w:sz w:val="13"/>
                <w:szCs w:val="13"/>
              </w:rPr>
              <w:t>6</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67,78</w:t>
            </w:r>
            <w:r>
              <w:rPr>
                <w:sz w:val="13"/>
                <w:szCs w:val="13"/>
              </w:rPr>
              <w:t>8</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339,226,94</w:t>
            </w:r>
            <w:r>
              <w:rPr>
                <w:sz w:val="13"/>
                <w:szCs w:val="13"/>
              </w:rPr>
              <w:t>1</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w:t>
            </w:r>
            <w:r>
              <w:rPr>
                <w:sz w:val="13"/>
                <w:szCs w:val="13"/>
              </w:rPr>
              <w:t>118,184,79</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3"/>
                <w:szCs w:val="13"/>
              </w:rPr>
              <w:t>221,109,94</w:t>
            </w:r>
            <w:r>
              <w:rPr>
                <w:sz w:val="13"/>
                <w:szCs w:val="13"/>
              </w:rPr>
              <w:t>0</w:t>
            </w:r>
          </w:p>
        </w:tc>
        <w:tc>
          <w:tcPr>
            <w:tcW w:w="0" w:type="auto"/>
            <w:vAlign w:val="bottom"/>
            <w:hideMark/>
          </w:tcPr>
          <w:p w:rsidR="00000000" w:rsidRDefault="00CF461A">
            <w:pPr>
              <w:pStyle w:val="a3"/>
              <w:spacing w:before="0" w:beforeAutospacing="0" w:after="0" w:afterAutospacing="0"/>
              <w:rPr>
                <w:sz w:val="13"/>
                <w:szCs w:val="13"/>
              </w:rPr>
            </w:pPr>
            <w:r>
              <w:rPr>
                <w:sz w:val="13"/>
                <w:szCs w:val="13"/>
              </w:rPr>
              <w:t> </w:t>
            </w:r>
          </w:p>
        </w:tc>
      </w:tr>
    </w:tbl>
    <w:p w:rsidR="00000000" w:rsidRDefault="00CF461A">
      <w:pPr>
        <w:pStyle w:val="a3"/>
        <w:spacing w:before="0" w:beforeAutospacing="0" w:after="0" w:afterAutospacing="0"/>
        <w:jc w:val="center"/>
        <w:rPr>
          <w:sz w:val="20"/>
          <w:szCs w:val="20"/>
        </w:rPr>
      </w:pPr>
      <w:r>
        <w:rPr>
          <w:sz w:val="18"/>
          <w:szCs w:val="18"/>
        </w:rPr>
        <w:t> </w:t>
      </w:r>
    </w:p>
    <w:p w:rsidR="00000000" w:rsidRDefault="00CF461A">
      <w:pPr>
        <w:pStyle w:val="a3"/>
        <w:spacing w:before="0" w:beforeAutospacing="0" w:after="0" w:afterAutospacing="0"/>
        <w:jc w:val="center"/>
        <w:rPr>
          <w:sz w:val="20"/>
          <w:szCs w:val="20"/>
        </w:rPr>
      </w:pPr>
      <w:r>
        <w:rPr>
          <w:sz w:val="18"/>
          <w:szCs w:val="18"/>
        </w:rPr>
        <w:lastRenderedPageBreak/>
        <w:t>See accompanying notes to these unaudited condensed consolidated financial statement</w:t>
      </w:r>
      <w:r>
        <w:rPr>
          <w:sz w:val="18"/>
          <w:szCs w:val="18"/>
        </w:rPr>
        <w:t>s</w:t>
      </w:r>
    </w:p>
    <w:p w:rsidR="00000000" w:rsidRDefault="00CF461A">
      <w:pPr>
        <w:pStyle w:val="a3"/>
        <w:spacing w:before="240" w:beforeAutospacing="0" w:after="0" w:afterAutospacing="0"/>
        <w:jc w:val="center"/>
        <w:rPr>
          <w:sz w:val="20"/>
          <w:szCs w:val="20"/>
        </w:rPr>
      </w:pPr>
      <w:r>
        <w:rPr>
          <w:sz w:val="18"/>
          <w:szCs w:val="18"/>
        </w:rPr>
        <w:t>5</w:t>
      </w:r>
    </w:p>
    <w:p w:rsidR="00000000" w:rsidRDefault="00CF461A">
      <w:pPr>
        <w:rPr>
          <w:rFonts w:eastAsia="Times New Roman"/>
        </w:rPr>
      </w:pPr>
      <w:r>
        <w:rPr>
          <w:rFonts w:eastAsia="Times New Roman"/>
        </w:rPr>
        <w:pict>
          <v:rect id="_x0000_i1030"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CF461A">
      <w:pPr>
        <w:pStyle w:val="a3"/>
        <w:spacing w:before="0" w:beforeAutospacing="0" w:after="0" w:afterAutospacing="0"/>
        <w:jc w:val="center"/>
        <w:rPr>
          <w:sz w:val="20"/>
          <w:szCs w:val="20"/>
        </w:rPr>
      </w:pPr>
      <w:r>
        <w:rPr>
          <w:b/>
          <w:bCs/>
          <w:sz w:val="18"/>
          <w:szCs w:val="18"/>
        </w:rPr>
        <w:t xml:space="preserve">Condensed Consolidated </w:t>
      </w:r>
      <w:r>
        <w:rPr>
          <w:b/>
          <w:bCs/>
          <w:sz w:val="18"/>
          <w:szCs w:val="18"/>
        </w:rPr>
        <w:t>S</w:t>
      </w:r>
      <w:r>
        <w:rPr>
          <w:b/>
          <w:bCs/>
          <w:sz w:val="18"/>
          <w:szCs w:val="18"/>
        </w:rPr>
        <w:t>tatements of Cash Flow</w:t>
      </w:r>
      <w:r>
        <w:rPr>
          <w:b/>
          <w:bCs/>
          <w:sz w:val="18"/>
          <w:szCs w:val="18"/>
        </w:rPr>
        <w:t>s</w:t>
      </w:r>
    </w:p>
    <w:p w:rsidR="00000000" w:rsidRDefault="00CF461A">
      <w:pPr>
        <w:pStyle w:val="a3"/>
        <w:spacing w:before="0" w:beforeAutospacing="0" w:after="0" w:afterAutospacing="0"/>
        <w:jc w:val="center"/>
        <w:rPr>
          <w:sz w:val="20"/>
          <w:szCs w:val="20"/>
        </w:rPr>
      </w:pPr>
      <w:r>
        <w:rPr>
          <w:b/>
          <w:bCs/>
          <w:sz w:val="18"/>
          <w:szCs w:val="18"/>
        </w:rPr>
        <w:t>(unaudited</w:t>
      </w:r>
      <w:r>
        <w:rPr>
          <w:b/>
          <w:bCs/>
          <w:sz w:val="18"/>
          <w:szCs w:val="18"/>
        </w:rPr>
        <w:t>)</w:t>
      </w:r>
    </w:p>
    <w:p w:rsidR="00000000" w:rsidRDefault="00CF461A">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74"/>
        <w:gridCol w:w="119"/>
        <w:gridCol w:w="150"/>
        <w:gridCol w:w="1125"/>
        <w:gridCol w:w="120"/>
        <w:gridCol w:w="119"/>
        <w:gridCol w:w="150"/>
        <w:gridCol w:w="1114"/>
        <w:gridCol w:w="135"/>
      </w:tblGrid>
      <w:tr w:rsidR="00000000">
        <w:trPr>
          <w:tblCellSpacing w:w="15" w:type="dxa"/>
        </w:trPr>
        <w:tc>
          <w:tcPr>
            <w:tcW w:w="3280" w:type="pct"/>
            <w:vAlign w:val="center"/>
            <w:hideMark/>
          </w:tcPr>
          <w:p w:rsidR="00000000" w:rsidRDefault="00CF461A">
            <w:pPr>
              <w:rPr>
                <w:sz w:val="20"/>
                <w:szCs w:val="20"/>
              </w:rPr>
            </w:pPr>
          </w:p>
        </w:tc>
        <w:tc>
          <w:tcPr>
            <w:tcW w:w="72"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700"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c>
          <w:tcPr>
            <w:tcW w:w="72"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93"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r>
      <w:tr w:rsidR="00000000">
        <w:trPr>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Cash flows from operating activities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Net (loss) incom</w:t>
            </w:r>
            <w:r>
              <w:rPr>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16,108,05</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176,007,30</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Adjustments to reconcile net (loss) income to cash (used in) provided by operating activities</w:t>
            </w:r>
            <w:r>
              <w:rPr>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Non-cash consideration received in licensing agreement transactio</w:t>
            </w:r>
            <w:r>
              <w:rPr>
                <w:sz w:val="18"/>
                <w:szCs w:val="18"/>
              </w:rPr>
              <w:t>n</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945,36</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Unrealized gain on equity investmen</w:t>
            </w:r>
            <w:r>
              <w:rPr>
                <w:sz w:val="18"/>
                <w:szCs w:val="18"/>
              </w:rPr>
              <w:t>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207,06</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Stock-based compensation expens</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1,324,81</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1,320,00</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Depreciation and amortization expens</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73,80</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74,73</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Accretion of lease liabilit</w:t>
            </w:r>
            <w:r>
              <w:rPr>
                <w:sz w:val="18"/>
                <w:szCs w:val="18"/>
              </w:rPr>
              <w:t>y</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88,29</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400"/>
              <w:rPr>
                <w:sz w:val="18"/>
                <w:szCs w:val="18"/>
              </w:rPr>
            </w:pPr>
            <w:r>
              <w:rPr>
                <w:sz w:val="18"/>
                <w:szCs w:val="18"/>
              </w:rPr>
              <w:t>Change in operating assets and liabilities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Prepaid expenses and other current asset</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262,43</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80,40</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Security deposi</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4,30</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Related party receivabl</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882,02</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Long-term prepaid expense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225,11</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Accounts payabl</w:t>
            </w:r>
            <w:r>
              <w:rPr>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4,870,27</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2,277,33</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Accrued expense</w:t>
            </w:r>
            <w:r>
              <w:rPr>
                <w:sz w:val="18"/>
                <w:szCs w:val="18"/>
              </w:rPr>
              <w:t>s</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299,30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1,165,84</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Deferred revenu</w:t>
            </w:r>
            <w:r>
              <w:rPr>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12,382,77</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600"/>
              <w:rPr>
                <w:sz w:val="18"/>
                <w:szCs w:val="18"/>
              </w:rPr>
            </w:pPr>
            <w:r>
              <w:rPr>
                <w:sz w:val="18"/>
                <w:szCs w:val="18"/>
              </w:rPr>
              <w:t>Related party payabl</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2,432,19</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800"/>
              <w:rPr>
                <w:sz w:val="18"/>
                <w:szCs w:val="18"/>
              </w:rPr>
            </w:pPr>
            <w:r>
              <w:rPr>
                <w:sz w:val="18"/>
                <w:szCs w:val="18"/>
              </w:rPr>
              <w:t>Net cash (used in) provided by operating activitie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20,086,41</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160,899,08</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Cash flows from investing activities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Issuance of short-term note receivabl</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1,000,00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Purchase of property and equipmen</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45,93</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11,51</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Software development and other asset</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30,23</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800"/>
              <w:rPr>
                <w:sz w:val="18"/>
                <w:szCs w:val="18"/>
              </w:rPr>
            </w:pPr>
            <w:r>
              <w:rPr>
                <w:sz w:val="18"/>
                <w:szCs w:val="18"/>
              </w:rPr>
              <w:t>Net cash used in investing activitie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1,076,16</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11,51</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Cash flows from financing activities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ATM and other offering cost</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21,31</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Proceeds from employee stock purchase pla</w:t>
            </w:r>
            <w:r>
              <w:rPr>
                <w:sz w:val="18"/>
                <w:szCs w:val="18"/>
              </w:rPr>
              <w:t>n</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130,17</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Proceeds from exercise of option</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33,07</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20,80</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800"/>
              <w:rPr>
                <w:sz w:val="18"/>
                <w:szCs w:val="18"/>
              </w:rPr>
            </w:pPr>
            <w:r>
              <w:rPr>
                <w:sz w:val="18"/>
                <w:szCs w:val="18"/>
              </w:rPr>
              <w:t>Net cash provided by financing activitie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33,07</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129,66</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(decrease) increase in cash and cash equivalent</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21,129,50</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161,017,23</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Cash</w:t>
            </w:r>
            <w:r>
              <w:rPr>
                <w:sz w:val="18"/>
                <w:szCs w:val="18"/>
              </w:rPr>
              <w:t>, cash equivalents, and restricted cash at beginning of perio</w:t>
            </w:r>
            <w:r>
              <w:rPr>
                <w:sz w:val="18"/>
                <w:szCs w:val="18"/>
              </w:rPr>
              <w:t>d</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189,728,28</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72,033,93</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Cash, cash equivalents, and restricted cash at end of perio</w:t>
            </w:r>
            <w:r>
              <w:rPr>
                <w:sz w:val="18"/>
                <w:szCs w:val="18"/>
              </w:rPr>
              <w:t>d</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168,598,78</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233,051,16</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Non-cash transaction</w:t>
            </w:r>
            <w:r>
              <w:rPr>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Right-of-use asset obtained in exchange for lease liabilit</w:t>
            </w:r>
            <w:r>
              <w:rPr>
                <w:sz w:val="18"/>
                <w:szCs w:val="18"/>
              </w:rPr>
              <w:t>y</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15,779,77</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jc w:val="center"/>
        <w:rPr>
          <w:sz w:val="20"/>
          <w:szCs w:val="20"/>
        </w:rPr>
      </w:pPr>
      <w:r>
        <w:rPr>
          <w:sz w:val="18"/>
          <w:szCs w:val="18"/>
        </w:rPr>
        <w:t> </w:t>
      </w:r>
    </w:p>
    <w:p w:rsidR="00000000" w:rsidRDefault="00CF461A">
      <w:pPr>
        <w:pStyle w:val="a3"/>
        <w:spacing w:before="40" w:beforeAutospacing="0" w:after="0" w:afterAutospacing="0"/>
        <w:jc w:val="center"/>
        <w:rPr>
          <w:sz w:val="20"/>
          <w:szCs w:val="20"/>
        </w:rPr>
      </w:pPr>
      <w:r>
        <w:rPr>
          <w:sz w:val="18"/>
          <w:szCs w:val="18"/>
        </w:rPr>
        <w:t>See accompanying notes to these unaudited condensed consolidated financial statement</w:t>
      </w:r>
      <w:r>
        <w:rPr>
          <w:sz w:val="18"/>
          <w:szCs w:val="18"/>
        </w:rPr>
        <w:t>s</w: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6</w:t>
      </w:r>
    </w:p>
    <w:p w:rsidR="00000000" w:rsidRDefault="00CF461A">
      <w:pPr>
        <w:rPr>
          <w:rFonts w:eastAsia="Times New Roman"/>
        </w:rPr>
      </w:pPr>
      <w:r>
        <w:rPr>
          <w:rFonts w:eastAsia="Times New Roman"/>
        </w:rPr>
        <w:pict>
          <v:rect id="_x0000_i1031"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OVID THERAPEUTICS INC</w:t>
      </w:r>
      <w:r>
        <w:rPr>
          <w:b/>
          <w:bCs/>
          <w:sz w:val="18"/>
          <w:szCs w:val="18"/>
        </w:rPr>
        <w:t>.</w:t>
      </w:r>
    </w:p>
    <w:p w:rsidR="00000000" w:rsidRDefault="00CF461A">
      <w:pPr>
        <w:pStyle w:val="a3"/>
        <w:spacing w:before="0" w:beforeAutospacing="0" w:after="0" w:afterAutospacing="0"/>
        <w:jc w:val="center"/>
        <w:rPr>
          <w:sz w:val="20"/>
          <w:szCs w:val="20"/>
        </w:rPr>
      </w:pPr>
      <w:r>
        <w:rPr>
          <w:b/>
          <w:bCs/>
          <w:sz w:val="20"/>
          <w:szCs w:val="20"/>
        </w:rPr>
        <w:t>NOTES TO CONDENSED CONSOLIDATED FINANCIAL STATEMENT</w:t>
      </w:r>
      <w:r>
        <w:rPr>
          <w:b/>
          <w:bCs/>
          <w:sz w:val="20"/>
          <w:szCs w:val="20"/>
        </w:rPr>
        <w:t>S</w:t>
      </w:r>
    </w:p>
    <w:p w:rsidR="00000000" w:rsidRDefault="00CF461A">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CF461A">
      <w:pPr>
        <w:pStyle w:val="a3"/>
        <w:spacing w:before="0" w:beforeAutospacing="0" w:after="0" w:afterAutospacing="0"/>
        <w:jc w:val="center"/>
        <w:rPr>
          <w:sz w:val="20"/>
          <w:szCs w:val="20"/>
        </w:rPr>
      </w:pPr>
      <w:r>
        <w:rPr>
          <w:sz w:val="18"/>
          <w:szCs w:val="18"/>
        </w:rPr>
        <w:t> </w:t>
      </w:r>
    </w:p>
    <w:p w:rsidR="00000000" w:rsidRDefault="00CF461A">
      <w:pPr>
        <w:pStyle w:val="a3"/>
        <w:spacing w:before="0" w:beforeAutospacing="0" w:after="0" w:afterAutospacing="0"/>
        <w:divId w:val="1313363960"/>
        <w:rPr>
          <w:sz w:val="20"/>
          <w:szCs w:val="20"/>
        </w:rPr>
      </w:pPr>
      <w:r>
        <w:rPr>
          <w:b/>
          <w:bCs/>
          <w:sz w:val="18"/>
          <w:szCs w:val="18"/>
        </w:rPr>
        <w:t>NOTE 1 – NATUR</w:t>
      </w:r>
      <w:r>
        <w:rPr>
          <w:b/>
          <w:bCs/>
          <w:sz w:val="18"/>
          <w:szCs w:val="18"/>
        </w:rPr>
        <w:t>E</w:t>
      </w:r>
      <w:r>
        <w:rPr>
          <w:b/>
          <w:bCs/>
          <w:sz w:val="18"/>
          <w:szCs w:val="18"/>
        </w:rPr>
        <w:t xml:space="preserve"> </w:t>
      </w:r>
      <w:r>
        <w:rPr>
          <w:b/>
          <w:bCs/>
          <w:sz w:val="18"/>
          <w:szCs w:val="18"/>
        </w:rPr>
        <w:t>OF OPERATION</w:t>
      </w:r>
      <w:r>
        <w:rPr>
          <w:b/>
          <w:bCs/>
          <w:sz w:val="18"/>
          <w:szCs w:val="18"/>
        </w:rPr>
        <w:t>S</w:t>
      </w:r>
    </w:p>
    <w:p w:rsidR="00000000" w:rsidRDefault="00CF461A">
      <w:pPr>
        <w:pStyle w:val="a3"/>
        <w:spacing w:before="200" w:beforeAutospacing="0" w:after="0" w:afterAutospacing="0"/>
        <w:jc w:val="both"/>
        <w:divId w:val="1313363960"/>
        <w:rPr>
          <w:sz w:val="20"/>
          <w:szCs w:val="20"/>
        </w:rPr>
      </w:pPr>
      <w:r>
        <w:rPr>
          <w:sz w:val="18"/>
          <w:szCs w:val="18"/>
        </w:rPr>
        <w:t xml:space="preserve">Ovid Therapeutics Inc. (the “Company”) was incorporated under the laws of the state of Delaware on April 1, 2014 and maintains its principal office in New York, New York. The Company commenced operations on April 1, 2014 (date of inception). </w:t>
      </w:r>
      <w:r>
        <w:rPr>
          <w:sz w:val="18"/>
          <w:szCs w:val="18"/>
        </w:rPr>
        <w:t>The Company is a biopharmaceutical company focused exclusively on developing impactful medicines for patients and families living with rare neurological disorders</w:t>
      </w:r>
      <w:r>
        <w:rPr>
          <w:sz w:val="18"/>
          <w:szCs w:val="18"/>
        </w:rPr>
        <w:t>.</w:t>
      </w:r>
    </w:p>
    <w:p w:rsidR="00000000" w:rsidRDefault="00CF461A">
      <w:pPr>
        <w:pStyle w:val="a3"/>
        <w:spacing w:before="200" w:beforeAutospacing="0" w:after="0" w:afterAutospacing="0"/>
        <w:jc w:val="both"/>
        <w:divId w:val="1313363960"/>
        <w:rPr>
          <w:sz w:val="20"/>
          <w:szCs w:val="20"/>
        </w:rPr>
      </w:pPr>
      <w:r>
        <w:rPr>
          <w:sz w:val="18"/>
          <w:szCs w:val="18"/>
        </w:rPr>
        <w:t>Since its inception, the Company has devoted substantially all of its efforts to business de</w:t>
      </w:r>
      <w:r>
        <w:rPr>
          <w:sz w:val="18"/>
          <w:szCs w:val="18"/>
        </w:rPr>
        <w:t>velopment, research and development, recruiting management and technical staff, and raising capital. The Company is subject to risks and uncertainties common to early-stage companies in the biotechnology industry, including, but not limited to, development</w:t>
      </w:r>
      <w:r>
        <w:rPr>
          <w:sz w:val="18"/>
          <w:szCs w:val="18"/>
        </w:rPr>
        <w:t xml:space="preserve"> and regulatory success, development by competitors of new technological innovations, dependence on key personnel, protection of proprietary technology, compliance with government regulations, and ability to secure additional capital to fund operations</w:t>
      </w:r>
      <w:r>
        <w:rPr>
          <w:sz w:val="18"/>
          <w:szCs w:val="18"/>
        </w:rPr>
        <w:t>.</w:t>
      </w:r>
    </w:p>
    <w:p w:rsidR="00000000" w:rsidRDefault="00CF461A">
      <w:pPr>
        <w:pStyle w:val="a3"/>
        <w:spacing w:before="0" w:beforeAutospacing="0" w:after="0" w:afterAutospacing="0"/>
        <w:jc w:val="both"/>
        <w:divId w:val="1313363960"/>
        <w:rPr>
          <w:sz w:val="20"/>
          <w:szCs w:val="20"/>
        </w:rPr>
      </w:pPr>
      <w:r>
        <w:rPr>
          <w:sz w:val="18"/>
          <w:szCs w:val="18"/>
        </w:rPr>
        <w:t> </w:t>
      </w:r>
    </w:p>
    <w:p w:rsidR="00000000" w:rsidRDefault="00CF461A">
      <w:pPr>
        <w:pStyle w:val="a3"/>
        <w:spacing w:before="0" w:beforeAutospacing="0" w:after="0" w:afterAutospacing="0"/>
        <w:jc w:val="both"/>
        <w:divId w:val="1313363960"/>
        <w:rPr>
          <w:sz w:val="20"/>
          <w:szCs w:val="20"/>
        </w:rPr>
      </w:pPr>
      <w:r>
        <w:rPr>
          <w:sz w:val="18"/>
          <w:szCs w:val="18"/>
        </w:rPr>
        <w:t xml:space="preserve">Historically, the Company’s major sources of cash have been composed of proceeds from various public and private offerings of its capital stock, revenue from collaboration agreements, option exercises and interest income. As of March 31, 2022, the Company </w:t>
      </w:r>
      <w:r>
        <w:rPr>
          <w:sz w:val="18"/>
          <w:szCs w:val="18"/>
        </w:rPr>
        <w:t xml:space="preserve">had approximately </w:t>
      </w:r>
      <w:r>
        <w:rPr>
          <w:sz w:val="18"/>
          <w:szCs w:val="18"/>
        </w:rPr>
        <w:t>$</w:t>
      </w:r>
      <w:r>
        <w:rPr>
          <w:sz w:val="18"/>
          <w:szCs w:val="18"/>
        </w:rPr>
        <w:t>166.</w:t>
      </w:r>
      <w:r>
        <w:rPr>
          <w:sz w:val="18"/>
          <w:szCs w:val="18"/>
        </w:rPr>
        <w:t>7</w:t>
      </w:r>
      <w:r>
        <w:rPr>
          <w:sz w:val="18"/>
          <w:szCs w:val="18"/>
        </w:rPr>
        <w:t xml:space="preserve"> million in cash and cash equivalents. Since inception, the Company has generated </w:t>
      </w:r>
      <w:r>
        <w:rPr>
          <w:sz w:val="18"/>
          <w:szCs w:val="18"/>
        </w:rPr>
        <w:t>$</w:t>
      </w:r>
      <w:r>
        <w:rPr>
          <w:sz w:val="18"/>
          <w:szCs w:val="18"/>
        </w:rPr>
        <w:t>222.</w:t>
      </w:r>
      <w:r>
        <w:rPr>
          <w:sz w:val="18"/>
          <w:szCs w:val="18"/>
        </w:rPr>
        <w:t>4</w:t>
      </w:r>
      <w:r>
        <w:rPr>
          <w:sz w:val="18"/>
          <w:szCs w:val="18"/>
        </w:rPr>
        <w:t xml:space="preserve"> million in revenue, primarily pursuant to the Company’s royalty, license and termination agreement (the “Takeda License and Termination Agreeme</w:t>
      </w:r>
      <w:r>
        <w:rPr>
          <w:sz w:val="18"/>
          <w:szCs w:val="18"/>
        </w:rPr>
        <w:t>nt”) with Takeda Pharmaceutical Company Limited (“Takeda”). Historically, the Company has incurred recurring losses, has experienced negative operating cash flows and requires significant cash resources to execute its business plans. The Company has an acc</w:t>
      </w:r>
      <w:r>
        <w:rPr>
          <w:sz w:val="18"/>
          <w:szCs w:val="18"/>
        </w:rPr>
        <w:t xml:space="preserve">umulated deficit of </w:t>
      </w:r>
      <w:r>
        <w:rPr>
          <w:sz w:val="18"/>
          <w:szCs w:val="18"/>
        </w:rPr>
        <w:t>$</w:t>
      </w:r>
      <w:r>
        <w:rPr>
          <w:sz w:val="18"/>
          <w:szCs w:val="18"/>
        </w:rPr>
        <w:t>187.</w:t>
      </w:r>
      <w:r>
        <w:rPr>
          <w:sz w:val="18"/>
          <w:szCs w:val="18"/>
        </w:rPr>
        <w:t>5</w:t>
      </w:r>
      <w:r>
        <w:rPr>
          <w:sz w:val="18"/>
          <w:szCs w:val="18"/>
        </w:rPr>
        <w:t xml:space="preserve"> million as of March 31, 2022, working capital of </w:t>
      </w:r>
      <w:r>
        <w:rPr>
          <w:sz w:val="18"/>
          <w:szCs w:val="18"/>
        </w:rPr>
        <w:t>$</w:t>
      </w:r>
      <w:r>
        <w:rPr>
          <w:sz w:val="18"/>
          <w:szCs w:val="18"/>
        </w:rPr>
        <w:t>159.</w:t>
      </w:r>
      <w:r>
        <w:rPr>
          <w:sz w:val="18"/>
          <w:szCs w:val="18"/>
        </w:rPr>
        <w:t>9</w:t>
      </w:r>
      <w:r>
        <w:rPr>
          <w:sz w:val="18"/>
          <w:szCs w:val="18"/>
        </w:rPr>
        <w:t xml:space="preserve"> million and had cash used in operating activities of </w:t>
      </w:r>
      <w:r>
        <w:rPr>
          <w:sz w:val="18"/>
          <w:szCs w:val="18"/>
        </w:rPr>
        <w:t>$</w:t>
      </w:r>
      <w:r>
        <w:rPr>
          <w:sz w:val="18"/>
          <w:szCs w:val="18"/>
        </w:rPr>
        <w:t>20.</w:t>
      </w:r>
      <w:r>
        <w:rPr>
          <w:sz w:val="18"/>
          <w:szCs w:val="18"/>
        </w:rPr>
        <w:t>1</w:t>
      </w:r>
      <w:r>
        <w:rPr>
          <w:sz w:val="18"/>
          <w:szCs w:val="18"/>
        </w:rPr>
        <w:t xml:space="preserve"> million for the three months ended March 31, 2022</w:t>
      </w:r>
      <w:r>
        <w:rPr>
          <w:sz w:val="18"/>
          <w:szCs w:val="18"/>
        </w:rPr>
        <w:t>.</w:t>
      </w:r>
      <w:r>
        <w:rPr>
          <w:sz w:val="18"/>
          <w:szCs w:val="18"/>
        </w:rPr>
        <w:t xml:space="preserve"> </w:t>
      </w:r>
    </w:p>
    <w:p w:rsidR="00000000" w:rsidRDefault="00CF461A">
      <w:pPr>
        <w:pStyle w:val="a3"/>
        <w:spacing w:before="0" w:beforeAutospacing="0" w:after="0" w:afterAutospacing="0"/>
        <w:jc w:val="both"/>
        <w:divId w:val="1313363960"/>
        <w:rPr>
          <w:sz w:val="20"/>
          <w:szCs w:val="20"/>
        </w:rPr>
      </w:pPr>
      <w:r>
        <w:rPr>
          <w:sz w:val="20"/>
          <w:szCs w:val="20"/>
        </w:rPr>
        <w:t> </w:t>
      </w:r>
    </w:p>
    <w:p w:rsidR="00000000" w:rsidRDefault="00CF461A">
      <w:pPr>
        <w:pStyle w:val="a3"/>
        <w:spacing w:before="0" w:beforeAutospacing="0" w:after="0" w:afterAutospacing="0"/>
        <w:jc w:val="both"/>
        <w:divId w:val="1313363960"/>
        <w:rPr>
          <w:sz w:val="20"/>
          <w:szCs w:val="20"/>
        </w:rPr>
      </w:pPr>
      <w:r>
        <w:rPr>
          <w:sz w:val="18"/>
          <w:szCs w:val="18"/>
        </w:rPr>
        <w:t xml:space="preserve">The Company recorded net loss of </w:t>
      </w:r>
      <w:r>
        <w:rPr>
          <w:sz w:val="18"/>
          <w:szCs w:val="18"/>
        </w:rPr>
        <w:t>$</w:t>
      </w:r>
      <w:r>
        <w:rPr>
          <w:sz w:val="18"/>
          <w:szCs w:val="18"/>
        </w:rPr>
        <w:t>16.</w:t>
      </w:r>
      <w:r>
        <w:rPr>
          <w:sz w:val="18"/>
          <w:szCs w:val="18"/>
        </w:rPr>
        <w:t>1</w:t>
      </w:r>
      <w:r>
        <w:rPr>
          <w:sz w:val="18"/>
          <w:szCs w:val="18"/>
        </w:rPr>
        <w:t xml:space="preserve"> million during the th</w:t>
      </w:r>
      <w:r>
        <w:rPr>
          <w:sz w:val="18"/>
          <w:szCs w:val="18"/>
        </w:rPr>
        <w:t>ree months ended March 31, 2022, and expects to incur losses in subsequent periods for at least the next several years and is highly dependent on its ability to find additional sources of funding through either equity offerings, debt financings, collaborat</w:t>
      </w:r>
      <w:r>
        <w:rPr>
          <w:sz w:val="18"/>
          <w:szCs w:val="18"/>
        </w:rPr>
        <w:t>ions, strategic alliances, licensing agreements or a combination of any such transactions. Management believes that the Company’s existing cash and cash equivalents as of March 31, 2022 will be sufficient to fund its current operating plans through at leas</w:t>
      </w:r>
      <w:r>
        <w:rPr>
          <w:sz w:val="18"/>
          <w:szCs w:val="18"/>
        </w:rPr>
        <w:t>t the next 12 months from the date of filing of the Company’s Quarterly Report on Form 10-Q. Adequate additional funding may not be available to the Company on acceptable terms or at all. The failure to raise capital as and when needed could have a negativ</w:t>
      </w:r>
      <w:r>
        <w:rPr>
          <w:sz w:val="18"/>
          <w:szCs w:val="18"/>
        </w:rPr>
        <w:t xml:space="preserve">e impact on the Company’s financial condition and ability to pursue its business strategy. The Company may be required to delay, reduce the scope of or eliminate research and development programs, or obtain funds through arrangements with collaborators or </w:t>
      </w:r>
      <w:r>
        <w:rPr>
          <w:sz w:val="18"/>
          <w:szCs w:val="18"/>
        </w:rPr>
        <w:t>others that may require the Company to relinquish rights to certain drug candidates that the Company might otherwise seek to develop or commercialize independently</w:t>
      </w:r>
      <w:r>
        <w:rPr>
          <w:sz w:val="18"/>
          <w:szCs w:val="18"/>
        </w:rPr>
        <w:t>.</w:t>
      </w:r>
    </w:p>
    <w:p w:rsidR="00000000" w:rsidRDefault="00CF461A">
      <w:pPr>
        <w:pStyle w:val="a3"/>
        <w:spacing w:before="0" w:beforeAutospacing="0" w:after="0" w:afterAutospacing="0"/>
        <w:jc w:val="both"/>
        <w:divId w:val="1313363960"/>
        <w:rPr>
          <w:sz w:val="20"/>
          <w:szCs w:val="20"/>
        </w:rPr>
      </w:pPr>
      <w:r>
        <w:rPr>
          <w:sz w:val="18"/>
          <w:szCs w:val="18"/>
        </w:rPr>
        <w:t> </w:t>
      </w:r>
    </w:p>
    <w:p w:rsidR="00000000" w:rsidRDefault="00CF461A">
      <w:pPr>
        <w:pStyle w:val="a3"/>
        <w:spacing w:before="0" w:beforeAutospacing="0" w:after="0" w:afterAutospacing="0"/>
        <w:jc w:val="both"/>
        <w:divId w:val="1313363960"/>
        <w:rPr>
          <w:sz w:val="20"/>
          <w:szCs w:val="20"/>
        </w:rPr>
      </w:pPr>
      <w:r>
        <w:rPr>
          <w:sz w:val="18"/>
          <w:szCs w:val="18"/>
        </w:rPr>
        <w:t>The Company has implemented business continuity plans designed to address and mitigate th</w:t>
      </w:r>
      <w:r>
        <w:rPr>
          <w:sz w:val="18"/>
          <w:szCs w:val="18"/>
        </w:rPr>
        <w:t>e impact of the COVID-19 pandemic on its business. The extent to which the ongoing COVID-19 pandemic impacts the Company's business, its clinical development and regulatory efforts, its corporate development objectives and the value of and market for the C</w:t>
      </w:r>
      <w:r>
        <w:rPr>
          <w:sz w:val="18"/>
          <w:szCs w:val="18"/>
        </w:rPr>
        <w:t>ompany's common stock, will depend on future developments that are highly uncertain and cannot be predicted with confidence at this time, such as the ultimate duration of the pandemic, the extent of sustained or new travel restrictions, social distancing a</w:t>
      </w:r>
      <w:r>
        <w:rPr>
          <w:sz w:val="18"/>
          <w:szCs w:val="18"/>
        </w:rPr>
        <w:t>nd business closure requirements in the United States, Europe and other countries, and the effectiveness of actions taken globally to contain and treat the disease, including vaccination efforts. The global economic slowdown, the overall disruption of glob</w:t>
      </w:r>
      <w:r>
        <w:rPr>
          <w:sz w:val="18"/>
          <w:szCs w:val="18"/>
        </w:rPr>
        <w:t>al healthcare systems and the other risks and uncertainties associated with the pandemic could have a material adverse effect on the Company's business, financial condition, results of operations and growth prospects</w:t>
      </w:r>
      <w:r>
        <w:rPr>
          <w:sz w:val="18"/>
          <w:szCs w:val="18"/>
        </w:rPr>
        <w:t>.</w:t>
      </w:r>
    </w:p>
    <w:p w:rsidR="00000000" w:rsidRDefault="00CF461A">
      <w:pPr>
        <w:pStyle w:val="a3"/>
        <w:spacing w:before="0" w:beforeAutospacing="0" w:after="0" w:afterAutospacing="0"/>
        <w:jc w:val="both"/>
        <w:divId w:val="1313363960"/>
        <w:rPr>
          <w:sz w:val="20"/>
          <w:szCs w:val="20"/>
        </w:rPr>
      </w:pPr>
      <w:r>
        <w:rPr>
          <w:sz w:val="18"/>
          <w:szCs w:val="18"/>
        </w:rPr>
        <w:t> </w:t>
      </w:r>
    </w:p>
    <w:p w:rsidR="00000000" w:rsidRDefault="00CF461A">
      <w:pPr>
        <w:pStyle w:val="a3"/>
        <w:spacing w:before="0" w:beforeAutospacing="0" w:after="0" w:afterAutospacing="0"/>
        <w:jc w:val="both"/>
        <w:divId w:val="1313363960"/>
        <w:rPr>
          <w:sz w:val="20"/>
          <w:szCs w:val="20"/>
        </w:rPr>
      </w:pPr>
      <w:r>
        <w:rPr>
          <w:sz w:val="18"/>
          <w:szCs w:val="18"/>
        </w:rPr>
        <w:t xml:space="preserve">In addition, the Company is subject </w:t>
      </w:r>
      <w:r>
        <w:rPr>
          <w:sz w:val="18"/>
          <w:szCs w:val="18"/>
        </w:rPr>
        <w:t>to other challenges and risks specific to its business and its ability to execute on our strategy, as well as risks and uncertainties common to companies in the pharmaceutical industry with development and commercial operations, including, without limitati</w:t>
      </w:r>
      <w:r>
        <w:rPr>
          <w:sz w:val="18"/>
          <w:szCs w:val="18"/>
        </w:rPr>
        <w:t>on, risks and uncertainties associated with: obtaining regulatory approval of the Company's product candidates; delays or problems in the supply of the Company's product candidates, loss of single source suppliers or failure to comply with manufacturing re</w:t>
      </w:r>
      <w:r>
        <w:rPr>
          <w:sz w:val="18"/>
          <w:szCs w:val="18"/>
        </w:rPr>
        <w:t>gulations; identifying, acquiring or in-licensing additional products or product candidates; pharmaceutical product development and the inherent uncertainty of clinical success; and the challenges of protecting and enhancing our intellectual property right</w:t>
      </w:r>
      <w:r>
        <w:rPr>
          <w:sz w:val="18"/>
          <w:szCs w:val="18"/>
        </w:rPr>
        <w:t>s; complying with applicable regulatory requirements. In addition, to the extent the ongoing COVID-19 pandemic adversely affects the Company's business and results of operations, it may also have the effect of heightening many of the other risks and uncert</w:t>
      </w:r>
      <w:r>
        <w:rPr>
          <w:sz w:val="18"/>
          <w:szCs w:val="18"/>
        </w:rPr>
        <w:t>ainties discussed above</w:t>
      </w:r>
      <w:r>
        <w:rPr>
          <w:sz w:val="18"/>
          <w:szCs w:val="18"/>
        </w:rPr>
        <w:t>.</w:t>
      </w:r>
    </w:p>
    <w:p w:rsidR="00000000" w:rsidRDefault="00CF461A">
      <w:pPr>
        <w:pStyle w:val="a3"/>
        <w:spacing w:before="360" w:beforeAutospacing="0" w:after="0" w:afterAutospacing="0"/>
        <w:jc w:val="both"/>
        <w:divId w:val="72048479"/>
        <w:rPr>
          <w:sz w:val="20"/>
          <w:szCs w:val="20"/>
        </w:rPr>
      </w:pPr>
      <w:r>
        <w:rPr>
          <w:b/>
          <w:bCs/>
          <w:sz w:val="18"/>
          <w:szCs w:val="18"/>
        </w:rPr>
        <w:t>NOTE 2 – SUMMARY OF SIGNIFICANT ACCOUNTING POLICIE</w:t>
      </w:r>
      <w:r>
        <w:rPr>
          <w:b/>
          <w:bCs/>
          <w:sz w:val="18"/>
          <w:szCs w:val="18"/>
        </w:rPr>
        <w:t>S</w:t>
      </w:r>
    </w:p>
    <w:p w:rsidR="00000000" w:rsidRDefault="00CF461A">
      <w:pPr>
        <w:pStyle w:val="a3"/>
        <w:spacing w:before="200" w:beforeAutospacing="0" w:after="0" w:afterAutospacing="0"/>
        <w:jc w:val="both"/>
        <w:divId w:val="72048479"/>
        <w:rPr>
          <w:sz w:val="20"/>
          <w:szCs w:val="20"/>
        </w:rPr>
      </w:pPr>
      <w:r>
        <w:rPr>
          <w:sz w:val="18"/>
          <w:szCs w:val="18"/>
        </w:rPr>
        <w:t>The Company’s significant accounting policies are described in Note 2, “Summary of Significant Accounting Policies,” in the Company’s Annual Report on Form 10-K filed with the U.S</w:t>
      </w:r>
      <w:r>
        <w:rPr>
          <w:sz w:val="18"/>
          <w:szCs w:val="18"/>
        </w:rPr>
        <w:t>. Securities and Exchange Commission (“SEC”) on March 15, 2022</w:t>
      </w:r>
      <w:r>
        <w:rPr>
          <w:sz w:val="18"/>
          <w:szCs w:val="18"/>
        </w:rPr>
        <w:t>.</w:t>
      </w:r>
      <w:r>
        <w:rPr>
          <w:sz w:val="18"/>
          <w:szCs w:val="18"/>
        </w:rPr>
        <w:t xml:space="preserve"> </w:t>
      </w:r>
    </w:p>
    <w:p w:rsidR="00000000" w:rsidRDefault="00CF461A">
      <w:pPr>
        <w:pStyle w:val="a3"/>
        <w:spacing w:before="120" w:beforeAutospacing="0" w:after="0" w:afterAutospacing="0"/>
        <w:jc w:val="both"/>
        <w:divId w:val="1501312601"/>
        <w:rPr>
          <w:sz w:val="20"/>
          <w:szCs w:val="20"/>
        </w:rPr>
      </w:pPr>
      <w:r>
        <w:rPr>
          <w:b/>
          <w:bCs/>
          <w:sz w:val="18"/>
          <w:szCs w:val="18"/>
        </w:rPr>
        <w:t>(A) Unaudited Interim Condensed Consolidated Financial Statement</w:t>
      </w:r>
      <w:r>
        <w:rPr>
          <w:b/>
          <w:bCs/>
          <w:sz w:val="18"/>
          <w:szCs w:val="18"/>
        </w:rPr>
        <w:t>s</w:t>
      </w:r>
    </w:p>
    <w:p w:rsidR="00000000" w:rsidRDefault="00CF461A">
      <w:pPr>
        <w:pStyle w:val="a3"/>
        <w:spacing w:before="120" w:beforeAutospacing="0" w:after="0" w:afterAutospacing="0"/>
        <w:jc w:val="both"/>
        <w:divId w:val="1501312601"/>
        <w:rPr>
          <w:sz w:val="20"/>
          <w:szCs w:val="20"/>
        </w:rPr>
      </w:pPr>
      <w:r>
        <w:rPr>
          <w:sz w:val="18"/>
          <w:szCs w:val="18"/>
        </w:rPr>
        <w:t>The interim condensed consolidated balance sheet at March 31, 2022, the condensed consolidated statements of operations, cash</w:t>
      </w:r>
      <w:r>
        <w:rPr>
          <w:sz w:val="18"/>
          <w:szCs w:val="18"/>
        </w:rPr>
        <w:t xml:space="preserve"> flows, and stockholders’ equity for the three months ended March 31, 2022 and 2021 are unaudited. The accompanying unaudited condensed consolidated financial statements have been prepared in accordance with U.S. generally accepted accounting principles (“</w:t>
      </w:r>
      <w:r>
        <w:rPr>
          <w:sz w:val="18"/>
          <w:szCs w:val="18"/>
        </w:rPr>
        <w:t>GAAP”) and following the requirements of the SEC for interim reporting. As permitted under those rules, certain footnotes or other financial information that are normally required by GAAP are condensed or omitted. These condensed consolidated financial sta</w:t>
      </w:r>
      <w:r>
        <w:rPr>
          <w:sz w:val="18"/>
          <w:szCs w:val="18"/>
        </w:rPr>
        <w:t>tements have been prepared on the same basis as the Company’s annual financial statements and, in the opinion of management, reflect all adjustments, consisting only of normal recurring adjustments that are necessary for a fair statement of its financial i</w:t>
      </w:r>
      <w:r>
        <w:rPr>
          <w:sz w:val="18"/>
          <w:szCs w:val="18"/>
        </w:rPr>
        <w:t>nformation. The results of operations for the three months ended March 31, 2022 and 2021 are not necessarily indicative o</w:t>
      </w:r>
      <w:r>
        <w:rPr>
          <w:sz w:val="18"/>
          <w:szCs w:val="18"/>
        </w:rPr>
        <w:t>f</w:t>
      </w:r>
      <w:r>
        <w:rPr>
          <w:sz w:val="18"/>
          <w:szCs w:val="18"/>
        </w:rPr>
        <w:t xml:space="preserve"> </w:t>
      </w:r>
    </w:p>
    <w:p w:rsidR="00000000" w:rsidRDefault="00CF461A">
      <w:pPr>
        <w:pStyle w:val="a3"/>
        <w:spacing w:before="240" w:beforeAutospacing="0" w:after="0" w:afterAutospacing="0"/>
        <w:jc w:val="center"/>
        <w:divId w:val="1501312601"/>
        <w:rPr>
          <w:sz w:val="20"/>
          <w:szCs w:val="20"/>
        </w:rPr>
      </w:pPr>
      <w:r>
        <w:rPr>
          <w:sz w:val="18"/>
          <w:szCs w:val="18"/>
        </w:rPr>
        <w:t>7</w:t>
      </w:r>
    </w:p>
    <w:p w:rsidR="00000000" w:rsidRDefault="00CF461A">
      <w:pPr>
        <w:divId w:val="1501312601"/>
        <w:rPr>
          <w:rFonts w:eastAsia="Times New Roman"/>
          <w:sz w:val="18"/>
          <w:szCs w:val="18"/>
        </w:rPr>
      </w:pPr>
      <w:r>
        <w:rPr>
          <w:rFonts w:eastAsia="Times New Roman"/>
          <w:sz w:val="18"/>
          <w:szCs w:val="18"/>
        </w:rPr>
        <w:pict>
          <v:rect id="_x0000_i1032" style="width:0;height:1.5pt" o:hralign="center" o:hrstd="t" o:hr="t" fillcolor="#a0a0a0" stroked="f"/>
        </w:pict>
      </w:r>
    </w:p>
    <w:p w:rsidR="00000000" w:rsidRDefault="00CF461A">
      <w:pPr>
        <w:pStyle w:val="a3"/>
        <w:spacing w:before="0" w:beforeAutospacing="0" w:after="0" w:afterAutospacing="0"/>
        <w:divId w:val="1501312601"/>
        <w:rPr>
          <w:sz w:val="20"/>
          <w:szCs w:val="20"/>
        </w:rPr>
      </w:pPr>
      <w:r>
        <w:rPr>
          <w:sz w:val="18"/>
          <w:szCs w:val="18"/>
        </w:rPr>
        <w:t> </w:t>
      </w:r>
    </w:p>
    <w:p w:rsidR="00000000" w:rsidRDefault="00CF461A">
      <w:pPr>
        <w:pStyle w:val="a3"/>
        <w:spacing w:before="120" w:beforeAutospacing="0" w:after="0" w:afterAutospacing="0"/>
        <w:jc w:val="both"/>
        <w:divId w:val="1501312601"/>
        <w:rPr>
          <w:sz w:val="20"/>
          <w:szCs w:val="20"/>
        </w:rPr>
      </w:pPr>
      <w:r>
        <w:rPr>
          <w:sz w:val="18"/>
          <w:szCs w:val="18"/>
        </w:rPr>
        <w:t>the results to be expected for the year ending December 31, 2022 or for any other future annual or interim period. The balance sheet as of December 31, 2021 included herein was derived from the audited financial statements as of that date. These interim co</w:t>
      </w:r>
      <w:r>
        <w:rPr>
          <w:sz w:val="18"/>
          <w:szCs w:val="18"/>
        </w:rPr>
        <w:t>ndensed consolidated financial statements should be read in conjunction with the Company’s audited financial statements as of and for the year ended December 31, 202</w:t>
      </w:r>
      <w:r>
        <w:rPr>
          <w:sz w:val="18"/>
          <w:szCs w:val="18"/>
        </w:rPr>
        <w:t>1</w:t>
      </w:r>
      <w:r>
        <w:rPr>
          <w:sz w:val="18"/>
          <w:szCs w:val="18"/>
        </w:rPr>
        <w:t xml:space="preserve"> included in the Company’s Annual Report on Form 10-K</w:t>
      </w:r>
      <w:r>
        <w:rPr>
          <w:sz w:val="18"/>
          <w:szCs w:val="18"/>
        </w:rPr>
        <w:t>.</w:t>
      </w:r>
    </w:p>
    <w:p w:rsidR="00000000" w:rsidRDefault="00CF461A">
      <w:pPr>
        <w:pStyle w:val="a3"/>
        <w:spacing w:before="120" w:beforeAutospacing="0" w:after="0" w:afterAutospacing="0"/>
        <w:jc w:val="both"/>
        <w:divId w:val="399059115"/>
        <w:rPr>
          <w:sz w:val="20"/>
          <w:szCs w:val="20"/>
        </w:rPr>
      </w:pPr>
      <w:r>
        <w:rPr>
          <w:b/>
          <w:bCs/>
          <w:sz w:val="18"/>
          <w:szCs w:val="18"/>
        </w:rPr>
        <w:t>(B) Basis of Presentation and Conso</w:t>
      </w:r>
      <w:r>
        <w:rPr>
          <w:b/>
          <w:bCs/>
          <w:sz w:val="18"/>
          <w:szCs w:val="18"/>
        </w:rPr>
        <w:t>lidatio</w:t>
      </w:r>
      <w:r>
        <w:rPr>
          <w:b/>
          <w:bCs/>
          <w:sz w:val="18"/>
          <w:szCs w:val="18"/>
        </w:rPr>
        <w:t>n</w:t>
      </w:r>
    </w:p>
    <w:p w:rsidR="00000000" w:rsidRDefault="00CF461A">
      <w:pPr>
        <w:pStyle w:val="a3"/>
        <w:spacing w:before="120" w:beforeAutospacing="0" w:after="0" w:afterAutospacing="0"/>
        <w:divId w:val="399059115"/>
        <w:rPr>
          <w:sz w:val="20"/>
          <w:szCs w:val="20"/>
        </w:rPr>
      </w:pPr>
      <w:r>
        <w:rPr>
          <w:sz w:val="18"/>
          <w:szCs w:val="18"/>
        </w:rPr>
        <w:t>The accompanying consolidated financial statements have been prepared in conformity with GAAP and include the accounts of Ovid Therapeutics Inc. and its wholly owned subsidiary, Ovid Therapeutics Hong Kong Limited. All intercompany transactions an</w:t>
      </w:r>
      <w:r>
        <w:rPr>
          <w:sz w:val="18"/>
          <w:szCs w:val="18"/>
        </w:rPr>
        <w:t>d balances have been eliminated in consolidation</w:t>
      </w:r>
      <w:r>
        <w:rPr>
          <w:sz w:val="18"/>
          <w:szCs w:val="18"/>
        </w:rPr>
        <w:t>.</w:t>
      </w:r>
    </w:p>
    <w:p w:rsidR="00000000" w:rsidRDefault="00CF461A">
      <w:pPr>
        <w:pStyle w:val="a3"/>
        <w:spacing w:before="120" w:beforeAutospacing="0" w:after="0" w:afterAutospacing="0"/>
        <w:jc w:val="both"/>
        <w:divId w:val="1040204711"/>
        <w:rPr>
          <w:sz w:val="20"/>
          <w:szCs w:val="20"/>
        </w:rPr>
      </w:pPr>
      <w:r>
        <w:rPr>
          <w:b/>
          <w:bCs/>
          <w:sz w:val="18"/>
          <w:szCs w:val="18"/>
        </w:rPr>
        <w:t>(C) Use of Estimate</w:t>
      </w:r>
      <w:r>
        <w:rPr>
          <w:b/>
          <w:bCs/>
          <w:sz w:val="18"/>
          <w:szCs w:val="18"/>
        </w:rPr>
        <w:t>s</w:t>
      </w:r>
    </w:p>
    <w:p w:rsidR="00000000" w:rsidRDefault="00CF461A">
      <w:pPr>
        <w:pStyle w:val="a3"/>
        <w:spacing w:before="120" w:beforeAutospacing="0" w:after="0" w:afterAutospacing="0"/>
        <w:jc w:val="both"/>
        <w:divId w:val="1040204711"/>
        <w:rPr>
          <w:sz w:val="20"/>
          <w:szCs w:val="20"/>
        </w:rPr>
      </w:pPr>
      <w:r>
        <w:rPr>
          <w:sz w:val="18"/>
          <w:szCs w:val="18"/>
        </w:rPr>
        <w:t>The preparation of financial statements in conformity with GAAP requires management to make estimates and assumptions that affect the reported amounts of assets and liabilities and disc</w:t>
      </w:r>
      <w:r>
        <w:rPr>
          <w:sz w:val="18"/>
          <w:szCs w:val="18"/>
        </w:rPr>
        <w:t>losure of contingent assets and liabilities at the date of the financial statements and the reported amounts of income and expenses during the reporting period. Actual results could differ materially from those estimates</w:t>
      </w:r>
      <w:r>
        <w:rPr>
          <w:sz w:val="18"/>
          <w:szCs w:val="18"/>
        </w:rPr>
        <w:t>.</w:t>
      </w:r>
    </w:p>
    <w:p w:rsidR="00000000" w:rsidRDefault="00CF461A">
      <w:pPr>
        <w:pStyle w:val="a3"/>
        <w:spacing w:before="120" w:beforeAutospacing="0" w:after="0" w:afterAutospacing="0"/>
        <w:jc w:val="both"/>
        <w:divId w:val="1879777649"/>
        <w:rPr>
          <w:sz w:val="20"/>
          <w:szCs w:val="20"/>
        </w:rPr>
      </w:pPr>
      <w:r>
        <w:rPr>
          <w:b/>
          <w:bCs/>
          <w:sz w:val="18"/>
          <w:szCs w:val="18"/>
        </w:rPr>
        <w:t>(D) Restricted Cas</w:t>
      </w:r>
      <w:r>
        <w:rPr>
          <w:b/>
          <w:bCs/>
          <w:sz w:val="18"/>
          <w:szCs w:val="18"/>
        </w:rPr>
        <w:t>h</w:t>
      </w:r>
    </w:p>
    <w:p w:rsidR="00000000" w:rsidRDefault="00CF461A">
      <w:pPr>
        <w:pStyle w:val="a3"/>
        <w:spacing w:before="120" w:beforeAutospacing="0" w:after="0" w:afterAutospacing="0"/>
        <w:jc w:val="both"/>
        <w:divId w:val="1879777649"/>
        <w:rPr>
          <w:sz w:val="20"/>
          <w:szCs w:val="20"/>
        </w:rPr>
      </w:pPr>
      <w:r>
        <w:rPr>
          <w:sz w:val="18"/>
          <w:szCs w:val="18"/>
        </w:rPr>
        <w:t>The Company cl</w:t>
      </w:r>
      <w:r>
        <w:rPr>
          <w:sz w:val="18"/>
          <w:szCs w:val="18"/>
        </w:rPr>
        <w:t>assifies as restricted cash all cash pledged as collateral to secure long-term obligations and all cash whose use is otherwise limited by contractual provisions. Amounts are reported as non-current unless restrictions are expected to be released in the nex</w:t>
      </w:r>
      <w:r>
        <w:rPr>
          <w:sz w:val="18"/>
          <w:szCs w:val="18"/>
        </w:rPr>
        <w:t>t 12 months</w:t>
      </w:r>
      <w:r>
        <w:rPr>
          <w:sz w:val="18"/>
          <w:szCs w:val="18"/>
        </w:rPr>
        <w:t>.</w:t>
      </w:r>
    </w:p>
    <w:p w:rsidR="00000000" w:rsidRDefault="00CF461A">
      <w:pPr>
        <w:pStyle w:val="a3"/>
        <w:spacing w:before="120" w:beforeAutospacing="0" w:after="0" w:afterAutospacing="0"/>
        <w:jc w:val="both"/>
        <w:divId w:val="197090519"/>
        <w:rPr>
          <w:sz w:val="20"/>
          <w:szCs w:val="20"/>
        </w:rPr>
      </w:pPr>
      <w:r>
        <w:rPr>
          <w:b/>
          <w:bCs/>
          <w:sz w:val="18"/>
          <w:szCs w:val="18"/>
        </w:rPr>
        <w:t>(E) Long-Term Equity Investment</w:t>
      </w:r>
      <w:r>
        <w:rPr>
          <w:b/>
          <w:bCs/>
          <w:sz w:val="18"/>
          <w:szCs w:val="18"/>
        </w:rPr>
        <w:t>s</w:t>
      </w:r>
    </w:p>
    <w:p w:rsidR="00000000" w:rsidRDefault="00CF461A">
      <w:pPr>
        <w:pStyle w:val="a3"/>
        <w:spacing w:before="120" w:beforeAutospacing="0" w:after="0" w:afterAutospacing="0"/>
        <w:jc w:val="both"/>
        <w:divId w:val="197090519"/>
        <w:rPr>
          <w:sz w:val="20"/>
          <w:szCs w:val="20"/>
        </w:rPr>
      </w:pPr>
      <w:r>
        <w:rPr>
          <w:sz w:val="18"/>
          <w:szCs w:val="18"/>
        </w:rPr>
        <w:t>Long-term equity investments consist of an equity investment in a private company through preferred shares, which are not considered in-substance common stock, that is accounted for at cost, with adjustments fo</w:t>
      </w:r>
      <w:r>
        <w:rPr>
          <w:sz w:val="18"/>
          <w:szCs w:val="18"/>
        </w:rPr>
        <w:t>r observable changes in prices or impairments, and is classified within long-term equity investments on our consolidated balance sheets with adjustments recognized in other (expenses) income, net on our consolidated statements of operations. The Company ha</w:t>
      </w:r>
      <w:r>
        <w:rPr>
          <w:sz w:val="18"/>
          <w:szCs w:val="18"/>
        </w:rPr>
        <w:t>s determined that the equity investment does not have a readily determinable fair value and elected the measurement alternative. Therefore, the equity investment’s carrying amount will be adjusted to fair value at the time of the next observable price chan</w:t>
      </w:r>
      <w:r>
        <w:rPr>
          <w:sz w:val="18"/>
          <w:szCs w:val="18"/>
        </w:rPr>
        <w:t>ge for the identical or similar investment of the same issuer or when an impairment is recognized. Each reporting period, the Company performs a qualitative assessment to evaluate whether the investment is impaired. The assessment includes a review of rece</w:t>
      </w:r>
      <w:r>
        <w:rPr>
          <w:sz w:val="18"/>
          <w:szCs w:val="18"/>
        </w:rPr>
        <w:t>nt operating results and trends, recent sales/acquisitions of the investee securities, and other publicly available data. If the investment is impaired, the Company writes it down to its estimated fair value. As of March 31, 2022 and December 31, 202</w:t>
      </w:r>
      <w:r>
        <w:rPr>
          <w:sz w:val="18"/>
          <w:szCs w:val="18"/>
        </w:rPr>
        <w:t>1</w:t>
      </w:r>
      <w:r>
        <w:rPr>
          <w:sz w:val="18"/>
          <w:szCs w:val="18"/>
        </w:rPr>
        <w:t>, the</w:t>
      </w:r>
      <w:r>
        <w:rPr>
          <w:sz w:val="18"/>
          <w:szCs w:val="18"/>
        </w:rPr>
        <w:t xml:space="preserve"> equity investment had a carrying value of </w:t>
      </w:r>
      <w:r>
        <w:rPr>
          <w:sz w:val="18"/>
          <w:szCs w:val="18"/>
        </w:rPr>
        <w:t>$</w:t>
      </w:r>
      <w:r>
        <w:rPr>
          <w:sz w:val="18"/>
          <w:szCs w:val="18"/>
        </w:rPr>
        <w:t>1.</w:t>
      </w:r>
      <w:r>
        <w:rPr>
          <w:sz w:val="18"/>
          <w:szCs w:val="18"/>
        </w:rPr>
        <w:t>6</w:t>
      </w:r>
      <w:r>
        <w:rPr>
          <w:sz w:val="18"/>
          <w:szCs w:val="18"/>
        </w:rPr>
        <w:t xml:space="preserve"> million</w:t>
      </w:r>
      <w:r>
        <w:rPr>
          <w:sz w:val="18"/>
          <w:szCs w:val="18"/>
        </w:rPr>
        <w:t>.</w:t>
      </w:r>
      <w:r>
        <w:rPr>
          <w:sz w:val="18"/>
          <w:szCs w:val="18"/>
        </w:rPr>
        <w:t xml:space="preserve"> </w:t>
      </w:r>
    </w:p>
    <w:p w:rsidR="00000000" w:rsidRDefault="00CF461A">
      <w:pPr>
        <w:pStyle w:val="a3"/>
        <w:spacing w:before="120" w:beforeAutospacing="0" w:after="0" w:afterAutospacing="0"/>
        <w:jc w:val="both"/>
        <w:divId w:val="197090519"/>
        <w:rPr>
          <w:sz w:val="20"/>
          <w:szCs w:val="20"/>
        </w:rPr>
      </w:pPr>
      <w:r>
        <w:rPr>
          <w:sz w:val="18"/>
          <w:szCs w:val="18"/>
        </w:rPr>
        <w:t>Long-term equity investments also consist of an equity investment in the common shares of Marinus Pharmaceuticals, Inc. ("Marinus") that were received as non-cash consideration via the terms of a li</w:t>
      </w:r>
      <w:r>
        <w:rPr>
          <w:sz w:val="18"/>
          <w:szCs w:val="18"/>
        </w:rPr>
        <w:t>censing agreement executed between the two companies effective March 2022. The equity shares are marked-to-market at each reporting date with changes in the fair value being reflected in the carrying value of the investment on the Company's consolidated ba</w:t>
      </w:r>
      <w:r>
        <w:rPr>
          <w:sz w:val="18"/>
          <w:szCs w:val="18"/>
        </w:rPr>
        <w:t>lance sheets and other income (expense) on the Company's consolidated statements of operations. As of March 31, 202</w:t>
      </w:r>
      <w:r>
        <w:rPr>
          <w:sz w:val="18"/>
          <w:szCs w:val="18"/>
        </w:rPr>
        <w:t>2</w:t>
      </w:r>
      <w:r>
        <w:rPr>
          <w:sz w:val="18"/>
          <w:szCs w:val="18"/>
        </w:rPr>
        <w:t xml:space="preserve">, the equity investment in Marinus had a carrying value of </w:t>
      </w:r>
      <w:r>
        <w:rPr>
          <w:sz w:val="18"/>
          <w:szCs w:val="18"/>
        </w:rPr>
        <w:t>$</w:t>
      </w:r>
      <w:r>
        <w:rPr>
          <w:sz w:val="18"/>
          <w:szCs w:val="18"/>
        </w:rPr>
        <w:t>1.</w:t>
      </w:r>
      <w:r>
        <w:rPr>
          <w:sz w:val="18"/>
          <w:szCs w:val="18"/>
        </w:rPr>
        <w:t>2</w:t>
      </w:r>
      <w:r>
        <w:rPr>
          <w:sz w:val="18"/>
          <w:szCs w:val="18"/>
        </w:rPr>
        <w:t xml:space="preserve"> million</w:t>
      </w:r>
      <w:r>
        <w:rPr>
          <w:sz w:val="18"/>
          <w:szCs w:val="18"/>
        </w:rPr>
        <w:t>.</w:t>
      </w:r>
    </w:p>
    <w:p w:rsidR="00000000" w:rsidRDefault="00CF461A">
      <w:pPr>
        <w:pStyle w:val="a3"/>
        <w:spacing w:before="120" w:beforeAutospacing="0" w:after="0" w:afterAutospacing="0"/>
        <w:jc w:val="both"/>
        <w:divId w:val="938369481"/>
        <w:rPr>
          <w:sz w:val="20"/>
          <w:szCs w:val="20"/>
        </w:rPr>
      </w:pPr>
      <w:r>
        <w:rPr>
          <w:b/>
          <w:bCs/>
          <w:sz w:val="18"/>
          <w:szCs w:val="18"/>
        </w:rPr>
        <w:t>(F) Note Receivabl</w:t>
      </w:r>
      <w:r>
        <w:rPr>
          <w:b/>
          <w:bCs/>
          <w:sz w:val="18"/>
          <w:szCs w:val="18"/>
        </w:rPr>
        <w:t>e</w:t>
      </w:r>
    </w:p>
    <w:p w:rsidR="00000000" w:rsidRDefault="00CF461A">
      <w:pPr>
        <w:pStyle w:val="a3"/>
        <w:spacing w:before="120" w:beforeAutospacing="0" w:after="0" w:afterAutospacing="0"/>
        <w:jc w:val="both"/>
        <w:divId w:val="938369481"/>
        <w:rPr>
          <w:sz w:val="20"/>
          <w:szCs w:val="20"/>
        </w:rPr>
      </w:pPr>
      <w:r>
        <w:rPr>
          <w:sz w:val="18"/>
          <w:szCs w:val="18"/>
        </w:rPr>
        <w:t>On March 17, 2022, the Company issued a convert</w:t>
      </w:r>
      <w:r>
        <w:rPr>
          <w:sz w:val="18"/>
          <w:szCs w:val="18"/>
        </w:rPr>
        <w:t xml:space="preserve">ible promissory note to a related party, in which the Company has a long-term equity investment, with a principal amount of </w:t>
      </w:r>
      <w:r>
        <w:rPr>
          <w:sz w:val="18"/>
          <w:szCs w:val="18"/>
        </w:rPr>
        <w:t>$</w:t>
      </w:r>
      <w:r>
        <w:rPr>
          <w:sz w:val="18"/>
          <w:szCs w:val="18"/>
        </w:rPr>
        <w:t>1.</w:t>
      </w:r>
      <w:r>
        <w:rPr>
          <w:sz w:val="18"/>
          <w:szCs w:val="18"/>
        </w:rPr>
        <w:t>0</w:t>
      </w:r>
      <w:r>
        <w:rPr>
          <w:sz w:val="18"/>
          <w:szCs w:val="18"/>
        </w:rPr>
        <w:t xml:space="preserve"> million. The note has certain features that may allow the Company to acquire additional equity or to settle in cash. Either opt</w:t>
      </w:r>
      <w:r>
        <w:rPr>
          <w:sz w:val="18"/>
          <w:szCs w:val="18"/>
        </w:rPr>
        <w:t>ion would result in the Company receiving an amount at least equal to the outstanding principal balance plus accrued and unpaid interest. The Company will receive interest on the convertible promissory note at the rate of</w:t>
      </w:r>
      <w:r>
        <w:rPr>
          <w:sz w:val="18"/>
          <w:szCs w:val="18"/>
        </w:rPr>
        <w:t xml:space="preserve"> </w:t>
      </w:r>
      <w:r>
        <w:rPr>
          <w:sz w:val="18"/>
          <w:szCs w:val="18"/>
        </w:rPr>
        <w:t>1.</w:t>
      </w:r>
      <w:r>
        <w:rPr>
          <w:sz w:val="18"/>
          <w:szCs w:val="18"/>
        </w:rPr>
        <w:t>5</w:t>
      </w:r>
      <w:r>
        <w:rPr>
          <w:sz w:val="18"/>
          <w:szCs w:val="18"/>
        </w:rPr>
        <w:t>% per annum payable upon conver</w:t>
      </w:r>
      <w:r>
        <w:rPr>
          <w:sz w:val="18"/>
          <w:szCs w:val="18"/>
        </w:rPr>
        <w:t>sion or maturity of the note on March 17, 2023</w:t>
      </w:r>
      <w:r>
        <w:rPr>
          <w:sz w:val="18"/>
          <w:szCs w:val="18"/>
        </w:rPr>
        <w:t>.</w:t>
      </w:r>
    </w:p>
    <w:p w:rsidR="00000000" w:rsidRDefault="00CF461A">
      <w:pPr>
        <w:pStyle w:val="a3"/>
        <w:spacing w:before="120" w:beforeAutospacing="0" w:after="0" w:afterAutospacing="0"/>
        <w:jc w:val="both"/>
        <w:divId w:val="938369481"/>
        <w:rPr>
          <w:sz w:val="20"/>
          <w:szCs w:val="20"/>
        </w:rPr>
      </w:pPr>
      <w:r>
        <w:rPr>
          <w:sz w:val="18"/>
          <w:szCs w:val="18"/>
        </w:rPr>
        <w:t>The Company has elected to measure the note using the fair value option at each reporting date. Under the fair value option, bifurcation of an embedded derivative is not necessary, and all related gains and l</w:t>
      </w:r>
      <w:r>
        <w:rPr>
          <w:sz w:val="18"/>
          <w:szCs w:val="18"/>
        </w:rPr>
        <w:t>osses on the host contract and derivatives due to changes in the fair value will be reflected in other income (expense), net, in the Company's consolidated statements of operations</w:t>
      </w:r>
      <w:r>
        <w:rPr>
          <w:sz w:val="18"/>
          <w:szCs w:val="18"/>
        </w:rPr>
        <w:t>.</w:t>
      </w:r>
    </w:p>
    <w:p w:rsidR="00000000" w:rsidRDefault="00CF461A">
      <w:pPr>
        <w:pStyle w:val="a3"/>
        <w:spacing w:before="120" w:beforeAutospacing="0" w:after="0" w:afterAutospacing="0"/>
        <w:jc w:val="both"/>
        <w:divId w:val="1944411859"/>
        <w:rPr>
          <w:sz w:val="20"/>
          <w:szCs w:val="20"/>
        </w:rPr>
      </w:pPr>
      <w:r>
        <w:rPr>
          <w:b/>
          <w:bCs/>
          <w:sz w:val="18"/>
          <w:szCs w:val="18"/>
        </w:rPr>
        <w:t>(G) Fair Value of Financial Instrument</w:t>
      </w:r>
      <w:r>
        <w:rPr>
          <w:b/>
          <w:bCs/>
          <w:sz w:val="18"/>
          <w:szCs w:val="18"/>
        </w:rPr>
        <w:t>s</w:t>
      </w:r>
    </w:p>
    <w:p w:rsidR="00000000" w:rsidRDefault="00CF461A">
      <w:pPr>
        <w:pStyle w:val="a3"/>
        <w:spacing w:before="120" w:beforeAutospacing="0" w:after="0" w:afterAutospacing="0"/>
        <w:jc w:val="both"/>
        <w:divId w:val="1944411859"/>
        <w:rPr>
          <w:sz w:val="20"/>
          <w:szCs w:val="20"/>
        </w:rPr>
      </w:pPr>
      <w:r>
        <w:rPr>
          <w:sz w:val="18"/>
          <w:szCs w:val="18"/>
        </w:rPr>
        <w:t>Financial Accounting Standards Boa</w:t>
      </w:r>
      <w:r>
        <w:rPr>
          <w:sz w:val="18"/>
          <w:szCs w:val="18"/>
        </w:rPr>
        <w:t xml:space="preserve">rd (“FASB”) guidance specifies a hierarchy of valuation techniques based on whether the inputs to those valuation techniques are observable or unobservable. Observable inputs reflect market data obtained from independent sources, while unobservable inputs </w:t>
      </w:r>
      <w:r>
        <w:rPr>
          <w:sz w:val="18"/>
          <w:szCs w:val="18"/>
        </w:rPr>
        <w:t>reflect market assumptions. The hierarchy gives the highest priority to unadjusted quoted prices in active markets for identical assets or liabilities (Level 1 measurement) and the lowest priority to unobservable inputs (Level 3 measurement)</w:t>
      </w:r>
      <w:r>
        <w:rPr>
          <w:sz w:val="18"/>
          <w:szCs w:val="18"/>
        </w:rPr>
        <w:t>.</w:t>
      </w:r>
    </w:p>
    <w:p w:rsidR="00000000" w:rsidRDefault="00CF461A">
      <w:pPr>
        <w:pStyle w:val="a3"/>
        <w:spacing w:before="120" w:beforeAutospacing="0" w:after="0" w:afterAutospacing="0"/>
        <w:jc w:val="both"/>
        <w:divId w:val="1944411859"/>
        <w:rPr>
          <w:sz w:val="20"/>
          <w:szCs w:val="20"/>
        </w:rPr>
      </w:pPr>
      <w:r>
        <w:rPr>
          <w:sz w:val="18"/>
          <w:szCs w:val="18"/>
        </w:rPr>
        <w:t>The three lev</w:t>
      </w:r>
      <w:r>
        <w:rPr>
          <w:sz w:val="18"/>
          <w:szCs w:val="18"/>
        </w:rPr>
        <w:t>els of the fair value hierarchy are as follows</w:t>
      </w:r>
      <w:r>
        <w:rPr>
          <w:sz w:val="18"/>
          <w:szCs w:val="18"/>
        </w:rPr>
        <w:t>:</w:t>
      </w:r>
    </w:p>
    <w:p w:rsidR="00000000" w:rsidRDefault="00CF461A">
      <w:pPr>
        <w:jc w:val="both"/>
        <w:divId w:val="955989639"/>
        <w:rPr>
          <w:rFonts w:eastAsia="Times New Roman"/>
          <w:sz w:val="18"/>
          <w:szCs w:val="18"/>
        </w:rPr>
      </w:pPr>
      <w:r>
        <w:rPr>
          <w:rFonts w:eastAsia="Times New Roman"/>
          <w:sz w:val="18"/>
          <w:szCs w:val="18"/>
        </w:rPr>
        <w:t>•</w:t>
      </w:r>
    </w:p>
    <w:p w:rsidR="00000000" w:rsidRDefault="00CF461A">
      <w:pPr>
        <w:jc w:val="both"/>
        <w:divId w:val="1970084173"/>
        <w:rPr>
          <w:rFonts w:eastAsia="Times New Roman"/>
          <w:sz w:val="18"/>
          <w:szCs w:val="18"/>
        </w:rPr>
      </w:pPr>
      <w:r>
        <w:rPr>
          <w:rFonts w:eastAsia="Times New Roman"/>
          <w:sz w:val="18"/>
          <w:szCs w:val="18"/>
        </w:rPr>
        <w:t>Level 1—Unadjusted quoted prices in active markets for identical assets or liabilities that the reporting entity has the ability to access at the measurement date. Level 1 primarily consists of financial in</w:t>
      </w:r>
      <w:r>
        <w:rPr>
          <w:rFonts w:eastAsia="Times New Roman"/>
          <w:sz w:val="18"/>
          <w:szCs w:val="18"/>
        </w:rPr>
        <w:t xml:space="preserve">struments whose value is based on quoted market prices such as exchange-traded instruments and listed equities. The Company’s Level 1 assets consisted of money market funds, short-term investments and investments in equity securities totaling </w:t>
      </w:r>
      <w:r>
        <w:rPr>
          <w:rFonts w:eastAsia="Times New Roman"/>
          <w:sz w:val="18"/>
          <w:szCs w:val="18"/>
        </w:rPr>
        <w:t>$</w:t>
      </w:r>
      <w:r>
        <w:rPr>
          <w:rFonts w:eastAsia="Times New Roman"/>
          <w:sz w:val="18"/>
          <w:szCs w:val="18"/>
        </w:rPr>
        <w:t>167.</w:t>
      </w:r>
      <w:r>
        <w:rPr>
          <w:rFonts w:eastAsia="Times New Roman"/>
          <w:sz w:val="18"/>
          <w:szCs w:val="18"/>
        </w:rPr>
        <w:t>9</w:t>
      </w:r>
      <w:r>
        <w:rPr>
          <w:rFonts w:eastAsia="Times New Roman"/>
          <w:sz w:val="18"/>
          <w:szCs w:val="18"/>
        </w:rPr>
        <w:t xml:space="preserve"> millio</w:t>
      </w:r>
      <w:r>
        <w:rPr>
          <w:rFonts w:eastAsia="Times New Roman"/>
          <w:sz w:val="18"/>
          <w:szCs w:val="18"/>
        </w:rPr>
        <w:t xml:space="preserve">n as of March 31, 2022. The Company's Level 1 assets consisted of money market funds and short-term investments of </w:t>
      </w:r>
      <w:r>
        <w:rPr>
          <w:rFonts w:eastAsia="Times New Roman"/>
          <w:sz w:val="18"/>
          <w:szCs w:val="18"/>
        </w:rPr>
        <w:t>$</w:t>
      </w:r>
      <w:r>
        <w:rPr>
          <w:rFonts w:eastAsia="Times New Roman"/>
          <w:sz w:val="18"/>
          <w:szCs w:val="18"/>
        </w:rPr>
        <w:t>187.</w:t>
      </w:r>
      <w:r>
        <w:rPr>
          <w:rFonts w:eastAsia="Times New Roman"/>
          <w:sz w:val="18"/>
          <w:szCs w:val="18"/>
        </w:rPr>
        <w:t>6</w:t>
      </w:r>
      <w:r>
        <w:rPr>
          <w:rFonts w:eastAsia="Times New Roman"/>
          <w:sz w:val="18"/>
          <w:szCs w:val="18"/>
        </w:rPr>
        <w:t xml:space="preserve"> million as of December 31, 2021</w:t>
      </w:r>
      <w:r>
        <w:rPr>
          <w:rFonts w:eastAsia="Times New Roman"/>
          <w:sz w:val="18"/>
          <w:szCs w:val="18"/>
        </w:rPr>
        <w:t>.</w:t>
      </w:r>
    </w:p>
    <w:p w:rsidR="00000000" w:rsidRDefault="00CF461A">
      <w:pPr>
        <w:jc w:val="both"/>
        <w:divId w:val="1333875566"/>
        <w:rPr>
          <w:rFonts w:eastAsia="Times New Roman"/>
          <w:sz w:val="18"/>
          <w:szCs w:val="18"/>
        </w:rPr>
      </w:pPr>
      <w:r>
        <w:rPr>
          <w:rFonts w:eastAsia="Times New Roman"/>
          <w:sz w:val="18"/>
          <w:szCs w:val="18"/>
        </w:rPr>
        <w:t>•</w:t>
      </w:r>
    </w:p>
    <w:p w:rsidR="00000000" w:rsidRDefault="00CF461A">
      <w:pPr>
        <w:jc w:val="both"/>
        <w:divId w:val="1783652407"/>
        <w:rPr>
          <w:rFonts w:eastAsia="Times New Roman"/>
          <w:sz w:val="18"/>
          <w:szCs w:val="18"/>
        </w:rPr>
      </w:pPr>
      <w:r>
        <w:rPr>
          <w:rFonts w:eastAsia="Times New Roman"/>
          <w:sz w:val="18"/>
          <w:szCs w:val="18"/>
        </w:rPr>
        <w:t>Level 2—Inputs other than quoted prices included within Level 1 that are observable for the asset o</w:t>
      </w:r>
      <w:r>
        <w:rPr>
          <w:rFonts w:eastAsia="Times New Roman"/>
          <w:sz w:val="18"/>
          <w:szCs w:val="18"/>
        </w:rPr>
        <w:t>r liability, either directly or indirectly (e.g., quoted prices of similar assets or liabilities in active markets, or quoted prices for identical or similar assets or liabilities in markets that are not active). Level 2 includes financial instruments that</w:t>
      </w:r>
      <w:r>
        <w:rPr>
          <w:rFonts w:eastAsia="Times New Roman"/>
          <w:sz w:val="18"/>
          <w:szCs w:val="18"/>
        </w:rPr>
        <w:t xml:space="preserve"> are valued using models or other valuation methodologies. The Company had</w:t>
      </w:r>
      <w:r>
        <w:rPr>
          <w:rFonts w:eastAsia="Times New Roman"/>
          <w:sz w:val="18"/>
          <w:szCs w:val="18"/>
        </w:rPr>
        <w:t xml:space="preserve"> </w:t>
      </w:r>
      <w:r>
        <w:rPr>
          <w:rFonts w:eastAsia="Times New Roman"/>
          <w:sz w:val="18"/>
          <w:szCs w:val="18"/>
        </w:rPr>
        <w:t>n</w:t>
      </w:r>
      <w:r>
        <w:rPr>
          <w:rFonts w:eastAsia="Times New Roman"/>
          <w:sz w:val="18"/>
          <w:szCs w:val="18"/>
        </w:rPr>
        <w:t>o</w:t>
      </w:r>
      <w:r>
        <w:rPr>
          <w:rFonts w:eastAsia="Times New Roman"/>
          <w:sz w:val="18"/>
          <w:szCs w:val="18"/>
        </w:rPr>
        <w:t xml:space="preserve"> Level 2 assets or liabilities as of</w:t>
      </w:r>
      <w:r>
        <w:rPr>
          <w:rFonts w:eastAsia="Times New Roman"/>
          <w:sz w:val="18"/>
          <w:szCs w:val="18"/>
        </w:rPr>
        <w:t xml:space="preserve"> </w:t>
      </w:r>
      <w:r>
        <w:rPr>
          <w:rFonts w:eastAsia="Times New Roman"/>
          <w:sz w:val="18"/>
          <w:szCs w:val="18"/>
        </w:rPr>
        <w:t>March 31, 2022 and December 31, 2021</w:t>
      </w:r>
      <w:r>
        <w:rPr>
          <w:rFonts w:eastAsia="Times New Roman"/>
          <w:sz w:val="18"/>
          <w:szCs w:val="18"/>
        </w:rPr>
        <w:t>.</w:t>
      </w:r>
    </w:p>
    <w:p w:rsidR="00000000" w:rsidRDefault="00CF461A">
      <w:pPr>
        <w:pStyle w:val="a3"/>
        <w:spacing w:before="0" w:beforeAutospacing="0" w:after="0" w:afterAutospacing="0"/>
        <w:divId w:val="1944411859"/>
        <w:rPr>
          <w:sz w:val="20"/>
          <w:szCs w:val="20"/>
        </w:rPr>
      </w:pPr>
      <w:r>
        <w:rPr>
          <w:sz w:val="20"/>
          <w:szCs w:val="20"/>
        </w:rPr>
        <w:t> </w:t>
      </w:r>
    </w:p>
    <w:p w:rsidR="00000000" w:rsidRDefault="00CF461A">
      <w:pPr>
        <w:pStyle w:val="a3"/>
        <w:spacing w:before="240" w:beforeAutospacing="0" w:after="0" w:afterAutospacing="0"/>
        <w:jc w:val="center"/>
        <w:divId w:val="1944411859"/>
        <w:rPr>
          <w:sz w:val="20"/>
          <w:szCs w:val="20"/>
        </w:rPr>
      </w:pPr>
      <w:r>
        <w:rPr>
          <w:sz w:val="18"/>
          <w:szCs w:val="18"/>
        </w:rPr>
        <w:t>8</w:t>
      </w:r>
    </w:p>
    <w:p w:rsidR="00000000" w:rsidRDefault="00CF461A">
      <w:pPr>
        <w:divId w:val="1944411859"/>
        <w:rPr>
          <w:rFonts w:eastAsia="Times New Roman"/>
          <w:sz w:val="18"/>
          <w:szCs w:val="18"/>
        </w:rPr>
      </w:pPr>
      <w:r>
        <w:rPr>
          <w:rFonts w:eastAsia="Times New Roman"/>
          <w:sz w:val="18"/>
          <w:szCs w:val="18"/>
        </w:rPr>
        <w:pict>
          <v:rect id="_x0000_i1033" style="width:0;height:1.5pt" o:hralign="center" o:hrstd="t" o:hr="t" fillcolor="#a0a0a0" stroked="f"/>
        </w:pict>
      </w:r>
    </w:p>
    <w:p w:rsidR="00000000" w:rsidRDefault="00CF461A">
      <w:pPr>
        <w:pStyle w:val="a3"/>
        <w:spacing w:before="0" w:beforeAutospacing="0" w:after="0" w:afterAutospacing="0"/>
        <w:divId w:val="1944411859"/>
        <w:rPr>
          <w:sz w:val="20"/>
          <w:szCs w:val="20"/>
        </w:rPr>
      </w:pPr>
      <w:r>
        <w:rPr>
          <w:sz w:val="18"/>
          <w:szCs w:val="18"/>
        </w:rPr>
        <w:t> </w:t>
      </w:r>
    </w:p>
    <w:p w:rsidR="00000000" w:rsidRDefault="00CF461A">
      <w:pPr>
        <w:jc w:val="both"/>
        <w:divId w:val="420688285"/>
        <w:rPr>
          <w:rFonts w:eastAsia="Times New Roman"/>
          <w:sz w:val="18"/>
          <w:szCs w:val="18"/>
        </w:rPr>
      </w:pPr>
      <w:r>
        <w:rPr>
          <w:rFonts w:eastAsia="Times New Roman"/>
          <w:sz w:val="18"/>
          <w:szCs w:val="18"/>
        </w:rPr>
        <w:t>•</w:t>
      </w:r>
    </w:p>
    <w:p w:rsidR="00000000" w:rsidRDefault="00CF461A">
      <w:pPr>
        <w:jc w:val="both"/>
        <w:divId w:val="1219903146"/>
        <w:rPr>
          <w:rFonts w:eastAsia="Times New Roman"/>
          <w:sz w:val="18"/>
          <w:szCs w:val="18"/>
        </w:rPr>
      </w:pPr>
      <w:r>
        <w:rPr>
          <w:rFonts w:eastAsia="Times New Roman"/>
          <w:sz w:val="18"/>
          <w:szCs w:val="18"/>
        </w:rPr>
        <w:t>Level 3—</w:t>
      </w:r>
      <w:r>
        <w:rPr>
          <w:rFonts w:eastAsia="Times New Roman"/>
          <w:sz w:val="18"/>
          <w:szCs w:val="18"/>
        </w:rPr>
        <w:t>Unobservable inputs for the asset or liability. Financial instruments are considered Level 3 when their fair values are determined using pricing models, discounted cash flows or similar techniques and at least one significant model assumption or input is u</w:t>
      </w:r>
      <w:r>
        <w:rPr>
          <w:rFonts w:eastAsia="Times New Roman"/>
          <w:sz w:val="18"/>
          <w:szCs w:val="18"/>
        </w:rPr>
        <w:t xml:space="preserve">nobservable. The Company's Level 3 assets consists of the convertible note receivable totaling </w:t>
      </w:r>
      <w:r>
        <w:rPr>
          <w:rFonts w:eastAsia="Times New Roman"/>
          <w:sz w:val="18"/>
          <w:szCs w:val="18"/>
        </w:rPr>
        <w:t>$</w:t>
      </w:r>
      <w:r>
        <w:rPr>
          <w:rFonts w:eastAsia="Times New Roman"/>
          <w:sz w:val="18"/>
          <w:szCs w:val="18"/>
        </w:rPr>
        <w:t>1.</w:t>
      </w:r>
      <w:r>
        <w:rPr>
          <w:rFonts w:eastAsia="Times New Roman"/>
          <w:sz w:val="18"/>
          <w:szCs w:val="18"/>
        </w:rPr>
        <w:t>0</w:t>
      </w:r>
      <w:r>
        <w:rPr>
          <w:rFonts w:eastAsia="Times New Roman"/>
          <w:sz w:val="18"/>
          <w:szCs w:val="18"/>
        </w:rPr>
        <w:t xml:space="preserve"> million as of</w:t>
      </w:r>
      <w:r>
        <w:rPr>
          <w:rFonts w:eastAsia="Times New Roman"/>
          <w:sz w:val="18"/>
          <w:szCs w:val="18"/>
        </w:rPr>
        <w:t xml:space="preserve"> </w:t>
      </w:r>
      <w:r>
        <w:rPr>
          <w:rFonts w:eastAsia="Times New Roman"/>
          <w:sz w:val="18"/>
          <w:szCs w:val="18"/>
        </w:rPr>
        <w:t>March 31, 202</w:t>
      </w:r>
      <w:r>
        <w:rPr>
          <w:rFonts w:eastAsia="Times New Roman"/>
          <w:sz w:val="18"/>
          <w:szCs w:val="18"/>
        </w:rPr>
        <w:t>2</w:t>
      </w:r>
      <w:r>
        <w:rPr>
          <w:rFonts w:eastAsia="Times New Roman"/>
          <w:sz w:val="18"/>
          <w:szCs w:val="18"/>
        </w:rPr>
        <w:t>. There were</w:t>
      </w:r>
      <w:r>
        <w:rPr>
          <w:rFonts w:eastAsia="Times New Roman"/>
          <w:sz w:val="18"/>
          <w:szCs w:val="18"/>
        </w:rPr>
        <w:t xml:space="preserve"> </w:t>
      </w:r>
      <w:r>
        <w:rPr>
          <w:rFonts w:eastAsia="Times New Roman"/>
          <w:sz w:val="18"/>
          <w:szCs w:val="18"/>
        </w:rPr>
        <w:t>n</w:t>
      </w:r>
      <w:r>
        <w:rPr>
          <w:rFonts w:eastAsia="Times New Roman"/>
          <w:sz w:val="18"/>
          <w:szCs w:val="18"/>
        </w:rPr>
        <w:t>o</w:t>
      </w:r>
      <w:r>
        <w:rPr>
          <w:rFonts w:eastAsia="Times New Roman"/>
          <w:sz w:val="18"/>
          <w:szCs w:val="18"/>
        </w:rPr>
        <w:t xml:space="preserve"> Level 3 assets or liabilities as of</w:t>
      </w:r>
      <w:r>
        <w:rPr>
          <w:rFonts w:eastAsia="Times New Roman"/>
          <w:sz w:val="18"/>
          <w:szCs w:val="18"/>
        </w:rPr>
        <w:t xml:space="preserve"> </w:t>
      </w:r>
      <w:r>
        <w:rPr>
          <w:rFonts w:eastAsia="Times New Roman"/>
          <w:sz w:val="18"/>
          <w:szCs w:val="18"/>
        </w:rPr>
        <w:t>December 31, 2021</w:t>
      </w:r>
      <w:r>
        <w:rPr>
          <w:rFonts w:eastAsia="Times New Roman"/>
          <w:sz w:val="18"/>
          <w:szCs w:val="18"/>
        </w:rPr>
        <w:t>.</w:t>
      </w:r>
    </w:p>
    <w:p w:rsidR="00000000" w:rsidRDefault="00CF461A">
      <w:pPr>
        <w:pStyle w:val="a3"/>
        <w:spacing w:before="120" w:beforeAutospacing="0" w:after="0" w:afterAutospacing="0"/>
        <w:jc w:val="both"/>
        <w:divId w:val="1944411859"/>
        <w:rPr>
          <w:sz w:val="20"/>
          <w:szCs w:val="20"/>
        </w:rPr>
      </w:pPr>
      <w:r>
        <w:rPr>
          <w:sz w:val="18"/>
          <w:szCs w:val="18"/>
        </w:rPr>
        <w:t>The carrying amounts reported in the balance sheets for c</w:t>
      </w:r>
      <w:r>
        <w:rPr>
          <w:sz w:val="18"/>
          <w:szCs w:val="18"/>
        </w:rPr>
        <w:t>ash and cash equivalents, other current assets, accounts payable and accrued expenses approximate their fair value based on the short-term maturity of these instruments</w:t>
      </w:r>
      <w:r>
        <w:rPr>
          <w:sz w:val="18"/>
          <w:szCs w:val="18"/>
        </w:rPr>
        <w:t>.</w:t>
      </w:r>
    </w:p>
    <w:p w:rsidR="00000000" w:rsidRDefault="00CF461A">
      <w:pPr>
        <w:pStyle w:val="a3"/>
        <w:spacing w:before="120" w:beforeAutospacing="0" w:after="0" w:afterAutospacing="0"/>
        <w:jc w:val="both"/>
        <w:divId w:val="2057199950"/>
        <w:rPr>
          <w:sz w:val="20"/>
          <w:szCs w:val="20"/>
        </w:rPr>
      </w:pPr>
      <w:r>
        <w:rPr>
          <w:b/>
          <w:bCs/>
          <w:sz w:val="18"/>
          <w:szCs w:val="18"/>
        </w:rPr>
        <w:t>(H) Lease</w:t>
      </w:r>
      <w:r>
        <w:rPr>
          <w:b/>
          <w:bCs/>
          <w:sz w:val="18"/>
          <w:szCs w:val="18"/>
        </w:rPr>
        <w:t>s</w:t>
      </w:r>
    </w:p>
    <w:p w:rsidR="00000000" w:rsidRDefault="00CF461A">
      <w:pPr>
        <w:pStyle w:val="a3"/>
        <w:spacing w:before="120" w:beforeAutospacing="0" w:after="0" w:afterAutospacing="0"/>
        <w:jc w:val="both"/>
        <w:divId w:val="2057199950"/>
        <w:rPr>
          <w:sz w:val="20"/>
          <w:szCs w:val="20"/>
        </w:rPr>
      </w:pPr>
      <w:r>
        <w:rPr>
          <w:sz w:val="18"/>
          <w:szCs w:val="18"/>
        </w:rPr>
        <w:t>The Company determines if an arrangement is a lease at inception and recogn</w:t>
      </w:r>
      <w:r>
        <w:rPr>
          <w:sz w:val="18"/>
          <w:szCs w:val="18"/>
        </w:rPr>
        <w:t>izes the lease in accordance with ASC 842. Operating leases are included in right-of-use ("ROU") assets, current liabilities, and long-term lease liability in the Company's consolidated balance sheets. ROU assets represent the right to use an underlying as</w:t>
      </w:r>
      <w:r>
        <w:rPr>
          <w:sz w:val="18"/>
          <w:szCs w:val="18"/>
        </w:rPr>
        <w:t xml:space="preserve">set for the lease term and lease liabilities represent the Company's obligation to make lease payments arising from the lease. Operating lease ROU assets and liabilities are recognized at the lease commencement date based on the present value of the lease </w:t>
      </w:r>
      <w:r>
        <w:rPr>
          <w:sz w:val="18"/>
          <w:szCs w:val="18"/>
        </w:rPr>
        <w:t>payments over the lease term</w:t>
      </w:r>
      <w:r>
        <w:rPr>
          <w:sz w:val="18"/>
          <w:szCs w:val="18"/>
        </w:rPr>
        <w:t>.</w:t>
      </w:r>
    </w:p>
    <w:p w:rsidR="00000000" w:rsidRDefault="00CF461A">
      <w:pPr>
        <w:pStyle w:val="a3"/>
        <w:spacing w:before="120" w:beforeAutospacing="0" w:after="0" w:afterAutospacing="0"/>
        <w:jc w:val="both"/>
        <w:divId w:val="23136745"/>
        <w:rPr>
          <w:sz w:val="20"/>
          <w:szCs w:val="20"/>
        </w:rPr>
      </w:pPr>
      <w:r>
        <w:rPr>
          <w:b/>
          <w:bCs/>
          <w:sz w:val="18"/>
          <w:szCs w:val="18"/>
        </w:rPr>
        <w:t>(I) Revenue Recognitio</w:t>
      </w:r>
      <w:r>
        <w:rPr>
          <w:b/>
          <w:bCs/>
          <w:sz w:val="18"/>
          <w:szCs w:val="18"/>
        </w:rPr>
        <w:t>n</w:t>
      </w:r>
    </w:p>
    <w:p w:rsidR="00000000" w:rsidRDefault="00CF461A">
      <w:pPr>
        <w:pStyle w:val="a3"/>
        <w:spacing w:before="120" w:beforeAutospacing="0" w:after="0" w:afterAutospacing="0"/>
        <w:jc w:val="both"/>
        <w:divId w:val="23136745"/>
        <w:rPr>
          <w:sz w:val="20"/>
          <w:szCs w:val="20"/>
        </w:rPr>
      </w:pPr>
      <w:r>
        <w:rPr>
          <w:sz w:val="18"/>
          <w:szCs w:val="18"/>
        </w:rPr>
        <w:t>Under ASC 606, an entity recognizes revenue when its customer obtains control of promised goods or services, in an amount that reflects the consideration that the entity expects to receive in exchange f</w:t>
      </w:r>
      <w:r>
        <w:rPr>
          <w:sz w:val="18"/>
          <w:szCs w:val="18"/>
        </w:rPr>
        <w:t>or those goods or services. In applying ASC 606, the Company performs the following five steps: (i) identify the contract(s) with a customer; (ii) identify the promises and performance obligations in the contract; (iii) determine the transaction price; (iv</w:t>
      </w:r>
      <w:r>
        <w:rPr>
          <w:sz w:val="18"/>
          <w:szCs w:val="18"/>
        </w:rPr>
        <w:t>) allocate the transaction price to the performance obligations in the contract; and (v) recognize revenue when (or as) it satisfies the performance obligations. The Company only applies the five-step model to contracts when it is probable that it will col</w:t>
      </w:r>
      <w:r>
        <w:rPr>
          <w:sz w:val="18"/>
          <w:szCs w:val="18"/>
        </w:rPr>
        <w:t>lect the consideration to which it is entitled in exchange for the goods or services the Company transfers to the customer. At contract inception, once the contract is determined to be within the scope of ASC 606, the Company assesses the goods or services</w:t>
      </w:r>
      <w:r>
        <w:rPr>
          <w:sz w:val="18"/>
          <w:szCs w:val="18"/>
        </w:rPr>
        <w:t xml:space="preserve"> promised within each contract, determines those that are performance obligations and assesses whether each promised good or service is distinct. The Company then recognizes as revenue the amount of the transaction price that is allocated to the respective</w:t>
      </w:r>
      <w:r>
        <w:rPr>
          <w:sz w:val="18"/>
          <w:szCs w:val="18"/>
        </w:rPr>
        <w:t xml:space="preserve"> performance obligation when (or as) the performance obligation is satisfied</w:t>
      </w:r>
      <w:r>
        <w:rPr>
          <w:sz w:val="18"/>
          <w:szCs w:val="18"/>
        </w:rPr>
        <w:t>.</w:t>
      </w:r>
    </w:p>
    <w:p w:rsidR="00000000" w:rsidRDefault="00CF461A">
      <w:pPr>
        <w:pStyle w:val="a3"/>
        <w:spacing w:before="120" w:beforeAutospacing="0" w:after="0" w:afterAutospacing="0"/>
        <w:jc w:val="both"/>
        <w:divId w:val="23136745"/>
        <w:rPr>
          <w:sz w:val="20"/>
          <w:szCs w:val="20"/>
        </w:rPr>
      </w:pPr>
      <w:r>
        <w:rPr>
          <w:sz w:val="18"/>
          <w:szCs w:val="18"/>
        </w:rPr>
        <w:t>Prior to recognizing revenue, the Company makes estimates of the transaction price, including variable consideration that is subject to a constraint. Amounts of variable consider</w:t>
      </w:r>
      <w:r>
        <w:rPr>
          <w:sz w:val="18"/>
          <w:szCs w:val="18"/>
        </w:rPr>
        <w:t>ation are included in the transaction price to the extent that it is probable that a significant reversal in the amount of cumulative revenue recognized will not occur and when the uncertainty associated with the variable consideration is subsequently reso</w:t>
      </w:r>
      <w:r>
        <w:rPr>
          <w:sz w:val="18"/>
          <w:szCs w:val="18"/>
        </w:rPr>
        <w:t>lved</w:t>
      </w:r>
      <w:r>
        <w:rPr>
          <w:sz w:val="18"/>
          <w:szCs w:val="18"/>
        </w:rPr>
        <w:t>.</w:t>
      </w:r>
    </w:p>
    <w:p w:rsidR="00000000" w:rsidRDefault="00CF461A">
      <w:pPr>
        <w:pStyle w:val="a3"/>
        <w:spacing w:before="120" w:beforeAutospacing="0" w:after="0" w:afterAutospacing="0"/>
        <w:jc w:val="both"/>
        <w:divId w:val="23136745"/>
        <w:rPr>
          <w:sz w:val="20"/>
          <w:szCs w:val="20"/>
        </w:rPr>
      </w:pPr>
      <w:r>
        <w:rPr>
          <w:sz w:val="18"/>
          <w:szCs w:val="18"/>
        </w:rPr>
        <w:t>If there are multiple distinct performance obligations, the Company allocates the transaction price to each distinct performance obligation based on its relative standalone selling price. The standalone selling price is generally determined using exp</w:t>
      </w:r>
      <w:r>
        <w:rPr>
          <w:sz w:val="18"/>
          <w:szCs w:val="18"/>
        </w:rPr>
        <w:t>ected cost and comparable transactions. Revenue for performance obligations recognized over time is recognized by measuring the progress toward complete satisfaction of the performance obligations using an input measure</w:t>
      </w:r>
      <w:r>
        <w:rPr>
          <w:sz w:val="18"/>
          <w:szCs w:val="18"/>
        </w:rPr>
        <w:t>.</w:t>
      </w:r>
    </w:p>
    <w:p w:rsidR="00000000" w:rsidRDefault="00CF461A">
      <w:pPr>
        <w:pStyle w:val="a3"/>
        <w:spacing w:before="120" w:beforeAutospacing="0" w:after="0" w:afterAutospacing="0"/>
        <w:jc w:val="both"/>
        <w:divId w:val="23136745"/>
        <w:rPr>
          <w:sz w:val="20"/>
          <w:szCs w:val="20"/>
        </w:rPr>
      </w:pPr>
      <w:r>
        <w:rPr>
          <w:sz w:val="18"/>
          <w:szCs w:val="18"/>
        </w:rPr>
        <w:t>Non-refundable upfront fees allocat</w:t>
      </w:r>
      <w:r>
        <w:rPr>
          <w:sz w:val="18"/>
          <w:szCs w:val="18"/>
        </w:rPr>
        <w:t>ed to licenses that are not contingent on any future performance and require no consequential continuing involvement by the Company, are recognized as revenue when the license term commences and the licensed data, technology or product is delivered. The Co</w:t>
      </w:r>
      <w:r>
        <w:rPr>
          <w:sz w:val="18"/>
          <w:szCs w:val="18"/>
        </w:rPr>
        <w:t>mpany defers recognition of upfront license fees if the performance obligations are not satisfied</w:t>
      </w:r>
      <w:r>
        <w:rPr>
          <w:sz w:val="18"/>
          <w:szCs w:val="18"/>
        </w:rPr>
        <w:t>.</w:t>
      </w:r>
    </w:p>
    <w:p w:rsidR="00000000" w:rsidRDefault="00CF461A">
      <w:pPr>
        <w:pStyle w:val="a3"/>
        <w:spacing w:before="120" w:beforeAutospacing="0" w:after="0" w:afterAutospacing="0"/>
        <w:jc w:val="both"/>
        <w:divId w:val="1034765842"/>
        <w:rPr>
          <w:sz w:val="20"/>
          <w:szCs w:val="20"/>
        </w:rPr>
      </w:pPr>
      <w:r>
        <w:rPr>
          <w:b/>
          <w:bCs/>
          <w:sz w:val="18"/>
          <w:szCs w:val="18"/>
        </w:rPr>
        <w:t>(J) Net (Loss) Income Per Shar</w:t>
      </w:r>
      <w:r>
        <w:rPr>
          <w:b/>
          <w:bCs/>
          <w:sz w:val="18"/>
          <w:szCs w:val="18"/>
        </w:rPr>
        <w:t>e</w:t>
      </w:r>
    </w:p>
    <w:p w:rsidR="00000000" w:rsidRDefault="00CF461A">
      <w:pPr>
        <w:pStyle w:val="a3"/>
        <w:spacing w:before="120" w:beforeAutospacing="0" w:after="0" w:afterAutospacing="0"/>
        <w:jc w:val="both"/>
        <w:divId w:val="1034765842"/>
        <w:rPr>
          <w:sz w:val="20"/>
          <w:szCs w:val="20"/>
        </w:rPr>
      </w:pPr>
      <w:r>
        <w:rPr>
          <w:sz w:val="18"/>
          <w:szCs w:val="18"/>
        </w:rPr>
        <w:t>Net (loss) income, basic per share is calculated by dividing the net income attributable to common stockholders by the weight</w:t>
      </w:r>
      <w:r>
        <w:rPr>
          <w:sz w:val="18"/>
          <w:szCs w:val="18"/>
        </w:rPr>
        <w:t>ed-average number of shares of common stock outstanding. The Company applies the two-class method to allocate earnings between common stock and participating securities</w:t>
      </w:r>
      <w:r>
        <w:rPr>
          <w:sz w:val="18"/>
          <w:szCs w:val="18"/>
        </w:rPr>
        <w:t>.</w:t>
      </w:r>
    </w:p>
    <w:p w:rsidR="00000000" w:rsidRDefault="00CF461A">
      <w:pPr>
        <w:pStyle w:val="a3"/>
        <w:spacing w:before="120" w:beforeAutospacing="0" w:after="0" w:afterAutospacing="0"/>
        <w:jc w:val="both"/>
        <w:divId w:val="1034765842"/>
        <w:rPr>
          <w:sz w:val="20"/>
          <w:szCs w:val="20"/>
        </w:rPr>
      </w:pPr>
      <w:r>
        <w:rPr>
          <w:sz w:val="18"/>
          <w:szCs w:val="18"/>
        </w:rPr>
        <w:t>Net (loss) income, diluted per share attributable to common stockholders adjusts the b</w:t>
      </w:r>
      <w:r>
        <w:rPr>
          <w:sz w:val="18"/>
          <w:szCs w:val="18"/>
        </w:rPr>
        <w:t xml:space="preserve">asic earnings per share attributable to common stockholders and the weighted-average number of shares of common stock outstanding for the potential dilutive impact of stock options using the treasury-stock method and preferred stock using the if-converted </w:t>
      </w:r>
      <w:r>
        <w:rPr>
          <w:sz w:val="18"/>
          <w:szCs w:val="18"/>
        </w:rPr>
        <w:t>method</w:t>
      </w:r>
      <w:r>
        <w:rPr>
          <w:sz w:val="18"/>
          <w:szCs w:val="18"/>
        </w:rPr>
        <w:t>.</w:t>
      </w:r>
    </w:p>
    <w:p w:rsidR="00000000" w:rsidRDefault="00CF461A">
      <w:pPr>
        <w:pStyle w:val="a3"/>
        <w:spacing w:before="120" w:beforeAutospacing="0" w:after="0" w:afterAutospacing="0"/>
        <w:jc w:val="both"/>
        <w:divId w:val="1126894723"/>
        <w:rPr>
          <w:sz w:val="20"/>
          <w:szCs w:val="20"/>
        </w:rPr>
      </w:pPr>
      <w:r>
        <w:rPr>
          <w:b/>
          <w:bCs/>
          <w:sz w:val="18"/>
          <w:szCs w:val="18"/>
        </w:rPr>
        <w:t>(K) Recent Accounting Pronouncement</w:t>
      </w:r>
      <w:r>
        <w:rPr>
          <w:b/>
          <w:bCs/>
          <w:sz w:val="18"/>
          <w:szCs w:val="18"/>
        </w:rPr>
        <w:t>s</w:t>
      </w:r>
    </w:p>
    <w:p w:rsidR="00000000" w:rsidRDefault="00CF461A">
      <w:pPr>
        <w:pStyle w:val="a3"/>
        <w:spacing w:before="120" w:beforeAutospacing="0" w:after="0" w:afterAutospacing="0"/>
        <w:jc w:val="both"/>
        <w:divId w:val="1126894723"/>
        <w:rPr>
          <w:sz w:val="20"/>
          <w:szCs w:val="20"/>
        </w:rPr>
      </w:pPr>
      <w:r>
        <w:rPr>
          <w:sz w:val="18"/>
          <w:szCs w:val="18"/>
        </w:rPr>
        <w:t xml:space="preserve">The Company has reviewed recently issued accounting standards and plans to adopt those that are applicable. The Company does not expect the adoption of those standards to have a material impact on its financial </w:t>
      </w:r>
      <w:r>
        <w:rPr>
          <w:sz w:val="18"/>
          <w:szCs w:val="18"/>
        </w:rPr>
        <w:t>position, results of operations, or cash flows</w:t>
      </w:r>
      <w:r>
        <w:rPr>
          <w:sz w:val="18"/>
          <w:szCs w:val="18"/>
        </w:rPr>
        <w:t>.</w:t>
      </w:r>
    </w:p>
    <w:p w:rsidR="00000000" w:rsidRDefault="00CF461A">
      <w:pPr>
        <w:pStyle w:val="a3"/>
        <w:spacing w:before="120" w:beforeAutospacing="0" w:after="0" w:afterAutospacing="0"/>
        <w:jc w:val="both"/>
        <w:divId w:val="1126894723"/>
        <w:rPr>
          <w:sz w:val="20"/>
          <w:szCs w:val="20"/>
        </w:rPr>
      </w:pPr>
      <w:r>
        <w:rPr>
          <w:sz w:val="18"/>
          <w:szCs w:val="18"/>
        </w:rPr>
        <w:t>The Company adopts new pronouncements relating to generally accepted accounting principles applicable to the Company as they are issued, which may be in advance of their effective date. Management does not be</w:t>
      </w:r>
      <w:r>
        <w:rPr>
          <w:sz w:val="18"/>
          <w:szCs w:val="18"/>
        </w:rPr>
        <w:t>lieve that any recently issued, but not yet effective accounting standards, if currently adopted, would have a material effect on the accompanying financial statements</w:t>
      </w:r>
      <w:r>
        <w:rPr>
          <w:sz w:val="18"/>
          <w:szCs w:val="18"/>
        </w:rPr>
        <w:t>.</w:t>
      </w:r>
    </w:p>
    <w:p w:rsidR="00000000" w:rsidRDefault="00CF461A">
      <w:pPr>
        <w:pStyle w:val="a3"/>
        <w:spacing w:before="360" w:beforeAutospacing="0" w:after="0" w:afterAutospacing="0"/>
        <w:divId w:val="2047677578"/>
        <w:rPr>
          <w:sz w:val="20"/>
          <w:szCs w:val="20"/>
        </w:rPr>
      </w:pPr>
      <w:r>
        <w:rPr>
          <w:b/>
          <w:bCs/>
          <w:sz w:val="18"/>
          <w:szCs w:val="18"/>
        </w:rPr>
        <w:t>NOTE 3 – CASH AND CASH EQUIVALENT</w:t>
      </w:r>
      <w:r>
        <w:rPr>
          <w:b/>
          <w:bCs/>
          <w:sz w:val="18"/>
          <w:szCs w:val="18"/>
        </w:rPr>
        <w:t>S</w:t>
      </w:r>
    </w:p>
    <w:p w:rsidR="00000000" w:rsidRDefault="00CF461A">
      <w:pPr>
        <w:pStyle w:val="a3"/>
        <w:spacing w:before="120" w:beforeAutospacing="0" w:after="0" w:afterAutospacing="0"/>
        <w:jc w:val="both"/>
        <w:divId w:val="1173304827"/>
        <w:rPr>
          <w:sz w:val="20"/>
          <w:szCs w:val="20"/>
        </w:rPr>
      </w:pPr>
      <w:r>
        <w:rPr>
          <w:sz w:val="18"/>
          <w:szCs w:val="18"/>
        </w:rPr>
        <w:t>The following tables summarize the fair value of cas</w:t>
      </w:r>
      <w:r>
        <w:rPr>
          <w:sz w:val="18"/>
          <w:szCs w:val="18"/>
        </w:rPr>
        <w:t>h and cash equivalents, as well as gross unrealized holding gains and losses as of</w:t>
      </w:r>
      <w:r>
        <w:rPr>
          <w:sz w:val="18"/>
          <w:szCs w:val="18"/>
        </w:rPr>
        <w:t xml:space="preserve"> </w:t>
      </w:r>
      <w:r>
        <w:rPr>
          <w:sz w:val="18"/>
          <w:szCs w:val="18"/>
        </w:rPr>
        <w:t>March 31, 2022 and December 31, 2021</w:t>
      </w:r>
      <w:r>
        <w:rPr>
          <w:sz w:val="18"/>
          <w:szCs w:val="18"/>
        </w:rPr>
        <w:t>:</w:t>
      </w:r>
    </w:p>
    <w:p w:rsidR="00000000" w:rsidRDefault="00CF461A">
      <w:pPr>
        <w:pStyle w:val="a3"/>
        <w:spacing w:before="120" w:beforeAutospacing="0" w:after="0" w:afterAutospacing="0"/>
        <w:jc w:val="both"/>
        <w:divId w:val="1173304827"/>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7"/>
        <w:gridCol w:w="116"/>
        <w:gridCol w:w="150"/>
        <w:gridCol w:w="969"/>
        <w:gridCol w:w="105"/>
        <w:gridCol w:w="117"/>
        <w:gridCol w:w="151"/>
        <w:gridCol w:w="968"/>
        <w:gridCol w:w="105"/>
        <w:gridCol w:w="117"/>
        <w:gridCol w:w="151"/>
        <w:gridCol w:w="1038"/>
        <w:gridCol w:w="105"/>
        <w:gridCol w:w="117"/>
        <w:gridCol w:w="150"/>
        <w:gridCol w:w="970"/>
        <w:gridCol w:w="120"/>
      </w:tblGrid>
      <w:tr w:rsidR="00000000">
        <w:trPr>
          <w:divId w:val="1173304827"/>
          <w:tblCellSpacing w:w="15" w:type="dxa"/>
        </w:trPr>
        <w:tc>
          <w:tcPr>
            <w:tcW w:w="1828" w:type="pct"/>
            <w:vAlign w:val="center"/>
            <w:hideMark/>
          </w:tcPr>
          <w:p w:rsidR="00000000" w:rsidRDefault="00CF461A">
            <w:pPr>
              <w:rPr>
                <w:sz w:val="20"/>
                <w:szCs w:val="20"/>
              </w:rPr>
            </w:pPr>
          </w:p>
        </w:tc>
        <w:tc>
          <w:tcPr>
            <w:tcW w:w="7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24"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7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23"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7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68"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7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24"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r>
      <w:tr w:rsidR="00000000">
        <w:trPr>
          <w:divId w:val="117330482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14"/>
            <w:vAlign w:val="center"/>
            <w:hideMark/>
          </w:tcPr>
          <w:p w:rsidR="00000000" w:rsidRDefault="00CF461A">
            <w:pPr>
              <w:pStyle w:val="a3"/>
              <w:spacing w:before="0" w:beforeAutospacing="0" w:after="0" w:afterAutospacing="0"/>
              <w:jc w:val="center"/>
              <w:rPr>
                <w:sz w:val="18"/>
                <w:szCs w:val="18"/>
              </w:rPr>
            </w:pPr>
            <w:r>
              <w:rPr>
                <w:b/>
                <w:bCs/>
                <w:sz w:val="18"/>
                <w:szCs w:val="18"/>
              </w:rPr>
              <w:t>March 31, 202</w:t>
            </w:r>
            <w:r>
              <w:rPr>
                <w:b/>
                <w:bCs/>
                <w:sz w:val="18"/>
                <w:szCs w:val="18"/>
              </w:rPr>
              <w:t>2</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17330482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Amortize</w:t>
            </w:r>
            <w:r>
              <w:rPr>
                <w:sz w:val="18"/>
                <w:szCs w:val="18"/>
              </w:rPr>
              <w:t>d</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Gross unrealize</w:t>
            </w:r>
            <w:r>
              <w:rPr>
                <w:sz w:val="18"/>
                <w:szCs w:val="18"/>
              </w:rPr>
              <w:t>d</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Gross unrealize</w:t>
            </w:r>
            <w:r>
              <w:rPr>
                <w:sz w:val="18"/>
                <w:szCs w:val="18"/>
              </w:rPr>
              <w:t>d</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Fai</w:t>
            </w:r>
            <w:r>
              <w:rPr>
                <w:sz w:val="18"/>
                <w:szCs w:val="18"/>
              </w:rPr>
              <w:t>r</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17330482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cos</w:t>
            </w:r>
            <w:r>
              <w:rPr>
                <w:sz w:val="18"/>
                <w:szCs w:val="18"/>
              </w:rPr>
              <w:t>t</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holding gain</w:t>
            </w:r>
            <w:r>
              <w:rPr>
                <w:sz w:val="18"/>
                <w:szCs w:val="18"/>
              </w:rPr>
              <w:t>s</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holding losse</w:t>
            </w:r>
            <w:r>
              <w:rPr>
                <w:sz w:val="18"/>
                <w:szCs w:val="18"/>
              </w:rPr>
              <w:t>s</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valu</w:t>
            </w:r>
            <w:r>
              <w:rPr>
                <w:sz w:val="18"/>
                <w:szCs w:val="18"/>
              </w:rPr>
              <w:t>e</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17330482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Cas</w:t>
            </w:r>
            <w:r>
              <w:rPr>
                <w:sz w:val="18"/>
                <w:szCs w:val="18"/>
              </w:rPr>
              <w:t>h</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3,793,86</w:t>
            </w:r>
            <w:r>
              <w:rPr>
                <w:sz w:val="18"/>
                <w:szCs w:val="18"/>
              </w:rPr>
              <w:t>8</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3,793,86</w:t>
            </w:r>
            <w:r>
              <w:rPr>
                <w:sz w:val="18"/>
                <w:szCs w:val="18"/>
              </w:rPr>
              <w:t>8</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17330482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Money market fund</w:t>
            </w:r>
            <w:r>
              <w:rPr>
                <w:sz w:val="18"/>
                <w:szCs w:val="18"/>
              </w:rPr>
              <w:t>s</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162,874,15</w:t>
            </w:r>
            <w:r>
              <w:rPr>
                <w:sz w:val="18"/>
                <w:szCs w:val="18"/>
              </w:rPr>
              <w:t>9</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162,874,15</w:t>
            </w:r>
            <w:r>
              <w:rPr>
                <w:sz w:val="18"/>
                <w:szCs w:val="18"/>
              </w:rPr>
              <w:t>9</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17330482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Total cash and cash equivalent</w:t>
            </w:r>
            <w:r>
              <w:rPr>
                <w:sz w:val="18"/>
                <w:szCs w:val="18"/>
              </w:rPr>
              <w:t>s</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166,668,02</w:t>
            </w:r>
            <w:r>
              <w:rPr>
                <w:sz w:val="18"/>
                <w:szCs w:val="18"/>
              </w:rPr>
              <w:t>7</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166,668,02</w:t>
            </w:r>
            <w:r>
              <w:rPr>
                <w:sz w:val="18"/>
                <w:szCs w:val="18"/>
              </w:rPr>
              <w:t>7</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divId w:val="1173304827"/>
        <w:rPr>
          <w:sz w:val="20"/>
          <w:szCs w:val="20"/>
        </w:rPr>
      </w:pPr>
      <w:r>
        <w:rPr>
          <w:sz w:val="20"/>
          <w:szCs w:val="20"/>
        </w:rPr>
        <w:t> </w:t>
      </w:r>
    </w:p>
    <w:p w:rsidR="00000000" w:rsidRDefault="00CF461A">
      <w:pPr>
        <w:pStyle w:val="a3"/>
        <w:spacing w:before="240" w:beforeAutospacing="0" w:after="0" w:afterAutospacing="0"/>
        <w:jc w:val="center"/>
        <w:divId w:val="1173304827"/>
        <w:rPr>
          <w:sz w:val="20"/>
          <w:szCs w:val="20"/>
        </w:rPr>
      </w:pPr>
      <w:r>
        <w:rPr>
          <w:sz w:val="18"/>
          <w:szCs w:val="18"/>
        </w:rPr>
        <w:t>9</w:t>
      </w:r>
    </w:p>
    <w:p w:rsidR="00000000" w:rsidRDefault="00CF461A">
      <w:pPr>
        <w:divId w:val="1173304827"/>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CF461A">
      <w:pPr>
        <w:pStyle w:val="a3"/>
        <w:spacing w:before="0" w:beforeAutospacing="0" w:after="0" w:afterAutospacing="0"/>
        <w:divId w:val="1173304827"/>
        <w:rPr>
          <w:sz w:val="20"/>
          <w:szCs w:val="20"/>
        </w:rPr>
      </w:pPr>
      <w:r>
        <w:rPr>
          <w:sz w:val="18"/>
          <w:szCs w:val="18"/>
        </w:rPr>
        <w:t> </w:t>
      </w:r>
    </w:p>
    <w:p w:rsidR="00000000" w:rsidRDefault="00CF461A">
      <w:pPr>
        <w:pStyle w:val="a3"/>
        <w:spacing w:before="0" w:beforeAutospacing="0" w:after="0" w:afterAutospacing="0"/>
        <w:jc w:val="both"/>
        <w:divId w:val="1173304827"/>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73"/>
        <w:gridCol w:w="134"/>
        <w:gridCol w:w="150"/>
        <w:gridCol w:w="960"/>
        <w:gridCol w:w="105"/>
        <w:gridCol w:w="118"/>
        <w:gridCol w:w="151"/>
        <w:gridCol w:w="950"/>
        <w:gridCol w:w="105"/>
        <w:gridCol w:w="127"/>
        <w:gridCol w:w="151"/>
        <w:gridCol w:w="1020"/>
        <w:gridCol w:w="105"/>
        <w:gridCol w:w="127"/>
        <w:gridCol w:w="150"/>
        <w:gridCol w:w="960"/>
        <w:gridCol w:w="120"/>
      </w:tblGrid>
      <w:tr w:rsidR="00000000">
        <w:trPr>
          <w:divId w:val="1173304827"/>
          <w:tblCellSpacing w:w="15" w:type="dxa"/>
        </w:trPr>
        <w:tc>
          <w:tcPr>
            <w:tcW w:w="1828" w:type="pct"/>
            <w:vAlign w:val="center"/>
            <w:hideMark/>
          </w:tcPr>
          <w:p w:rsidR="00000000" w:rsidRDefault="00CF461A">
            <w:pPr>
              <w:rPr>
                <w:sz w:val="20"/>
                <w:szCs w:val="20"/>
              </w:rPr>
            </w:pPr>
          </w:p>
        </w:tc>
        <w:tc>
          <w:tcPr>
            <w:tcW w:w="7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01"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7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00"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7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45"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7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01"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r>
      <w:tr w:rsidR="00000000">
        <w:trPr>
          <w:divId w:val="117330482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14"/>
            <w:vAlign w:val="center"/>
            <w:hideMark/>
          </w:tcPr>
          <w:p w:rsidR="00000000" w:rsidRDefault="00CF461A">
            <w:pPr>
              <w:pStyle w:val="a3"/>
              <w:spacing w:before="0" w:beforeAutospacing="0" w:after="0" w:afterAutospacing="0"/>
              <w:jc w:val="center"/>
              <w:rPr>
                <w:sz w:val="18"/>
                <w:szCs w:val="18"/>
              </w:rPr>
            </w:pPr>
            <w:r>
              <w:rPr>
                <w:b/>
                <w:bCs/>
                <w:sz w:val="18"/>
                <w:szCs w:val="18"/>
              </w:rPr>
              <w:t>December 31, 202</w:t>
            </w:r>
            <w:r>
              <w:rPr>
                <w:b/>
                <w:bCs/>
                <w:sz w:val="18"/>
                <w:szCs w:val="18"/>
              </w:rPr>
              <w:t>1</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17330482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Amortize</w:t>
            </w:r>
            <w:r>
              <w:rPr>
                <w:sz w:val="18"/>
                <w:szCs w:val="18"/>
              </w:rPr>
              <w:t>d</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Gross unrealize</w:t>
            </w:r>
            <w:r>
              <w:rPr>
                <w:sz w:val="18"/>
                <w:szCs w:val="18"/>
              </w:rPr>
              <w:t>d</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Gross unrealize</w:t>
            </w:r>
            <w:r>
              <w:rPr>
                <w:sz w:val="18"/>
                <w:szCs w:val="18"/>
              </w:rPr>
              <w:t>d</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Fai</w:t>
            </w:r>
            <w:r>
              <w:rPr>
                <w:sz w:val="18"/>
                <w:szCs w:val="18"/>
              </w:rPr>
              <w:t>r</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17330482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cos</w:t>
            </w:r>
            <w:r>
              <w:rPr>
                <w:sz w:val="18"/>
                <w:szCs w:val="18"/>
              </w:rPr>
              <w:t>t</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holding gain</w:t>
            </w:r>
            <w:r>
              <w:rPr>
                <w:sz w:val="18"/>
                <w:szCs w:val="18"/>
              </w:rPr>
              <w:t>s</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holding losse</w:t>
            </w:r>
            <w:r>
              <w:rPr>
                <w:sz w:val="18"/>
                <w:szCs w:val="18"/>
              </w:rPr>
              <w:t>s</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center"/>
            <w:hideMark/>
          </w:tcPr>
          <w:p w:rsidR="00000000" w:rsidRDefault="00CF461A">
            <w:pPr>
              <w:pStyle w:val="a3"/>
              <w:spacing w:before="0" w:beforeAutospacing="0" w:after="0" w:afterAutospacing="0"/>
              <w:jc w:val="center"/>
              <w:rPr>
                <w:sz w:val="18"/>
                <w:szCs w:val="18"/>
              </w:rPr>
            </w:pPr>
            <w:r>
              <w:rPr>
                <w:sz w:val="18"/>
                <w:szCs w:val="18"/>
              </w:rPr>
              <w:t>valu</w:t>
            </w:r>
            <w:r>
              <w:rPr>
                <w:sz w:val="18"/>
                <w:szCs w:val="18"/>
              </w:rPr>
              <w:t>e</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17330482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Cas</w:t>
            </w:r>
            <w:r>
              <w:rPr>
                <w:sz w:val="18"/>
                <w:szCs w:val="18"/>
              </w:rPr>
              <w:t>h</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205,55</w:t>
            </w:r>
            <w:r>
              <w:rPr>
                <w:sz w:val="18"/>
                <w:szCs w:val="18"/>
              </w:rPr>
              <w:t>5</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205,55</w:t>
            </w:r>
            <w:r>
              <w:rPr>
                <w:sz w:val="18"/>
                <w:szCs w:val="18"/>
              </w:rPr>
              <w:t>5</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17330482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Money market fund</w:t>
            </w:r>
            <w:r>
              <w:rPr>
                <w:sz w:val="18"/>
                <w:szCs w:val="18"/>
              </w:rPr>
              <w:t>s</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187,591,97</w:t>
            </w:r>
            <w:r>
              <w:rPr>
                <w:sz w:val="18"/>
                <w:szCs w:val="18"/>
              </w:rPr>
              <w:t>7</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187,591,97</w:t>
            </w:r>
            <w:r>
              <w:rPr>
                <w:sz w:val="18"/>
                <w:szCs w:val="18"/>
              </w:rPr>
              <w:t>7</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17330482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Total cash and cash equivalent</w:t>
            </w:r>
            <w:r>
              <w:rPr>
                <w:sz w:val="18"/>
                <w:szCs w:val="18"/>
              </w:rPr>
              <w:t>s</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187,797,53</w:t>
            </w:r>
            <w:r>
              <w:rPr>
                <w:sz w:val="18"/>
                <w:szCs w:val="18"/>
              </w:rPr>
              <w:t>2</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187,797,53</w:t>
            </w:r>
            <w:r>
              <w:rPr>
                <w:sz w:val="18"/>
                <w:szCs w:val="18"/>
              </w:rPr>
              <w:t>2</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173304827"/>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divId w:val="1173304827"/>
        <w:rPr>
          <w:sz w:val="20"/>
          <w:szCs w:val="20"/>
        </w:rPr>
      </w:pPr>
      <w:r>
        <w:rPr>
          <w:sz w:val="18"/>
          <w:szCs w:val="18"/>
        </w:rPr>
        <w:t> </w:t>
      </w:r>
    </w:p>
    <w:p w:rsidR="00000000" w:rsidRDefault="00CF461A">
      <w:pPr>
        <w:pStyle w:val="a3"/>
        <w:spacing w:before="0" w:beforeAutospacing="0" w:after="0" w:afterAutospacing="0"/>
        <w:jc w:val="both"/>
        <w:divId w:val="2047677578"/>
        <w:rPr>
          <w:sz w:val="20"/>
          <w:szCs w:val="20"/>
        </w:rPr>
      </w:pPr>
      <w:r>
        <w:rPr>
          <w:sz w:val="18"/>
          <w:szCs w:val="18"/>
        </w:rPr>
        <w:t>The Company did</w:t>
      </w:r>
      <w:r>
        <w:rPr>
          <w:sz w:val="18"/>
          <w:szCs w:val="18"/>
        </w:rPr>
        <w:t xml:space="preserve"> </w:t>
      </w:r>
      <w:r>
        <w:rPr>
          <w:sz w:val="18"/>
          <w:szCs w:val="18"/>
        </w:rPr>
        <w:t>n</w:t>
      </w:r>
      <w:r>
        <w:rPr>
          <w:sz w:val="18"/>
          <w:szCs w:val="18"/>
        </w:rPr>
        <w:t>o</w:t>
      </w:r>
      <w:r>
        <w:rPr>
          <w:sz w:val="18"/>
          <w:szCs w:val="18"/>
        </w:rPr>
        <w:t>t hold any securities that were in an unrealized loss position for more than 12 months as of</w:t>
      </w:r>
      <w:r>
        <w:rPr>
          <w:sz w:val="18"/>
          <w:szCs w:val="18"/>
        </w:rPr>
        <w:t xml:space="preserve"> </w:t>
      </w:r>
      <w:r>
        <w:rPr>
          <w:sz w:val="18"/>
          <w:szCs w:val="18"/>
        </w:rPr>
        <w:t>March 31, 2022 and December 31, 202</w:t>
      </w:r>
      <w:r>
        <w:rPr>
          <w:sz w:val="18"/>
          <w:szCs w:val="18"/>
        </w:rPr>
        <w:t>1</w:t>
      </w:r>
      <w:r>
        <w:rPr>
          <w:sz w:val="18"/>
          <w:szCs w:val="18"/>
        </w:rPr>
        <w:t>.</w:t>
      </w:r>
    </w:p>
    <w:p w:rsidR="00000000" w:rsidRDefault="00CF461A">
      <w:pPr>
        <w:pStyle w:val="a3"/>
        <w:spacing w:before="360" w:beforeAutospacing="0" w:after="0" w:afterAutospacing="0"/>
        <w:jc w:val="both"/>
        <w:divId w:val="26101774"/>
        <w:rPr>
          <w:sz w:val="20"/>
          <w:szCs w:val="20"/>
        </w:rPr>
      </w:pPr>
      <w:r>
        <w:rPr>
          <w:b/>
          <w:bCs/>
          <w:sz w:val="18"/>
          <w:szCs w:val="18"/>
        </w:rPr>
        <w:t>NOTE 4 – PROPERTY AND EQUIPMENT AND INTANGIBLE ASSET</w:t>
      </w:r>
      <w:r>
        <w:rPr>
          <w:b/>
          <w:bCs/>
          <w:sz w:val="18"/>
          <w:szCs w:val="18"/>
        </w:rPr>
        <w:t>S</w:t>
      </w:r>
    </w:p>
    <w:p w:rsidR="00000000" w:rsidRDefault="00CF461A">
      <w:pPr>
        <w:pStyle w:val="a3"/>
        <w:spacing w:before="120" w:beforeAutospacing="0" w:after="0" w:afterAutospacing="0"/>
        <w:jc w:val="both"/>
        <w:divId w:val="1891185207"/>
        <w:rPr>
          <w:sz w:val="20"/>
          <w:szCs w:val="20"/>
        </w:rPr>
      </w:pPr>
      <w:r>
        <w:rPr>
          <w:sz w:val="18"/>
          <w:szCs w:val="18"/>
        </w:rPr>
        <w:t>Property and equipment is summarized as follows</w:t>
      </w:r>
      <w:r>
        <w:rPr>
          <w:sz w:val="18"/>
          <w:szCs w:val="18"/>
        </w:rPr>
        <w:t>:</w:t>
      </w:r>
    </w:p>
    <w:p w:rsidR="00000000" w:rsidRDefault="00CF461A">
      <w:pPr>
        <w:pStyle w:val="a3"/>
        <w:spacing w:before="120" w:beforeAutospacing="0" w:after="0" w:afterAutospacing="0"/>
        <w:jc w:val="both"/>
        <w:divId w:val="1891185207"/>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10"/>
        <w:gridCol w:w="131"/>
        <w:gridCol w:w="150"/>
        <w:gridCol w:w="1039"/>
        <w:gridCol w:w="120"/>
        <w:gridCol w:w="131"/>
        <w:gridCol w:w="150"/>
        <w:gridCol w:w="1040"/>
        <w:gridCol w:w="135"/>
      </w:tblGrid>
      <w:tr w:rsidR="00000000">
        <w:trPr>
          <w:divId w:val="1891185207"/>
          <w:tblCellSpacing w:w="15" w:type="dxa"/>
        </w:trPr>
        <w:tc>
          <w:tcPr>
            <w:tcW w:w="3359" w:type="pct"/>
            <w:vAlign w:val="center"/>
            <w:hideMark/>
          </w:tcPr>
          <w:p w:rsidR="00000000" w:rsidRDefault="00CF461A">
            <w:pPr>
              <w:rPr>
                <w:sz w:val="20"/>
                <w:szCs w:val="20"/>
              </w:rPr>
            </w:pPr>
          </w:p>
        </w:tc>
        <w:tc>
          <w:tcPr>
            <w:tcW w:w="74"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41"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74"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41"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r>
      <w:tr w:rsidR="00000000">
        <w:trPr>
          <w:divId w:val="189118520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89118520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89118520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Furniture and equipmen</w:t>
            </w:r>
            <w:r>
              <w:rPr>
                <w:sz w:val="18"/>
                <w:szCs w:val="18"/>
              </w:rPr>
              <w:t>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550,90</w:t>
            </w:r>
            <w:r>
              <w:rPr>
                <w:sz w:val="18"/>
                <w:szCs w:val="18"/>
              </w:rPr>
              <w:t>0</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504,96</w:t>
            </w:r>
            <w:r>
              <w:rPr>
                <w:sz w:val="18"/>
                <w:szCs w:val="18"/>
              </w:rPr>
              <w:t>5</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89118520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Less accumulated depreciatio</w:t>
            </w:r>
            <w:r>
              <w:rPr>
                <w:sz w:val="18"/>
                <w:szCs w:val="18"/>
              </w:rPr>
              <w:t>n</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r>
              <w:rPr>
                <w:sz w:val="18"/>
                <w:szCs w:val="18"/>
              </w:rPr>
              <w:t>293,04</w:t>
            </w:r>
            <w:r>
              <w:rPr>
                <w:sz w:val="18"/>
                <w:szCs w:val="18"/>
              </w:rPr>
              <w:t>7</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r>
              <w:rPr>
                <w:sz w:val="18"/>
                <w:szCs w:val="18"/>
              </w:rPr>
              <w:t>262,20</w:t>
            </w:r>
            <w:r>
              <w:rPr>
                <w:sz w:val="18"/>
                <w:szCs w:val="18"/>
              </w:rPr>
              <w:t>8</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r>
      <w:tr w:rsidR="00000000">
        <w:trPr>
          <w:divId w:val="189118520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Total property and equipment, ne</w:t>
            </w:r>
            <w:r>
              <w:rPr>
                <w:sz w:val="18"/>
                <w:szCs w:val="18"/>
              </w:rPr>
              <w:t>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257,85</w:t>
            </w:r>
            <w:r>
              <w:rPr>
                <w:sz w:val="18"/>
                <w:szCs w:val="18"/>
              </w:rPr>
              <w:t>3</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242,75</w:t>
            </w:r>
            <w:r>
              <w:rPr>
                <w:sz w:val="18"/>
                <w:szCs w:val="18"/>
              </w:rPr>
              <w:t>7</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divId w:val="1891185207"/>
        <w:rPr>
          <w:sz w:val="20"/>
          <w:szCs w:val="20"/>
        </w:rPr>
      </w:pPr>
      <w:r>
        <w:rPr>
          <w:sz w:val="18"/>
          <w:szCs w:val="18"/>
        </w:rPr>
        <w:t> </w:t>
      </w:r>
    </w:p>
    <w:p w:rsidR="00000000" w:rsidRDefault="00CF461A">
      <w:pPr>
        <w:pStyle w:val="a3"/>
        <w:spacing w:before="40" w:beforeAutospacing="0" w:after="0" w:afterAutospacing="0"/>
        <w:jc w:val="both"/>
        <w:divId w:val="26101774"/>
        <w:rPr>
          <w:sz w:val="20"/>
          <w:szCs w:val="20"/>
        </w:rPr>
      </w:pPr>
      <w:r>
        <w:rPr>
          <w:sz w:val="18"/>
          <w:szCs w:val="18"/>
        </w:rPr>
        <w:t xml:space="preserve">Depreciation expense was </w:t>
      </w:r>
      <w:r>
        <w:rPr>
          <w:sz w:val="18"/>
          <w:szCs w:val="18"/>
        </w:rPr>
        <w:t>$</w:t>
      </w:r>
      <w:r>
        <w:rPr>
          <w:sz w:val="18"/>
          <w:szCs w:val="18"/>
        </w:rPr>
        <w:t>31,00</w:t>
      </w:r>
      <w:r>
        <w:rPr>
          <w:sz w:val="18"/>
          <w:szCs w:val="18"/>
        </w:rPr>
        <w:t>0</w:t>
      </w:r>
      <w:r>
        <w:rPr>
          <w:sz w:val="18"/>
          <w:szCs w:val="18"/>
        </w:rPr>
        <w:t xml:space="preserve"> and </w:t>
      </w:r>
      <w:r>
        <w:rPr>
          <w:sz w:val="18"/>
          <w:szCs w:val="18"/>
        </w:rPr>
        <w:t>$</w:t>
      </w:r>
      <w:r>
        <w:rPr>
          <w:sz w:val="18"/>
          <w:szCs w:val="18"/>
        </w:rPr>
        <w:t>19,00</w:t>
      </w:r>
      <w:r>
        <w:rPr>
          <w:sz w:val="18"/>
          <w:szCs w:val="18"/>
        </w:rPr>
        <w:t>0</w:t>
      </w:r>
      <w:r>
        <w:rPr>
          <w:sz w:val="18"/>
          <w:szCs w:val="18"/>
        </w:rPr>
        <w:t xml:space="preserve"> for the</w:t>
      </w:r>
      <w:r>
        <w:rPr>
          <w:sz w:val="18"/>
          <w:szCs w:val="18"/>
        </w:rPr>
        <w:t xml:space="preserve"> </w:t>
      </w:r>
      <w:r>
        <w:rPr>
          <w:sz w:val="18"/>
          <w:szCs w:val="18"/>
        </w:rPr>
        <w:t>three months ended March 31, 2022 and 2021, respectively</w:t>
      </w:r>
      <w:r>
        <w:rPr>
          <w:sz w:val="18"/>
          <w:szCs w:val="18"/>
        </w:rPr>
        <w:t>.</w:t>
      </w:r>
    </w:p>
    <w:p w:rsidR="00000000" w:rsidRDefault="00CF461A">
      <w:pPr>
        <w:pStyle w:val="a3"/>
        <w:spacing w:before="360" w:beforeAutospacing="0" w:after="0" w:afterAutospacing="0"/>
        <w:jc w:val="both"/>
        <w:divId w:val="26101774"/>
        <w:rPr>
          <w:sz w:val="20"/>
          <w:szCs w:val="20"/>
        </w:rPr>
      </w:pPr>
      <w:r>
        <w:rPr>
          <w:sz w:val="18"/>
          <w:szCs w:val="18"/>
        </w:rPr>
        <w:t xml:space="preserve">Intangible assets, net of accumulated amortization was </w:t>
      </w:r>
      <w:r>
        <w:rPr>
          <w:sz w:val="18"/>
          <w:szCs w:val="18"/>
        </w:rPr>
        <w:t>$</w:t>
      </w:r>
      <w:r>
        <w:rPr>
          <w:sz w:val="18"/>
          <w:szCs w:val="18"/>
        </w:rPr>
        <w:t>244,00</w:t>
      </w:r>
      <w:r>
        <w:rPr>
          <w:sz w:val="18"/>
          <w:szCs w:val="18"/>
        </w:rPr>
        <w:t>0</w:t>
      </w:r>
      <w:r>
        <w:rPr>
          <w:sz w:val="18"/>
          <w:szCs w:val="18"/>
        </w:rPr>
        <w:t xml:space="preserve"> and </w:t>
      </w:r>
      <w:r>
        <w:rPr>
          <w:sz w:val="18"/>
          <w:szCs w:val="18"/>
        </w:rPr>
        <w:t>$</w:t>
      </w:r>
      <w:r>
        <w:rPr>
          <w:sz w:val="18"/>
          <w:szCs w:val="18"/>
        </w:rPr>
        <w:t>263,00</w:t>
      </w:r>
      <w:r>
        <w:rPr>
          <w:sz w:val="18"/>
          <w:szCs w:val="18"/>
        </w:rPr>
        <w:t>0</w:t>
      </w:r>
      <w:r>
        <w:rPr>
          <w:sz w:val="18"/>
          <w:szCs w:val="18"/>
        </w:rPr>
        <w:t xml:space="preserve"> as of</w:t>
      </w:r>
      <w:r>
        <w:rPr>
          <w:sz w:val="18"/>
          <w:szCs w:val="18"/>
        </w:rPr>
        <w:t xml:space="preserve"> </w:t>
      </w:r>
      <w:r>
        <w:rPr>
          <w:sz w:val="18"/>
          <w:szCs w:val="18"/>
        </w:rPr>
        <w:t>March 31, 2022 and December 31, 2021, respectively, and are in</w:t>
      </w:r>
      <w:r>
        <w:rPr>
          <w:sz w:val="18"/>
          <w:szCs w:val="18"/>
        </w:rPr>
        <w:t xml:space="preserve">cluded in other assets. Amortization expense was </w:t>
      </w:r>
      <w:r>
        <w:rPr>
          <w:sz w:val="18"/>
          <w:szCs w:val="18"/>
        </w:rPr>
        <w:t>$</w:t>
      </w:r>
      <w:r>
        <w:rPr>
          <w:sz w:val="18"/>
          <w:szCs w:val="18"/>
        </w:rPr>
        <w:t>32,00</w:t>
      </w:r>
      <w:r>
        <w:rPr>
          <w:sz w:val="18"/>
          <w:szCs w:val="18"/>
        </w:rPr>
        <w:t>0</w:t>
      </w:r>
      <w:r>
        <w:rPr>
          <w:sz w:val="18"/>
          <w:szCs w:val="18"/>
        </w:rPr>
        <w:t xml:space="preserve"> and </w:t>
      </w:r>
      <w:r>
        <w:rPr>
          <w:sz w:val="18"/>
          <w:szCs w:val="18"/>
        </w:rPr>
        <w:t>$</w:t>
      </w:r>
      <w:r>
        <w:rPr>
          <w:sz w:val="18"/>
          <w:szCs w:val="18"/>
        </w:rPr>
        <w:t>56,00</w:t>
      </w:r>
      <w:r>
        <w:rPr>
          <w:sz w:val="18"/>
          <w:szCs w:val="18"/>
        </w:rPr>
        <w:t>0</w:t>
      </w:r>
      <w:r>
        <w:rPr>
          <w:sz w:val="18"/>
          <w:szCs w:val="18"/>
        </w:rPr>
        <w:t xml:space="preserve"> for the three months ended March 31, 2022 and 202</w:t>
      </w:r>
      <w:r>
        <w:rPr>
          <w:sz w:val="18"/>
          <w:szCs w:val="18"/>
        </w:rPr>
        <w:t>1</w:t>
      </w:r>
      <w:r>
        <w:rPr>
          <w:sz w:val="18"/>
          <w:szCs w:val="18"/>
        </w:rPr>
        <w:t>, respectively</w:t>
      </w:r>
      <w:r>
        <w:rPr>
          <w:sz w:val="18"/>
          <w:szCs w:val="18"/>
        </w:rPr>
        <w:t>.</w:t>
      </w:r>
    </w:p>
    <w:p w:rsidR="00000000" w:rsidRDefault="00CF461A">
      <w:pPr>
        <w:pStyle w:val="a3"/>
        <w:spacing w:before="360" w:beforeAutospacing="0" w:after="0" w:afterAutospacing="0"/>
        <w:jc w:val="both"/>
        <w:divId w:val="1847286934"/>
        <w:rPr>
          <w:sz w:val="20"/>
          <w:szCs w:val="20"/>
        </w:rPr>
      </w:pPr>
      <w:r>
        <w:rPr>
          <w:b/>
          <w:bCs/>
          <w:sz w:val="18"/>
          <w:szCs w:val="18"/>
        </w:rPr>
        <w:t>NOTE 5 – LEASE</w:t>
      </w:r>
      <w:r>
        <w:rPr>
          <w:b/>
          <w:bCs/>
          <w:sz w:val="18"/>
          <w:szCs w:val="18"/>
        </w:rPr>
        <w:t>S</w:t>
      </w:r>
    </w:p>
    <w:p w:rsidR="00000000" w:rsidRDefault="00CF461A">
      <w:pPr>
        <w:pStyle w:val="a3"/>
        <w:spacing w:before="120" w:beforeAutospacing="0" w:after="0" w:afterAutospacing="0"/>
        <w:jc w:val="both"/>
        <w:divId w:val="1847286934"/>
        <w:rPr>
          <w:sz w:val="20"/>
          <w:szCs w:val="20"/>
        </w:rPr>
      </w:pPr>
      <w:r>
        <w:rPr>
          <w:sz w:val="18"/>
          <w:szCs w:val="18"/>
        </w:rPr>
        <w:t xml:space="preserve">During September 2021, the Company entered into a 10-year lease agreement for its corporate headquarters </w:t>
      </w:r>
      <w:r>
        <w:rPr>
          <w:sz w:val="18"/>
          <w:szCs w:val="18"/>
        </w:rPr>
        <w:t>with a term commencing March 10, 2022, for approximately 19,143 square feet of office space at Hudson Commons in New York, NY</w:t>
      </w:r>
      <w:r>
        <w:rPr>
          <w:sz w:val="18"/>
          <w:szCs w:val="18"/>
        </w:rPr>
        <w:t>.</w:t>
      </w:r>
      <w:r>
        <w:rPr>
          <w:sz w:val="18"/>
          <w:szCs w:val="18"/>
        </w:rPr>
        <w:t xml:space="preserve"> The lease provides for monthly rental payments over the lease term. The base rent under the lease is currently </w:t>
      </w:r>
      <w:r>
        <w:rPr>
          <w:sz w:val="18"/>
          <w:szCs w:val="18"/>
        </w:rPr>
        <w:t>$</w:t>
      </w:r>
      <w:r>
        <w:rPr>
          <w:sz w:val="18"/>
          <w:szCs w:val="18"/>
        </w:rPr>
        <w:t>2.</w:t>
      </w:r>
      <w:r>
        <w:rPr>
          <w:sz w:val="18"/>
          <w:szCs w:val="18"/>
        </w:rPr>
        <w:t>3</w:t>
      </w:r>
      <w:r>
        <w:rPr>
          <w:sz w:val="18"/>
          <w:szCs w:val="18"/>
        </w:rPr>
        <w:t xml:space="preserve"> million per y</w:t>
      </w:r>
      <w:r>
        <w:rPr>
          <w:sz w:val="18"/>
          <w:szCs w:val="18"/>
        </w:rPr>
        <w:t>ear.</w:t>
      </w:r>
      <w:r>
        <w:rPr>
          <w:sz w:val="18"/>
          <w:szCs w:val="18"/>
        </w:rPr>
        <w:t xml:space="preserve"> </w:t>
      </w:r>
      <w:r>
        <w:rPr>
          <w:sz w:val="18"/>
          <w:szCs w:val="18"/>
        </w:rPr>
        <w:t>Rent payments commence 10 months following the commencement date of the lease, or January 10, 2023, and continue for 10 years following the rent commencement date. Rent also includes two months of free rent in the 6th and 7th months following the rent</w:t>
      </w:r>
      <w:r>
        <w:rPr>
          <w:sz w:val="18"/>
          <w:szCs w:val="18"/>
        </w:rPr>
        <w:t xml:space="preserve"> commencement date</w:t>
      </w:r>
      <w:r>
        <w:rPr>
          <w:sz w:val="18"/>
          <w:szCs w:val="18"/>
        </w:rPr>
        <w:t>.</w:t>
      </w:r>
      <w:r>
        <w:rPr>
          <w:sz w:val="18"/>
          <w:szCs w:val="18"/>
        </w:rPr>
        <w:t xml:space="preserve"> The Company issued a letter of credit in the amount of </w:t>
      </w:r>
      <w:r>
        <w:rPr>
          <w:sz w:val="18"/>
          <w:szCs w:val="18"/>
        </w:rPr>
        <w:t>$</w:t>
      </w:r>
      <w:r>
        <w:rPr>
          <w:sz w:val="18"/>
          <w:szCs w:val="18"/>
        </w:rPr>
        <w:t>1.</w:t>
      </w:r>
      <w:r>
        <w:rPr>
          <w:sz w:val="18"/>
          <w:szCs w:val="18"/>
        </w:rPr>
        <w:t>9</w:t>
      </w:r>
      <w:r>
        <w:rPr>
          <w:sz w:val="18"/>
          <w:szCs w:val="18"/>
        </w:rPr>
        <w:t xml:space="preserve"> million in association with the execution of the lease agreement; the letter of credit is characterized as restricted cash on the balance sheet</w:t>
      </w:r>
      <w:r>
        <w:rPr>
          <w:sz w:val="18"/>
          <w:szCs w:val="18"/>
        </w:rPr>
        <w:t>.</w:t>
      </w:r>
    </w:p>
    <w:p w:rsidR="00000000" w:rsidRDefault="00CF461A">
      <w:pPr>
        <w:pStyle w:val="a3"/>
        <w:spacing w:before="120" w:beforeAutospacing="0" w:after="0" w:afterAutospacing="0"/>
        <w:jc w:val="both"/>
        <w:divId w:val="1847286934"/>
        <w:rPr>
          <w:sz w:val="20"/>
          <w:szCs w:val="20"/>
        </w:rPr>
      </w:pPr>
      <w:r>
        <w:rPr>
          <w:sz w:val="18"/>
          <w:szCs w:val="18"/>
        </w:rPr>
        <w:t xml:space="preserve">The Hudson Commons lease has a </w:t>
      </w:r>
      <w:r>
        <w:rPr>
          <w:sz w:val="18"/>
          <w:szCs w:val="18"/>
        </w:rPr>
        <w:t>remaining lease terms of</w:t>
      </w:r>
      <w:r>
        <w:rPr>
          <w:sz w:val="18"/>
          <w:szCs w:val="18"/>
        </w:rPr>
        <w:t xml:space="preserve"> </w:t>
      </w:r>
      <w:r>
        <w:rPr>
          <w:sz w:val="18"/>
          <w:szCs w:val="18"/>
        </w:rPr>
        <w:t>10 year</w:t>
      </w:r>
      <w:r>
        <w:rPr>
          <w:sz w:val="18"/>
          <w:szCs w:val="18"/>
        </w:rPr>
        <w:t>s</w:t>
      </w:r>
      <w:r>
        <w:rPr>
          <w:sz w:val="18"/>
          <w:szCs w:val="18"/>
        </w:rPr>
        <w:t xml:space="preserve"> and includes a single renewal option for an additional</w:t>
      </w:r>
      <w:r>
        <w:rPr>
          <w:sz w:val="18"/>
          <w:szCs w:val="18"/>
        </w:rPr>
        <w:t xml:space="preserve"> </w:t>
      </w:r>
      <w:r>
        <w:rPr>
          <w:sz w:val="18"/>
          <w:szCs w:val="18"/>
        </w:rPr>
        <w:t>5 year</w:t>
      </w:r>
      <w:r>
        <w:rPr>
          <w:sz w:val="18"/>
          <w:szCs w:val="18"/>
        </w:rPr>
        <w:t>s</w:t>
      </w:r>
      <w:r>
        <w:rPr>
          <w:sz w:val="18"/>
          <w:szCs w:val="18"/>
        </w:rPr>
        <w:t>. The Company did not include the renewal option in the lease term when calculating the lease liability as the Company is not reasonably certain that it will ex</w:t>
      </w:r>
      <w:r>
        <w:rPr>
          <w:sz w:val="18"/>
          <w:szCs w:val="18"/>
        </w:rPr>
        <w:t>ercise the renewal option. The present value of the lease payments is calculated using an incremental borrowing rate of</w:t>
      </w:r>
      <w:r>
        <w:rPr>
          <w:sz w:val="18"/>
          <w:szCs w:val="18"/>
        </w:rPr>
        <w:t xml:space="preserve"> </w:t>
      </w:r>
      <w:r>
        <w:rPr>
          <w:sz w:val="18"/>
          <w:szCs w:val="18"/>
        </w:rPr>
        <w:t>7.0</w:t>
      </w:r>
      <w:r>
        <w:rPr>
          <w:sz w:val="18"/>
          <w:szCs w:val="18"/>
        </w:rPr>
        <w:t>2</w:t>
      </w:r>
      <w:r>
        <w:rPr>
          <w:sz w:val="18"/>
          <w:szCs w:val="18"/>
        </w:rPr>
        <w:t>% as the discount rate. Lease expense is included in general and administrative and research and development expenses in the condens</w:t>
      </w:r>
      <w:r>
        <w:rPr>
          <w:sz w:val="18"/>
          <w:szCs w:val="18"/>
        </w:rPr>
        <w:t>ed consolidated statements of operations</w:t>
      </w:r>
      <w:r>
        <w:rPr>
          <w:sz w:val="18"/>
          <w:szCs w:val="18"/>
        </w:rPr>
        <w:t>.</w:t>
      </w:r>
    </w:p>
    <w:p w:rsidR="00000000" w:rsidRDefault="00CF461A">
      <w:pPr>
        <w:pStyle w:val="a3"/>
        <w:spacing w:before="120" w:beforeAutospacing="0" w:after="160" w:afterAutospacing="0"/>
        <w:jc w:val="both"/>
        <w:divId w:val="1989821577"/>
        <w:rPr>
          <w:sz w:val="20"/>
          <w:szCs w:val="20"/>
        </w:rPr>
      </w:pPr>
      <w:r>
        <w:rPr>
          <w:sz w:val="18"/>
          <w:szCs w:val="18"/>
        </w:rPr>
        <w:t>ROU asset and lease liabilities related to the Company's operating lease are as follows</w:t>
      </w:r>
      <w:r>
        <w:rPr>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4"/>
        <w:gridCol w:w="328"/>
        <w:gridCol w:w="150"/>
        <w:gridCol w:w="2874"/>
        <w:gridCol w:w="120"/>
      </w:tblGrid>
      <w:tr w:rsidR="00000000">
        <w:trPr>
          <w:divId w:val="1989821577"/>
          <w:tblCellSpacing w:w="15" w:type="dxa"/>
        </w:trPr>
        <w:tc>
          <w:tcPr>
            <w:tcW w:w="2958" w:type="pct"/>
            <w:vAlign w:val="center"/>
            <w:hideMark/>
          </w:tcPr>
          <w:p w:rsidR="00000000" w:rsidRDefault="00CF461A">
            <w:pPr>
              <w:rPr>
                <w:sz w:val="20"/>
                <w:szCs w:val="20"/>
              </w:rPr>
            </w:pPr>
          </w:p>
        </w:tc>
        <w:tc>
          <w:tcPr>
            <w:tcW w:w="197"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762"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r>
      <w:tr w:rsidR="00000000">
        <w:trPr>
          <w:divId w:val="1989821577"/>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989821577"/>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98982157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Right-of-use asse</w:t>
            </w:r>
            <w:r>
              <w:rPr>
                <w:sz w:val="18"/>
                <w:szCs w:val="18"/>
              </w:rPr>
              <w:t>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15,691,48</w:t>
            </w:r>
            <w:r>
              <w:rPr>
                <w:sz w:val="18"/>
                <w:szCs w:val="18"/>
              </w:rPr>
              <w:t>2</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98982157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Current lease liabilit</w:t>
            </w:r>
            <w:r>
              <w:rPr>
                <w:sz w:val="18"/>
                <w:szCs w:val="18"/>
              </w:rPr>
              <w:t>y</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989821577"/>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Long-term lease liabilit</w:t>
            </w:r>
            <w:r>
              <w:rPr>
                <w:sz w:val="18"/>
                <w:szCs w:val="18"/>
              </w:rPr>
              <w:t>y</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15,872,08</w:t>
            </w:r>
            <w:r>
              <w:rPr>
                <w:sz w:val="18"/>
                <w:szCs w:val="18"/>
              </w:rPr>
              <w:t>5</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120" w:beforeAutospacing="0" w:after="120" w:afterAutospacing="0"/>
        <w:jc w:val="both"/>
        <w:divId w:val="1167089153"/>
        <w:rPr>
          <w:sz w:val="20"/>
          <w:szCs w:val="20"/>
        </w:rPr>
      </w:pPr>
      <w:r>
        <w:rPr>
          <w:sz w:val="18"/>
          <w:szCs w:val="18"/>
        </w:rPr>
        <w:t>The components of operating lease cost for the three months ended March 31, 2022 were as follows</w:t>
      </w:r>
      <w:r>
        <w:rPr>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50"/>
        <w:gridCol w:w="312"/>
        <w:gridCol w:w="150"/>
        <w:gridCol w:w="2874"/>
        <w:gridCol w:w="120"/>
      </w:tblGrid>
      <w:tr w:rsidR="00000000">
        <w:trPr>
          <w:divId w:val="1167089153"/>
          <w:tblCellSpacing w:w="15" w:type="dxa"/>
        </w:trPr>
        <w:tc>
          <w:tcPr>
            <w:tcW w:w="2968" w:type="pct"/>
            <w:vAlign w:val="center"/>
            <w:hideMark/>
          </w:tcPr>
          <w:p w:rsidR="00000000" w:rsidRDefault="00CF461A">
            <w:pPr>
              <w:rPr>
                <w:sz w:val="20"/>
                <w:szCs w:val="20"/>
              </w:rPr>
            </w:pPr>
          </w:p>
        </w:tc>
        <w:tc>
          <w:tcPr>
            <w:tcW w:w="187"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762"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r>
      <w:tr w:rsidR="00000000">
        <w:trPr>
          <w:divId w:val="1167089153"/>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167089153"/>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167089153"/>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Operating lease cos</w:t>
            </w:r>
            <w:r>
              <w:rPr>
                <w:sz w:val="18"/>
                <w:szCs w:val="18"/>
              </w:rPr>
              <w:t>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180,60</w:t>
            </w:r>
            <w:r>
              <w:rPr>
                <w:sz w:val="18"/>
                <w:szCs w:val="18"/>
              </w:rPr>
              <w:t>3</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167089153"/>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Variable lease cos</w:t>
            </w:r>
            <w:r>
              <w:rPr>
                <w:sz w:val="18"/>
                <w:szCs w:val="18"/>
              </w:rPr>
              <w:t>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167089153"/>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Short-term lease cos</w:t>
            </w:r>
            <w:r>
              <w:rPr>
                <w:sz w:val="18"/>
                <w:szCs w:val="18"/>
              </w:rPr>
              <w:t>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divId w:val="1167089153"/>
        <w:rPr>
          <w:sz w:val="20"/>
          <w:szCs w:val="20"/>
        </w:rPr>
      </w:pPr>
      <w:r>
        <w:rPr>
          <w:sz w:val="20"/>
          <w:szCs w:val="20"/>
        </w:rPr>
        <w:t> </w:t>
      </w:r>
    </w:p>
    <w:p w:rsidR="00000000" w:rsidRDefault="00CF461A">
      <w:pPr>
        <w:pStyle w:val="a3"/>
        <w:spacing w:before="240" w:beforeAutospacing="0" w:after="0" w:afterAutospacing="0"/>
        <w:jc w:val="center"/>
        <w:divId w:val="1167089153"/>
        <w:rPr>
          <w:sz w:val="20"/>
          <w:szCs w:val="20"/>
        </w:rPr>
      </w:pPr>
      <w:r>
        <w:rPr>
          <w:sz w:val="18"/>
          <w:szCs w:val="18"/>
        </w:rPr>
        <w:t>1</w:t>
      </w:r>
      <w:r>
        <w:rPr>
          <w:sz w:val="18"/>
          <w:szCs w:val="18"/>
        </w:rPr>
        <w:t>0</w:t>
      </w:r>
    </w:p>
    <w:p w:rsidR="00000000" w:rsidRDefault="00CF461A">
      <w:pPr>
        <w:divId w:val="1167089153"/>
        <w:rPr>
          <w:rFonts w:eastAsia="Times New Roman"/>
          <w:sz w:val="18"/>
          <w:szCs w:val="18"/>
        </w:rPr>
      </w:pPr>
      <w:r>
        <w:rPr>
          <w:rFonts w:eastAsia="Times New Roman"/>
          <w:sz w:val="18"/>
          <w:szCs w:val="18"/>
        </w:rPr>
        <w:pict>
          <v:rect id="_x0000_i1035" style="width:0;height:1.5pt" o:hralign="center" o:hrstd="t" o:hr="t" fillcolor="#a0a0a0" stroked="f"/>
        </w:pict>
      </w:r>
    </w:p>
    <w:p w:rsidR="00000000" w:rsidRDefault="00CF461A">
      <w:pPr>
        <w:pStyle w:val="a3"/>
        <w:spacing w:before="0" w:beforeAutospacing="0" w:after="0" w:afterAutospacing="0"/>
        <w:divId w:val="1167089153"/>
        <w:rPr>
          <w:sz w:val="20"/>
          <w:szCs w:val="20"/>
        </w:rPr>
      </w:pPr>
      <w:r>
        <w:rPr>
          <w:sz w:val="18"/>
          <w:szCs w:val="18"/>
        </w:rPr>
        <w:t> </w:t>
      </w:r>
    </w:p>
    <w:p w:rsidR="00000000" w:rsidRDefault="00CF461A">
      <w:pPr>
        <w:pStyle w:val="a3"/>
        <w:spacing w:before="200" w:beforeAutospacing="0" w:after="120" w:afterAutospacing="0"/>
        <w:jc w:val="both"/>
        <w:divId w:val="1895307569"/>
        <w:rPr>
          <w:sz w:val="20"/>
          <w:szCs w:val="20"/>
        </w:rPr>
      </w:pPr>
      <w:r>
        <w:rPr>
          <w:sz w:val="18"/>
          <w:szCs w:val="18"/>
        </w:rPr>
        <w:t>Future minimum commitments under the non-cancelable operating lease are as follows</w:t>
      </w:r>
      <w:r>
        <w:rPr>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4"/>
        <w:gridCol w:w="328"/>
        <w:gridCol w:w="150"/>
        <w:gridCol w:w="2874"/>
        <w:gridCol w:w="120"/>
      </w:tblGrid>
      <w:tr w:rsidR="00000000">
        <w:trPr>
          <w:divId w:val="1895307569"/>
          <w:tblCellSpacing w:w="15" w:type="dxa"/>
        </w:trPr>
        <w:tc>
          <w:tcPr>
            <w:tcW w:w="2958" w:type="pct"/>
            <w:vAlign w:val="center"/>
            <w:hideMark/>
          </w:tcPr>
          <w:p w:rsidR="00000000" w:rsidRDefault="00CF461A">
            <w:pPr>
              <w:rPr>
                <w:sz w:val="20"/>
                <w:szCs w:val="20"/>
              </w:rPr>
            </w:pPr>
          </w:p>
        </w:tc>
        <w:tc>
          <w:tcPr>
            <w:tcW w:w="197"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762"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r>
      <w:tr w:rsidR="00000000">
        <w:trPr>
          <w:divId w:val="1895307569"/>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895307569"/>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202</w:t>
            </w:r>
            <w:r>
              <w:rPr>
                <w:sz w:val="18"/>
                <w:szCs w:val="18"/>
              </w:rPr>
              <w:t>3</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1,865,91</w:t>
            </w:r>
            <w:r>
              <w:rPr>
                <w:sz w:val="18"/>
                <w:szCs w:val="18"/>
              </w:rPr>
              <w:t>1</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895307569"/>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202</w:t>
            </w:r>
            <w:r>
              <w:rPr>
                <w:sz w:val="18"/>
                <w:szCs w:val="18"/>
              </w:rPr>
              <w:t>4</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2,316,30</w:t>
            </w:r>
            <w:r>
              <w:rPr>
                <w:sz w:val="18"/>
                <w:szCs w:val="18"/>
              </w:rPr>
              <w:t>3</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895307569"/>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202</w:t>
            </w:r>
            <w:r>
              <w:rPr>
                <w:sz w:val="18"/>
                <w:szCs w:val="18"/>
              </w:rPr>
              <w:t>5</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2,316,30</w:t>
            </w:r>
            <w:r>
              <w:rPr>
                <w:sz w:val="18"/>
                <w:szCs w:val="18"/>
              </w:rPr>
              <w:t>3</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895307569"/>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202</w:t>
            </w:r>
            <w:r>
              <w:rPr>
                <w:sz w:val="18"/>
                <w:szCs w:val="18"/>
              </w:rPr>
              <w:t>6</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2,316,30</w:t>
            </w:r>
            <w:r>
              <w:rPr>
                <w:sz w:val="18"/>
                <w:szCs w:val="18"/>
              </w:rPr>
              <w:t>3</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895307569"/>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202</w:t>
            </w:r>
            <w:r>
              <w:rPr>
                <w:sz w:val="18"/>
                <w:szCs w:val="18"/>
              </w:rPr>
              <w:t>7</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2,316,30</w:t>
            </w:r>
            <w:r>
              <w:rPr>
                <w:sz w:val="18"/>
                <w:szCs w:val="18"/>
              </w:rPr>
              <w:t>3</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895307569"/>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Thereafte</w:t>
            </w:r>
            <w:r>
              <w:rPr>
                <w:sz w:val="18"/>
                <w:szCs w:val="18"/>
              </w:rPr>
              <w:t>r</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12,347,23</w:t>
            </w:r>
            <w:r>
              <w:rPr>
                <w:sz w:val="18"/>
                <w:szCs w:val="18"/>
              </w:rPr>
              <w:t>5</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r w:rsidR="00000000">
        <w:trPr>
          <w:divId w:val="1895307569"/>
          <w:trHeight w:val="180"/>
          <w:tblCellSpacing w:w="15" w:type="dxa"/>
        </w:trPr>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w:t>
            </w:r>
          </w:p>
        </w:tc>
        <w:tc>
          <w:tcPr>
            <w:tcW w:w="0" w:type="auto"/>
            <w:vAlign w:val="center"/>
            <w:hideMark/>
          </w:tcPr>
          <w:p w:rsidR="00000000" w:rsidRDefault="00CF461A">
            <w:pPr>
              <w:pStyle w:val="a3"/>
              <w:spacing w:before="0" w:beforeAutospacing="0" w:after="0" w:afterAutospacing="0"/>
              <w:jc w:val="right"/>
              <w:rPr>
                <w:sz w:val="20"/>
                <w:szCs w:val="20"/>
              </w:rPr>
            </w:pPr>
            <w:r>
              <w:rPr>
                <w:sz w:val="18"/>
                <w:szCs w:val="18"/>
              </w:rPr>
              <w:t>23,478,35</w:t>
            </w:r>
            <w:r>
              <w:rPr>
                <w:sz w:val="18"/>
                <w:szCs w:val="18"/>
              </w:rPr>
              <w:t>8</w:t>
            </w:r>
          </w:p>
        </w:tc>
        <w:tc>
          <w:tcPr>
            <w:tcW w:w="0" w:type="auto"/>
            <w:vAlign w:val="center"/>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120" w:beforeAutospacing="0" w:after="0" w:afterAutospacing="0"/>
        <w:jc w:val="both"/>
        <w:divId w:val="531845671"/>
        <w:rPr>
          <w:sz w:val="20"/>
          <w:szCs w:val="20"/>
        </w:rPr>
      </w:pPr>
      <w:r>
        <w:rPr>
          <w:b/>
          <w:bCs/>
          <w:sz w:val="18"/>
          <w:szCs w:val="18"/>
        </w:rPr>
        <w:t>NOTE 6 – ACCRUED EXPENSE</w:t>
      </w:r>
      <w:r>
        <w:rPr>
          <w:b/>
          <w:bCs/>
          <w:sz w:val="18"/>
          <w:szCs w:val="18"/>
        </w:rPr>
        <w:t>S</w:t>
      </w:r>
    </w:p>
    <w:p w:rsidR="00000000" w:rsidRDefault="00CF461A">
      <w:pPr>
        <w:pStyle w:val="a3"/>
        <w:spacing w:before="120" w:beforeAutospacing="0" w:after="0" w:afterAutospacing="0"/>
        <w:jc w:val="both"/>
        <w:divId w:val="796989586"/>
        <w:rPr>
          <w:sz w:val="20"/>
          <w:szCs w:val="20"/>
        </w:rPr>
      </w:pPr>
      <w:r>
        <w:rPr>
          <w:sz w:val="18"/>
          <w:szCs w:val="18"/>
        </w:rPr>
        <w:t>Accrued expenses consist of the following</w:t>
      </w:r>
      <w:r>
        <w:rPr>
          <w:sz w:val="18"/>
          <w:szCs w:val="18"/>
        </w:rPr>
        <w:t>:</w:t>
      </w:r>
    </w:p>
    <w:p w:rsidR="00000000" w:rsidRDefault="00CF461A">
      <w:pPr>
        <w:pStyle w:val="a3"/>
        <w:spacing w:before="120" w:beforeAutospacing="0" w:after="0" w:afterAutospacing="0"/>
        <w:jc w:val="both"/>
        <w:divId w:val="796989586"/>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6"/>
        <w:gridCol w:w="229"/>
        <w:gridCol w:w="150"/>
        <w:gridCol w:w="1958"/>
        <w:gridCol w:w="105"/>
        <w:gridCol w:w="229"/>
        <w:gridCol w:w="150"/>
        <w:gridCol w:w="1959"/>
        <w:gridCol w:w="120"/>
      </w:tblGrid>
      <w:tr w:rsidR="00000000">
        <w:trPr>
          <w:divId w:val="796989586"/>
          <w:tblCellSpacing w:w="15" w:type="dxa"/>
        </w:trPr>
        <w:tc>
          <w:tcPr>
            <w:tcW w:w="2114" w:type="pct"/>
            <w:vAlign w:val="center"/>
            <w:hideMark/>
          </w:tcPr>
          <w:p w:rsidR="00000000" w:rsidRDefault="00CF461A">
            <w:pPr>
              <w:rPr>
                <w:sz w:val="20"/>
                <w:szCs w:val="20"/>
              </w:rPr>
            </w:pPr>
          </w:p>
        </w:tc>
        <w:tc>
          <w:tcPr>
            <w:tcW w:w="141"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220"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141"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220"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December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Payroll and bonus accrua</w:t>
            </w:r>
            <w:r>
              <w:rPr>
                <w:sz w:val="18"/>
                <w:szCs w:val="18"/>
              </w:rPr>
              <w:t>l</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3,472,52</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3,764,66</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Research and development accrua</w:t>
            </w:r>
            <w:r>
              <w:rPr>
                <w:sz w:val="18"/>
                <w:szCs w:val="18"/>
              </w:rPr>
              <w:t>l</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2,176,03</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1,795,19</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Professional fees accrua</w:t>
            </w:r>
            <w:r>
              <w:rPr>
                <w:sz w:val="18"/>
                <w:szCs w:val="18"/>
              </w:rPr>
              <w:t>l</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1,166,94</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1,564,95</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Settlemen</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750,00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Income tax accrua</w:t>
            </w:r>
            <w:r>
              <w:rPr>
                <w:sz w:val="18"/>
                <w:szCs w:val="18"/>
              </w:rPr>
              <w:t>l</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266,27</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Othe</w:t>
            </w:r>
            <w:r>
              <w:rPr>
                <w:sz w:val="18"/>
                <w:szCs w:val="18"/>
              </w:rPr>
              <w:t>r</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139,16</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546,46</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796989586"/>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Tota</w:t>
            </w:r>
            <w:r>
              <w:rPr>
                <w:sz w:val="18"/>
                <w:szCs w:val="18"/>
              </w:rPr>
              <w:t>l</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7,970,94</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7,671,27</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jc w:val="both"/>
        <w:rPr>
          <w:sz w:val="20"/>
          <w:szCs w:val="20"/>
        </w:rPr>
      </w:pPr>
      <w:r>
        <w:rPr>
          <w:sz w:val="18"/>
          <w:szCs w:val="18"/>
        </w:rPr>
        <w:t> </w:t>
      </w:r>
    </w:p>
    <w:p w:rsidR="00000000" w:rsidRDefault="00CF461A">
      <w:pPr>
        <w:pStyle w:val="a3"/>
        <w:spacing w:before="360" w:beforeAutospacing="0" w:after="0" w:afterAutospacing="0"/>
        <w:jc w:val="both"/>
        <w:divId w:val="831026443"/>
        <w:rPr>
          <w:sz w:val="20"/>
          <w:szCs w:val="20"/>
        </w:rPr>
      </w:pPr>
      <w:r>
        <w:rPr>
          <w:b/>
          <w:bCs/>
          <w:sz w:val="18"/>
          <w:szCs w:val="18"/>
        </w:rPr>
        <w:t>NOTE 7 – STOCKHOLDERS’ EQUITY AND PREFERRED STOC</w:t>
      </w:r>
      <w:r>
        <w:rPr>
          <w:b/>
          <w:bCs/>
          <w:sz w:val="18"/>
          <w:szCs w:val="18"/>
        </w:rPr>
        <w:t>K</w:t>
      </w:r>
    </w:p>
    <w:p w:rsidR="00000000" w:rsidRDefault="00CF461A">
      <w:pPr>
        <w:pStyle w:val="a3"/>
        <w:spacing w:before="120" w:beforeAutospacing="0" w:after="0" w:afterAutospacing="0"/>
        <w:jc w:val="both"/>
        <w:divId w:val="831026443"/>
        <w:rPr>
          <w:sz w:val="20"/>
          <w:szCs w:val="20"/>
        </w:rPr>
      </w:pPr>
      <w:r>
        <w:rPr>
          <w:sz w:val="18"/>
          <w:szCs w:val="18"/>
        </w:rPr>
        <w:t>The Company’s capital structure consists of common stock and convertible preferred stock ("Preferred Stock"). Pursuant to the Company’</w:t>
      </w:r>
      <w:r>
        <w:rPr>
          <w:sz w:val="18"/>
          <w:szCs w:val="18"/>
        </w:rPr>
        <w:t>s amended and restated certificate of incorporation, as amended, the Company is authorized to issue up to</w:t>
      </w:r>
      <w:r>
        <w:rPr>
          <w:sz w:val="18"/>
          <w:szCs w:val="18"/>
        </w:rPr>
        <w:t xml:space="preserve"> </w:t>
      </w:r>
      <w:r>
        <w:rPr>
          <w:sz w:val="18"/>
          <w:szCs w:val="18"/>
        </w:rPr>
        <w:t>125,000,00</w:t>
      </w:r>
      <w:r>
        <w:rPr>
          <w:sz w:val="18"/>
          <w:szCs w:val="18"/>
        </w:rPr>
        <w:t>0</w:t>
      </w:r>
      <w:r>
        <w:rPr>
          <w:sz w:val="18"/>
          <w:szCs w:val="18"/>
        </w:rPr>
        <w:t xml:space="preserve"> shares of common stock and</w:t>
      </w:r>
      <w:r>
        <w:rPr>
          <w:sz w:val="18"/>
          <w:szCs w:val="18"/>
        </w:rPr>
        <w:t xml:space="preserve"> </w:t>
      </w:r>
      <w:r>
        <w:rPr>
          <w:sz w:val="18"/>
          <w:szCs w:val="18"/>
        </w:rPr>
        <w:t>10,000,00</w:t>
      </w:r>
      <w:r>
        <w:rPr>
          <w:sz w:val="18"/>
          <w:szCs w:val="18"/>
        </w:rPr>
        <w:t>0</w:t>
      </w:r>
      <w:r>
        <w:rPr>
          <w:sz w:val="18"/>
          <w:szCs w:val="18"/>
        </w:rPr>
        <w:t xml:space="preserve"> shares of Preferred Stock. The Company has designated</w:t>
      </w:r>
      <w:r>
        <w:rPr>
          <w:sz w:val="18"/>
          <w:szCs w:val="18"/>
        </w:rPr>
        <w:t xml:space="preserve"> </w:t>
      </w:r>
      <w:r>
        <w:rPr>
          <w:sz w:val="18"/>
          <w:szCs w:val="18"/>
        </w:rPr>
        <w:t>1,25</w:t>
      </w:r>
      <w:r>
        <w:rPr>
          <w:sz w:val="18"/>
          <w:szCs w:val="18"/>
        </w:rPr>
        <w:t>0</w:t>
      </w:r>
      <w:r>
        <w:rPr>
          <w:sz w:val="18"/>
          <w:szCs w:val="18"/>
        </w:rPr>
        <w:t xml:space="preserve"> of the 10,000,000 authorized shares of P</w:t>
      </w:r>
      <w:r>
        <w:rPr>
          <w:sz w:val="18"/>
          <w:szCs w:val="18"/>
        </w:rPr>
        <w:t>referred Stock as non-voting Series A Convertible Preferred Stock (“Series A Preferred Stock”)</w:t>
      </w:r>
      <w:r>
        <w:rPr>
          <w:sz w:val="18"/>
          <w:szCs w:val="18"/>
        </w:rPr>
        <w:t>.</w:t>
      </w:r>
    </w:p>
    <w:p w:rsidR="00000000" w:rsidRDefault="00CF461A">
      <w:pPr>
        <w:pStyle w:val="a3"/>
        <w:spacing w:before="0" w:beforeAutospacing="0" w:after="0" w:afterAutospacing="0"/>
        <w:jc w:val="both"/>
        <w:divId w:val="831026443"/>
        <w:rPr>
          <w:sz w:val="20"/>
          <w:szCs w:val="20"/>
        </w:rPr>
      </w:pPr>
      <w:r>
        <w:rPr>
          <w:sz w:val="20"/>
          <w:szCs w:val="20"/>
        </w:rPr>
        <w:t> </w:t>
      </w:r>
    </w:p>
    <w:p w:rsidR="00000000" w:rsidRDefault="00CF461A">
      <w:pPr>
        <w:pStyle w:val="a3"/>
        <w:spacing w:before="0" w:beforeAutospacing="0" w:after="0" w:afterAutospacing="0"/>
        <w:jc w:val="both"/>
        <w:divId w:val="831026443"/>
        <w:rPr>
          <w:sz w:val="20"/>
          <w:szCs w:val="20"/>
        </w:rPr>
      </w:pPr>
      <w:r>
        <w:rPr>
          <w:sz w:val="18"/>
          <w:szCs w:val="18"/>
        </w:rPr>
        <w:t>The holders of common stock are entitled to</w:t>
      </w:r>
      <w:r>
        <w:rPr>
          <w:sz w:val="18"/>
          <w:szCs w:val="18"/>
        </w:rPr>
        <w:t xml:space="preserve"> </w:t>
      </w:r>
      <w:r>
        <w:rPr>
          <w:sz w:val="18"/>
          <w:szCs w:val="18"/>
        </w:rPr>
        <w:t>one vote for each share hel</w:t>
      </w:r>
      <w:r>
        <w:rPr>
          <w:sz w:val="18"/>
          <w:szCs w:val="18"/>
        </w:rPr>
        <w:t>d</w:t>
      </w:r>
      <w:r>
        <w:rPr>
          <w:sz w:val="18"/>
          <w:szCs w:val="18"/>
        </w:rPr>
        <w:t>. The holders of common stock have no preemptive or other subscription rights, and there are no redemption or sinking fund provisions with respect to such shares. Subject to preferences that may apply to any outstanding series of Preferred Stock, holders o</w:t>
      </w:r>
      <w:r>
        <w:rPr>
          <w:sz w:val="18"/>
          <w:szCs w:val="18"/>
        </w:rPr>
        <w:t>f the common stock are entitled to receive ratably any dividends declared on a non-cumulative basis. The common stock is subordinate to all series of Preferred Stock with respect to rights upon liquidation, winding up and dissolution of the Company. The ho</w:t>
      </w:r>
      <w:r>
        <w:rPr>
          <w:sz w:val="18"/>
          <w:szCs w:val="18"/>
        </w:rPr>
        <w:t>lders of common stock are entitled to liquidation proceeds after all liquidation preferences for the Preferred Stock are satisfied</w:t>
      </w:r>
      <w:r>
        <w:rPr>
          <w:sz w:val="18"/>
          <w:szCs w:val="18"/>
        </w:rPr>
        <w:t>.</w:t>
      </w:r>
    </w:p>
    <w:p w:rsidR="00000000" w:rsidRDefault="00CF461A">
      <w:pPr>
        <w:pStyle w:val="a3"/>
        <w:spacing w:before="0" w:beforeAutospacing="0" w:after="0" w:afterAutospacing="0"/>
        <w:jc w:val="both"/>
        <w:divId w:val="831026443"/>
        <w:rPr>
          <w:sz w:val="20"/>
          <w:szCs w:val="20"/>
        </w:rPr>
      </w:pPr>
      <w:r>
        <w:rPr>
          <w:sz w:val="20"/>
          <w:szCs w:val="20"/>
        </w:rPr>
        <w:t> </w:t>
      </w:r>
    </w:p>
    <w:p w:rsidR="00000000" w:rsidRDefault="00CF461A">
      <w:pPr>
        <w:pStyle w:val="a3"/>
        <w:spacing w:before="0" w:beforeAutospacing="0" w:after="0" w:afterAutospacing="0"/>
        <w:jc w:val="both"/>
        <w:divId w:val="831026443"/>
        <w:rPr>
          <w:sz w:val="20"/>
          <w:szCs w:val="20"/>
        </w:rPr>
      </w:pPr>
      <w:r>
        <w:rPr>
          <w:sz w:val="18"/>
          <w:szCs w:val="18"/>
        </w:rPr>
        <w:t>In November 2020, the Company entered into a sales agreement (the “2020 ATM agreement”) with Cowen and Company, LLC (“Cowe</w:t>
      </w:r>
      <w:r>
        <w:rPr>
          <w:sz w:val="18"/>
          <w:szCs w:val="18"/>
        </w:rPr>
        <w:t xml:space="preserve">n”), under which the Company may offer and sell in “at the market offerings,” from time to time at its sole discretion, shares of its common stock having an aggregate offering price of up to </w:t>
      </w:r>
      <w:r>
        <w:rPr>
          <w:sz w:val="18"/>
          <w:szCs w:val="18"/>
        </w:rPr>
        <w:t>$</w:t>
      </w:r>
      <w:r>
        <w:rPr>
          <w:sz w:val="18"/>
          <w:szCs w:val="18"/>
        </w:rPr>
        <w:t>75.</w:t>
      </w:r>
      <w:r>
        <w:rPr>
          <w:sz w:val="18"/>
          <w:szCs w:val="18"/>
        </w:rPr>
        <w:t>0</w:t>
      </w:r>
      <w:r>
        <w:rPr>
          <w:sz w:val="18"/>
          <w:szCs w:val="18"/>
        </w:rPr>
        <w:t xml:space="preserve"> million through Cowen acting as sales agent. As of</w:t>
      </w:r>
      <w:r>
        <w:rPr>
          <w:sz w:val="18"/>
          <w:szCs w:val="18"/>
        </w:rPr>
        <w:t xml:space="preserve"> </w:t>
      </w:r>
      <w:r>
        <w:rPr>
          <w:sz w:val="18"/>
          <w:szCs w:val="18"/>
        </w:rPr>
        <w:t>March 31</w:t>
      </w:r>
      <w:r>
        <w:rPr>
          <w:sz w:val="18"/>
          <w:szCs w:val="18"/>
        </w:rPr>
        <w:t>, 202</w:t>
      </w:r>
      <w:r>
        <w:rPr>
          <w:sz w:val="18"/>
          <w:szCs w:val="18"/>
        </w:rPr>
        <w:t>2</w:t>
      </w:r>
      <w:r>
        <w:rPr>
          <w:sz w:val="18"/>
          <w:szCs w:val="18"/>
        </w:rPr>
        <w:t>, the Company has</w:t>
      </w:r>
      <w:r>
        <w:rPr>
          <w:sz w:val="18"/>
          <w:szCs w:val="18"/>
        </w:rPr>
        <w:t xml:space="preserve"> </w:t>
      </w:r>
      <w:r>
        <w:rPr>
          <w:sz w:val="18"/>
          <w:szCs w:val="18"/>
        </w:rPr>
        <w:t>n</w:t>
      </w:r>
      <w:r>
        <w:rPr>
          <w:sz w:val="18"/>
          <w:szCs w:val="18"/>
        </w:rPr>
        <w:t>o</w:t>
      </w:r>
      <w:r>
        <w:rPr>
          <w:sz w:val="18"/>
          <w:szCs w:val="18"/>
        </w:rPr>
        <w:t>t sold any shares of its common stock under the 2020 ATM agreement</w:t>
      </w:r>
      <w:r>
        <w:rPr>
          <w:sz w:val="18"/>
          <w:szCs w:val="18"/>
        </w:rPr>
        <w:t>.</w:t>
      </w:r>
    </w:p>
    <w:p w:rsidR="00000000" w:rsidRDefault="00CF461A">
      <w:pPr>
        <w:pStyle w:val="a3"/>
        <w:spacing w:before="0" w:beforeAutospacing="0" w:after="0" w:afterAutospacing="0"/>
        <w:jc w:val="both"/>
        <w:divId w:val="831026443"/>
        <w:rPr>
          <w:sz w:val="20"/>
          <w:szCs w:val="20"/>
        </w:rPr>
      </w:pPr>
      <w:r>
        <w:rPr>
          <w:sz w:val="20"/>
          <w:szCs w:val="20"/>
        </w:rPr>
        <w:t> </w:t>
      </w:r>
    </w:p>
    <w:p w:rsidR="00000000" w:rsidRDefault="00CF461A">
      <w:pPr>
        <w:pStyle w:val="a3"/>
        <w:spacing w:before="0" w:beforeAutospacing="0" w:after="0" w:afterAutospacing="0"/>
        <w:jc w:val="both"/>
        <w:divId w:val="831026443"/>
        <w:rPr>
          <w:sz w:val="20"/>
          <w:szCs w:val="20"/>
        </w:rPr>
      </w:pPr>
      <w:r>
        <w:rPr>
          <w:sz w:val="18"/>
          <w:szCs w:val="18"/>
        </w:rPr>
        <w:t>There were</w:t>
      </w:r>
      <w:r>
        <w:rPr>
          <w:sz w:val="18"/>
          <w:szCs w:val="18"/>
        </w:rPr>
        <w:t xml:space="preserve"> </w:t>
      </w:r>
      <w:r>
        <w:rPr>
          <w:sz w:val="18"/>
          <w:szCs w:val="18"/>
        </w:rPr>
        <w:t>1,25</w:t>
      </w:r>
      <w:r>
        <w:rPr>
          <w:sz w:val="18"/>
          <w:szCs w:val="18"/>
        </w:rPr>
        <w:t>0</w:t>
      </w:r>
      <w:r>
        <w:rPr>
          <w:sz w:val="18"/>
          <w:szCs w:val="18"/>
        </w:rPr>
        <w:t xml:space="preserve"> shares of Series A Preferred Stock outstanding as of</w:t>
      </w:r>
      <w:r>
        <w:rPr>
          <w:sz w:val="18"/>
          <w:szCs w:val="18"/>
        </w:rPr>
        <w:t xml:space="preserve"> </w:t>
      </w:r>
      <w:r>
        <w:rPr>
          <w:sz w:val="18"/>
          <w:szCs w:val="18"/>
        </w:rPr>
        <w:t>March 31, 2022 and December 31, 202</w:t>
      </w:r>
      <w:r>
        <w:rPr>
          <w:sz w:val="18"/>
          <w:szCs w:val="18"/>
        </w:rPr>
        <w:t>1</w:t>
      </w:r>
      <w:r>
        <w:rPr>
          <w:sz w:val="18"/>
          <w:szCs w:val="18"/>
        </w:rPr>
        <w:t>. Each share of Series A Preferred Stock is convertibl</w:t>
      </w:r>
      <w:r>
        <w:rPr>
          <w:sz w:val="18"/>
          <w:szCs w:val="18"/>
        </w:rPr>
        <w:t>e into</w:t>
      </w:r>
      <w:r>
        <w:rPr>
          <w:sz w:val="18"/>
          <w:szCs w:val="18"/>
        </w:rPr>
        <w:t xml:space="preserve"> </w:t>
      </w:r>
      <w:r>
        <w:rPr>
          <w:sz w:val="18"/>
          <w:szCs w:val="18"/>
        </w:rPr>
        <w:t>1,00</w:t>
      </w:r>
      <w:r>
        <w:rPr>
          <w:sz w:val="18"/>
          <w:szCs w:val="18"/>
        </w:rPr>
        <w:t>0</w:t>
      </w:r>
      <w:r>
        <w:rPr>
          <w:sz w:val="18"/>
          <w:szCs w:val="18"/>
        </w:rPr>
        <w:t xml:space="preserve"> shares of common stock at any time at the holder’s option. However, the holder will be prohibited, subject to certain exceptions, from converting shares of Series A Preferred Stock into shares of common stock if, as a result of such conversion</w:t>
      </w:r>
      <w:r>
        <w:rPr>
          <w:sz w:val="18"/>
          <w:szCs w:val="18"/>
        </w:rPr>
        <w:t>, the holder, together with its affiliates, would own more than, at the written election of the holder, either</w:t>
      </w:r>
      <w:r>
        <w:rPr>
          <w:sz w:val="18"/>
          <w:szCs w:val="18"/>
        </w:rPr>
        <w:t xml:space="preserve"> </w:t>
      </w:r>
      <w:r>
        <w:rPr>
          <w:sz w:val="18"/>
          <w:szCs w:val="18"/>
        </w:rPr>
        <w:t>9.9</w:t>
      </w:r>
      <w:r>
        <w:rPr>
          <w:sz w:val="18"/>
          <w:szCs w:val="18"/>
        </w:rPr>
        <w:t>9</w:t>
      </w:r>
      <w:r>
        <w:rPr>
          <w:sz w:val="18"/>
          <w:szCs w:val="18"/>
        </w:rPr>
        <w:t>% or</w:t>
      </w:r>
      <w:r>
        <w:rPr>
          <w:sz w:val="18"/>
          <w:szCs w:val="18"/>
        </w:rPr>
        <w:t xml:space="preserve"> </w:t>
      </w:r>
      <w:r>
        <w:rPr>
          <w:sz w:val="18"/>
          <w:szCs w:val="18"/>
        </w:rPr>
        <w:t>14.9</w:t>
      </w:r>
      <w:r>
        <w:rPr>
          <w:sz w:val="18"/>
          <w:szCs w:val="18"/>
        </w:rPr>
        <w:t>9</w:t>
      </w:r>
      <w:r>
        <w:rPr>
          <w:sz w:val="18"/>
          <w:szCs w:val="18"/>
        </w:rPr>
        <w:t>% of the total number of shares of common stock then issued and outstanding, which</w:t>
      </w:r>
      <w:r>
        <w:rPr>
          <w:sz w:val="18"/>
          <w:szCs w:val="18"/>
        </w:rPr>
        <w:t xml:space="preserve"> </w:t>
      </w:r>
      <w:r>
        <w:rPr>
          <w:sz w:val="18"/>
          <w:szCs w:val="18"/>
        </w:rPr>
        <w:t>percentage may be changed at the holder’s electi</w:t>
      </w:r>
      <w:r>
        <w:rPr>
          <w:sz w:val="18"/>
          <w:szCs w:val="18"/>
        </w:rPr>
        <w:t xml:space="preserve">on to any other number less than or equal to 19.99% upon 61 days’ notice to the Company; provided, however, that effective 61 days after delivery of such notice, such beneficial ownership limitations shall not be applicable to any holder that beneficially </w:t>
      </w:r>
      <w:r>
        <w:rPr>
          <w:sz w:val="18"/>
          <w:szCs w:val="18"/>
        </w:rPr>
        <w:t>owns either 10.0% or 15.0</w:t>
      </w:r>
      <w:r>
        <w:rPr>
          <w:sz w:val="18"/>
          <w:szCs w:val="18"/>
        </w:rPr>
        <w:t>%</w:t>
      </w:r>
      <w:r>
        <w:rPr>
          <w:sz w:val="18"/>
          <w:szCs w:val="18"/>
        </w:rPr>
        <w:t>, as applicable based on the holder’s initial written election noted above, of the total number of shares of common stock issued and outstanding immediately prior to delivery of such notice. In the event of a liquidation, dissolut</w:t>
      </w:r>
      <w:r>
        <w:rPr>
          <w:sz w:val="18"/>
          <w:szCs w:val="18"/>
        </w:rPr>
        <w:t xml:space="preserve">ion, or winding up of the Company, holders of Series A Preferred Stock will receive a payment equal to </w:t>
      </w:r>
      <w:r>
        <w:rPr>
          <w:sz w:val="18"/>
          <w:szCs w:val="18"/>
        </w:rPr>
        <w:t>$</w:t>
      </w:r>
      <w:r>
        <w:rPr>
          <w:sz w:val="18"/>
          <w:szCs w:val="18"/>
        </w:rPr>
        <w:t>0.00</w:t>
      </w:r>
      <w:r>
        <w:rPr>
          <w:sz w:val="18"/>
          <w:szCs w:val="18"/>
        </w:rPr>
        <w:t>1</w:t>
      </w:r>
      <w:r>
        <w:rPr>
          <w:sz w:val="18"/>
          <w:szCs w:val="18"/>
        </w:rPr>
        <w:t xml:space="preserve"> per share of Series A Preferred Stock before any proceeds are distributed to the holders of common stock</w:t>
      </w:r>
      <w:r>
        <w:rPr>
          <w:sz w:val="18"/>
          <w:szCs w:val="18"/>
        </w:rPr>
        <w:t>.</w:t>
      </w:r>
    </w:p>
    <w:p w:rsidR="00000000" w:rsidRDefault="00CF461A">
      <w:pPr>
        <w:pStyle w:val="a3"/>
        <w:spacing w:before="0" w:beforeAutospacing="0" w:after="0" w:afterAutospacing="0"/>
        <w:jc w:val="both"/>
        <w:divId w:val="831026443"/>
        <w:rPr>
          <w:sz w:val="20"/>
          <w:szCs w:val="20"/>
        </w:rPr>
      </w:pPr>
      <w:r>
        <w:rPr>
          <w:sz w:val="18"/>
          <w:szCs w:val="18"/>
        </w:rPr>
        <w:t> </w:t>
      </w:r>
    </w:p>
    <w:p w:rsidR="00000000" w:rsidRDefault="00CF461A">
      <w:pPr>
        <w:pStyle w:val="a3"/>
        <w:spacing w:before="0" w:beforeAutospacing="0" w:after="0" w:afterAutospacing="0"/>
        <w:jc w:val="both"/>
        <w:divId w:val="831026443"/>
        <w:rPr>
          <w:sz w:val="20"/>
          <w:szCs w:val="20"/>
        </w:rPr>
      </w:pPr>
      <w:r>
        <w:rPr>
          <w:sz w:val="18"/>
          <w:szCs w:val="18"/>
        </w:rPr>
        <w:t>In March 2021, certain of the Company’</w:t>
      </w:r>
      <w:r>
        <w:rPr>
          <w:sz w:val="18"/>
          <w:szCs w:val="18"/>
        </w:rPr>
        <w:t>s stockholders elected to convert an aggregate of</w:t>
      </w:r>
      <w:r>
        <w:rPr>
          <w:sz w:val="18"/>
          <w:szCs w:val="18"/>
        </w:rPr>
        <w:t xml:space="preserve"> </w:t>
      </w:r>
      <w:r>
        <w:rPr>
          <w:sz w:val="18"/>
          <w:szCs w:val="18"/>
        </w:rPr>
        <w:t>2,00</w:t>
      </w:r>
      <w:r>
        <w:rPr>
          <w:sz w:val="18"/>
          <w:szCs w:val="18"/>
        </w:rPr>
        <w:t>0</w:t>
      </w:r>
      <w:r>
        <w:rPr>
          <w:sz w:val="18"/>
          <w:szCs w:val="18"/>
        </w:rPr>
        <w:t xml:space="preserve"> shares of Series A Preferred Stock owned by such holders into an aggregate of</w:t>
      </w:r>
      <w:r>
        <w:rPr>
          <w:sz w:val="18"/>
          <w:szCs w:val="18"/>
        </w:rPr>
        <w:t xml:space="preserve"> </w:t>
      </w:r>
      <w:r>
        <w:rPr>
          <w:sz w:val="18"/>
          <w:szCs w:val="18"/>
        </w:rPr>
        <w:t>2,000,00</w:t>
      </w:r>
      <w:r>
        <w:rPr>
          <w:sz w:val="18"/>
          <w:szCs w:val="18"/>
        </w:rPr>
        <w:t>0</w:t>
      </w:r>
      <w:r>
        <w:rPr>
          <w:sz w:val="18"/>
          <w:szCs w:val="18"/>
        </w:rPr>
        <w:t xml:space="preserve"> shares of the Company’s common stock</w:t>
      </w:r>
      <w:r>
        <w:rPr>
          <w:sz w:val="18"/>
          <w:szCs w:val="18"/>
        </w:rPr>
        <w:t>.</w:t>
      </w:r>
    </w:p>
    <w:p w:rsidR="00000000" w:rsidRDefault="00CF461A">
      <w:pPr>
        <w:pStyle w:val="a3"/>
        <w:spacing w:before="0" w:beforeAutospacing="0" w:after="0" w:afterAutospacing="0"/>
        <w:jc w:val="both"/>
        <w:divId w:val="831026443"/>
        <w:rPr>
          <w:sz w:val="20"/>
          <w:szCs w:val="20"/>
        </w:rPr>
      </w:pPr>
      <w:r>
        <w:rPr>
          <w:sz w:val="18"/>
          <w:szCs w:val="18"/>
        </w:rPr>
        <w:t> </w:t>
      </w:r>
    </w:p>
    <w:p w:rsidR="00000000" w:rsidRDefault="00CF461A">
      <w:pPr>
        <w:pStyle w:val="a3"/>
        <w:spacing w:before="0" w:beforeAutospacing="0" w:after="0" w:afterAutospacing="0"/>
        <w:jc w:val="both"/>
        <w:divId w:val="831026443"/>
        <w:rPr>
          <w:sz w:val="20"/>
          <w:szCs w:val="20"/>
        </w:rPr>
      </w:pPr>
      <w:r>
        <w:rPr>
          <w:b/>
          <w:bCs/>
          <w:sz w:val="18"/>
          <w:szCs w:val="18"/>
        </w:rPr>
        <w:t>Dividend</w:t>
      </w:r>
      <w:r>
        <w:rPr>
          <w:b/>
          <w:bCs/>
          <w:sz w:val="18"/>
          <w:szCs w:val="18"/>
        </w:rPr>
        <w:t>s</w:t>
      </w:r>
    </w:p>
    <w:p w:rsidR="00000000" w:rsidRDefault="00CF461A">
      <w:pPr>
        <w:pStyle w:val="a3"/>
        <w:spacing w:before="0" w:beforeAutospacing="0" w:after="0" w:afterAutospacing="0"/>
        <w:jc w:val="both"/>
        <w:divId w:val="831026443"/>
        <w:rPr>
          <w:sz w:val="20"/>
          <w:szCs w:val="20"/>
        </w:rPr>
      </w:pPr>
      <w:r>
        <w:rPr>
          <w:sz w:val="18"/>
          <w:szCs w:val="18"/>
        </w:rPr>
        <w:t> </w:t>
      </w:r>
    </w:p>
    <w:p w:rsidR="00000000" w:rsidRDefault="00CF461A">
      <w:pPr>
        <w:pStyle w:val="a3"/>
        <w:spacing w:before="0" w:beforeAutospacing="0" w:after="0" w:afterAutospacing="0"/>
        <w:jc w:val="both"/>
        <w:divId w:val="831026443"/>
        <w:rPr>
          <w:sz w:val="20"/>
          <w:szCs w:val="20"/>
        </w:rPr>
      </w:pPr>
      <w:r>
        <w:rPr>
          <w:sz w:val="18"/>
          <w:szCs w:val="18"/>
        </w:rPr>
        <w:t xml:space="preserve">Holders of Series A preferred stock are entitled to receive </w:t>
      </w:r>
      <w:r>
        <w:rPr>
          <w:sz w:val="18"/>
          <w:szCs w:val="18"/>
        </w:rPr>
        <w:t>dividends at a rate equal to (on an as-if-converted-to-common stock basis), and in the same form and manner as, dividends (other than dividends in the form of the issuance of common stock) actually paid on shares of common stock.</w:t>
      </w:r>
      <w:r>
        <w:rPr>
          <w:sz w:val="18"/>
          <w:szCs w:val="18"/>
        </w:rPr>
        <w:t xml:space="preserve"> </w:t>
      </w:r>
      <w:r>
        <w:rPr>
          <w:sz w:val="18"/>
          <w:szCs w:val="18"/>
        </w:rPr>
        <w:t>No dividends on the common</w:t>
      </w:r>
      <w:r>
        <w:rPr>
          <w:sz w:val="18"/>
          <w:szCs w:val="18"/>
        </w:rPr>
        <w:t xml:space="preserve"> stock shall be declared and paid unless dividends on the Preferred Stock have been declared and paid</w:t>
      </w:r>
      <w:r>
        <w:rPr>
          <w:sz w:val="18"/>
          <w:szCs w:val="18"/>
        </w:rPr>
        <w:t>.</w:t>
      </w:r>
      <w:r>
        <w:rPr>
          <w:sz w:val="18"/>
          <w:szCs w:val="18"/>
        </w:rPr>
        <w:t xml:space="preserve"> Through</w:t>
      </w:r>
      <w:r>
        <w:rPr>
          <w:sz w:val="18"/>
          <w:szCs w:val="18"/>
        </w:rPr>
        <w:t xml:space="preserve"> </w:t>
      </w:r>
      <w:r>
        <w:rPr>
          <w:sz w:val="18"/>
          <w:szCs w:val="18"/>
        </w:rPr>
        <w:t>March 31, 202</w:t>
      </w:r>
      <w:r>
        <w:rPr>
          <w:sz w:val="18"/>
          <w:szCs w:val="18"/>
        </w:rPr>
        <w:t>2</w:t>
      </w:r>
      <w:r>
        <w:rPr>
          <w:sz w:val="18"/>
          <w:szCs w:val="18"/>
        </w:rPr>
        <w:t>, the Company has</w:t>
      </w:r>
      <w:r>
        <w:rPr>
          <w:sz w:val="18"/>
          <w:szCs w:val="18"/>
        </w:rPr>
        <w:t xml:space="preserve"> </w:t>
      </w:r>
      <w:r>
        <w:rPr>
          <w:sz w:val="18"/>
          <w:szCs w:val="18"/>
        </w:rPr>
        <w:t>n</w:t>
      </w:r>
      <w:r>
        <w:rPr>
          <w:sz w:val="18"/>
          <w:szCs w:val="18"/>
        </w:rPr>
        <w:t>o</w:t>
      </w:r>
      <w:r>
        <w:rPr>
          <w:sz w:val="18"/>
          <w:szCs w:val="18"/>
        </w:rPr>
        <w:t>t declared any dividends</w:t>
      </w:r>
      <w:r>
        <w:rPr>
          <w:sz w:val="18"/>
          <w:szCs w:val="18"/>
        </w:rPr>
        <w:t>.</w:t>
      </w:r>
    </w:p>
    <w:p w:rsidR="00000000" w:rsidRDefault="00CF461A">
      <w:pPr>
        <w:pStyle w:val="a3"/>
        <w:spacing w:before="0" w:beforeAutospacing="0" w:after="0" w:afterAutospacing="0"/>
        <w:jc w:val="both"/>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1</w:t>
      </w:r>
      <w:r>
        <w:rPr>
          <w:sz w:val="18"/>
          <w:szCs w:val="18"/>
        </w:rPr>
        <w:t>1</w:t>
      </w:r>
    </w:p>
    <w:p w:rsidR="00000000" w:rsidRDefault="00CF461A">
      <w:pPr>
        <w:rPr>
          <w:rFonts w:eastAsia="Times New Roman"/>
        </w:rPr>
      </w:pPr>
      <w:r>
        <w:rPr>
          <w:rFonts w:eastAsia="Times New Roman"/>
        </w:rPr>
        <w:pict>
          <v:rect id="_x0000_i1036"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360" w:beforeAutospacing="0" w:after="0" w:afterAutospacing="0"/>
        <w:jc w:val="both"/>
        <w:divId w:val="1921405041"/>
        <w:rPr>
          <w:sz w:val="20"/>
          <w:szCs w:val="20"/>
        </w:rPr>
      </w:pPr>
      <w:r>
        <w:rPr>
          <w:b/>
          <w:bCs/>
          <w:sz w:val="18"/>
          <w:szCs w:val="18"/>
        </w:rPr>
        <w:t>NOTE 8 – STOCK-BASED COMPENSATIO</w:t>
      </w:r>
      <w:r>
        <w:rPr>
          <w:b/>
          <w:bCs/>
          <w:sz w:val="18"/>
          <w:szCs w:val="18"/>
        </w:rPr>
        <w:t>N</w:t>
      </w:r>
    </w:p>
    <w:p w:rsidR="00000000" w:rsidRDefault="00CF461A">
      <w:pPr>
        <w:pStyle w:val="a3"/>
        <w:spacing w:before="240" w:beforeAutospacing="0" w:after="0" w:afterAutospacing="0"/>
        <w:jc w:val="both"/>
        <w:divId w:val="1921405041"/>
        <w:rPr>
          <w:sz w:val="20"/>
          <w:szCs w:val="20"/>
        </w:rPr>
      </w:pPr>
      <w:r>
        <w:rPr>
          <w:sz w:val="18"/>
          <w:szCs w:val="18"/>
        </w:rPr>
        <w:t>The Comp</w:t>
      </w:r>
      <w:r>
        <w:rPr>
          <w:sz w:val="18"/>
          <w:szCs w:val="18"/>
        </w:rPr>
        <w:t>any's Board of Directors adopted and the Company's stockholders approved the 2017 equity incentive plan (“2017 Plan”), which became effective immediately on May 4, 2017. The initial reserve of shares of common stock under the 2017 Plan was</w:t>
      </w:r>
      <w:r>
        <w:rPr>
          <w:sz w:val="18"/>
          <w:szCs w:val="18"/>
        </w:rPr>
        <w:t xml:space="preserve"> </w:t>
      </w:r>
      <w:r>
        <w:rPr>
          <w:sz w:val="18"/>
          <w:szCs w:val="18"/>
        </w:rPr>
        <w:t>3,052,05</w:t>
      </w:r>
      <w:r>
        <w:rPr>
          <w:sz w:val="18"/>
          <w:szCs w:val="18"/>
        </w:rPr>
        <w:t>9</w:t>
      </w:r>
      <w:r>
        <w:rPr>
          <w:sz w:val="18"/>
          <w:szCs w:val="18"/>
        </w:rPr>
        <w:t xml:space="preserve"> shares</w:t>
      </w:r>
      <w:r>
        <w:rPr>
          <w:sz w:val="18"/>
          <w:szCs w:val="18"/>
        </w:rPr>
        <w:t>. The 2017 Plan provides for the grant of incentive stock options, non-statutory stock options, restricted stock awards, restricted stock unit awards, stock appreciation rights, performance-based stock awards, and other forms of stock-based awards. Additio</w:t>
      </w:r>
      <w:r>
        <w:rPr>
          <w:sz w:val="18"/>
          <w:szCs w:val="18"/>
        </w:rPr>
        <w:t>nally, the 2017 Plan provides for the grant of performance cash awards. The Company's employees, officers, directors and consultants and advisors are eligible to receive awards under the 2017 Plan. Following the adoption of the 2017 Plan, no further awards</w:t>
      </w:r>
      <w:r>
        <w:rPr>
          <w:sz w:val="18"/>
          <w:szCs w:val="18"/>
        </w:rPr>
        <w:t xml:space="preserve"> will be granted under the Company’s prior plan.</w:t>
      </w:r>
      <w:r>
        <w:rPr>
          <w:sz w:val="18"/>
          <w:szCs w:val="18"/>
        </w:rPr>
        <w:t xml:space="preserve"> </w:t>
      </w:r>
      <w:r>
        <w:rPr>
          <w:sz w:val="18"/>
          <w:szCs w:val="18"/>
        </w:rPr>
        <w:t>Pursuant to the terms of the 2017 Plan, on each January 1st, the plan limit shall be increased by the lesser of (x)</w:t>
      </w:r>
      <w:r>
        <w:rPr>
          <w:sz w:val="18"/>
          <w:szCs w:val="18"/>
        </w:rPr>
        <w:t xml:space="preserve"> </w:t>
      </w:r>
      <w:r>
        <w:rPr>
          <w:sz w:val="18"/>
          <w:szCs w:val="18"/>
        </w:rPr>
        <w:t>5</w:t>
      </w:r>
      <w:r>
        <w:rPr>
          <w:sz w:val="18"/>
          <w:szCs w:val="18"/>
        </w:rPr>
        <w:t>% of the number of shares of common stock outstanding as of the immediately preceding Dece</w:t>
      </w:r>
      <w:r>
        <w:rPr>
          <w:sz w:val="18"/>
          <w:szCs w:val="18"/>
        </w:rPr>
        <w:t>mber 31 and (y) such lesser number as the Board of Directors may determine in its discretion</w:t>
      </w:r>
      <w:r>
        <w:rPr>
          <w:sz w:val="18"/>
          <w:szCs w:val="18"/>
        </w:rPr>
        <w:t>.</w:t>
      </w:r>
      <w:r>
        <w:rPr>
          <w:sz w:val="18"/>
          <w:szCs w:val="18"/>
        </w:rPr>
        <w:t xml:space="preserve"> On January 1, 2022 and January 1, 2021, respectively, an additional</w:t>
      </w:r>
      <w:r>
        <w:rPr>
          <w:sz w:val="18"/>
          <w:szCs w:val="18"/>
        </w:rPr>
        <w:t xml:space="preserve"> </w:t>
      </w:r>
      <w:r>
        <w:rPr>
          <w:sz w:val="18"/>
          <w:szCs w:val="18"/>
        </w:rPr>
        <w:t>1,000,00</w:t>
      </w:r>
      <w:r>
        <w:rPr>
          <w:sz w:val="18"/>
          <w:szCs w:val="18"/>
        </w:rPr>
        <w:t>0</w:t>
      </w:r>
      <w:r>
        <w:rPr>
          <w:sz w:val="18"/>
          <w:szCs w:val="18"/>
        </w:rPr>
        <w:t xml:space="preserve"> and</w:t>
      </w:r>
      <w:r>
        <w:rPr>
          <w:sz w:val="18"/>
          <w:szCs w:val="18"/>
        </w:rPr>
        <w:t xml:space="preserve"> </w:t>
      </w:r>
      <w:r>
        <w:rPr>
          <w:sz w:val="18"/>
          <w:szCs w:val="18"/>
        </w:rPr>
        <w:t>3,287,15</w:t>
      </w:r>
      <w:r>
        <w:rPr>
          <w:sz w:val="18"/>
          <w:szCs w:val="18"/>
        </w:rPr>
        <w:t>8</w:t>
      </w:r>
      <w:r>
        <w:rPr>
          <w:sz w:val="18"/>
          <w:szCs w:val="18"/>
        </w:rPr>
        <w:t xml:space="preserve"> shares were reserved for issuance under the 2017 Plan. As of March 31,</w:t>
      </w:r>
      <w:r>
        <w:rPr>
          <w:sz w:val="18"/>
          <w:szCs w:val="18"/>
        </w:rPr>
        <w:t xml:space="preserve"> 2022, there were</w:t>
      </w:r>
      <w:r>
        <w:rPr>
          <w:sz w:val="18"/>
          <w:szCs w:val="18"/>
        </w:rPr>
        <w:t xml:space="preserve"> </w:t>
      </w:r>
      <w:r>
        <w:rPr>
          <w:sz w:val="18"/>
          <w:szCs w:val="18"/>
        </w:rPr>
        <w:t>3,404,41</w:t>
      </w:r>
      <w:r>
        <w:rPr>
          <w:sz w:val="18"/>
          <w:szCs w:val="18"/>
        </w:rPr>
        <w:t>8</w:t>
      </w:r>
      <w:r>
        <w:rPr>
          <w:sz w:val="18"/>
          <w:szCs w:val="18"/>
        </w:rPr>
        <w:t xml:space="preserve"> shares of the Company’s common stock reserved and available for issuance under the 2017 Plan</w:t>
      </w:r>
      <w:r>
        <w:rPr>
          <w:sz w:val="18"/>
          <w:szCs w:val="18"/>
        </w:rPr>
        <w:t>.</w:t>
      </w:r>
      <w:r>
        <w:rPr>
          <w:sz w:val="18"/>
          <w:szCs w:val="18"/>
        </w:rPr>
        <w:t xml:space="preserve"> </w:t>
      </w:r>
    </w:p>
    <w:p w:rsidR="00000000" w:rsidRDefault="00CF461A">
      <w:pPr>
        <w:pStyle w:val="a3"/>
        <w:spacing w:before="240" w:beforeAutospacing="0" w:after="0" w:afterAutospacing="0"/>
        <w:jc w:val="both"/>
        <w:divId w:val="1921405041"/>
        <w:rPr>
          <w:sz w:val="20"/>
          <w:szCs w:val="20"/>
        </w:rPr>
      </w:pPr>
      <w:r>
        <w:rPr>
          <w:sz w:val="18"/>
          <w:szCs w:val="18"/>
        </w:rPr>
        <w:t>The Company's Board of Directors adopted, and the Company's stockholders approved the 2017 employee stock purchase plan (the “2017 ES</w:t>
      </w:r>
      <w:r>
        <w:rPr>
          <w:sz w:val="18"/>
          <w:szCs w:val="18"/>
        </w:rPr>
        <w:t>PP”), which became effective immediately prior to the execution of the underwriting agreement related to the Company’s initial public offering on May 4, 2017. The ESPP allows employees to purchase common stock of the Company at a</w:t>
      </w:r>
      <w:r>
        <w:rPr>
          <w:sz w:val="18"/>
          <w:szCs w:val="18"/>
        </w:rPr>
        <w:t xml:space="preserve"> </w:t>
      </w:r>
      <w:r>
        <w:rPr>
          <w:sz w:val="18"/>
          <w:szCs w:val="18"/>
        </w:rPr>
        <w:t>1</w:t>
      </w:r>
      <w:r>
        <w:rPr>
          <w:sz w:val="18"/>
          <w:szCs w:val="18"/>
        </w:rPr>
        <w:t>5</w:t>
      </w:r>
      <w:r>
        <w:rPr>
          <w:sz w:val="18"/>
          <w:szCs w:val="18"/>
        </w:rPr>
        <w:t>% discount to the market</w:t>
      </w:r>
      <w:r>
        <w:rPr>
          <w:sz w:val="18"/>
          <w:szCs w:val="18"/>
        </w:rPr>
        <w:t xml:space="preserve"> price on designated purchase dates. During the</w:t>
      </w:r>
      <w:r>
        <w:rPr>
          <w:sz w:val="18"/>
          <w:szCs w:val="18"/>
        </w:rPr>
        <w:t xml:space="preserve"> </w:t>
      </w:r>
      <w:r>
        <w:rPr>
          <w:sz w:val="18"/>
          <w:szCs w:val="18"/>
        </w:rPr>
        <w:t>three months ended March 31, 2022 and 2021,</w:t>
      </w:r>
      <w:r>
        <w:rPr>
          <w:sz w:val="18"/>
          <w:szCs w:val="18"/>
        </w:rPr>
        <w:t xml:space="preserve"> </w:t>
      </w:r>
      <w:r>
        <w:rPr>
          <w:sz w:val="18"/>
          <w:szCs w:val="18"/>
        </w:rPr>
        <w:t>38,58</w:t>
      </w:r>
      <w:r>
        <w:rPr>
          <w:sz w:val="18"/>
          <w:szCs w:val="18"/>
        </w:rPr>
        <w:t>3</w:t>
      </w:r>
      <w:r>
        <w:rPr>
          <w:sz w:val="18"/>
          <w:szCs w:val="18"/>
        </w:rPr>
        <w:t xml:space="preserve"> and</w:t>
      </w:r>
      <w:r>
        <w:rPr>
          <w:sz w:val="18"/>
          <w:szCs w:val="18"/>
        </w:rPr>
        <w:t xml:space="preserve"> </w:t>
      </w:r>
      <w:r>
        <w:rPr>
          <w:sz w:val="18"/>
          <w:szCs w:val="18"/>
        </w:rPr>
        <w:t>34,25</w:t>
      </w:r>
      <w:r>
        <w:rPr>
          <w:sz w:val="18"/>
          <w:szCs w:val="18"/>
        </w:rPr>
        <w:t>6</w:t>
      </w:r>
      <w:r>
        <w:rPr>
          <w:sz w:val="18"/>
          <w:szCs w:val="18"/>
        </w:rPr>
        <w:t xml:space="preserve"> shares, respectively, were purchased under the ESPP and the Company recorded expense of</w:t>
      </w:r>
      <w:r>
        <w:rPr>
          <w:sz w:val="18"/>
          <w:szCs w:val="18"/>
        </w:rPr>
        <w:t xml:space="preserve"> </w:t>
      </w:r>
      <w:r>
        <w:rPr>
          <w:sz w:val="18"/>
          <w:szCs w:val="18"/>
        </w:rPr>
        <w:t>$</w:t>
      </w:r>
      <w:r>
        <w:rPr>
          <w:sz w:val="18"/>
          <w:szCs w:val="18"/>
        </w:rPr>
        <w:t>21,00</w:t>
      </w:r>
      <w:r>
        <w:rPr>
          <w:sz w:val="18"/>
          <w:szCs w:val="18"/>
        </w:rPr>
        <w:t>0</w:t>
      </w:r>
      <w:r>
        <w:rPr>
          <w:sz w:val="18"/>
          <w:szCs w:val="18"/>
        </w:rPr>
        <w:t xml:space="preserve"> and</w:t>
      </w:r>
      <w:r>
        <w:rPr>
          <w:sz w:val="18"/>
          <w:szCs w:val="18"/>
        </w:rPr>
        <w:t xml:space="preserve"> </w:t>
      </w:r>
      <w:r>
        <w:rPr>
          <w:sz w:val="18"/>
          <w:szCs w:val="18"/>
        </w:rPr>
        <w:t>$</w:t>
      </w:r>
      <w:r>
        <w:rPr>
          <w:sz w:val="18"/>
          <w:szCs w:val="18"/>
        </w:rPr>
        <w:t>19,00</w:t>
      </w:r>
      <w:r>
        <w:rPr>
          <w:sz w:val="18"/>
          <w:szCs w:val="18"/>
        </w:rPr>
        <w:t>0</w:t>
      </w:r>
      <w:r>
        <w:rPr>
          <w:sz w:val="18"/>
          <w:szCs w:val="18"/>
        </w:rPr>
        <w:t xml:space="preserve">, respectively. The initial reserve of </w:t>
      </w:r>
      <w:r>
        <w:rPr>
          <w:sz w:val="18"/>
          <w:szCs w:val="18"/>
        </w:rPr>
        <w:t>shares of common stock that may be issued under the 2017 ESPP was</w:t>
      </w:r>
      <w:r>
        <w:rPr>
          <w:sz w:val="18"/>
          <w:szCs w:val="18"/>
        </w:rPr>
        <w:t xml:space="preserve"> </w:t>
      </w:r>
      <w:r>
        <w:rPr>
          <w:sz w:val="18"/>
          <w:szCs w:val="18"/>
        </w:rPr>
        <w:t>279,06</w:t>
      </w:r>
      <w:r>
        <w:rPr>
          <w:sz w:val="18"/>
          <w:szCs w:val="18"/>
        </w:rPr>
        <w:t>9</w:t>
      </w:r>
      <w:r>
        <w:rPr>
          <w:sz w:val="18"/>
          <w:szCs w:val="18"/>
        </w:rPr>
        <w:t xml:space="preserve"> shares.</w:t>
      </w:r>
      <w:r>
        <w:rPr>
          <w:sz w:val="18"/>
          <w:szCs w:val="18"/>
        </w:rPr>
        <w:t xml:space="preserve"> </w:t>
      </w:r>
      <w:r>
        <w:rPr>
          <w:sz w:val="18"/>
          <w:szCs w:val="18"/>
        </w:rPr>
        <w:t>The number of shares of common stock reserved for issuance under the 2017 ESPP will automatically increase on January 1 of each year, beginning on January 1, 2018 and continu</w:t>
      </w:r>
      <w:r>
        <w:rPr>
          <w:sz w:val="18"/>
          <w:szCs w:val="18"/>
        </w:rPr>
        <w:t>ing through and including January 1, 2027, by the lesser of (i)</w:t>
      </w:r>
      <w:r>
        <w:rPr>
          <w:sz w:val="18"/>
          <w:szCs w:val="18"/>
        </w:rPr>
        <w:t xml:space="preserve"> </w:t>
      </w:r>
      <w:r>
        <w:rPr>
          <w:sz w:val="18"/>
          <w:szCs w:val="18"/>
        </w:rPr>
        <w:t>1</w:t>
      </w:r>
      <w:r>
        <w:rPr>
          <w:sz w:val="18"/>
          <w:szCs w:val="18"/>
        </w:rPr>
        <w:t>% of the total number of shares of the Company’s common stock outstanding on December 31 of the preceding calendar year, (ii)</w:t>
      </w:r>
      <w:r>
        <w:rPr>
          <w:sz w:val="18"/>
          <w:szCs w:val="18"/>
        </w:rPr>
        <w:t xml:space="preserve"> </w:t>
      </w:r>
      <w:r>
        <w:rPr>
          <w:sz w:val="18"/>
          <w:szCs w:val="18"/>
        </w:rPr>
        <w:t>550,00</w:t>
      </w:r>
      <w:r>
        <w:rPr>
          <w:sz w:val="18"/>
          <w:szCs w:val="18"/>
        </w:rPr>
        <w:t>0</w:t>
      </w:r>
      <w:r>
        <w:rPr>
          <w:sz w:val="18"/>
          <w:szCs w:val="18"/>
        </w:rPr>
        <w:t xml:space="preserve"> shares or (iii) such lesser number of shares determined b</w:t>
      </w:r>
      <w:r>
        <w:rPr>
          <w:sz w:val="18"/>
          <w:szCs w:val="18"/>
        </w:rPr>
        <w:t>y our Board</w:t>
      </w:r>
      <w:r>
        <w:rPr>
          <w:sz w:val="18"/>
          <w:szCs w:val="18"/>
        </w:rPr>
        <w:t>.</w:t>
      </w:r>
      <w:r>
        <w:rPr>
          <w:sz w:val="18"/>
          <w:szCs w:val="18"/>
        </w:rPr>
        <w:t xml:space="preserve"> The Board acted prior to each of January 1, 2021 and January 1, 2022 to provide that there be</w:t>
      </w:r>
      <w:r>
        <w:rPr>
          <w:sz w:val="18"/>
          <w:szCs w:val="18"/>
        </w:rPr>
        <w:t xml:space="preserve"> </w:t>
      </w:r>
      <w:r>
        <w:rPr>
          <w:sz w:val="18"/>
          <w:szCs w:val="18"/>
        </w:rPr>
        <w:t>n</w:t>
      </w:r>
      <w:r>
        <w:rPr>
          <w:sz w:val="18"/>
          <w:szCs w:val="18"/>
        </w:rPr>
        <w:t>o</w:t>
      </w:r>
      <w:r>
        <w:rPr>
          <w:sz w:val="18"/>
          <w:szCs w:val="18"/>
        </w:rPr>
        <w:t xml:space="preserve"> increase in the number of shares reserved for issuance under the 2017 ESPP on either such date. As of</w:t>
      </w:r>
      <w:r>
        <w:rPr>
          <w:sz w:val="18"/>
          <w:szCs w:val="18"/>
        </w:rPr>
        <w:t xml:space="preserve"> </w:t>
      </w:r>
      <w:r>
        <w:rPr>
          <w:sz w:val="18"/>
          <w:szCs w:val="18"/>
        </w:rPr>
        <w:t>March 31, 2022, there were</w:t>
      </w:r>
      <w:r>
        <w:rPr>
          <w:sz w:val="18"/>
          <w:szCs w:val="18"/>
        </w:rPr>
        <w:t xml:space="preserve"> </w:t>
      </w:r>
      <w:r>
        <w:rPr>
          <w:sz w:val="18"/>
          <w:szCs w:val="18"/>
        </w:rPr>
        <w:t>454,47</w:t>
      </w:r>
      <w:r>
        <w:rPr>
          <w:sz w:val="18"/>
          <w:szCs w:val="18"/>
        </w:rPr>
        <w:t>9</w:t>
      </w:r>
      <w:r>
        <w:rPr>
          <w:sz w:val="18"/>
          <w:szCs w:val="18"/>
        </w:rPr>
        <w:t xml:space="preserve"> shares of</w:t>
      </w:r>
      <w:r>
        <w:rPr>
          <w:sz w:val="18"/>
          <w:szCs w:val="18"/>
        </w:rPr>
        <w:t xml:space="preserve"> the Company’s common stock reserved for issuance under the 2017 ESPP</w:t>
      </w:r>
      <w:r>
        <w:rPr>
          <w:sz w:val="18"/>
          <w:szCs w:val="18"/>
        </w:rPr>
        <w:t>.</w:t>
      </w:r>
    </w:p>
    <w:p w:rsidR="00000000" w:rsidRDefault="00CF461A">
      <w:pPr>
        <w:pStyle w:val="a3"/>
        <w:spacing w:before="240" w:beforeAutospacing="0" w:after="0" w:afterAutospacing="0"/>
        <w:jc w:val="both"/>
        <w:divId w:val="1921405041"/>
        <w:rPr>
          <w:sz w:val="20"/>
          <w:szCs w:val="20"/>
        </w:rPr>
      </w:pPr>
      <w:r>
        <w:rPr>
          <w:sz w:val="18"/>
          <w:szCs w:val="18"/>
        </w:rPr>
        <w:t>Unless specified otherwise in an individual option agreement, stock options granted under the prior plan and the 2017 Plan generally have a</w:t>
      </w:r>
      <w:r>
        <w:rPr>
          <w:sz w:val="18"/>
          <w:szCs w:val="18"/>
        </w:rPr>
        <w:t xml:space="preserve"> </w:t>
      </w:r>
      <w:r>
        <w:rPr>
          <w:sz w:val="18"/>
          <w:szCs w:val="18"/>
        </w:rPr>
        <w:t>ten-yea</w:t>
      </w:r>
      <w:r>
        <w:rPr>
          <w:sz w:val="18"/>
          <w:szCs w:val="18"/>
        </w:rPr>
        <w:t>r</w:t>
      </w:r>
      <w:r>
        <w:rPr>
          <w:sz w:val="18"/>
          <w:szCs w:val="18"/>
        </w:rPr>
        <w:t xml:space="preserve"> term and </w:t>
      </w:r>
      <w:r>
        <w:rPr>
          <w:sz w:val="18"/>
          <w:szCs w:val="18"/>
        </w:rPr>
        <w:t>a</w:t>
      </w:r>
      <w:r>
        <w:rPr>
          <w:sz w:val="18"/>
          <w:szCs w:val="18"/>
        </w:rPr>
        <w:t xml:space="preserve"> four-yea</w:t>
      </w:r>
      <w:r>
        <w:rPr>
          <w:sz w:val="18"/>
          <w:szCs w:val="18"/>
        </w:rPr>
        <w:t>r</w:t>
      </w:r>
      <w:r>
        <w:rPr>
          <w:sz w:val="18"/>
          <w:szCs w:val="18"/>
        </w:rPr>
        <w:t xml:space="preserve"> graded vesting </w:t>
      </w:r>
      <w:r>
        <w:rPr>
          <w:sz w:val="18"/>
          <w:szCs w:val="18"/>
        </w:rPr>
        <w:t>period. The vesting requirement is generally conditioned upon the grantee’s continued service with the Company during the vesting period. Once vested, all awards are exercisable from the date of grant until they expire. The option grants are non-transferab</w:t>
      </w:r>
      <w:r>
        <w:rPr>
          <w:sz w:val="18"/>
          <w:szCs w:val="18"/>
        </w:rPr>
        <w:t>le. Vested options generally remain exercisable for</w:t>
      </w:r>
      <w:r>
        <w:rPr>
          <w:sz w:val="18"/>
          <w:szCs w:val="18"/>
        </w:rPr>
        <w:t xml:space="preserve"> </w:t>
      </w:r>
      <w:r>
        <w:rPr>
          <w:sz w:val="18"/>
          <w:szCs w:val="18"/>
        </w:rPr>
        <w:t>9</w:t>
      </w:r>
      <w:r>
        <w:rPr>
          <w:sz w:val="18"/>
          <w:szCs w:val="18"/>
        </w:rPr>
        <w:t>0</w:t>
      </w:r>
      <w:r>
        <w:rPr>
          <w:sz w:val="18"/>
          <w:szCs w:val="18"/>
        </w:rPr>
        <w:t xml:space="preserve"> days subsequent to the termination of the option holder’s service with the Company. In the event of option holder’s death or disability while employed by or providing service to the Company, the exerci</w:t>
      </w:r>
      <w:r>
        <w:rPr>
          <w:sz w:val="18"/>
          <w:szCs w:val="18"/>
        </w:rPr>
        <w:t>sable period extends to 12 months</w:t>
      </w:r>
      <w:r>
        <w:rPr>
          <w:sz w:val="18"/>
          <w:szCs w:val="18"/>
        </w:rPr>
        <w:t>.</w:t>
      </w:r>
    </w:p>
    <w:p w:rsidR="00000000" w:rsidRDefault="00CF461A">
      <w:pPr>
        <w:pStyle w:val="a3"/>
        <w:spacing w:before="240" w:beforeAutospacing="0" w:after="0" w:afterAutospacing="0"/>
        <w:jc w:val="both"/>
        <w:divId w:val="1921405041"/>
        <w:rPr>
          <w:sz w:val="20"/>
          <w:szCs w:val="20"/>
        </w:rPr>
      </w:pPr>
      <w:r>
        <w:rPr>
          <w:sz w:val="18"/>
          <w:szCs w:val="18"/>
        </w:rPr>
        <w:t>Performance-based option awards generally have similar terms, with vesting commencing on the date the performance condition is achieved and expire in accordance with the specific terms of the agreement. At March 31, 2022,</w:t>
      </w:r>
      <w:r>
        <w:rPr>
          <w:sz w:val="18"/>
          <w:szCs w:val="18"/>
        </w:rPr>
        <w:t xml:space="preserve"> there were</w:t>
      </w:r>
      <w:r>
        <w:rPr>
          <w:sz w:val="18"/>
          <w:szCs w:val="18"/>
        </w:rPr>
        <w:t xml:space="preserve"> </w:t>
      </w:r>
      <w:r>
        <w:rPr>
          <w:sz w:val="18"/>
          <w:szCs w:val="18"/>
        </w:rPr>
        <w:t>150,00</w:t>
      </w:r>
      <w:r>
        <w:rPr>
          <w:sz w:val="18"/>
          <w:szCs w:val="18"/>
        </w:rPr>
        <w:t>0</w:t>
      </w:r>
      <w:r>
        <w:rPr>
          <w:sz w:val="18"/>
          <w:szCs w:val="18"/>
        </w:rPr>
        <w:t xml:space="preserve"> performance-based options outstanding and unvested that include options to be granted upon the achievement of certain research and development milestones</w:t>
      </w:r>
      <w:r>
        <w:rPr>
          <w:sz w:val="18"/>
          <w:szCs w:val="18"/>
        </w:rPr>
        <w:t>.</w:t>
      </w:r>
      <w:r>
        <w:rPr>
          <w:sz w:val="18"/>
          <w:szCs w:val="18"/>
        </w:rPr>
        <w:t xml:space="preserve"> </w:t>
      </w:r>
    </w:p>
    <w:p w:rsidR="00000000" w:rsidRDefault="00CF461A">
      <w:pPr>
        <w:pStyle w:val="a3"/>
        <w:spacing w:before="240" w:beforeAutospacing="0" w:after="0" w:afterAutospacing="0"/>
        <w:jc w:val="both"/>
        <w:divId w:val="1921405041"/>
        <w:rPr>
          <w:sz w:val="20"/>
          <w:szCs w:val="20"/>
        </w:rPr>
      </w:pPr>
      <w:r>
        <w:rPr>
          <w:sz w:val="18"/>
          <w:szCs w:val="18"/>
        </w:rPr>
        <w:t>The fair value of options granted during the three months ended March 31, 2022 and 2021 was estimated using the Black-Scholes option valuation model. The inputs for the Black-Scholes option valuation model require management’s significant assumptions and a</w:t>
      </w:r>
      <w:r>
        <w:rPr>
          <w:sz w:val="18"/>
          <w:szCs w:val="18"/>
        </w:rPr>
        <w:t>re detailed in the table below. The risk-free interest rates were based on the rate for U.S. Treasury securities at the date of grant with maturity dates approximately equal to the expected life at the grant date. The expected life was based on the simplif</w:t>
      </w:r>
      <w:r>
        <w:rPr>
          <w:sz w:val="18"/>
          <w:szCs w:val="18"/>
        </w:rPr>
        <w:t>ied method in accordance with the SEC Staff Accounting Bulletin No. Topic 14D. The expected volatility was estimated based on historical volatility information of peer companies that are publicly available</w:t>
      </w:r>
      <w:r>
        <w:rPr>
          <w:sz w:val="18"/>
          <w:szCs w:val="18"/>
        </w:rPr>
        <w:t>.</w:t>
      </w:r>
      <w:r>
        <w:rPr>
          <w:sz w:val="18"/>
          <w:szCs w:val="18"/>
        </w:rPr>
        <w:t xml:space="preserve"> </w:t>
      </w:r>
    </w:p>
    <w:p w:rsidR="00000000" w:rsidRDefault="00CF461A">
      <w:pPr>
        <w:pStyle w:val="a3"/>
        <w:spacing w:before="240" w:beforeAutospacing="0" w:after="0" w:afterAutospacing="0"/>
        <w:jc w:val="both"/>
        <w:divId w:val="1921405041"/>
        <w:rPr>
          <w:sz w:val="20"/>
          <w:szCs w:val="20"/>
        </w:rPr>
      </w:pPr>
      <w:r>
        <w:rPr>
          <w:sz w:val="18"/>
          <w:szCs w:val="18"/>
        </w:rPr>
        <w:t>All assumptions used to calculate the grant date</w:t>
      </w:r>
      <w:r>
        <w:rPr>
          <w:sz w:val="18"/>
          <w:szCs w:val="18"/>
        </w:rPr>
        <w:t xml:space="preserve"> fair value of nonemployee options are generally consistent with the assumptions used for options granted to employees. In the event the Company terminates any of its consulting agreements, the unvested options underlying the agreements would also be cance</w:t>
      </w:r>
      <w:r>
        <w:rPr>
          <w:sz w:val="18"/>
          <w:szCs w:val="18"/>
        </w:rPr>
        <w:t>led</w:t>
      </w:r>
      <w:r>
        <w:rPr>
          <w:sz w:val="18"/>
          <w:szCs w:val="18"/>
        </w:rPr>
        <w:t>.</w:t>
      </w:r>
    </w:p>
    <w:p w:rsidR="00000000" w:rsidRDefault="00CF461A">
      <w:pPr>
        <w:pStyle w:val="a3"/>
        <w:spacing w:before="240" w:beforeAutospacing="0" w:after="0" w:afterAutospacing="0"/>
        <w:jc w:val="both"/>
        <w:divId w:val="1921405041"/>
        <w:rPr>
          <w:sz w:val="20"/>
          <w:szCs w:val="20"/>
        </w:rPr>
      </w:pPr>
      <w:r>
        <w:rPr>
          <w:sz w:val="18"/>
          <w:szCs w:val="18"/>
        </w:rPr>
        <w:t>The Company granted</w:t>
      </w:r>
      <w:r>
        <w:rPr>
          <w:sz w:val="18"/>
          <w:szCs w:val="18"/>
        </w:rPr>
        <w:t xml:space="preserve"> </w:t>
      </w:r>
      <w:r>
        <w:rPr>
          <w:sz w:val="18"/>
          <w:szCs w:val="18"/>
        </w:rPr>
        <w:t>n</w:t>
      </w:r>
      <w:r>
        <w:rPr>
          <w:sz w:val="18"/>
          <w:szCs w:val="18"/>
        </w:rPr>
        <w:t>o</w:t>
      </w:r>
      <w:r>
        <w:rPr>
          <w:sz w:val="18"/>
          <w:szCs w:val="18"/>
        </w:rPr>
        <w:t xml:space="preserve"> stock options to nonemployee consultants for services rendered during the</w:t>
      </w:r>
      <w:r>
        <w:rPr>
          <w:sz w:val="18"/>
          <w:szCs w:val="18"/>
        </w:rPr>
        <w:t xml:space="preserve"> </w:t>
      </w:r>
      <w:r>
        <w:rPr>
          <w:sz w:val="18"/>
          <w:szCs w:val="18"/>
        </w:rPr>
        <w:t>three months ended March 31, 2022 and 2021. There were</w:t>
      </w:r>
      <w:r>
        <w:rPr>
          <w:sz w:val="18"/>
          <w:szCs w:val="18"/>
        </w:rPr>
        <w:t xml:space="preserve"> </w:t>
      </w:r>
      <w:r>
        <w:rPr>
          <w:sz w:val="18"/>
          <w:szCs w:val="18"/>
        </w:rPr>
        <w:t>175,93</w:t>
      </w:r>
      <w:r>
        <w:rPr>
          <w:sz w:val="18"/>
          <w:szCs w:val="18"/>
        </w:rPr>
        <w:t>8</w:t>
      </w:r>
      <w:r>
        <w:rPr>
          <w:sz w:val="18"/>
          <w:szCs w:val="18"/>
        </w:rPr>
        <w:t xml:space="preserve"> and</w:t>
      </w:r>
      <w:r>
        <w:rPr>
          <w:sz w:val="18"/>
          <w:szCs w:val="18"/>
        </w:rPr>
        <w:t xml:space="preserve"> </w:t>
      </w:r>
      <w:r>
        <w:rPr>
          <w:sz w:val="18"/>
          <w:szCs w:val="18"/>
        </w:rPr>
        <w:t>186,56</w:t>
      </w:r>
      <w:r>
        <w:rPr>
          <w:sz w:val="18"/>
          <w:szCs w:val="18"/>
        </w:rPr>
        <w:t>3</w:t>
      </w:r>
      <w:r>
        <w:rPr>
          <w:sz w:val="18"/>
          <w:szCs w:val="18"/>
        </w:rPr>
        <w:t xml:space="preserve"> unvested nonemployee options outstanding as of March 31, 2022 and 2021, respect</w:t>
      </w:r>
      <w:r>
        <w:rPr>
          <w:sz w:val="18"/>
          <w:szCs w:val="18"/>
        </w:rPr>
        <w:t>ively. Total expense recognized related to the nonemployee stock options for the three months ended March 31, 2022 and 2021, was</w:t>
      </w:r>
      <w:r>
        <w:rPr>
          <w:sz w:val="18"/>
          <w:szCs w:val="18"/>
        </w:rPr>
        <w:t xml:space="preserve"> </w:t>
      </w:r>
      <w:r>
        <w:rPr>
          <w:sz w:val="18"/>
          <w:szCs w:val="18"/>
        </w:rPr>
        <w:t>$</w:t>
      </w:r>
      <w:r>
        <w:rPr>
          <w:sz w:val="18"/>
          <w:szCs w:val="18"/>
        </w:rPr>
        <w:t>195,00</w:t>
      </w:r>
      <w:r>
        <w:rPr>
          <w:sz w:val="18"/>
          <w:szCs w:val="18"/>
        </w:rPr>
        <w:t>0</w:t>
      </w:r>
      <w:r>
        <w:rPr>
          <w:sz w:val="18"/>
          <w:szCs w:val="18"/>
        </w:rPr>
        <w:t xml:space="preserve"> and</w:t>
      </w:r>
      <w:r>
        <w:rPr>
          <w:sz w:val="18"/>
          <w:szCs w:val="18"/>
        </w:rPr>
        <w:t xml:space="preserve"> </w:t>
      </w:r>
      <w:r>
        <w:rPr>
          <w:sz w:val="18"/>
          <w:szCs w:val="18"/>
        </w:rPr>
        <w:t>$</w:t>
      </w:r>
      <w:r>
        <w:rPr>
          <w:sz w:val="18"/>
          <w:szCs w:val="18"/>
        </w:rPr>
        <w:t>35,00</w:t>
      </w:r>
      <w:r>
        <w:rPr>
          <w:sz w:val="18"/>
          <w:szCs w:val="18"/>
        </w:rPr>
        <w:t>0</w:t>
      </w:r>
      <w:r>
        <w:rPr>
          <w:sz w:val="18"/>
          <w:szCs w:val="18"/>
        </w:rPr>
        <w:t>, respectively. Total unrecognized compensation expenses related to the nonemployee stock options was</w:t>
      </w:r>
      <w:r>
        <w:rPr>
          <w:sz w:val="18"/>
          <w:szCs w:val="18"/>
        </w:rPr>
        <w:t xml:space="preserve"> </w:t>
      </w:r>
      <w:r>
        <w:rPr>
          <w:sz w:val="18"/>
          <w:szCs w:val="18"/>
        </w:rPr>
        <w:t>$</w:t>
      </w:r>
      <w:r>
        <w:rPr>
          <w:sz w:val="18"/>
          <w:szCs w:val="18"/>
        </w:rPr>
        <w:t>1.</w:t>
      </w:r>
      <w:r>
        <w:rPr>
          <w:sz w:val="18"/>
          <w:szCs w:val="18"/>
        </w:rPr>
        <w:t>1</w:t>
      </w:r>
      <w:r>
        <w:rPr>
          <w:sz w:val="18"/>
          <w:szCs w:val="18"/>
        </w:rPr>
        <w:t xml:space="preserve"> </w:t>
      </w:r>
      <w:r>
        <w:rPr>
          <w:sz w:val="18"/>
          <w:szCs w:val="18"/>
        </w:rPr>
        <w:t>million as of March 31, 202</w:t>
      </w:r>
      <w:r>
        <w:rPr>
          <w:sz w:val="18"/>
          <w:szCs w:val="18"/>
        </w:rPr>
        <w:t>2</w:t>
      </w:r>
      <w:r>
        <w:rPr>
          <w:sz w:val="18"/>
          <w:szCs w:val="18"/>
        </w:rPr>
        <w:t>. The Company did</w:t>
      </w:r>
      <w:r>
        <w:rPr>
          <w:sz w:val="18"/>
          <w:szCs w:val="18"/>
        </w:rPr>
        <w:t xml:space="preserve"> </w:t>
      </w:r>
      <w:r>
        <w:rPr>
          <w:sz w:val="18"/>
          <w:szCs w:val="18"/>
        </w:rPr>
        <w:t>n</w:t>
      </w:r>
      <w:r>
        <w:rPr>
          <w:sz w:val="18"/>
          <w:szCs w:val="18"/>
        </w:rPr>
        <w:t>o</w:t>
      </w:r>
      <w:r>
        <w:rPr>
          <w:sz w:val="18"/>
          <w:szCs w:val="18"/>
        </w:rPr>
        <w:t>t recognize any expense for nonemployee performance-based option awards during the</w:t>
      </w:r>
      <w:r>
        <w:rPr>
          <w:sz w:val="18"/>
          <w:szCs w:val="18"/>
        </w:rPr>
        <w:t xml:space="preserve"> </w:t>
      </w:r>
      <w:r>
        <w:rPr>
          <w:sz w:val="18"/>
          <w:szCs w:val="18"/>
        </w:rPr>
        <w:t>three months ended March 31, 2022</w:t>
      </w:r>
      <w:r>
        <w:rPr>
          <w:sz w:val="18"/>
          <w:szCs w:val="18"/>
        </w:rPr>
        <w:t>.</w:t>
      </w:r>
    </w:p>
    <w:p w:rsidR="00000000" w:rsidRDefault="00CF461A">
      <w:pPr>
        <w:pStyle w:val="a3"/>
        <w:spacing w:before="240" w:beforeAutospacing="0" w:after="0" w:afterAutospacing="0"/>
        <w:jc w:val="both"/>
        <w:divId w:val="1921405041"/>
        <w:rPr>
          <w:sz w:val="20"/>
          <w:szCs w:val="20"/>
        </w:rPr>
      </w:pPr>
      <w:r>
        <w:rPr>
          <w:sz w:val="18"/>
          <w:szCs w:val="18"/>
        </w:rPr>
        <w:t>The Company granted</w:t>
      </w:r>
      <w:r>
        <w:rPr>
          <w:sz w:val="18"/>
          <w:szCs w:val="18"/>
        </w:rPr>
        <w:t xml:space="preserve"> </w:t>
      </w:r>
      <w:r>
        <w:rPr>
          <w:sz w:val="18"/>
          <w:szCs w:val="18"/>
        </w:rPr>
        <w:t>2,426,75</w:t>
      </w:r>
      <w:r>
        <w:rPr>
          <w:sz w:val="18"/>
          <w:szCs w:val="18"/>
        </w:rPr>
        <w:t>0</w:t>
      </w:r>
      <w:r>
        <w:rPr>
          <w:sz w:val="18"/>
          <w:szCs w:val="18"/>
        </w:rPr>
        <w:t xml:space="preserve"> and</w:t>
      </w:r>
      <w:r>
        <w:rPr>
          <w:sz w:val="18"/>
          <w:szCs w:val="18"/>
        </w:rPr>
        <w:t xml:space="preserve"> </w:t>
      </w:r>
      <w:r>
        <w:rPr>
          <w:sz w:val="18"/>
          <w:szCs w:val="18"/>
        </w:rPr>
        <w:t>643,60</w:t>
      </w:r>
      <w:r>
        <w:rPr>
          <w:sz w:val="18"/>
          <w:szCs w:val="18"/>
        </w:rPr>
        <w:t>0</w:t>
      </w:r>
      <w:r>
        <w:rPr>
          <w:sz w:val="18"/>
          <w:szCs w:val="18"/>
        </w:rPr>
        <w:t xml:space="preserve"> stock options to employees during the three mont</w:t>
      </w:r>
      <w:r>
        <w:rPr>
          <w:sz w:val="18"/>
          <w:szCs w:val="18"/>
        </w:rPr>
        <w:t>hs ended March 31, 2022 and 2021 respectively. There were</w:t>
      </w:r>
      <w:r>
        <w:rPr>
          <w:sz w:val="18"/>
          <w:szCs w:val="18"/>
        </w:rPr>
        <w:t xml:space="preserve"> </w:t>
      </w:r>
      <w:r>
        <w:rPr>
          <w:sz w:val="18"/>
          <w:szCs w:val="18"/>
        </w:rPr>
        <w:t>5,954,02</w:t>
      </w:r>
      <w:r>
        <w:rPr>
          <w:sz w:val="18"/>
          <w:szCs w:val="18"/>
        </w:rPr>
        <w:t>9</w:t>
      </w:r>
      <w:r>
        <w:rPr>
          <w:sz w:val="18"/>
          <w:szCs w:val="18"/>
        </w:rPr>
        <w:t xml:space="preserve"> and</w:t>
      </w:r>
      <w:r>
        <w:rPr>
          <w:sz w:val="18"/>
          <w:szCs w:val="18"/>
        </w:rPr>
        <w:t xml:space="preserve"> </w:t>
      </w:r>
      <w:r>
        <w:rPr>
          <w:sz w:val="18"/>
          <w:szCs w:val="18"/>
        </w:rPr>
        <w:t>5,156,00</w:t>
      </w:r>
      <w:r>
        <w:rPr>
          <w:sz w:val="18"/>
          <w:szCs w:val="18"/>
        </w:rPr>
        <w:t>0</w:t>
      </w:r>
      <w:r>
        <w:rPr>
          <w:sz w:val="18"/>
          <w:szCs w:val="18"/>
        </w:rPr>
        <w:t xml:space="preserve"> unvested employee options outstanding as of March 31, 2022, and 2021, respectively. Total expense recognized related to the employee stock options for the three months ended </w:t>
      </w:r>
      <w:r>
        <w:rPr>
          <w:sz w:val="18"/>
          <w:szCs w:val="18"/>
        </w:rPr>
        <w:t>March 31, 2022 and 2021 was</w:t>
      </w:r>
      <w:r>
        <w:rPr>
          <w:sz w:val="18"/>
          <w:szCs w:val="18"/>
        </w:rPr>
        <w:t xml:space="preserve"> </w:t>
      </w:r>
      <w:r>
        <w:rPr>
          <w:sz w:val="18"/>
          <w:szCs w:val="18"/>
        </w:rPr>
        <w:t>$</w:t>
      </w:r>
      <w:r>
        <w:rPr>
          <w:sz w:val="18"/>
          <w:szCs w:val="18"/>
        </w:rPr>
        <w:t>1.</w:t>
      </w:r>
      <w:r>
        <w:rPr>
          <w:sz w:val="18"/>
          <w:szCs w:val="18"/>
        </w:rPr>
        <w:t>1</w:t>
      </w:r>
      <w:r>
        <w:rPr>
          <w:sz w:val="18"/>
          <w:szCs w:val="18"/>
        </w:rPr>
        <w:t xml:space="preserve"> million and</w:t>
      </w:r>
      <w:r>
        <w:rPr>
          <w:sz w:val="18"/>
          <w:szCs w:val="18"/>
        </w:rPr>
        <w:t xml:space="preserve"> </w:t>
      </w:r>
      <w:r>
        <w:rPr>
          <w:sz w:val="18"/>
          <w:szCs w:val="18"/>
        </w:rPr>
        <w:t>$</w:t>
      </w:r>
      <w:r>
        <w:rPr>
          <w:sz w:val="18"/>
          <w:szCs w:val="18"/>
        </w:rPr>
        <w:t>1.</w:t>
      </w:r>
      <w:r>
        <w:rPr>
          <w:sz w:val="18"/>
          <w:szCs w:val="18"/>
        </w:rPr>
        <w:t>3</w:t>
      </w:r>
      <w:r>
        <w:rPr>
          <w:sz w:val="18"/>
          <w:szCs w:val="18"/>
        </w:rPr>
        <w:t xml:space="preserve"> million, respectively. Total unrecognized compensation expense related to employee stock options was</w:t>
      </w:r>
      <w:r>
        <w:rPr>
          <w:sz w:val="18"/>
          <w:szCs w:val="18"/>
        </w:rPr>
        <w:t xml:space="preserve"> </w:t>
      </w:r>
      <w:r>
        <w:rPr>
          <w:sz w:val="18"/>
          <w:szCs w:val="18"/>
        </w:rPr>
        <w:t>$</w:t>
      </w:r>
      <w:r>
        <w:rPr>
          <w:sz w:val="18"/>
          <w:szCs w:val="18"/>
        </w:rPr>
        <w:t>11.</w:t>
      </w:r>
      <w:r>
        <w:rPr>
          <w:sz w:val="18"/>
          <w:szCs w:val="18"/>
        </w:rPr>
        <w:t>5</w:t>
      </w:r>
      <w:r>
        <w:rPr>
          <w:sz w:val="18"/>
          <w:szCs w:val="18"/>
        </w:rPr>
        <w:t xml:space="preserve"> million as of March 31, 2022. During the three months ended March 31, 2022 and 202</w:t>
      </w:r>
      <w:r>
        <w:rPr>
          <w:sz w:val="18"/>
          <w:szCs w:val="18"/>
        </w:rPr>
        <w:t>1</w:t>
      </w:r>
      <w:r>
        <w:rPr>
          <w:sz w:val="18"/>
          <w:szCs w:val="18"/>
        </w:rPr>
        <w:t>, the Company di</w:t>
      </w:r>
      <w:r>
        <w:rPr>
          <w:sz w:val="18"/>
          <w:szCs w:val="18"/>
        </w:rPr>
        <w:t>d</w:t>
      </w:r>
      <w:r>
        <w:rPr>
          <w:sz w:val="18"/>
          <w:szCs w:val="18"/>
        </w:rPr>
        <w:t xml:space="preserve"> </w:t>
      </w:r>
      <w:r>
        <w:rPr>
          <w:sz w:val="18"/>
          <w:szCs w:val="18"/>
        </w:rPr>
        <w:t>n</w:t>
      </w:r>
      <w:r>
        <w:rPr>
          <w:sz w:val="18"/>
          <w:szCs w:val="18"/>
        </w:rPr>
        <w:t>o</w:t>
      </w:r>
      <w:r>
        <w:rPr>
          <w:sz w:val="18"/>
          <w:szCs w:val="18"/>
        </w:rPr>
        <w:t>t recognize any expense for employee performance-based option awards</w:t>
      </w:r>
      <w:r>
        <w:rPr>
          <w:sz w:val="18"/>
          <w:szCs w:val="18"/>
        </w:rPr>
        <w:t>.</w:t>
      </w:r>
    </w:p>
    <w:p w:rsidR="00000000" w:rsidRDefault="00CF461A">
      <w:pPr>
        <w:pStyle w:val="a3"/>
        <w:spacing w:before="240" w:beforeAutospacing="0" w:after="200" w:afterAutospacing="0"/>
        <w:jc w:val="both"/>
        <w:divId w:val="2004164747"/>
        <w:rPr>
          <w:sz w:val="20"/>
          <w:szCs w:val="20"/>
        </w:rPr>
      </w:pPr>
      <w:r>
        <w:rPr>
          <w:sz w:val="18"/>
          <w:szCs w:val="18"/>
        </w:rPr>
        <w:t>The Company’s stock-based compensation expense was recognized in operating expense as follows</w:t>
      </w:r>
      <w:r>
        <w:rPr>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4"/>
        <w:gridCol w:w="221"/>
        <w:gridCol w:w="150"/>
        <w:gridCol w:w="2077"/>
        <w:gridCol w:w="105"/>
        <w:gridCol w:w="221"/>
        <w:gridCol w:w="150"/>
        <w:gridCol w:w="2078"/>
        <w:gridCol w:w="120"/>
      </w:tblGrid>
      <w:tr w:rsidR="00000000">
        <w:trPr>
          <w:divId w:val="2004164747"/>
          <w:tblCellSpacing w:w="15" w:type="dxa"/>
        </w:trPr>
        <w:tc>
          <w:tcPr>
            <w:tcW w:w="1975" w:type="pct"/>
            <w:vAlign w:val="center"/>
            <w:hideMark/>
          </w:tcPr>
          <w:p w:rsidR="00000000" w:rsidRDefault="00CF461A">
            <w:pPr>
              <w:rPr>
                <w:sz w:val="20"/>
                <w:szCs w:val="20"/>
              </w:rPr>
            </w:pPr>
          </w:p>
        </w:tc>
        <w:tc>
          <w:tcPr>
            <w:tcW w:w="13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294"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13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294"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r>
      <w:tr w:rsidR="00000000">
        <w:trPr>
          <w:divId w:val="2004164747"/>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2004164747"/>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200416474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Research and developmen</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395,49</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458,03</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0416474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General and administrativ</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929,32</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861,96</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04164747"/>
          <w:trHeight w:val="180"/>
          <w:tblCellSpacing w:w="15" w:type="dxa"/>
        </w:trPr>
        <w:tc>
          <w:tcPr>
            <w:tcW w:w="0" w:type="auto"/>
            <w:hideMark/>
          </w:tcPr>
          <w:p w:rsidR="00000000" w:rsidRDefault="00CF461A">
            <w:pPr>
              <w:pStyle w:val="a3"/>
              <w:spacing w:before="0" w:beforeAutospacing="0" w:after="0" w:afterAutospacing="0"/>
              <w:ind w:left="200"/>
              <w:rPr>
                <w:sz w:val="18"/>
                <w:szCs w:val="18"/>
              </w:rPr>
            </w:pPr>
            <w:r>
              <w:rPr>
                <w:sz w:val="18"/>
                <w:szCs w:val="18"/>
              </w:rPr>
              <w:t>Tota</w:t>
            </w:r>
            <w:r>
              <w:rPr>
                <w:sz w:val="18"/>
                <w:szCs w:val="18"/>
              </w:rPr>
              <w:t>l</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1,324,81</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1,320,00</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divId w:val="2004164747"/>
        <w:rPr>
          <w:sz w:val="20"/>
          <w:szCs w:val="20"/>
        </w:rPr>
      </w:pPr>
      <w:r>
        <w:rPr>
          <w:sz w:val="20"/>
          <w:szCs w:val="20"/>
        </w:rPr>
        <w:t> </w:t>
      </w:r>
    </w:p>
    <w:p w:rsidR="00000000" w:rsidRDefault="00CF461A">
      <w:pPr>
        <w:pStyle w:val="a3"/>
        <w:spacing w:before="240" w:beforeAutospacing="0" w:after="0" w:afterAutospacing="0"/>
        <w:jc w:val="center"/>
        <w:divId w:val="2004164747"/>
        <w:rPr>
          <w:sz w:val="20"/>
          <w:szCs w:val="20"/>
        </w:rPr>
      </w:pPr>
      <w:r>
        <w:rPr>
          <w:sz w:val="18"/>
          <w:szCs w:val="18"/>
        </w:rPr>
        <w:t>1</w:t>
      </w:r>
      <w:r>
        <w:rPr>
          <w:sz w:val="18"/>
          <w:szCs w:val="18"/>
        </w:rPr>
        <w:t>2</w:t>
      </w:r>
    </w:p>
    <w:p w:rsidR="00000000" w:rsidRDefault="00CF461A">
      <w:pPr>
        <w:divId w:val="2004164747"/>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CF461A">
      <w:pPr>
        <w:pStyle w:val="a3"/>
        <w:spacing w:before="0" w:beforeAutospacing="0" w:after="0" w:afterAutospacing="0"/>
        <w:divId w:val="2004164747"/>
        <w:rPr>
          <w:sz w:val="20"/>
          <w:szCs w:val="20"/>
        </w:rPr>
      </w:pPr>
      <w:r>
        <w:rPr>
          <w:sz w:val="18"/>
          <w:szCs w:val="18"/>
        </w:rPr>
        <w:t> </w:t>
      </w:r>
    </w:p>
    <w:p w:rsidR="00000000" w:rsidRDefault="00CF461A">
      <w:pPr>
        <w:pStyle w:val="a3"/>
        <w:spacing w:before="0" w:beforeAutospacing="0" w:after="0" w:afterAutospacing="0"/>
        <w:divId w:val="192140504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82"/>
        <w:gridCol w:w="221"/>
        <w:gridCol w:w="150"/>
        <w:gridCol w:w="2078"/>
        <w:gridCol w:w="105"/>
        <w:gridCol w:w="221"/>
        <w:gridCol w:w="150"/>
        <w:gridCol w:w="2079"/>
        <w:gridCol w:w="120"/>
      </w:tblGrid>
      <w:tr w:rsidR="00000000">
        <w:trPr>
          <w:divId w:val="1756125417"/>
          <w:tblCellSpacing w:w="15" w:type="dxa"/>
        </w:trPr>
        <w:tc>
          <w:tcPr>
            <w:tcW w:w="1974" w:type="pct"/>
            <w:vAlign w:val="center"/>
            <w:hideMark/>
          </w:tcPr>
          <w:p w:rsidR="00000000" w:rsidRDefault="00CF461A">
            <w:pPr>
              <w:rPr>
                <w:sz w:val="20"/>
                <w:szCs w:val="20"/>
              </w:rPr>
            </w:pPr>
          </w:p>
        </w:tc>
        <w:tc>
          <w:tcPr>
            <w:tcW w:w="13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295"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136"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1295"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r>
      <w:tr w:rsidR="00000000">
        <w:trPr>
          <w:divId w:val="1756125417"/>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756125417"/>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75612541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Stock option</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1,303,79</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1,301,21</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1756125417"/>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Employee Stock Purchase Pla</w:t>
            </w:r>
            <w:r>
              <w:rPr>
                <w:sz w:val="18"/>
                <w:szCs w:val="18"/>
              </w:rPr>
              <w:t>n</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21,01</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18,78</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1756125417"/>
          <w:trHeight w:val="180"/>
          <w:tblCellSpacing w:w="15" w:type="dxa"/>
        </w:trPr>
        <w:tc>
          <w:tcPr>
            <w:tcW w:w="0" w:type="auto"/>
            <w:hideMark/>
          </w:tcPr>
          <w:p w:rsidR="00000000" w:rsidRDefault="00CF461A">
            <w:pPr>
              <w:pStyle w:val="a3"/>
              <w:spacing w:before="0" w:beforeAutospacing="0" w:after="0" w:afterAutospacing="0"/>
              <w:ind w:left="200"/>
              <w:rPr>
                <w:sz w:val="18"/>
                <w:szCs w:val="18"/>
              </w:rPr>
            </w:pPr>
            <w:r>
              <w:rPr>
                <w:sz w:val="18"/>
                <w:szCs w:val="18"/>
              </w:rPr>
              <w:t>Tota</w:t>
            </w:r>
            <w:r>
              <w:rPr>
                <w:sz w:val="18"/>
                <w:szCs w:val="18"/>
              </w:rPr>
              <w:t>l</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1,324,81</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1,320,00</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divId w:val="1921405041"/>
        <w:rPr>
          <w:sz w:val="20"/>
          <w:szCs w:val="20"/>
        </w:rPr>
      </w:pPr>
      <w:r>
        <w:rPr>
          <w:sz w:val="18"/>
          <w:szCs w:val="18"/>
        </w:rPr>
        <w:t> </w:t>
      </w:r>
    </w:p>
    <w:p w:rsidR="00000000" w:rsidRDefault="00CF461A">
      <w:pPr>
        <w:pStyle w:val="a3"/>
        <w:spacing w:before="40" w:beforeAutospacing="0" w:after="0" w:afterAutospacing="0"/>
        <w:jc w:val="both"/>
        <w:divId w:val="1584795205"/>
        <w:rPr>
          <w:sz w:val="20"/>
          <w:szCs w:val="20"/>
        </w:rPr>
      </w:pPr>
      <w:r>
        <w:rPr>
          <w:sz w:val="18"/>
          <w:szCs w:val="18"/>
        </w:rPr>
        <w:t>The fair value of employee options granted during the</w:t>
      </w:r>
      <w:r>
        <w:rPr>
          <w:sz w:val="18"/>
          <w:szCs w:val="18"/>
        </w:rPr>
        <w:t xml:space="preserve"> </w:t>
      </w:r>
      <w:r>
        <w:rPr>
          <w:sz w:val="18"/>
          <w:szCs w:val="18"/>
        </w:rPr>
        <w:t>three months ended March 31, 2022 and 2021 was estimated by utilizing the following assumptions</w:t>
      </w:r>
      <w:r>
        <w:rPr>
          <w:sz w:val="18"/>
          <w:szCs w:val="18"/>
        </w:rPr>
        <w:t>:</w:t>
      </w:r>
    </w:p>
    <w:p w:rsidR="00000000" w:rsidRDefault="00CF461A">
      <w:pPr>
        <w:pStyle w:val="a3"/>
        <w:spacing w:before="40" w:beforeAutospacing="0" w:after="0" w:afterAutospacing="0"/>
        <w:jc w:val="both"/>
        <w:divId w:val="1584795205"/>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4682"/>
        <w:gridCol w:w="109"/>
        <w:gridCol w:w="151"/>
        <w:gridCol w:w="914"/>
        <w:gridCol w:w="210"/>
        <w:gridCol w:w="119"/>
        <w:gridCol w:w="151"/>
        <w:gridCol w:w="914"/>
        <w:gridCol w:w="225"/>
      </w:tblGrid>
      <w:tr w:rsidR="00000000">
        <w:trPr>
          <w:divId w:val="1584795205"/>
          <w:tblCellSpacing w:w="15" w:type="dxa"/>
        </w:trPr>
        <w:tc>
          <w:tcPr>
            <w:tcW w:w="3245" w:type="pct"/>
            <w:vAlign w:val="center"/>
            <w:hideMark/>
          </w:tcPr>
          <w:p w:rsidR="00000000" w:rsidRDefault="00CF461A">
            <w:pPr>
              <w:rPr>
                <w:sz w:val="20"/>
                <w:szCs w:val="20"/>
              </w:rPr>
            </w:pPr>
          </w:p>
        </w:tc>
        <w:tc>
          <w:tcPr>
            <w:tcW w:w="72" w:type="pct"/>
            <w:vAlign w:val="center"/>
            <w:hideMark/>
          </w:tcPr>
          <w:p w:rsidR="00000000" w:rsidRDefault="00CF461A">
            <w:pPr>
              <w:rPr>
                <w:rFonts w:eastAsia="Times New Roman"/>
                <w:sz w:val="20"/>
                <w:szCs w:val="20"/>
              </w:rPr>
            </w:pPr>
          </w:p>
        </w:tc>
        <w:tc>
          <w:tcPr>
            <w:tcW w:w="63" w:type="pct"/>
            <w:vAlign w:val="center"/>
            <w:hideMark/>
          </w:tcPr>
          <w:p w:rsidR="00000000" w:rsidRDefault="00CF461A">
            <w:pPr>
              <w:rPr>
                <w:rFonts w:eastAsia="Times New Roman"/>
                <w:sz w:val="20"/>
                <w:szCs w:val="20"/>
              </w:rPr>
            </w:pPr>
          </w:p>
        </w:tc>
        <w:tc>
          <w:tcPr>
            <w:tcW w:w="631" w:type="pct"/>
            <w:vAlign w:val="center"/>
            <w:hideMark/>
          </w:tcPr>
          <w:p w:rsidR="00000000" w:rsidRDefault="00CF461A">
            <w:pPr>
              <w:rPr>
                <w:rFonts w:eastAsia="Times New Roman"/>
                <w:sz w:val="20"/>
                <w:szCs w:val="20"/>
              </w:rPr>
            </w:pPr>
          </w:p>
        </w:tc>
        <w:tc>
          <w:tcPr>
            <w:tcW w:w="106" w:type="pct"/>
            <w:vAlign w:val="center"/>
            <w:hideMark/>
          </w:tcPr>
          <w:p w:rsidR="00000000" w:rsidRDefault="00CF461A">
            <w:pPr>
              <w:rPr>
                <w:rFonts w:eastAsia="Times New Roman"/>
                <w:sz w:val="20"/>
                <w:szCs w:val="20"/>
              </w:rPr>
            </w:pPr>
          </w:p>
        </w:tc>
        <w:tc>
          <w:tcPr>
            <w:tcW w:w="78" w:type="pct"/>
            <w:vAlign w:val="center"/>
            <w:hideMark/>
          </w:tcPr>
          <w:p w:rsidR="00000000" w:rsidRDefault="00CF461A">
            <w:pPr>
              <w:rPr>
                <w:rFonts w:eastAsia="Times New Roman"/>
                <w:sz w:val="20"/>
                <w:szCs w:val="20"/>
              </w:rPr>
            </w:pPr>
          </w:p>
        </w:tc>
        <w:tc>
          <w:tcPr>
            <w:tcW w:w="63" w:type="pct"/>
            <w:vAlign w:val="center"/>
            <w:hideMark/>
          </w:tcPr>
          <w:p w:rsidR="00000000" w:rsidRDefault="00CF461A">
            <w:pPr>
              <w:rPr>
                <w:rFonts w:eastAsia="Times New Roman"/>
                <w:sz w:val="20"/>
                <w:szCs w:val="20"/>
              </w:rPr>
            </w:pPr>
          </w:p>
        </w:tc>
        <w:tc>
          <w:tcPr>
            <w:tcW w:w="631" w:type="pct"/>
            <w:vAlign w:val="center"/>
            <w:hideMark/>
          </w:tcPr>
          <w:p w:rsidR="00000000" w:rsidRDefault="00CF461A">
            <w:pPr>
              <w:rPr>
                <w:rFonts w:eastAsia="Times New Roman"/>
                <w:sz w:val="20"/>
                <w:szCs w:val="20"/>
              </w:rPr>
            </w:pPr>
          </w:p>
        </w:tc>
        <w:tc>
          <w:tcPr>
            <w:tcW w:w="106" w:type="pct"/>
            <w:vAlign w:val="center"/>
            <w:hideMark/>
          </w:tcPr>
          <w:p w:rsidR="00000000" w:rsidRDefault="00CF461A">
            <w:pPr>
              <w:rPr>
                <w:rFonts w:eastAsia="Times New Roman"/>
                <w:sz w:val="20"/>
                <w:szCs w:val="20"/>
              </w:rPr>
            </w:pPr>
          </w:p>
        </w:tc>
      </w:tr>
      <w:tr w:rsidR="00000000">
        <w:trPr>
          <w:divId w:val="1584795205"/>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6"/>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584795205"/>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584795205"/>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Weighted</w:t>
            </w:r>
            <w:r>
              <w:rPr>
                <w:b/>
                <w:bCs/>
                <w:sz w:val="18"/>
                <w:szCs w:val="18"/>
              </w:rPr>
              <w:br/>
              <w:t>Averag</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Weighted</w:t>
            </w:r>
            <w:r>
              <w:rPr>
                <w:b/>
                <w:bCs/>
                <w:sz w:val="18"/>
                <w:szCs w:val="18"/>
              </w:rPr>
              <w:br/>
              <w:t>Averag</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584795205"/>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Volatilit</w:t>
            </w:r>
            <w:r>
              <w:rPr>
                <w:sz w:val="18"/>
                <w:szCs w:val="18"/>
              </w:rPr>
              <w:t>y</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87.1</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80.4</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divId w:val="1584795205"/>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Expected term in year</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6.0</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6.0</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1584795205"/>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Dividend rat</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divId w:val="1584795205"/>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Risk-free interest rat</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0.6</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divId w:val="1584795205"/>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Fair value of option on grant dat</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2.1</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divId w:val="1584795205"/>
        <w:rPr>
          <w:sz w:val="20"/>
          <w:szCs w:val="20"/>
        </w:rPr>
      </w:pPr>
      <w:r>
        <w:rPr>
          <w:sz w:val="18"/>
          <w:szCs w:val="18"/>
        </w:rPr>
        <w:t> </w:t>
      </w:r>
    </w:p>
    <w:p w:rsidR="00000000" w:rsidRDefault="00CF461A">
      <w:pPr>
        <w:pStyle w:val="a3"/>
        <w:spacing w:before="40" w:beforeAutospacing="0" w:after="0" w:afterAutospacing="0"/>
        <w:jc w:val="both"/>
        <w:divId w:val="502279908"/>
        <w:rPr>
          <w:sz w:val="20"/>
          <w:szCs w:val="20"/>
        </w:rPr>
      </w:pPr>
      <w:r>
        <w:rPr>
          <w:sz w:val="18"/>
          <w:szCs w:val="18"/>
        </w:rPr>
        <w:t>The following table summarizes the number of options outstanding and the weighted average exercise price</w:t>
      </w:r>
      <w:r>
        <w:rPr>
          <w:sz w:val="18"/>
          <w:szCs w:val="18"/>
        </w:rPr>
        <w:t>:</w:t>
      </w:r>
    </w:p>
    <w:p w:rsidR="00000000" w:rsidRDefault="00CF461A">
      <w:pPr>
        <w:pStyle w:val="a3"/>
        <w:spacing w:before="0" w:beforeAutospacing="0" w:after="0" w:afterAutospacing="0"/>
        <w:divId w:val="502279908"/>
        <w:rPr>
          <w:sz w:val="20"/>
          <w:szCs w:val="20"/>
        </w:rPr>
      </w:pPr>
      <w:r>
        <w:rPr>
          <w:sz w:val="18"/>
          <w:szCs w:val="18"/>
        </w:rPr>
        <w:t> </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7"/>
        <w:gridCol w:w="105"/>
        <w:gridCol w:w="105"/>
        <w:gridCol w:w="1325"/>
        <w:gridCol w:w="120"/>
        <w:gridCol w:w="105"/>
        <w:gridCol w:w="151"/>
        <w:gridCol w:w="1370"/>
        <w:gridCol w:w="105"/>
        <w:gridCol w:w="105"/>
        <w:gridCol w:w="108"/>
        <w:gridCol w:w="990"/>
        <w:gridCol w:w="105"/>
        <w:gridCol w:w="105"/>
        <w:gridCol w:w="150"/>
        <w:gridCol w:w="929"/>
        <w:gridCol w:w="120"/>
      </w:tblGrid>
      <w:tr w:rsidR="00000000">
        <w:trPr>
          <w:divId w:val="502279908"/>
          <w:tblCellSpacing w:w="15" w:type="dxa"/>
        </w:trPr>
        <w:tc>
          <w:tcPr>
            <w:tcW w:w="1053" w:type="pct"/>
            <w:vAlign w:val="center"/>
            <w:hideMark/>
          </w:tcPr>
          <w:p w:rsidR="00000000" w:rsidRDefault="00CF461A">
            <w:pPr>
              <w:rPr>
                <w:sz w:val="20"/>
                <w:szCs w:val="20"/>
              </w:rPr>
            </w:pPr>
          </w:p>
        </w:tc>
        <w:tc>
          <w:tcPr>
            <w:tcW w:w="68" w:type="pct"/>
            <w:vAlign w:val="center"/>
            <w:hideMark/>
          </w:tcPr>
          <w:p w:rsidR="00000000" w:rsidRDefault="00CF461A">
            <w:pPr>
              <w:rPr>
                <w:rFonts w:eastAsia="Times New Roman"/>
                <w:sz w:val="20"/>
                <w:szCs w:val="20"/>
              </w:rPr>
            </w:pPr>
          </w:p>
        </w:tc>
        <w:tc>
          <w:tcPr>
            <w:tcW w:w="28" w:type="pct"/>
            <w:vAlign w:val="center"/>
            <w:hideMark/>
          </w:tcPr>
          <w:p w:rsidR="00000000" w:rsidRDefault="00CF461A">
            <w:pPr>
              <w:rPr>
                <w:rFonts w:eastAsia="Times New Roman"/>
                <w:sz w:val="20"/>
                <w:szCs w:val="20"/>
              </w:rPr>
            </w:pPr>
          </w:p>
        </w:tc>
        <w:tc>
          <w:tcPr>
            <w:tcW w:w="963" w:type="pct"/>
            <w:vAlign w:val="center"/>
            <w:hideMark/>
          </w:tcPr>
          <w:p w:rsidR="00000000" w:rsidRDefault="00CF461A">
            <w:pPr>
              <w:rPr>
                <w:rFonts w:eastAsia="Times New Roman"/>
                <w:sz w:val="20"/>
                <w:szCs w:val="20"/>
              </w:rPr>
            </w:pPr>
          </w:p>
        </w:tc>
        <w:tc>
          <w:tcPr>
            <w:tcW w:w="41" w:type="pct"/>
            <w:vAlign w:val="center"/>
            <w:hideMark/>
          </w:tcPr>
          <w:p w:rsidR="00000000" w:rsidRDefault="00CF461A">
            <w:pPr>
              <w:rPr>
                <w:rFonts w:eastAsia="Times New Roman"/>
                <w:sz w:val="20"/>
                <w:szCs w:val="20"/>
              </w:rPr>
            </w:pPr>
          </w:p>
        </w:tc>
        <w:tc>
          <w:tcPr>
            <w:tcW w:w="68" w:type="pct"/>
            <w:vAlign w:val="center"/>
            <w:hideMark/>
          </w:tcPr>
          <w:p w:rsidR="00000000" w:rsidRDefault="00CF461A">
            <w:pPr>
              <w:rPr>
                <w:rFonts w:eastAsia="Times New Roman"/>
                <w:sz w:val="20"/>
                <w:szCs w:val="20"/>
              </w:rPr>
            </w:pPr>
          </w:p>
        </w:tc>
        <w:tc>
          <w:tcPr>
            <w:tcW w:w="63" w:type="pct"/>
            <w:vAlign w:val="center"/>
            <w:hideMark/>
          </w:tcPr>
          <w:p w:rsidR="00000000" w:rsidRDefault="00CF461A">
            <w:pPr>
              <w:rPr>
                <w:rFonts w:eastAsia="Times New Roman"/>
                <w:sz w:val="20"/>
                <w:szCs w:val="20"/>
              </w:rPr>
            </w:pPr>
          </w:p>
        </w:tc>
        <w:tc>
          <w:tcPr>
            <w:tcW w:w="995" w:type="pct"/>
            <w:vAlign w:val="center"/>
            <w:hideMark/>
          </w:tcPr>
          <w:p w:rsidR="00000000" w:rsidRDefault="00CF461A">
            <w:pPr>
              <w:rPr>
                <w:rFonts w:eastAsia="Times New Roman"/>
                <w:sz w:val="20"/>
                <w:szCs w:val="20"/>
              </w:rPr>
            </w:pPr>
          </w:p>
        </w:tc>
        <w:tc>
          <w:tcPr>
            <w:tcW w:w="28" w:type="pct"/>
            <w:vAlign w:val="center"/>
            <w:hideMark/>
          </w:tcPr>
          <w:p w:rsidR="00000000" w:rsidRDefault="00CF461A">
            <w:pPr>
              <w:rPr>
                <w:rFonts w:eastAsia="Times New Roman"/>
                <w:sz w:val="20"/>
                <w:szCs w:val="20"/>
              </w:rPr>
            </w:pPr>
          </w:p>
        </w:tc>
        <w:tc>
          <w:tcPr>
            <w:tcW w:w="74" w:type="pct"/>
            <w:vAlign w:val="center"/>
            <w:hideMark/>
          </w:tcPr>
          <w:p w:rsidR="00000000" w:rsidRDefault="00CF461A">
            <w:pPr>
              <w:rPr>
                <w:rFonts w:eastAsia="Times New Roman"/>
                <w:sz w:val="20"/>
                <w:szCs w:val="20"/>
              </w:rPr>
            </w:pPr>
          </w:p>
        </w:tc>
        <w:tc>
          <w:tcPr>
            <w:tcW w:w="30" w:type="pct"/>
            <w:vAlign w:val="center"/>
            <w:hideMark/>
          </w:tcPr>
          <w:p w:rsidR="00000000" w:rsidRDefault="00CF461A">
            <w:pPr>
              <w:rPr>
                <w:rFonts w:eastAsia="Times New Roman"/>
                <w:sz w:val="20"/>
                <w:szCs w:val="20"/>
              </w:rPr>
            </w:pPr>
          </w:p>
        </w:tc>
        <w:tc>
          <w:tcPr>
            <w:tcW w:w="714" w:type="pct"/>
            <w:vAlign w:val="center"/>
            <w:hideMark/>
          </w:tcPr>
          <w:p w:rsidR="00000000" w:rsidRDefault="00CF461A">
            <w:pPr>
              <w:rPr>
                <w:rFonts w:eastAsia="Times New Roman"/>
                <w:sz w:val="20"/>
                <w:szCs w:val="20"/>
              </w:rPr>
            </w:pPr>
          </w:p>
        </w:tc>
        <w:tc>
          <w:tcPr>
            <w:tcW w:w="28" w:type="pct"/>
            <w:vAlign w:val="center"/>
            <w:hideMark/>
          </w:tcPr>
          <w:p w:rsidR="00000000" w:rsidRDefault="00CF461A">
            <w:pPr>
              <w:rPr>
                <w:rFonts w:eastAsia="Times New Roman"/>
                <w:sz w:val="20"/>
                <w:szCs w:val="20"/>
              </w:rPr>
            </w:pPr>
          </w:p>
        </w:tc>
        <w:tc>
          <w:tcPr>
            <w:tcW w:w="68" w:type="pct"/>
            <w:vAlign w:val="center"/>
            <w:hideMark/>
          </w:tcPr>
          <w:p w:rsidR="00000000" w:rsidRDefault="00CF461A">
            <w:pPr>
              <w:rPr>
                <w:rFonts w:eastAsia="Times New Roman"/>
                <w:sz w:val="20"/>
                <w:szCs w:val="20"/>
              </w:rPr>
            </w:pPr>
          </w:p>
        </w:tc>
        <w:tc>
          <w:tcPr>
            <w:tcW w:w="63" w:type="pct"/>
            <w:vAlign w:val="center"/>
            <w:hideMark/>
          </w:tcPr>
          <w:p w:rsidR="00000000" w:rsidRDefault="00CF461A">
            <w:pPr>
              <w:rPr>
                <w:rFonts w:eastAsia="Times New Roman"/>
                <w:sz w:val="20"/>
                <w:szCs w:val="20"/>
              </w:rPr>
            </w:pPr>
          </w:p>
        </w:tc>
        <w:tc>
          <w:tcPr>
            <w:tcW w:w="677" w:type="pct"/>
            <w:vAlign w:val="center"/>
            <w:hideMark/>
          </w:tcPr>
          <w:p w:rsidR="00000000" w:rsidRDefault="00CF461A">
            <w:pPr>
              <w:rPr>
                <w:rFonts w:eastAsia="Times New Roman"/>
                <w:sz w:val="20"/>
                <w:szCs w:val="20"/>
              </w:rPr>
            </w:pPr>
          </w:p>
        </w:tc>
        <w:tc>
          <w:tcPr>
            <w:tcW w:w="28" w:type="pct"/>
            <w:vAlign w:val="center"/>
            <w:hideMark/>
          </w:tcPr>
          <w:p w:rsidR="00000000" w:rsidRDefault="00CF461A">
            <w:pPr>
              <w:rPr>
                <w:rFonts w:eastAsia="Times New Roman"/>
                <w:sz w:val="20"/>
                <w:szCs w:val="20"/>
              </w:rPr>
            </w:pP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Weighte</w:t>
            </w:r>
            <w:r>
              <w:rPr>
                <w:b/>
                <w:bCs/>
                <w:sz w:val="18"/>
                <w:szCs w:val="18"/>
              </w:rPr>
              <w:t>d</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Weighte</w:t>
            </w:r>
            <w:r>
              <w:rPr>
                <w:b/>
                <w:bCs/>
                <w:sz w:val="18"/>
                <w:szCs w:val="18"/>
              </w:rPr>
              <w:t>d</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Averag</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Averag</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Remainin</w:t>
            </w:r>
            <w:r>
              <w:rPr>
                <w:b/>
                <w:bCs/>
                <w:sz w:val="18"/>
                <w:szCs w:val="18"/>
              </w:rPr>
              <w:t>g</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Aggregat</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Number o</w:t>
            </w:r>
            <w:r>
              <w:rPr>
                <w:b/>
                <w:bCs/>
                <w:sz w:val="18"/>
                <w:szCs w:val="18"/>
              </w:rPr>
              <w:t>f</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Exercis</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Contractua</w:t>
            </w:r>
            <w:r>
              <w:rPr>
                <w:b/>
                <w:bCs/>
                <w:sz w:val="18"/>
                <w:szCs w:val="18"/>
              </w:rPr>
              <w:t>l</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Intrinsi</w:t>
            </w:r>
            <w:r>
              <w:rPr>
                <w:b/>
                <w:bCs/>
                <w:sz w:val="18"/>
                <w:szCs w:val="18"/>
              </w:rPr>
              <w:t>c</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Share</w:t>
            </w:r>
            <w:r>
              <w:rPr>
                <w:b/>
                <w:bCs/>
                <w:sz w:val="18"/>
                <w:szCs w:val="18"/>
              </w:rPr>
              <w:t>s</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Pric</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Life in Year</w:t>
            </w:r>
            <w:r>
              <w:rPr>
                <w:b/>
                <w:bCs/>
                <w:sz w:val="18"/>
                <w:szCs w:val="18"/>
              </w:rPr>
              <w:t>s</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Valu</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Options outstanding December 31, 202</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10,776,75</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4.9</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6.0</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2,389,89</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Grante</w:t>
            </w:r>
            <w:r>
              <w:rPr>
                <w:sz w:val="18"/>
                <w:szCs w:val="18"/>
              </w:rPr>
              <w:t>d</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2,426,75</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2.7</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9.8</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Exercise</w:t>
            </w:r>
            <w:r>
              <w:rPr>
                <w:sz w:val="18"/>
                <w:szCs w:val="18"/>
              </w:rPr>
              <w:t>d</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13,75</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1.9</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Forfeited or expire</w:t>
            </w:r>
            <w:r>
              <w:rPr>
                <w:sz w:val="18"/>
                <w:szCs w:val="18"/>
              </w:rPr>
              <w:t>d</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434,10</w:t>
            </w:r>
            <w:r>
              <w:rPr>
                <w:sz w:val="18"/>
                <w:szCs w:val="18"/>
              </w:rPr>
              <w:t>1</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3.4</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Options outstanding March 31, 202</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12,755,65</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4.6</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6.8</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3,079,01</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502279908"/>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Vested and exercisable at March 31, 202</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6,625,69</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5.8</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4.9</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1,515,88</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jc w:val="both"/>
        <w:divId w:val="1921405041"/>
        <w:rPr>
          <w:sz w:val="20"/>
          <w:szCs w:val="20"/>
        </w:rPr>
      </w:pPr>
      <w:r>
        <w:rPr>
          <w:sz w:val="18"/>
          <w:szCs w:val="18"/>
        </w:rPr>
        <w:t> </w:t>
      </w:r>
    </w:p>
    <w:p w:rsidR="00000000" w:rsidRDefault="00CF461A">
      <w:pPr>
        <w:pStyle w:val="a3"/>
        <w:spacing w:before="40" w:beforeAutospacing="0" w:after="0" w:afterAutospacing="0"/>
        <w:jc w:val="both"/>
        <w:divId w:val="1921405041"/>
        <w:rPr>
          <w:sz w:val="20"/>
          <w:szCs w:val="20"/>
        </w:rPr>
      </w:pPr>
      <w:r>
        <w:rPr>
          <w:sz w:val="18"/>
          <w:szCs w:val="18"/>
        </w:rPr>
        <w:t>At March 31, 2022 there was approximately</w:t>
      </w:r>
      <w:r>
        <w:rPr>
          <w:sz w:val="18"/>
          <w:szCs w:val="18"/>
        </w:rPr>
        <w:t xml:space="preserve"> </w:t>
      </w:r>
      <w:r>
        <w:rPr>
          <w:sz w:val="18"/>
          <w:szCs w:val="18"/>
        </w:rPr>
        <w:t>$</w:t>
      </w:r>
      <w:r>
        <w:rPr>
          <w:sz w:val="18"/>
          <w:szCs w:val="18"/>
        </w:rPr>
        <w:t>12.</w:t>
      </w:r>
      <w:r>
        <w:rPr>
          <w:sz w:val="18"/>
          <w:szCs w:val="18"/>
        </w:rPr>
        <w:t>7</w:t>
      </w:r>
      <w:r>
        <w:rPr>
          <w:sz w:val="18"/>
          <w:szCs w:val="18"/>
        </w:rPr>
        <w:t xml:space="preserve"> million of unamortized share–</w:t>
      </w:r>
      <w:r>
        <w:rPr>
          <w:sz w:val="18"/>
          <w:szCs w:val="18"/>
        </w:rPr>
        <w:t>based compensation expense related to employee and nonemployee grants, which is expected to be recognized over a remaining average vesting period of</w:t>
      </w:r>
      <w:r>
        <w:rPr>
          <w:sz w:val="18"/>
          <w:szCs w:val="18"/>
        </w:rPr>
        <w:t xml:space="preserve"> </w:t>
      </w:r>
      <w:r>
        <w:rPr>
          <w:sz w:val="18"/>
          <w:szCs w:val="18"/>
        </w:rPr>
        <w:t>2.8</w:t>
      </w:r>
      <w:r>
        <w:rPr>
          <w:sz w:val="18"/>
          <w:szCs w:val="18"/>
        </w:rPr>
        <w:t>2</w:t>
      </w:r>
      <w:r>
        <w:rPr>
          <w:sz w:val="18"/>
          <w:szCs w:val="18"/>
        </w:rPr>
        <w:t xml:space="preserve"> years</w:t>
      </w:r>
      <w:r>
        <w:rPr>
          <w:sz w:val="18"/>
          <w:szCs w:val="18"/>
        </w:rPr>
        <w:t>.</w:t>
      </w:r>
    </w:p>
    <w:p w:rsidR="00000000" w:rsidRDefault="00CF461A">
      <w:pPr>
        <w:pStyle w:val="a3"/>
        <w:spacing w:before="360" w:beforeAutospacing="0" w:after="0" w:afterAutospacing="0"/>
        <w:jc w:val="both"/>
        <w:divId w:val="380062217"/>
        <w:rPr>
          <w:sz w:val="20"/>
          <w:szCs w:val="20"/>
        </w:rPr>
      </w:pPr>
      <w:r>
        <w:rPr>
          <w:b/>
          <w:bCs/>
          <w:sz w:val="18"/>
          <w:szCs w:val="18"/>
        </w:rPr>
        <w:t>NOTE 9 – INCOME TAXE</w:t>
      </w:r>
      <w:r>
        <w:rPr>
          <w:b/>
          <w:bCs/>
          <w:sz w:val="18"/>
          <w:szCs w:val="18"/>
        </w:rPr>
        <w:t>S</w:t>
      </w:r>
    </w:p>
    <w:p w:rsidR="00000000" w:rsidRDefault="00CF461A">
      <w:pPr>
        <w:pStyle w:val="a3"/>
        <w:spacing w:before="120" w:beforeAutospacing="0" w:after="0" w:afterAutospacing="0"/>
        <w:jc w:val="both"/>
        <w:divId w:val="380062217"/>
        <w:rPr>
          <w:sz w:val="20"/>
          <w:szCs w:val="20"/>
        </w:rPr>
      </w:pPr>
      <w:r>
        <w:rPr>
          <w:sz w:val="18"/>
          <w:szCs w:val="18"/>
        </w:rPr>
        <w:t>The Company’s interim income tax provision consists of U.S. federal and s</w:t>
      </w:r>
      <w:r>
        <w:rPr>
          <w:sz w:val="18"/>
          <w:szCs w:val="18"/>
        </w:rPr>
        <w:t>tate income taxes based on the estimated annual effective tax rate that the Company expects for the full year together with the tax effect of discrete items. Each quarter the Company updates its estimate of the annual effective tax rate and records cumulat</w:t>
      </w:r>
      <w:r>
        <w:rPr>
          <w:sz w:val="18"/>
          <w:szCs w:val="18"/>
        </w:rPr>
        <w:t>ive adjustments as necessary. As of March 31, 2022, the Company was in a pre-tax loss position, and is anticipated to remain so throughout the year</w:t>
      </w:r>
      <w:r>
        <w:rPr>
          <w:sz w:val="18"/>
          <w:szCs w:val="18"/>
        </w:rPr>
        <w:t>.</w:t>
      </w:r>
    </w:p>
    <w:p w:rsidR="00000000" w:rsidRDefault="00CF461A">
      <w:pPr>
        <w:pStyle w:val="a3"/>
        <w:spacing w:before="120" w:beforeAutospacing="0" w:after="0" w:afterAutospacing="0"/>
        <w:jc w:val="both"/>
        <w:divId w:val="380062217"/>
        <w:rPr>
          <w:sz w:val="20"/>
          <w:szCs w:val="20"/>
        </w:rPr>
      </w:pPr>
      <w:r>
        <w:rPr>
          <w:sz w:val="18"/>
          <w:szCs w:val="18"/>
        </w:rPr>
        <w:t>For the three months ended March 31, 202</w:t>
      </w:r>
      <w:r>
        <w:rPr>
          <w:sz w:val="18"/>
          <w:szCs w:val="18"/>
        </w:rPr>
        <w:t>2</w:t>
      </w:r>
      <w:r>
        <w:rPr>
          <w:sz w:val="18"/>
          <w:szCs w:val="18"/>
        </w:rPr>
        <w:t xml:space="preserve">, the Company recorded a tax provision of </w:t>
      </w:r>
      <w:r>
        <w:rPr>
          <w:sz w:val="18"/>
          <w:szCs w:val="18"/>
        </w:rPr>
        <w:t>$</w:t>
      </w:r>
      <w:r>
        <w:rPr>
          <w:sz w:val="18"/>
          <w:szCs w:val="18"/>
        </w:rPr>
        <w:t>50,00</w:t>
      </w:r>
      <w:r>
        <w:rPr>
          <w:sz w:val="18"/>
          <w:szCs w:val="18"/>
        </w:rPr>
        <w:t>0</w:t>
      </w:r>
      <w:r>
        <w:rPr>
          <w:sz w:val="18"/>
          <w:szCs w:val="18"/>
        </w:rPr>
        <w:t xml:space="preserve"> for certain esti</w:t>
      </w:r>
      <w:r>
        <w:rPr>
          <w:sz w:val="18"/>
          <w:szCs w:val="18"/>
        </w:rPr>
        <w:t>mated state taxes</w:t>
      </w:r>
      <w:r>
        <w:rPr>
          <w:sz w:val="18"/>
          <w:szCs w:val="18"/>
        </w:rPr>
        <w:t>.</w:t>
      </w:r>
    </w:p>
    <w:p w:rsidR="00000000" w:rsidRDefault="00CF461A">
      <w:pPr>
        <w:pStyle w:val="a3"/>
        <w:spacing w:before="120" w:beforeAutospacing="0" w:after="0" w:afterAutospacing="0"/>
        <w:jc w:val="both"/>
        <w:divId w:val="380062217"/>
        <w:rPr>
          <w:sz w:val="20"/>
          <w:szCs w:val="20"/>
        </w:rPr>
      </w:pPr>
      <w:r>
        <w:rPr>
          <w:sz w:val="18"/>
          <w:szCs w:val="18"/>
        </w:rPr>
        <w:t>In assessing the realizability of deferred tax assets, the Company’s management evaluates whether it is more likely than not that some portion or all of the deferred tax assets will be realized. The ultimate realization of deferred tax a</w:t>
      </w:r>
      <w:r>
        <w:rPr>
          <w:sz w:val="18"/>
          <w:szCs w:val="18"/>
        </w:rPr>
        <w:t>ssets is dependent upon the generation of future taxable income in those periods in which temporary differences become deductible and/or net operating losses can be utilized. Management assesses all positive and negative evidence when determining the amoun</w:t>
      </w:r>
      <w:r>
        <w:rPr>
          <w:sz w:val="18"/>
          <w:szCs w:val="18"/>
        </w:rPr>
        <w:t xml:space="preserve">t of the net deferred tax assets that are more likely than not to be realized. This evidence includes, but is not limited to, prior earnings history, scheduled reversal of taxable temporary differences, tax planning strategies and projected future taxable </w:t>
      </w:r>
      <w:r>
        <w:rPr>
          <w:sz w:val="18"/>
          <w:szCs w:val="18"/>
        </w:rPr>
        <w:t>income. Significant weight is given to positive and negative evidence that is objectively verifiable. Based on these factors, including cumulative losses in recent years, the Company continues to maintain a full valuation allowance against its net deferred</w:t>
      </w:r>
      <w:r>
        <w:rPr>
          <w:sz w:val="18"/>
          <w:szCs w:val="18"/>
        </w:rPr>
        <w:t xml:space="preserve"> tax assets as of March 31, 202</w:t>
      </w:r>
      <w:r>
        <w:rPr>
          <w:sz w:val="18"/>
          <w:szCs w:val="18"/>
        </w:rPr>
        <w:t>2</w:t>
      </w:r>
      <w:r>
        <w:rPr>
          <w:sz w:val="18"/>
          <w:szCs w:val="18"/>
        </w:rPr>
        <w:t>.</w:t>
      </w:r>
    </w:p>
    <w:p w:rsidR="00000000" w:rsidRDefault="00CF461A">
      <w:pPr>
        <w:pStyle w:val="a3"/>
        <w:spacing w:before="360" w:beforeAutospacing="0" w:after="0" w:afterAutospacing="0"/>
        <w:jc w:val="both"/>
        <w:divId w:val="1617297563"/>
        <w:rPr>
          <w:sz w:val="20"/>
          <w:szCs w:val="20"/>
        </w:rPr>
      </w:pPr>
      <w:r>
        <w:rPr>
          <w:b/>
          <w:bCs/>
          <w:sz w:val="18"/>
          <w:szCs w:val="18"/>
        </w:rPr>
        <w:t>NOTE 10 – COMMITMENTS AND CONTINGENCIE</w:t>
      </w:r>
      <w:r>
        <w:rPr>
          <w:b/>
          <w:bCs/>
          <w:sz w:val="18"/>
          <w:szCs w:val="18"/>
        </w:rPr>
        <w:t>S</w:t>
      </w:r>
    </w:p>
    <w:p w:rsidR="00000000" w:rsidRDefault="00CF461A">
      <w:pPr>
        <w:pStyle w:val="a3"/>
        <w:spacing w:before="120" w:beforeAutospacing="0" w:after="0" w:afterAutospacing="0"/>
        <w:jc w:val="both"/>
        <w:divId w:val="1617297563"/>
        <w:rPr>
          <w:sz w:val="20"/>
          <w:szCs w:val="20"/>
        </w:rPr>
      </w:pPr>
      <w:r>
        <w:rPr>
          <w:b/>
          <w:bCs/>
          <w:sz w:val="18"/>
          <w:szCs w:val="18"/>
        </w:rPr>
        <w:t>License Agreement</w:t>
      </w:r>
      <w:r>
        <w:rPr>
          <w:b/>
          <w:bCs/>
          <w:sz w:val="18"/>
          <w:szCs w:val="18"/>
        </w:rPr>
        <w:t>s</w:t>
      </w:r>
    </w:p>
    <w:p w:rsidR="00000000" w:rsidRDefault="00CF461A">
      <w:pPr>
        <w:pStyle w:val="a3"/>
        <w:spacing w:before="120" w:beforeAutospacing="0" w:after="0" w:afterAutospacing="0"/>
        <w:jc w:val="both"/>
        <w:divId w:val="1617297563"/>
        <w:rPr>
          <w:sz w:val="20"/>
          <w:szCs w:val="20"/>
        </w:rPr>
      </w:pPr>
      <w:r>
        <w:rPr>
          <w:i/>
          <w:iCs/>
          <w:sz w:val="18"/>
          <w:szCs w:val="18"/>
        </w:rPr>
        <w:t>H. Lundbeck A/S License Agreemen</w:t>
      </w:r>
      <w:r>
        <w:rPr>
          <w:i/>
          <w:iCs/>
          <w:sz w:val="18"/>
          <w:szCs w:val="18"/>
        </w:rPr>
        <w:t>t</w:t>
      </w:r>
    </w:p>
    <w:p w:rsidR="00000000" w:rsidRDefault="00CF461A">
      <w:pPr>
        <w:pStyle w:val="a3"/>
        <w:spacing w:before="120" w:beforeAutospacing="0" w:after="0" w:afterAutospacing="0"/>
        <w:jc w:val="both"/>
        <w:divId w:val="1617297563"/>
        <w:rPr>
          <w:sz w:val="20"/>
          <w:szCs w:val="20"/>
        </w:rPr>
      </w:pPr>
      <w:r>
        <w:rPr>
          <w:sz w:val="18"/>
          <w:szCs w:val="18"/>
        </w:rPr>
        <w:t>On</w:t>
      </w:r>
      <w:r>
        <w:rPr>
          <w:sz w:val="18"/>
          <w:szCs w:val="18"/>
        </w:rPr>
        <w:t xml:space="preserve"> </w:t>
      </w:r>
      <w:r>
        <w:rPr>
          <w:sz w:val="18"/>
          <w:szCs w:val="18"/>
        </w:rPr>
        <w:t>March 26, 201</w:t>
      </w:r>
      <w:r>
        <w:rPr>
          <w:sz w:val="18"/>
          <w:szCs w:val="18"/>
        </w:rPr>
        <w:t>5</w:t>
      </w:r>
      <w:r>
        <w:rPr>
          <w:sz w:val="18"/>
          <w:szCs w:val="18"/>
        </w:rPr>
        <w:t>, the Company entered into an exclusive agreement with H. Lundbeck A/S (“Lundbeck”) for a worldwide perpetual licensing right related to the research, development and commercialization of OV101. On May 10, 2019, the parties amended the license agreement</w:t>
      </w:r>
      <w:r>
        <w:rPr>
          <w:sz w:val="18"/>
          <w:szCs w:val="18"/>
        </w:rPr>
        <w:t>.</w:t>
      </w:r>
    </w:p>
    <w:p w:rsidR="00000000" w:rsidRDefault="00CF461A">
      <w:pPr>
        <w:pStyle w:val="a3"/>
        <w:spacing w:before="240" w:beforeAutospacing="0" w:after="0" w:afterAutospacing="0"/>
        <w:jc w:val="center"/>
        <w:divId w:val="1617297563"/>
        <w:rPr>
          <w:sz w:val="20"/>
          <w:szCs w:val="20"/>
        </w:rPr>
      </w:pPr>
      <w:r>
        <w:rPr>
          <w:sz w:val="18"/>
          <w:szCs w:val="18"/>
        </w:rPr>
        <w:t>1</w:t>
      </w:r>
      <w:r>
        <w:rPr>
          <w:sz w:val="18"/>
          <w:szCs w:val="18"/>
        </w:rPr>
        <w:t>3</w:t>
      </w:r>
    </w:p>
    <w:p w:rsidR="00000000" w:rsidRDefault="00CF461A">
      <w:pPr>
        <w:divId w:val="1617297563"/>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CF461A">
      <w:pPr>
        <w:pStyle w:val="a3"/>
        <w:spacing w:before="0" w:beforeAutospacing="0" w:after="0" w:afterAutospacing="0"/>
        <w:divId w:val="1617297563"/>
        <w:rPr>
          <w:sz w:val="20"/>
          <w:szCs w:val="20"/>
        </w:rPr>
      </w:pPr>
      <w:r>
        <w:rPr>
          <w:sz w:val="18"/>
          <w:szCs w:val="18"/>
        </w:rPr>
        <w:t> </w:t>
      </w:r>
    </w:p>
    <w:p w:rsidR="00000000" w:rsidRDefault="00CF461A">
      <w:pPr>
        <w:pStyle w:val="a3"/>
        <w:spacing w:before="120" w:beforeAutospacing="0" w:after="0" w:afterAutospacing="0"/>
        <w:jc w:val="both"/>
        <w:divId w:val="1617297563"/>
        <w:rPr>
          <w:sz w:val="20"/>
          <w:szCs w:val="20"/>
        </w:rPr>
      </w:pPr>
      <w:r>
        <w:rPr>
          <w:sz w:val="18"/>
          <w:szCs w:val="18"/>
        </w:rPr>
        <w:t xml:space="preserve">Pursuant to the Lundbeck license agreement, as of the first amendment, the Company agreed to make milestone payments totaling up to </w:t>
      </w:r>
      <w:r>
        <w:rPr>
          <w:sz w:val="18"/>
          <w:szCs w:val="18"/>
        </w:rPr>
        <w:t>$</w:t>
      </w:r>
      <w:r>
        <w:rPr>
          <w:sz w:val="18"/>
          <w:szCs w:val="18"/>
        </w:rPr>
        <w:t>189.</w:t>
      </w:r>
      <w:r>
        <w:rPr>
          <w:sz w:val="18"/>
          <w:szCs w:val="18"/>
        </w:rPr>
        <w:t>0</w:t>
      </w:r>
      <w:r>
        <w:rPr>
          <w:sz w:val="18"/>
          <w:szCs w:val="18"/>
        </w:rPr>
        <w:t xml:space="preserve"> million upon the achievement of certain developmental, regulatory and sales milestones. The first payment of </w:t>
      </w:r>
      <w:r>
        <w:rPr>
          <w:sz w:val="18"/>
          <w:szCs w:val="18"/>
        </w:rPr>
        <w:t>$</w:t>
      </w:r>
      <w:r>
        <w:rPr>
          <w:sz w:val="18"/>
          <w:szCs w:val="18"/>
        </w:rPr>
        <w:t>1.</w:t>
      </w:r>
      <w:r>
        <w:rPr>
          <w:sz w:val="18"/>
          <w:szCs w:val="18"/>
        </w:rPr>
        <w:t>0</w:t>
      </w:r>
      <w:r>
        <w:rPr>
          <w:sz w:val="18"/>
          <w:szCs w:val="18"/>
        </w:rPr>
        <w:t xml:space="preserve"> mil</w:t>
      </w:r>
      <w:r>
        <w:rPr>
          <w:sz w:val="18"/>
          <w:szCs w:val="18"/>
        </w:rPr>
        <w:t>lion is due upon the successful completion of the first Phase</w:t>
      </w:r>
      <w:r>
        <w:rPr>
          <w:sz w:val="18"/>
          <w:szCs w:val="18"/>
        </w:rPr>
        <w:t xml:space="preserve"> </w:t>
      </w:r>
      <w:r>
        <w:rPr>
          <w:sz w:val="18"/>
          <w:szCs w:val="18"/>
        </w:rPr>
        <w:t>3</w:t>
      </w:r>
      <w:r>
        <w:rPr>
          <w:sz w:val="18"/>
          <w:szCs w:val="18"/>
        </w:rPr>
        <w:t xml:space="preserve"> trial for a product in which OV101 is an active ingredient. In addition, the agreement calls for the Company to pay royalties for an initial term based on a low double-digit percentage of sale</w:t>
      </w:r>
      <w:r>
        <w:rPr>
          <w:sz w:val="18"/>
          <w:szCs w:val="18"/>
        </w:rPr>
        <w:t>s and provides for the reduction of royalties in certain limited circumstances</w:t>
      </w:r>
      <w:r>
        <w:rPr>
          <w:sz w:val="18"/>
          <w:szCs w:val="18"/>
        </w:rPr>
        <w:t>.</w:t>
      </w:r>
    </w:p>
    <w:p w:rsidR="00000000" w:rsidRDefault="00CF461A">
      <w:pPr>
        <w:pStyle w:val="a3"/>
        <w:spacing w:before="120" w:beforeAutospacing="0" w:after="0" w:afterAutospacing="0"/>
        <w:jc w:val="both"/>
        <w:divId w:val="1617297563"/>
        <w:rPr>
          <w:sz w:val="20"/>
          <w:szCs w:val="20"/>
        </w:rPr>
      </w:pPr>
      <w:r>
        <w:rPr>
          <w:sz w:val="18"/>
          <w:szCs w:val="18"/>
        </w:rPr>
        <w:t>Thereafter, the Company closed its OV101 (gaboxadol) program in Angelman syndrome in early 2021. On February 1, 2022, we entered into Amendment No. 3 to the Lundbeck agreement,</w:t>
      </w:r>
      <w:r>
        <w:rPr>
          <w:sz w:val="18"/>
          <w:szCs w:val="18"/>
        </w:rPr>
        <w:t xml:space="preserve"> or Amendment No. 3, to permit our performance under the Healx License and Option Agreement. Under the terms of Amendment No. 3, if Healx exercises its option, we will owe Lundbeck a share of all milestone and royalty payments received from Healx if we cho</w:t>
      </w:r>
      <w:r>
        <w:rPr>
          <w:sz w:val="18"/>
          <w:szCs w:val="18"/>
        </w:rPr>
        <w:t>ose not to exercise the Ovid Opt-In Right. If we choose to exercise the Ovid Opt-In Right and to co-develop and co-commercialize the program with Healx, we will owe a share of the net profit share to Lundbec</w:t>
      </w:r>
      <w:r>
        <w:rPr>
          <w:sz w:val="18"/>
          <w:szCs w:val="18"/>
        </w:rPr>
        <w:t>k</w:t>
      </w:r>
    </w:p>
    <w:p w:rsidR="00000000" w:rsidRDefault="00CF461A">
      <w:pPr>
        <w:pStyle w:val="a3"/>
        <w:spacing w:before="120" w:beforeAutospacing="0" w:after="0" w:afterAutospacing="0"/>
        <w:jc w:val="both"/>
        <w:divId w:val="1617297563"/>
        <w:rPr>
          <w:sz w:val="20"/>
          <w:szCs w:val="20"/>
        </w:rPr>
      </w:pPr>
      <w:r>
        <w:rPr>
          <w:i/>
          <w:iCs/>
          <w:sz w:val="18"/>
          <w:szCs w:val="18"/>
        </w:rPr>
        <w:t>Northwestern University License Agreemen</w:t>
      </w:r>
      <w:r>
        <w:rPr>
          <w:i/>
          <w:iCs/>
          <w:sz w:val="18"/>
          <w:szCs w:val="18"/>
        </w:rPr>
        <w:t>t</w:t>
      </w:r>
    </w:p>
    <w:p w:rsidR="00000000" w:rsidRDefault="00CF461A">
      <w:pPr>
        <w:pStyle w:val="a3"/>
        <w:spacing w:before="120" w:beforeAutospacing="0" w:after="0" w:afterAutospacing="0"/>
        <w:jc w:val="both"/>
        <w:divId w:val="1617297563"/>
        <w:rPr>
          <w:sz w:val="20"/>
          <w:szCs w:val="20"/>
        </w:rPr>
      </w:pPr>
      <w:r>
        <w:rPr>
          <w:sz w:val="18"/>
          <w:szCs w:val="18"/>
        </w:rPr>
        <w:t>In</w:t>
      </w:r>
      <w:r>
        <w:rPr>
          <w:sz w:val="18"/>
          <w:szCs w:val="18"/>
        </w:rPr>
        <w:t xml:space="preserve"> </w:t>
      </w:r>
      <w:r>
        <w:rPr>
          <w:sz w:val="18"/>
          <w:szCs w:val="18"/>
        </w:rPr>
        <w:t>De</w:t>
      </w:r>
      <w:r>
        <w:rPr>
          <w:sz w:val="18"/>
          <w:szCs w:val="18"/>
        </w:rPr>
        <w:t>cember 201</w:t>
      </w:r>
      <w:r>
        <w:rPr>
          <w:sz w:val="18"/>
          <w:szCs w:val="18"/>
        </w:rPr>
        <w:t>6</w:t>
      </w:r>
      <w:r>
        <w:rPr>
          <w:sz w:val="18"/>
          <w:szCs w:val="18"/>
        </w:rPr>
        <w:t>, the Company entered into a license agreement with Northwestern University, or Northwestern, pursuant to which Northwestern granted the Company an exclusive, worldwide license to patent rights in certain inventions, or the Northwestern Patent R</w:t>
      </w:r>
      <w:r>
        <w:rPr>
          <w:sz w:val="18"/>
          <w:szCs w:val="18"/>
        </w:rPr>
        <w:t>ights, which relate to a specific compound and related methods of use for such compound, along with certain Know-How related to the practice of the inventions claimed in the Northwestern Patents</w:t>
      </w:r>
      <w:r>
        <w:rPr>
          <w:sz w:val="18"/>
          <w:szCs w:val="18"/>
        </w:rPr>
        <w:t>.</w:t>
      </w:r>
      <w:r>
        <w:rPr>
          <w:sz w:val="18"/>
          <w:szCs w:val="18"/>
        </w:rPr>
        <w:t xml:space="preserve"> </w:t>
      </w:r>
    </w:p>
    <w:p w:rsidR="00000000" w:rsidRDefault="00CF461A">
      <w:pPr>
        <w:pStyle w:val="a3"/>
        <w:spacing w:before="120" w:beforeAutospacing="0" w:after="0" w:afterAutospacing="0"/>
        <w:jc w:val="both"/>
        <w:divId w:val="1617297563"/>
        <w:rPr>
          <w:sz w:val="20"/>
          <w:szCs w:val="20"/>
        </w:rPr>
      </w:pPr>
      <w:r>
        <w:rPr>
          <w:sz w:val="18"/>
          <w:szCs w:val="18"/>
        </w:rPr>
        <w:t>Under the Northwestern agreement, the Company was granted e</w:t>
      </w:r>
      <w:r>
        <w:rPr>
          <w:sz w:val="18"/>
          <w:szCs w:val="18"/>
        </w:rPr>
        <w:t>xclusive rights to research, develop, manufacture and commercialize products utilizing the Northwestern Patent Rights for all uses. The Company has agreed that it will not use the Northwestern Patent Rights to develop any products for the treatment of canc</w:t>
      </w:r>
      <w:r>
        <w:rPr>
          <w:sz w:val="18"/>
          <w:szCs w:val="18"/>
        </w:rPr>
        <w:t>er, but Northwestern may not grant rights in the technology to others for use in cancer. The Company also has an option, exercisable during the term of the agreement to an exclusive license under certain intellectual property rights covering novel compound</w:t>
      </w:r>
      <w:r>
        <w:rPr>
          <w:sz w:val="18"/>
          <w:szCs w:val="18"/>
        </w:rPr>
        <w:t>s with the same or similar mechanism of action as the primary compound that is the subject of the license agreement. Northwestern has retained the right, on behalf of itself and other non-profit institutions, to use the Northwestern Patent Rights and pract</w:t>
      </w:r>
      <w:r>
        <w:rPr>
          <w:sz w:val="18"/>
          <w:szCs w:val="18"/>
        </w:rPr>
        <w:t>ice the inventions claimed therein for educational and research purposes and to publish information about the inventions covered by the Northwestern Patent Rights</w:t>
      </w:r>
      <w:r>
        <w:rPr>
          <w:sz w:val="18"/>
          <w:szCs w:val="18"/>
        </w:rPr>
        <w:t>.</w:t>
      </w:r>
      <w:r>
        <w:rPr>
          <w:sz w:val="18"/>
          <w:szCs w:val="18"/>
        </w:rPr>
        <w:t xml:space="preserve"> </w:t>
      </w:r>
    </w:p>
    <w:p w:rsidR="00000000" w:rsidRDefault="00CF461A">
      <w:pPr>
        <w:pStyle w:val="a3"/>
        <w:spacing w:before="120" w:beforeAutospacing="0" w:after="0" w:afterAutospacing="0"/>
        <w:jc w:val="both"/>
        <w:divId w:val="1617297563"/>
        <w:rPr>
          <w:sz w:val="20"/>
          <w:szCs w:val="20"/>
        </w:rPr>
      </w:pPr>
      <w:r>
        <w:rPr>
          <w:sz w:val="18"/>
          <w:szCs w:val="18"/>
        </w:rPr>
        <w:t>Upon entry into the Northwestern agreement, the Company paid an upfront non-creditable one-</w:t>
      </w:r>
      <w:r>
        <w:rPr>
          <w:sz w:val="18"/>
          <w:szCs w:val="18"/>
        </w:rPr>
        <w:t xml:space="preserve">time license issuance fee of </w:t>
      </w:r>
      <w:r>
        <w:rPr>
          <w:sz w:val="18"/>
          <w:szCs w:val="18"/>
        </w:rPr>
        <w:t>$</w:t>
      </w:r>
      <w:r>
        <w:rPr>
          <w:sz w:val="18"/>
          <w:szCs w:val="18"/>
        </w:rPr>
        <w:t>75,00</w:t>
      </w:r>
      <w:r>
        <w:rPr>
          <w:sz w:val="18"/>
          <w:szCs w:val="18"/>
        </w:rPr>
        <w:t>0</w:t>
      </w:r>
      <w:r>
        <w:rPr>
          <w:sz w:val="18"/>
          <w:szCs w:val="18"/>
        </w:rPr>
        <w:t xml:space="preserve">, and is required to pay an annual license maintenance fee of </w:t>
      </w:r>
      <w:r>
        <w:rPr>
          <w:sz w:val="18"/>
          <w:szCs w:val="18"/>
        </w:rPr>
        <w:t>$</w:t>
      </w:r>
      <w:r>
        <w:rPr>
          <w:sz w:val="18"/>
          <w:szCs w:val="18"/>
        </w:rPr>
        <w:t>20,00</w:t>
      </w:r>
      <w:r>
        <w:rPr>
          <w:sz w:val="18"/>
          <w:szCs w:val="18"/>
        </w:rPr>
        <w:t>0</w:t>
      </w:r>
      <w:r>
        <w:rPr>
          <w:sz w:val="18"/>
          <w:szCs w:val="18"/>
        </w:rPr>
        <w:t xml:space="preserve">, which will be creditable against any royalties payable to Northwestern following first commercial sale of licensed products under the agreement. The </w:t>
      </w:r>
      <w:r>
        <w:rPr>
          <w:sz w:val="18"/>
          <w:szCs w:val="18"/>
        </w:rPr>
        <w:t>Company is responsible for all ongoing costs of filing, prosecuting and maintaining the Northwestern Patents, but also has the right to control such activities using its own patent counsel.</w:t>
      </w:r>
      <w:r>
        <w:rPr>
          <w:sz w:val="18"/>
          <w:szCs w:val="18"/>
        </w:rPr>
        <w:t xml:space="preserve"> </w:t>
      </w:r>
      <w:r>
        <w:rPr>
          <w:sz w:val="18"/>
          <w:szCs w:val="18"/>
        </w:rPr>
        <w:t>In consideration for the rights granted to the Company under the N</w:t>
      </w:r>
      <w:r>
        <w:rPr>
          <w:sz w:val="18"/>
          <w:szCs w:val="18"/>
        </w:rPr>
        <w:t xml:space="preserve">orthwestern agreement, the Company is required to pay to Northwestern up to an aggregate of </w:t>
      </w:r>
      <w:r>
        <w:rPr>
          <w:sz w:val="18"/>
          <w:szCs w:val="18"/>
        </w:rPr>
        <w:t>$</w:t>
      </w:r>
      <w:r>
        <w:rPr>
          <w:sz w:val="18"/>
          <w:szCs w:val="18"/>
        </w:rPr>
        <w:t>5.</w:t>
      </w:r>
      <w:r>
        <w:rPr>
          <w:sz w:val="18"/>
          <w:szCs w:val="18"/>
        </w:rPr>
        <w:t>3</w:t>
      </w:r>
      <w:r>
        <w:rPr>
          <w:sz w:val="18"/>
          <w:szCs w:val="18"/>
        </w:rPr>
        <w:t xml:space="preserve"> million upon the achievement of certain development and regulatory milestones for the first product covered by the Northwestern Patents, and, upon commercializ</w:t>
      </w:r>
      <w:r>
        <w:rPr>
          <w:sz w:val="18"/>
          <w:szCs w:val="18"/>
        </w:rPr>
        <w:t>ation of any such products, will be required to pay to Northwestern a tiered royalty on net sales of such products by the Company, its affiliates or sublicensees, at percentages in the low to mid single-digits, subject to standard reductions and offsets. T</w:t>
      </w:r>
      <w:r>
        <w:rPr>
          <w:sz w:val="18"/>
          <w:szCs w:val="18"/>
        </w:rPr>
        <w:t>he Company’s royalty obligations continue on a product-by-product and country-by-country basis until the later of the expiration of the last-to-expire valid claim in a licensed patent covering the applicable product in such country and 10 years following t</w:t>
      </w:r>
      <w:r>
        <w:rPr>
          <w:sz w:val="18"/>
          <w:szCs w:val="18"/>
        </w:rPr>
        <w:t>he first commercial sale of such product in such country. If the Company sublicenses a Northwestern Patent Right, it will be obligated to pay to Northwestern a specified percentage of sublicense revenue received by the Company, ranging from the high single</w:t>
      </w:r>
      <w:r>
        <w:rPr>
          <w:sz w:val="18"/>
          <w:szCs w:val="18"/>
        </w:rPr>
        <w:t xml:space="preserve"> digits to the low-teens.</w:t>
      </w:r>
      <w:r>
        <w:rPr>
          <w:sz w:val="18"/>
          <w:szCs w:val="18"/>
        </w:rPr>
        <w:t xml:space="preserve"> </w:t>
      </w:r>
    </w:p>
    <w:p w:rsidR="00000000" w:rsidRDefault="00CF461A">
      <w:pPr>
        <w:pStyle w:val="a3"/>
        <w:spacing w:before="120" w:beforeAutospacing="0" w:after="0" w:afterAutospacing="0"/>
        <w:jc w:val="both"/>
        <w:divId w:val="1617297563"/>
        <w:rPr>
          <w:sz w:val="20"/>
          <w:szCs w:val="20"/>
        </w:rPr>
      </w:pPr>
      <w:r>
        <w:rPr>
          <w:sz w:val="18"/>
          <w:szCs w:val="18"/>
        </w:rPr>
        <w:t>The Northwestern agreement requires that the Company use commercially reasonable efforts to develop and commercialize at least</w:t>
      </w:r>
      <w:r>
        <w:rPr>
          <w:sz w:val="18"/>
          <w:szCs w:val="18"/>
        </w:rPr>
        <w:t xml:space="preserve"> </w:t>
      </w:r>
      <w:r>
        <w:rPr>
          <w:sz w:val="18"/>
          <w:szCs w:val="18"/>
        </w:rPr>
        <w:t>on</w:t>
      </w:r>
      <w:r>
        <w:rPr>
          <w:sz w:val="18"/>
          <w:szCs w:val="18"/>
        </w:rPr>
        <w:t>e</w:t>
      </w:r>
      <w:r>
        <w:rPr>
          <w:sz w:val="18"/>
          <w:szCs w:val="18"/>
        </w:rPr>
        <w:t xml:space="preserve"> product that is covered by the Northwestern Patent Rights</w:t>
      </w:r>
      <w:r>
        <w:rPr>
          <w:sz w:val="18"/>
          <w:szCs w:val="18"/>
        </w:rPr>
        <w:t>.</w:t>
      </w:r>
    </w:p>
    <w:p w:rsidR="00000000" w:rsidRDefault="00CF461A">
      <w:pPr>
        <w:pStyle w:val="a3"/>
        <w:spacing w:before="120" w:beforeAutospacing="0" w:after="0" w:afterAutospacing="0"/>
        <w:jc w:val="both"/>
        <w:divId w:val="1617297563"/>
        <w:rPr>
          <w:sz w:val="20"/>
          <w:szCs w:val="20"/>
        </w:rPr>
      </w:pPr>
      <w:r>
        <w:rPr>
          <w:sz w:val="18"/>
          <w:szCs w:val="18"/>
        </w:rPr>
        <w:t>Unless earlier terminated, the Northwes</w:t>
      </w:r>
      <w:r>
        <w:rPr>
          <w:sz w:val="18"/>
          <w:szCs w:val="18"/>
        </w:rPr>
        <w:t>tern agreement will remain in force until the expiration of the Company’s payment obligations thereunder. The Company has the right to terminate the agreement for any reason upon prior written notice or for an uncured material breach by Northwestern. North</w:t>
      </w:r>
      <w:r>
        <w:rPr>
          <w:sz w:val="18"/>
          <w:szCs w:val="18"/>
        </w:rPr>
        <w:t>western may terminate the agreement for the Company’s uncured material breach or insolvency</w:t>
      </w:r>
      <w:r>
        <w:rPr>
          <w:sz w:val="18"/>
          <w:szCs w:val="18"/>
        </w:rPr>
        <w:t>.</w:t>
      </w:r>
    </w:p>
    <w:p w:rsidR="00000000" w:rsidRDefault="00CF461A">
      <w:pPr>
        <w:pStyle w:val="a3"/>
        <w:spacing w:before="120" w:beforeAutospacing="0" w:after="0" w:afterAutospacing="0"/>
        <w:jc w:val="both"/>
        <w:divId w:val="1617297563"/>
        <w:rPr>
          <w:sz w:val="20"/>
          <w:szCs w:val="20"/>
        </w:rPr>
      </w:pPr>
      <w:r>
        <w:rPr>
          <w:i/>
          <w:iCs/>
          <w:sz w:val="18"/>
          <w:szCs w:val="18"/>
        </w:rPr>
        <w:t>AstraZeneca AB License Agreemen</w:t>
      </w:r>
      <w:r>
        <w:rPr>
          <w:i/>
          <w:iCs/>
          <w:sz w:val="18"/>
          <w:szCs w:val="18"/>
        </w:rPr>
        <w:t>t</w:t>
      </w:r>
    </w:p>
    <w:p w:rsidR="00000000" w:rsidRDefault="00CF461A">
      <w:pPr>
        <w:pStyle w:val="a3"/>
        <w:spacing w:before="120" w:beforeAutospacing="0" w:after="0" w:afterAutospacing="0"/>
        <w:jc w:val="both"/>
        <w:divId w:val="1617297563"/>
        <w:rPr>
          <w:sz w:val="20"/>
          <w:szCs w:val="20"/>
        </w:rPr>
      </w:pPr>
      <w:r>
        <w:rPr>
          <w:sz w:val="18"/>
          <w:szCs w:val="18"/>
        </w:rPr>
        <w:t>On December 30, 2021, the Company entered into an exclusive license agreement with AstraZeneca AB, for a library of early-stage sm</w:t>
      </w:r>
      <w:r>
        <w:rPr>
          <w:sz w:val="18"/>
          <w:szCs w:val="18"/>
        </w:rPr>
        <w:t xml:space="preserve">all molecules targeting the KCC2 transporter, including lead candidate OV350. Upon execution of the agreement, the Company was obligated to pay an upfront cash payment of </w:t>
      </w:r>
      <w:r>
        <w:rPr>
          <w:sz w:val="18"/>
          <w:szCs w:val="18"/>
        </w:rPr>
        <w:t>$</w:t>
      </w:r>
      <w:r>
        <w:rPr>
          <w:sz w:val="18"/>
          <w:szCs w:val="18"/>
        </w:rPr>
        <w:t>5.</w:t>
      </w:r>
      <w:r>
        <w:rPr>
          <w:sz w:val="18"/>
          <w:szCs w:val="18"/>
        </w:rPr>
        <w:t>0</w:t>
      </w:r>
      <w:r>
        <w:rPr>
          <w:sz w:val="18"/>
          <w:szCs w:val="18"/>
        </w:rPr>
        <w:t xml:space="preserve"> million and issued shares of the Company's common stock in an amount that equale</w:t>
      </w:r>
      <w:r>
        <w:rPr>
          <w:sz w:val="18"/>
          <w:szCs w:val="18"/>
        </w:rPr>
        <w:t xml:space="preserve">d </w:t>
      </w:r>
      <w:r>
        <w:rPr>
          <w:sz w:val="18"/>
          <w:szCs w:val="18"/>
        </w:rPr>
        <w:t>$</w:t>
      </w:r>
      <w:r>
        <w:rPr>
          <w:sz w:val="18"/>
          <w:szCs w:val="18"/>
        </w:rPr>
        <w:t>7.</w:t>
      </w:r>
      <w:r>
        <w:rPr>
          <w:sz w:val="18"/>
          <w:szCs w:val="18"/>
        </w:rPr>
        <w:t>3</w:t>
      </w:r>
      <w:r>
        <w:rPr>
          <w:sz w:val="18"/>
          <w:szCs w:val="18"/>
        </w:rPr>
        <w:t xml:space="preserve"> million based on the volume-weighted average price of shares of the Company's common stock for the 30 business days immediately preceding the execution date of the transaction. Since the intangibles acquired in the AstraZeneca license agreement do n</w:t>
      </w:r>
      <w:r>
        <w:rPr>
          <w:sz w:val="18"/>
          <w:szCs w:val="18"/>
        </w:rPr>
        <w:t xml:space="preserve">ot have alternative future use, all costs incurred were treated as research and development expense. The Company recorded a total of </w:t>
      </w:r>
      <w:r>
        <w:rPr>
          <w:sz w:val="18"/>
          <w:szCs w:val="18"/>
        </w:rPr>
        <w:t>$</w:t>
      </w:r>
      <w:r>
        <w:rPr>
          <w:sz w:val="18"/>
          <w:szCs w:val="18"/>
        </w:rPr>
        <w:t>12.</w:t>
      </w:r>
      <w:r>
        <w:rPr>
          <w:sz w:val="18"/>
          <w:szCs w:val="18"/>
        </w:rPr>
        <w:t>3</w:t>
      </w:r>
      <w:r>
        <w:rPr>
          <w:sz w:val="18"/>
          <w:szCs w:val="18"/>
        </w:rPr>
        <w:t xml:space="preserve"> million as research and development expense related to this agreement during December 2021</w:t>
      </w:r>
      <w:r>
        <w:rPr>
          <w:sz w:val="18"/>
          <w:szCs w:val="18"/>
        </w:rPr>
        <w:t>.</w:t>
      </w:r>
    </w:p>
    <w:p w:rsidR="00000000" w:rsidRDefault="00CF461A">
      <w:pPr>
        <w:pStyle w:val="a3"/>
        <w:spacing w:before="120" w:beforeAutospacing="0" w:after="0" w:afterAutospacing="0"/>
        <w:divId w:val="1617297563"/>
        <w:rPr>
          <w:sz w:val="20"/>
          <w:szCs w:val="20"/>
        </w:rPr>
      </w:pPr>
      <w:r>
        <w:rPr>
          <w:sz w:val="18"/>
          <w:szCs w:val="18"/>
        </w:rPr>
        <w:t>Pursuant to the AstraZene</w:t>
      </w:r>
      <w:r>
        <w:rPr>
          <w:sz w:val="18"/>
          <w:szCs w:val="18"/>
        </w:rPr>
        <w:t xml:space="preserve">ca license agreement, the Company agreed to potential milestone payments of up to </w:t>
      </w:r>
      <w:r>
        <w:rPr>
          <w:sz w:val="18"/>
          <w:szCs w:val="18"/>
        </w:rPr>
        <w:t>$</w:t>
      </w:r>
      <w:r>
        <w:rPr>
          <w:sz w:val="18"/>
          <w:szCs w:val="18"/>
        </w:rPr>
        <w:t>203.</w:t>
      </w:r>
      <w:r>
        <w:rPr>
          <w:sz w:val="18"/>
          <w:szCs w:val="18"/>
        </w:rPr>
        <w:t>0</w:t>
      </w:r>
      <w:r>
        <w:rPr>
          <w:sz w:val="18"/>
          <w:szCs w:val="18"/>
        </w:rPr>
        <w:t xml:space="preserve"> million upon the achievement of certain developmental, regulatory and sales milestones. The first payment of </w:t>
      </w:r>
      <w:r>
        <w:rPr>
          <w:sz w:val="18"/>
          <w:szCs w:val="18"/>
        </w:rPr>
        <w:t>$</w:t>
      </w:r>
      <w:r>
        <w:rPr>
          <w:sz w:val="18"/>
          <w:szCs w:val="18"/>
        </w:rPr>
        <w:t>3.</w:t>
      </w:r>
      <w:r>
        <w:rPr>
          <w:sz w:val="18"/>
          <w:szCs w:val="18"/>
        </w:rPr>
        <w:t>0</w:t>
      </w:r>
      <w:r>
        <w:rPr>
          <w:sz w:val="18"/>
          <w:szCs w:val="18"/>
        </w:rPr>
        <w:t xml:space="preserve"> million is due upon the successful completion of the </w:t>
      </w:r>
      <w:r>
        <w:rPr>
          <w:sz w:val="18"/>
          <w:szCs w:val="18"/>
        </w:rPr>
        <w:t>first Phase 2 clinical study of a licensed product following a positive biomarker readout in a Phase 1 clinical study</w:t>
      </w:r>
      <w:r>
        <w:rPr>
          <w:sz w:val="18"/>
          <w:szCs w:val="18"/>
        </w:rPr>
        <w:t>.</w:t>
      </w:r>
      <w:r>
        <w:rPr>
          <w:sz w:val="20"/>
          <w:szCs w:val="20"/>
        </w:rPr>
        <w:t xml:space="preserve"> </w:t>
      </w:r>
    </w:p>
    <w:p w:rsidR="00000000" w:rsidRDefault="00CF461A">
      <w:pPr>
        <w:pStyle w:val="a3"/>
        <w:spacing w:before="200" w:beforeAutospacing="0" w:after="0" w:afterAutospacing="0"/>
        <w:jc w:val="both"/>
        <w:divId w:val="1617297563"/>
        <w:rPr>
          <w:sz w:val="20"/>
          <w:szCs w:val="20"/>
        </w:rPr>
      </w:pPr>
      <w:r>
        <w:rPr>
          <w:sz w:val="18"/>
          <w:szCs w:val="18"/>
        </w:rPr>
        <w:t>As of March 31, 2022, none of these contingent payments were considered probable</w:t>
      </w:r>
      <w:r>
        <w:rPr>
          <w:sz w:val="18"/>
          <w:szCs w:val="18"/>
        </w:rPr>
        <w:t>.</w:t>
      </w:r>
    </w:p>
    <w:p w:rsidR="00000000" w:rsidRDefault="00CF461A">
      <w:pPr>
        <w:pStyle w:val="a3"/>
        <w:spacing w:before="200" w:beforeAutospacing="0" w:after="0" w:afterAutospacing="0"/>
        <w:jc w:val="both"/>
        <w:divId w:val="1617297563"/>
        <w:rPr>
          <w:sz w:val="20"/>
          <w:szCs w:val="20"/>
        </w:rPr>
      </w:pPr>
      <w:r>
        <w:rPr>
          <w:b/>
          <w:bCs/>
          <w:sz w:val="18"/>
          <w:szCs w:val="18"/>
        </w:rPr>
        <w:t>Contingencie</w:t>
      </w:r>
      <w:r>
        <w:rPr>
          <w:b/>
          <w:bCs/>
          <w:sz w:val="18"/>
          <w:szCs w:val="18"/>
        </w:rPr>
        <w:t>s</w:t>
      </w:r>
    </w:p>
    <w:p w:rsidR="00000000" w:rsidRDefault="00CF461A">
      <w:pPr>
        <w:pStyle w:val="a3"/>
        <w:spacing w:before="200" w:beforeAutospacing="0" w:after="0" w:afterAutospacing="0"/>
        <w:jc w:val="both"/>
        <w:divId w:val="1617297563"/>
        <w:rPr>
          <w:sz w:val="20"/>
          <w:szCs w:val="20"/>
        </w:rPr>
      </w:pPr>
      <w:r>
        <w:rPr>
          <w:sz w:val="18"/>
          <w:szCs w:val="18"/>
        </w:rPr>
        <w:t>Liabilities for loss contingencies arisi</w:t>
      </w:r>
      <w:r>
        <w:rPr>
          <w:sz w:val="18"/>
          <w:szCs w:val="18"/>
        </w:rPr>
        <w:t>ng from claims, assessments, litigation, fines, and penalties and other sources are recorded when it is probable that a liability has been incurred and the amount can be reasonably estimated. Legal costs incurred in connection with loss contingencies are e</w:t>
      </w:r>
      <w:r>
        <w:rPr>
          <w:sz w:val="18"/>
          <w:szCs w:val="18"/>
        </w:rPr>
        <w:t>xpensed as incurred. The Company is not currently involved in any legal matters arising in the normal course of business, except for the settlement mentioned below</w:t>
      </w:r>
      <w:r>
        <w:rPr>
          <w:sz w:val="18"/>
          <w:szCs w:val="18"/>
        </w:rPr>
        <w:t>.</w:t>
      </w:r>
    </w:p>
    <w:p w:rsidR="00000000" w:rsidRDefault="00CF461A">
      <w:pPr>
        <w:pStyle w:val="a3"/>
        <w:spacing w:before="240" w:beforeAutospacing="0" w:after="0" w:afterAutospacing="0"/>
        <w:jc w:val="center"/>
        <w:divId w:val="1617297563"/>
        <w:rPr>
          <w:sz w:val="20"/>
          <w:szCs w:val="20"/>
        </w:rPr>
      </w:pPr>
      <w:r>
        <w:rPr>
          <w:sz w:val="18"/>
          <w:szCs w:val="18"/>
        </w:rPr>
        <w:t>1</w:t>
      </w:r>
      <w:r>
        <w:rPr>
          <w:sz w:val="18"/>
          <w:szCs w:val="18"/>
        </w:rPr>
        <w:t>4</w:t>
      </w:r>
    </w:p>
    <w:p w:rsidR="00000000" w:rsidRDefault="00CF461A">
      <w:pPr>
        <w:divId w:val="1617297563"/>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CF461A">
      <w:pPr>
        <w:pStyle w:val="a3"/>
        <w:spacing w:before="0" w:beforeAutospacing="0" w:after="0" w:afterAutospacing="0"/>
        <w:divId w:val="1617297563"/>
        <w:rPr>
          <w:sz w:val="20"/>
          <w:szCs w:val="20"/>
        </w:rPr>
      </w:pPr>
      <w:r>
        <w:rPr>
          <w:sz w:val="18"/>
          <w:szCs w:val="18"/>
        </w:rPr>
        <w:t> </w:t>
      </w:r>
    </w:p>
    <w:p w:rsidR="00000000" w:rsidRDefault="00CF461A">
      <w:pPr>
        <w:pStyle w:val="a3"/>
        <w:spacing w:before="200" w:beforeAutospacing="0" w:after="0" w:afterAutospacing="0"/>
        <w:jc w:val="both"/>
        <w:divId w:val="1617297563"/>
        <w:rPr>
          <w:sz w:val="20"/>
          <w:szCs w:val="20"/>
        </w:rPr>
      </w:pPr>
      <w:r>
        <w:rPr>
          <w:sz w:val="18"/>
          <w:szCs w:val="18"/>
        </w:rPr>
        <w:t>The Company agreed to settlement terms with anothe</w:t>
      </w:r>
      <w:r>
        <w:rPr>
          <w:sz w:val="18"/>
          <w:szCs w:val="18"/>
        </w:rPr>
        <w:t xml:space="preserve">r party subsequent to the balance sheet date in the amount of approximately </w:t>
      </w:r>
      <w:r>
        <w:rPr>
          <w:sz w:val="18"/>
          <w:szCs w:val="18"/>
        </w:rPr>
        <w:t>$</w:t>
      </w:r>
      <w:r>
        <w:rPr>
          <w:sz w:val="18"/>
          <w:szCs w:val="18"/>
        </w:rPr>
        <w:t>750,00</w:t>
      </w:r>
      <w:r>
        <w:rPr>
          <w:sz w:val="18"/>
          <w:szCs w:val="18"/>
        </w:rPr>
        <w:t>0</w:t>
      </w:r>
      <w:r>
        <w:rPr>
          <w:sz w:val="18"/>
          <w:szCs w:val="18"/>
        </w:rPr>
        <w:t>. The settlement represents a Type I subsequent event and is included in general and administrative expenses in the consolidated statements of operations</w:t>
      </w:r>
      <w:r>
        <w:rPr>
          <w:sz w:val="18"/>
          <w:szCs w:val="18"/>
        </w:rPr>
        <w:t>.</w:t>
      </w:r>
    </w:p>
    <w:p w:rsidR="00000000" w:rsidRDefault="00CF461A">
      <w:pPr>
        <w:pStyle w:val="a3"/>
        <w:spacing w:before="200" w:beforeAutospacing="0" w:after="0" w:afterAutospacing="0"/>
        <w:jc w:val="both"/>
        <w:divId w:val="1617297563"/>
        <w:rPr>
          <w:sz w:val="20"/>
          <w:szCs w:val="20"/>
        </w:rPr>
      </w:pPr>
      <w:r>
        <w:rPr>
          <w:sz w:val="18"/>
          <w:szCs w:val="18"/>
        </w:rPr>
        <w:t>Under the terms o</w:t>
      </w:r>
      <w:r>
        <w:rPr>
          <w:sz w:val="18"/>
          <w:szCs w:val="18"/>
        </w:rPr>
        <w:t xml:space="preserve">f their respective employment agreements, certain of our executive officers are eligible to receive severance payments and benefits upon a termination without “cause” or due to “permanent disability,” or upon “resignation for good reason,” contingent upon </w:t>
      </w:r>
      <w:r>
        <w:rPr>
          <w:sz w:val="18"/>
          <w:szCs w:val="18"/>
        </w:rPr>
        <w:t>the executive officer’s delivery to the Company of a satisfactory release of claims, and subject to the executive officer’s compliance with non-competition and non-solicitation restrictive covenants</w:t>
      </w:r>
      <w:r>
        <w:rPr>
          <w:sz w:val="18"/>
          <w:szCs w:val="18"/>
        </w:rPr>
        <w:t>.</w:t>
      </w:r>
      <w:r>
        <w:rPr>
          <w:sz w:val="18"/>
          <w:szCs w:val="18"/>
        </w:rPr>
        <w:t xml:space="preserve"> </w:t>
      </w:r>
    </w:p>
    <w:p w:rsidR="00000000" w:rsidRDefault="00CF461A">
      <w:pPr>
        <w:pStyle w:val="a3"/>
        <w:spacing w:before="360" w:beforeAutospacing="0" w:after="0" w:afterAutospacing="0"/>
        <w:jc w:val="both"/>
        <w:divId w:val="835535355"/>
        <w:rPr>
          <w:sz w:val="20"/>
          <w:szCs w:val="20"/>
        </w:rPr>
      </w:pPr>
      <w:r>
        <w:rPr>
          <w:b/>
          <w:bCs/>
          <w:sz w:val="18"/>
          <w:szCs w:val="18"/>
        </w:rPr>
        <w:t>NOTE 11 – COLLABORATION AND LICENSE AGREEMENT</w:t>
      </w:r>
      <w:r>
        <w:rPr>
          <w:b/>
          <w:bCs/>
          <w:sz w:val="18"/>
          <w:szCs w:val="18"/>
        </w:rPr>
        <w:t>S</w:t>
      </w:r>
    </w:p>
    <w:p w:rsidR="00000000" w:rsidRDefault="00CF461A">
      <w:pPr>
        <w:pStyle w:val="a3"/>
        <w:spacing w:before="120" w:beforeAutospacing="0" w:after="0" w:afterAutospacing="0"/>
        <w:jc w:val="both"/>
        <w:divId w:val="835535355"/>
        <w:rPr>
          <w:sz w:val="20"/>
          <w:szCs w:val="20"/>
        </w:rPr>
      </w:pPr>
      <w:r>
        <w:rPr>
          <w:b/>
          <w:bCs/>
          <w:sz w:val="18"/>
          <w:szCs w:val="18"/>
        </w:rPr>
        <w:t>Angelini Collaboratio</w:t>
      </w:r>
      <w:r>
        <w:rPr>
          <w:b/>
          <w:bCs/>
          <w:sz w:val="18"/>
          <w:szCs w:val="18"/>
        </w:rPr>
        <w:t>n</w:t>
      </w:r>
    </w:p>
    <w:p w:rsidR="00000000" w:rsidRDefault="00CF461A">
      <w:pPr>
        <w:pStyle w:val="a3"/>
        <w:spacing w:before="120" w:beforeAutospacing="0" w:after="0" w:afterAutospacing="0"/>
        <w:jc w:val="both"/>
        <w:divId w:val="835535355"/>
        <w:rPr>
          <w:sz w:val="20"/>
          <w:szCs w:val="20"/>
        </w:rPr>
      </w:pPr>
      <w:r>
        <w:rPr>
          <w:sz w:val="18"/>
          <w:szCs w:val="18"/>
        </w:rPr>
        <w:t>On</w:t>
      </w:r>
      <w:r>
        <w:rPr>
          <w:sz w:val="18"/>
          <w:szCs w:val="18"/>
        </w:rPr>
        <w:t xml:space="preserve"> </w:t>
      </w:r>
      <w:r>
        <w:rPr>
          <w:sz w:val="18"/>
          <w:szCs w:val="18"/>
        </w:rPr>
        <w:t>July 9, 202</w:t>
      </w:r>
      <w:r>
        <w:rPr>
          <w:sz w:val="18"/>
          <w:szCs w:val="18"/>
        </w:rPr>
        <w:t>0</w:t>
      </w:r>
      <w:r>
        <w:rPr>
          <w:sz w:val="18"/>
          <w:szCs w:val="18"/>
        </w:rPr>
        <w:t>, the Company entered into the Angelini License Agreement, pursuant to which the Company granted to Angelini exclusive rights to develop and commercialize OV101, a selective agonist of the GAB</w:t>
      </w:r>
      <w:r>
        <w:rPr>
          <w:sz w:val="18"/>
          <w:szCs w:val="18"/>
        </w:rPr>
        <w:t>A</w:t>
      </w:r>
      <w:r>
        <w:rPr>
          <w:sz w:val="12"/>
          <w:szCs w:val="12"/>
        </w:rPr>
        <w:t>A</w:t>
      </w:r>
      <w:r>
        <w:rPr>
          <w:sz w:val="18"/>
          <w:szCs w:val="18"/>
        </w:rPr>
        <w:t xml:space="preserve"> receptor, for the treat</w:t>
      </w:r>
      <w:r>
        <w:rPr>
          <w:sz w:val="18"/>
          <w:szCs w:val="18"/>
        </w:rPr>
        <w:t>ment of Angelman syndrome in the European Economic Area as well as Switzerland, the United Kingdom, Russia and Turkey (the “European Territory”)</w:t>
      </w:r>
      <w:r>
        <w:rPr>
          <w:sz w:val="18"/>
          <w:szCs w:val="18"/>
        </w:rPr>
        <w:t>.</w:t>
      </w:r>
      <w:r>
        <w:rPr>
          <w:sz w:val="18"/>
          <w:szCs w:val="18"/>
        </w:rPr>
        <w:t xml:space="preserve"> </w:t>
      </w:r>
    </w:p>
    <w:p w:rsidR="00000000" w:rsidRDefault="00CF461A">
      <w:pPr>
        <w:pStyle w:val="a3"/>
        <w:spacing w:before="120" w:beforeAutospacing="0" w:after="0" w:afterAutospacing="0"/>
        <w:jc w:val="both"/>
        <w:divId w:val="835535355"/>
        <w:rPr>
          <w:sz w:val="20"/>
          <w:szCs w:val="20"/>
        </w:rPr>
      </w:pPr>
      <w:r>
        <w:rPr>
          <w:sz w:val="18"/>
          <w:szCs w:val="18"/>
        </w:rPr>
        <w:t>On March 29, 2021, the Company received a notice of termination of the Angelini License Agreement. Subsequent</w:t>
      </w:r>
      <w:r>
        <w:rPr>
          <w:sz w:val="18"/>
          <w:szCs w:val="18"/>
        </w:rPr>
        <w:t>ly, Angelini and the Company mutually agreed to waive the six month termination notice provisions and the Angelini License Agreement terminated effective March 31, 2021. The Company has been released from its performance obligations and will not be entitle</w:t>
      </w:r>
      <w:r>
        <w:rPr>
          <w:sz w:val="18"/>
          <w:szCs w:val="18"/>
        </w:rPr>
        <w:t>d to any future milestone payments under the Angelini License Agreement</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The Company evaluated the Angelini License Agreement to determine whether it was a collaborative arrangement for purposes of ASC 808. The Company concluded that because Angelini was n</w:t>
      </w:r>
      <w:r>
        <w:rPr>
          <w:sz w:val="18"/>
          <w:szCs w:val="18"/>
        </w:rPr>
        <w:t>ot the ultimate decision maker or the legal owner of the license, Angelini was not considered an active participant and therefore the Angelini License Agreement was outside of the scope of ASC 808. The Company concluded that Angelini was a customer with re</w:t>
      </w:r>
      <w:r>
        <w:rPr>
          <w:sz w:val="18"/>
          <w:szCs w:val="18"/>
        </w:rPr>
        <w:t>gard to the combined license and research and development activities and as such the Angelini License Agreement should be evaluated under ASC 606</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The Company identified the following material promises under the Angelini License Agreement: (1) licensing of</w:t>
      </w:r>
      <w:r>
        <w:rPr>
          <w:sz w:val="18"/>
          <w:szCs w:val="18"/>
        </w:rPr>
        <w:t xml:space="preserve"> intellectual property with respect to OV101; (2) completion of certain ongoing trials; (3) transfer of a specified amount of compound and related information; (4) potential for funding</w:t>
      </w:r>
      <w:r>
        <w:rPr>
          <w:sz w:val="18"/>
          <w:szCs w:val="18"/>
        </w:rPr>
        <w:t xml:space="preserve"> </w:t>
      </w:r>
      <w:r>
        <w:rPr>
          <w:sz w:val="18"/>
          <w:szCs w:val="18"/>
        </w:rPr>
        <w:t>3</w:t>
      </w:r>
      <w:r>
        <w:rPr>
          <w:sz w:val="18"/>
          <w:szCs w:val="18"/>
        </w:rPr>
        <w:t>5</w:t>
      </w:r>
      <w:r>
        <w:rPr>
          <w:sz w:val="18"/>
          <w:szCs w:val="18"/>
        </w:rPr>
        <w:t xml:space="preserve">% of the cost for Angelini future trials limited to </w:t>
      </w:r>
      <w:r>
        <w:rPr>
          <w:sz w:val="18"/>
          <w:szCs w:val="18"/>
        </w:rPr>
        <w:t>$</w:t>
      </w:r>
      <w:r>
        <w:rPr>
          <w:sz w:val="18"/>
          <w:szCs w:val="18"/>
        </w:rPr>
        <w:t>7.</w:t>
      </w:r>
      <w:r>
        <w:rPr>
          <w:sz w:val="18"/>
          <w:szCs w:val="18"/>
        </w:rPr>
        <w:t>0</w:t>
      </w:r>
      <w:r>
        <w:rPr>
          <w:sz w:val="18"/>
          <w:szCs w:val="18"/>
        </w:rPr>
        <w:t xml:space="preserve"> million; an</w:t>
      </w:r>
      <w:r>
        <w:rPr>
          <w:sz w:val="18"/>
          <w:szCs w:val="18"/>
        </w:rPr>
        <w:t>d (5) completion of the manufacturing process technology transfer</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 xml:space="preserve">The Company determined that the </w:t>
      </w:r>
      <w:r>
        <w:rPr>
          <w:sz w:val="18"/>
          <w:szCs w:val="18"/>
        </w:rPr>
        <w:t>$</w:t>
      </w:r>
      <w:r>
        <w:rPr>
          <w:sz w:val="18"/>
          <w:szCs w:val="18"/>
        </w:rPr>
        <w:t>7.</w:t>
      </w:r>
      <w:r>
        <w:rPr>
          <w:sz w:val="18"/>
          <w:szCs w:val="18"/>
        </w:rPr>
        <w:t>0</w:t>
      </w:r>
      <w:r>
        <w:rPr>
          <w:sz w:val="18"/>
          <w:szCs w:val="18"/>
        </w:rPr>
        <w:t xml:space="preserve"> million represented a potential payment to a customer and was deferred. The transfer of compound and related information was considered a contingent mil</w:t>
      </w:r>
      <w:r>
        <w:rPr>
          <w:sz w:val="18"/>
          <w:szCs w:val="18"/>
        </w:rPr>
        <w:t>estone payment that will be recognized upon acceptance by Angelini of the milestone. The Company further determined that the license and the completion of ongoing trials were distinct from each other, as each had value without the other. As such, for the p</w:t>
      </w:r>
      <w:r>
        <w:rPr>
          <w:sz w:val="18"/>
          <w:szCs w:val="18"/>
        </w:rPr>
        <w:t>urposes of ASC 606, the Company determined that these two material promises, represented distinct performance obligations</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Pursuant to the Angelini License Agreement and during the year ended December 31, 2020, Angelini made an upfront payment to the Compa</w:t>
      </w:r>
      <w:r>
        <w:rPr>
          <w:sz w:val="18"/>
          <w:szCs w:val="18"/>
        </w:rPr>
        <w:t xml:space="preserve">ny of </w:t>
      </w:r>
      <w:r>
        <w:rPr>
          <w:sz w:val="18"/>
          <w:szCs w:val="18"/>
        </w:rPr>
        <w:t>$</w:t>
      </w:r>
      <w:r>
        <w:rPr>
          <w:sz w:val="18"/>
          <w:szCs w:val="18"/>
        </w:rPr>
        <w:t>20.</w:t>
      </w:r>
      <w:r>
        <w:rPr>
          <w:sz w:val="18"/>
          <w:szCs w:val="18"/>
        </w:rPr>
        <w:t>0</w:t>
      </w:r>
      <w:r>
        <w:rPr>
          <w:sz w:val="18"/>
          <w:szCs w:val="18"/>
        </w:rPr>
        <w:t xml:space="preserve"> million. Upon the transfer of the specified amount of compound and related information and acceptance by Angelini, Angelini paid the Company an additional </w:t>
      </w:r>
      <w:r>
        <w:rPr>
          <w:sz w:val="18"/>
          <w:szCs w:val="18"/>
        </w:rPr>
        <w:t>$</w:t>
      </w:r>
      <w:r>
        <w:rPr>
          <w:sz w:val="18"/>
          <w:szCs w:val="18"/>
        </w:rPr>
        <w:t>5.</w:t>
      </w:r>
      <w:r>
        <w:rPr>
          <w:sz w:val="18"/>
          <w:szCs w:val="18"/>
        </w:rPr>
        <w:t>0</w:t>
      </w:r>
      <w:r>
        <w:rPr>
          <w:sz w:val="18"/>
          <w:szCs w:val="18"/>
        </w:rPr>
        <w:t xml:space="preserve"> million. This payment was determined to be variable consideration which was constrai</w:t>
      </w:r>
      <w:r>
        <w:rPr>
          <w:sz w:val="18"/>
          <w:szCs w:val="18"/>
        </w:rPr>
        <w:t xml:space="preserve">ned and not considered part of the upfront transaction price allocation. The Company determined the transaction price was equal to the upfront fee of </w:t>
      </w:r>
      <w:r>
        <w:rPr>
          <w:sz w:val="18"/>
          <w:szCs w:val="18"/>
        </w:rPr>
        <w:t>$</w:t>
      </w:r>
      <w:r>
        <w:rPr>
          <w:sz w:val="18"/>
          <w:szCs w:val="18"/>
        </w:rPr>
        <w:t>20.</w:t>
      </w:r>
      <w:r>
        <w:rPr>
          <w:sz w:val="18"/>
          <w:szCs w:val="18"/>
        </w:rPr>
        <w:t>0</w:t>
      </w:r>
      <w:r>
        <w:rPr>
          <w:sz w:val="18"/>
          <w:szCs w:val="18"/>
        </w:rPr>
        <w:t xml:space="preserve"> million. The transaction price was allocated based on the standalone selling price of the license an</w:t>
      </w:r>
      <w:r>
        <w:rPr>
          <w:sz w:val="18"/>
          <w:szCs w:val="18"/>
        </w:rPr>
        <w:t>d the ongoing trials</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During the three months ended March 31, 2022,</w:t>
      </w:r>
      <w:r>
        <w:rPr>
          <w:sz w:val="18"/>
          <w:szCs w:val="18"/>
        </w:rPr>
        <w:t xml:space="preserve"> </w:t>
      </w:r>
      <w:r>
        <w:rPr>
          <w:sz w:val="18"/>
          <w:szCs w:val="18"/>
        </w:rPr>
        <w:t>n</w:t>
      </w:r>
      <w:r>
        <w:rPr>
          <w:sz w:val="18"/>
          <w:szCs w:val="18"/>
        </w:rPr>
        <w:t>o</w:t>
      </w:r>
      <w:r>
        <w:rPr>
          <w:sz w:val="18"/>
          <w:szCs w:val="18"/>
        </w:rPr>
        <w:t xml:space="preserve"> revenue was recognized pursuant to the Angelini License Agreement. During the three months ended March 31, 2021 and effective upon termination of the Angelini License Agreement, the Com</w:t>
      </w:r>
      <w:r>
        <w:rPr>
          <w:sz w:val="18"/>
          <w:szCs w:val="18"/>
        </w:rPr>
        <w:t xml:space="preserve">pany recognized </w:t>
      </w:r>
      <w:r>
        <w:rPr>
          <w:sz w:val="18"/>
          <w:szCs w:val="18"/>
        </w:rPr>
        <w:t>$</w:t>
      </w:r>
      <w:r>
        <w:rPr>
          <w:sz w:val="18"/>
          <w:szCs w:val="18"/>
        </w:rPr>
        <w:t>12.</w:t>
      </w:r>
      <w:r>
        <w:rPr>
          <w:sz w:val="18"/>
          <w:szCs w:val="18"/>
        </w:rPr>
        <w:t>4</w:t>
      </w:r>
      <w:r>
        <w:rPr>
          <w:sz w:val="18"/>
          <w:szCs w:val="18"/>
        </w:rPr>
        <w:t xml:space="preserve"> million of revenue consisting of </w:t>
      </w:r>
      <w:r>
        <w:rPr>
          <w:sz w:val="18"/>
          <w:szCs w:val="18"/>
        </w:rPr>
        <w:t>$</w:t>
      </w:r>
      <w:r>
        <w:rPr>
          <w:sz w:val="18"/>
          <w:szCs w:val="18"/>
        </w:rPr>
        <w:t>5.</w:t>
      </w:r>
      <w:r>
        <w:rPr>
          <w:sz w:val="18"/>
          <w:szCs w:val="18"/>
        </w:rPr>
        <w:t>4</w:t>
      </w:r>
      <w:r>
        <w:rPr>
          <w:sz w:val="18"/>
          <w:szCs w:val="18"/>
        </w:rPr>
        <w:t xml:space="preserve"> million of license revenue related to ongoing trials and the </w:t>
      </w:r>
      <w:r>
        <w:rPr>
          <w:sz w:val="18"/>
          <w:szCs w:val="18"/>
        </w:rPr>
        <w:t>$</w:t>
      </w:r>
      <w:r>
        <w:rPr>
          <w:sz w:val="18"/>
          <w:szCs w:val="18"/>
        </w:rPr>
        <w:t>7.</w:t>
      </w:r>
      <w:r>
        <w:rPr>
          <w:sz w:val="18"/>
          <w:szCs w:val="18"/>
        </w:rPr>
        <w:t>0</w:t>
      </w:r>
      <w:r>
        <w:rPr>
          <w:sz w:val="18"/>
          <w:szCs w:val="18"/>
        </w:rPr>
        <w:t xml:space="preserve"> million related to the potential</w:t>
      </w:r>
      <w:r>
        <w:rPr>
          <w:sz w:val="18"/>
          <w:szCs w:val="18"/>
        </w:rPr>
        <w:t xml:space="preserve"> </w:t>
      </w:r>
      <w:r>
        <w:rPr>
          <w:sz w:val="18"/>
          <w:szCs w:val="18"/>
        </w:rPr>
        <w:t>3</w:t>
      </w:r>
      <w:r>
        <w:rPr>
          <w:sz w:val="18"/>
          <w:szCs w:val="18"/>
        </w:rPr>
        <w:t>5</w:t>
      </w:r>
      <w:r>
        <w:rPr>
          <w:sz w:val="18"/>
          <w:szCs w:val="18"/>
        </w:rPr>
        <w:t>% funding of the cost for Angelini future trials</w:t>
      </w:r>
      <w:r>
        <w:rPr>
          <w:sz w:val="18"/>
          <w:szCs w:val="18"/>
        </w:rPr>
        <w:t>.</w:t>
      </w:r>
    </w:p>
    <w:p w:rsidR="00000000" w:rsidRDefault="00CF461A">
      <w:pPr>
        <w:pStyle w:val="a3"/>
        <w:spacing w:before="120" w:beforeAutospacing="0" w:after="0" w:afterAutospacing="0"/>
        <w:jc w:val="both"/>
        <w:divId w:val="835535355"/>
        <w:rPr>
          <w:sz w:val="20"/>
          <w:szCs w:val="20"/>
        </w:rPr>
      </w:pPr>
      <w:r>
        <w:rPr>
          <w:b/>
          <w:bCs/>
          <w:sz w:val="18"/>
          <w:szCs w:val="18"/>
        </w:rPr>
        <w:t>Takeda Collaboratio</w:t>
      </w:r>
      <w:r>
        <w:rPr>
          <w:b/>
          <w:bCs/>
          <w:sz w:val="18"/>
          <w:szCs w:val="18"/>
        </w:rPr>
        <w:t>n</w:t>
      </w:r>
    </w:p>
    <w:p w:rsidR="00000000" w:rsidRDefault="00CF461A">
      <w:pPr>
        <w:pStyle w:val="a3"/>
        <w:spacing w:before="120" w:beforeAutospacing="0" w:after="0" w:afterAutospacing="0"/>
        <w:jc w:val="both"/>
        <w:divId w:val="835535355"/>
        <w:rPr>
          <w:sz w:val="20"/>
          <w:szCs w:val="20"/>
        </w:rPr>
      </w:pPr>
      <w:r>
        <w:rPr>
          <w:sz w:val="18"/>
          <w:szCs w:val="18"/>
        </w:rPr>
        <w:t xml:space="preserve">On January 6, 2017, the </w:t>
      </w:r>
      <w:r>
        <w:rPr>
          <w:sz w:val="18"/>
          <w:szCs w:val="18"/>
        </w:rPr>
        <w:t>Company entered into a license and collaboration agreement with Takeda under which the Company licensed from Takeda certain exclusive rights to develop and commercialize soticlestat in certain territories</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In</w:t>
      </w:r>
      <w:r>
        <w:rPr>
          <w:sz w:val="18"/>
          <w:szCs w:val="18"/>
        </w:rPr>
        <w:t xml:space="preserve"> </w:t>
      </w:r>
      <w:r>
        <w:rPr>
          <w:sz w:val="18"/>
          <w:szCs w:val="18"/>
        </w:rPr>
        <w:t>March 202</w:t>
      </w:r>
      <w:r>
        <w:rPr>
          <w:sz w:val="18"/>
          <w:szCs w:val="18"/>
        </w:rPr>
        <w:t>1</w:t>
      </w:r>
      <w:r>
        <w:rPr>
          <w:sz w:val="18"/>
          <w:szCs w:val="18"/>
        </w:rPr>
        <w:t>, the Company entered into the Takeda</w:t>
      </w:r>
      <w:r>
        <w:rPr>
          <w:sz w:val="18"/>
          <w:szCs w:val="18"/>
        </w:rPr>
        <w:t xml:space="preserve"> License and Termination Agreement, pursuant to which Takeda secured rights to the Company’s</w:t>
      </w:r>
      <w:r>
        <w:rPr>
          <w:sz w:val="18"/>
          <w:szCs w:val="18"/>
        </w:rPr>
        <w:t xml:space="preserve"> </w:t>
      </w:r>
      <w:r>
        <w:rPr>
          <w:sz w:val="18"/>
          <w:szCs w:val="18"/>
        </w:rPr>
        <w:t>5</w:t>
      </w:r>
      <w:r>
        <w:rPr>
          <w:sz w:val="18"/>
          <w:szCs w:val="18"/>
        </w:rPr>
        <w:t>0</w:t>
      </w:r>
      <w:r>
        <w:rPr>
          <w:sz w:val="18"/>
          <w:szCs w:val="18"/>
        </w:rPr>
        <w:t>% global share in soticlestat, and the Company granted to Takeda an exclusive worldwide license under the Company’s relevant intellectual property rights to deve</w:t>
      </w:r>
      <w:r>
        <w:rPr>
          <w:sz w:val="18"/>
          <w:szCs w:val="18"/>
        </w:rPr>
        <w:t>lop and commercialize the investigational medicine soticlestat for the treatment of developmental and epileptic encephalopathies, including Dravet syndrome and Lennox-Gastaut syndrome</w:t>
      </w:r>
      <w:r>
        <w:rPr>
          <w:sz w:val="18"/>
          <w:szCs w:val="18"/>
        </w:rPr>
        <w:t>.</w:t>
      </w:r>
      <w:r>
        <w:rPr>
          <w:sz w:val="18"/>
          <w:szCs w:val="18"/>
        </w:rPr>
        <w:t xml:space="preserve"> </w:t>
      </w:r>
    </w:p>
    <w:p w:rsidR="00000000" w:rsidRDefault="00CF461A">
      <w:pPr>
        <w:pStyle w:val="a3"/>
        <w:spacing w:before="120" w:beforeAutospacing="0" w:after="0" w:afterAutospacing="0"/>
        <w:jc w:val="both"/>
        <w:divId w:val="835535355"/>
        <w:rPr>
          <w:sz w:val="20"/>
          <w:szCs w:val="20"/>
        </w:rPr>
      </w:pPr>
      <w:r>
        <w:rPr>
          <w:sz w:val="18"/>
          <w:szCs w:val="18"/>
        </w:rPr>
        <w:t>Under the Takeda License and Termination Agreement, all rights in soti</w:t>
      </w:r>
      <w:r>
        <w:rPr>
          <w:sz w:val="18"/>
          <w:szCs w:val="18"/>
        </w:rPr>
        <w:t>clestat were owned by Takeda or exclusively licensed to Takeda by the Company. Takeda assumed all responsibility for, and costs of, both development and commercialization of soticlestat, and the Company will no longer have any financial obligation to Taked</w:t>
      </w:r>
      <w:r>
        <w:rPr>
          <w:sz w:val="18"/>
          <w:szCs w:val="18"/>
        </w:rPr>
        <w:t>a under the original collaboration agreement, including milestone payments or any future development and commercialization costs. On March 29, 2021 upon the closing of the Takeda License and Termination Agreement, the Company received an upfront payment of</w:t>
      </w:r>
      <w:r>
        <w:rPr>
          <w:sz w:val="18"/>
          <w:szCs w:val="18"/>
        </w:rPr>
        <w:t xml:space="preserve"> </w:t>
      </w:r>
      <w:r>
        <w:rPr>
          <w:sz w:val="18"/>
          <w:szCs w:val="18"/>
        </w:rPr>
        <w:t>$</w:t>
      </w:r>
      <w:r>
        <w:rPr>
          <w:sz w:val="18"/>
          <w:szCs w:val="18"/>
        </w:rPr>
        <w:t>196.</w:t>
      </w:r>
      <w:r>
        <w:rPr>
          <w:sz w:val="18"/>
          <w:szCs w:val="18"/>
        </w:rPr>
        <w:t>0</w:t>
      </w:r>
      <w:r>
        <w:rPr>
          <w:sz w:val="18"/>
          <w:szCs w:val="18"/>
        </w:rPr>
        <w:t xml:space="preserve"> million and, if soticlestat is successfully developed, will be eligible to receive up to an additional </w:t>
      </w:r>
      <w:r>
        <w:rPr>
          <w:sz w:val="18"/>
          <w:szCs w:val="18"/>
        </w:rPr>
        <w:t>$</w:t>
      </w:r>
      <w:r>
        <w:rPr>
          <w:sz w:val="18"/>
          <w:szCs w:val="18"/>
        </w:rPr>
        <w:t>660.</w:t>
      </w:r>
      <w:r>
        <w:rPr>
          <w:sz w:val="18"/>
          <w:szCs w:val="18"/>
        </w:rPr>
        <w:t>0</w:t>
      </w:r>
      <w:r>
        <w:rPr>
          <w:sz w:val="18"/>
          <w:szCs w:val="18"/>
        </w:rPr>
        <w:t xml:space="preserve"> million upon Takeda achieving developmental, regulatory and sales milestones. In addition, the Company will be entitled to receive tiered </w:t>
      </w:r>
      <w:r>
        <w:rPr>
          <w:sz w:val="18"/>
          <w:szCs w:val="18"/>
        </w:rPr>
        <w:t>royalties beginning in the low double-digits, and up to</w:t>
      </w:r>
      <w:r>
        <w:rPr>
          <w:sz w:val="18"/>
          <w:szCs w:val="18"/>
        </w:rPr>
        <w:t xml:space="preserve"> </w:t>
      </w:r>
      <w:r>
        <w:rPr>
          <w:sz w:val="18"/>
          <w:szCs w:val="18"/>
        </w:rPr>
        <w:t>2</w:t>
      </w:r>
      <w:r>
        <w:rPr>
          <w:sz w:val="18"/>
          <w:szCs w:val="18"/>
        </w:rPr>
        <w:t>0</w:t>
      </w:r>
      <w:r>
        <w:rPr>
          <w:sz w:val="18"/>
          <w:szCs w:val="18"/>
        </w:rPr>
        <w:t xml:space="preserve">% on sales of soticlestat if regulatory approval is achieved. Royalties will be payable on a country-by-country and product-by-product basis for any indications that soticlestat is approved for and </w:t>
      </w:r>
      <w:r>
        <w:rPr>
          <w:sz w:val="18"/>
          <w:szCs w:val="18"/>
        </w:rPr>
        <w:t>sold during the period beginning on the date of the first commercial sale of such product in such country and ending on the later to occur of the expiration of patent rights covering the product in such country and a specified anniversary of such first com</w:t>
      </w:r>
      <w:r>
        <w:rPr>
          <w:sz w:val="18"/>
          <w:szCs w:val="18"/>
        </w:rPr>
        <w:t>mercial sale</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The Company identified the following material promises under the Takeda License and Termination Agreement: (1) no later than the second business day prior to the closing of the Takeda License and Termination Agreement (the “</w:t>
      </w:r>
      <w:r>
        <w:rPr>
          <w:sz w:val="18"/>
          <w:szCs w:val="18"/>
        </w:rPr>
        <w:t>Closing Date”), the Company and Takeda were required to agree on an estimate of the development expenses that accrued, or would accrue, under the original collaboration agreement as of March 31, 2021; (2) on th</w:t>
      </w:r>
      <w:r>
        <w:rPr>
          <w:sz w:val="18"/>
          <w:szCs w:val="18"/>
        </w:rPr>
        <w:t>e</w:t>
      </w:r>
      <w:r>
        <w:rPr>
          <w:sz w:val="18"/>
          <w:szCs w:val="18"/>
        </w:rPr>
        <w:t xml:space="preserve"> </w:t>
      </w:r>
    </w:p>
    <w:p w:rsidR="00000000" w:rsidRDefault="00CF461A">
      <w:pPr>
        <w:pStyle w:val="a3"/>
        <w:spacing w:before="240" w:beforeAutospacing="0" w:after="0" w:afterAutospacing="0"/>
        <w:jc w:val="center"/>
        <w:divId w:val="835535355"/>
        <w:rPr>
          <w:sz w:val="20"/>
          <w:szCs w:val="20"/>
        </w:rPr>
      </w:pPr>
      <w:r>
        <w:rPr>
          <w:sz w:val="18"/>
          <w:szCs w:val="18"/>
        </w:rPr>
        <w:t>1</w:t>
      </w:r>
      <w:r>
        <w:rPr>
          <w:sz w:val="18"/>
          <w:szCs w:val="18"/>
        </w:rPr>
        <w:t>5</w:t>
      </w:r>
    </w:p>
    <w:p w:rsidR="00000000" w:rsidRDefault="00CF461A">
      <w:pPr>
        <w:divId w:val="835535355"/>
        <w:rPr>
          <w:rFonts w:eastAsia="Times New Roman"/>
          <w:sz w:val="18"/>
          <w:szCs w:val="18"/>
        </w:rPr>
      </w:pPr>
      <w:r>
        <w:rPr>
          <w:rFonts w:eastAsia="Times New Roman"/>
          <w:sz w:val="18"/>
          <w:szCs w:val="18"/>
        </w:rPr>
        <w:pict>
          <v:rect id="_x0000_i1040" style="width:0;height:1.5pt" o:hralign="center" o:hrstd="t" o:hr="t" fillcolor="#a0a0a0" stroked="f"/>
        </w:pict>
      </w:r>
    </w:p>
    <w:p w:rsidR="00000000" w:rsidRDefault="00CF461A">
      <w:pPr>
        <w:pStyle w:val="a3"/>
        <w:spacing w:before="0" w:beforeAutospacing="0" w:after="0" w:afterAutospacing="0"/>
        <w:divId w:val="835535355"/>
        <w:rPr>
          <w:sz w:val="20"/>
          <w:szCs w:val="20"/>
        </w:rPr>
      </w:pPr>
      <w:r>
        <w:rPr>
          <w:sz w:val="18"/>
          <w:szCs w:val="18"/>
        </w:rPr>
        <w:t> </w:t>
      </w:r>
    </w:p>
    <w:p w:rsidR="00000000" w:rsidRDefault="00CF461A">
      <w:pPr>
        <w:pStyle w:val="a3"/>
        <w:spacing w:before="120" w:beforeAutospacing="0" w:after="0" w:afterAutospacing="0"/>
        <w:jc w:val="both"/>
        <w:divId w:val="835535355"/>
        <w:rPr>
          <w:sz w:val="20"/>
          <w:szCs w:val="20"/>
        </w:rPr>
      </w:pPr>
      <w:r>
        <w:rPr>
          <w:sz w:val="18"/>
          <w:szCs w:val="18"/>
        </w:rPr>
        <w:t>Cl</w:t>
      </w:r>
      <w:r>
        <w:rPr>
          <w:sz w:val="18"/>
          <w:szCs w:val="18"/>
        </w:rPr>
        <w:t>osing Date, the Company was required to (i) provide and transfer to Takeda the materials, information and data relating to the soticlestat program, including clinical trial data and results, as further set forth in the Takeda License and Termination Agreem</w:t>
      </w:r>
      <w:r>
        <w:rPr>
          <w:sz w:val="18"/>
          <w:szCs w:val="18"/>
        </w:rPr>
        <w:t>ent, (ii) assign to Takeda certain agreements applicable to the soticlestat program, and (iii) assign to Takeda all of its right, title and interest in, to and under all intellectual property rights developed or created pursuant to the original collaborati</w:t>
      </w:r>
      <w:r>
        <w:rPr>
          <w:sz w:val="18"/>
          <w:szCs w:val="18"/>
        </w:rPr>
        <w:t xml:space="preserve">on agreement and owned jointly by the Company and Takeda as of the Closing Date; (3) within 45 days after March 31, 2021, the Company and Takeda were required to provide a written report to the finance officer designated by the other party setting forth a </w:t>
      </w:r>
      <w:r>
        <w:rPr>
          <w:sz w:val="18"/>
          <w:szCs w:val="18"/>
        </w:rPr>
        <w:t xml:space="preserve">final total of the development expenses that accrued as of March 31, 2021 and, within 10 business days after receipt of such report, the finance officers shall agree on whether a net settlement payment is due from Takeda to the Company or from the Company </w:t>
      </w:r>
      <w:r>
        <w:rPr>
          <w:sz w:val="18"/>
          <w:szCs w:val="18"/>
        </w:rPr>
        <w:t>to Takeda; and (4) within 75 days after the Closing Date, to the extent not provided on the Closing Date, Ovid shall provide to Takeda (i) any materials, information and data relating to the soticlestat program, including clinical trial data and results, a</w:t>
      </w:r>
      <w:r>
        <w:rPr>
          <w:sz w:val="18"/>
          <w:szCs w:val="18"/>
        </w:rPr>
        <w:t>s further set forth in the Takeda License and Termination Agreement, (ii) other documents (including all expired agreements and related data developed thereunder) to the extent relating to the soticlestat program that are necessary for the exploitation, de</w:t>
      </w:r>
      <w:r>
        <w:rPr>
          <w:sz w:val="18"/>
          <w:szCs w:val="18"/>
        </w:rPr>
        <w:t>velopment, commercialization and manufacture of soticlestat, as further set forth in the Takeda License and Termination Agreement and (iii) any tangible embodiments of the intellectual property rights controlled by Ovid that are reasonably necessary for, u</w:t>
      </w:r>
      <w:r>
        <w:rPr>
          <w:sz w:val="18"/>
          <w:szCs w:val="18"/>
        </w:rPr>
        <w:t>sed in or held for use in Takeda’s exploitation of the soticlestat program</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 xml:space="preserve">The Company determined the transaction price is equal to the upfront fee of </w:t>
      </w:r>
      <w:r>
        <w:rPr>
          <w:sz w:val="18"/>
          <w:szCs w:val="18"/>
        </w:rPr>
        <w:t>$</w:t>
      </w:r>
      <w:r>
        <w:rPr>
          <w:sz w:val="18"/>
          <w:szCs w:val="18"/>
        </w:rPr>
        <w:t>196.</w:t>
      </w:r>
      <w:r>
        <w:rPr>
          <w:sz w:val="18"/>
          <w:szCs w:val="18"/>
        </w:rPr>
        <w:t>0</w:t>
      </w:r>
      <w:r>
        <w:rPr>
          <w:sz w:val="18"/>
          <w:szCs w:val="18"/>
        </w:rPr>
        <w:t xml:space="preserve"> million and is associated with all four performance obligations identified above. It is noted tha</w:t>
      </w:r>
      <w:r>
        <w:rPr>
          <w:sz w:val="18"/>
          <w:szCs w:val="18"/>
        </w:rPr>
        <w:t xml:space="preserve">t the incremental effort associated with performance obligations three and four is negligible and not material in the context of the Takeda License and Termination Agreement since all of the information is related to the collaboration period for which the </w:t>
      </w:r>
      <w:r>
        <w:rPr>
          <w:sz w:val="18"/>
          <w:szCs w:val="18"/>
        </w:rPr>
        <w:t>Company already has the information readily available. Therefore, since they are not material in the context of the Takeda License and Termination Agreement, the full upfront fee was allocated to the two performance obligations satisfied at closing</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During</w:t>
      </w:r>
      <w:r>
        <w:rPr>
          <w:sz w:val="18"/>
          <w:szCs w:val="18"/>
        </w:rPr>
        <w:t xml:space="preserve"> the three months ended March 31, 2022,</w:t>
      </w:r>
      <w:r>
        <w:rPr>
          <w:sz w:val="18"/>
          <w:szCs w:val="18"/>
        </w:rPr>
        <w:t xml:space="preserve"> </w:t>
      </w:r>
      <w:r>
        <w:rPr>
          <w:sz w:val="18"/>
          <w:szCs w:val="18"/>
        </w:rPr>
        <w:t>n</w:t>
      </w:r>
      <w:r>
        <w:rPr>
          <w:sz w:val="18"/>
          <w:szCs w:val="18"/>
        </w:rPr>
        <w:t>o</w:t>
      </w:r>
      <w:r>
        <w:rPr>
          <w:sz w:val="18"/>
          <w:szCs w:val="18"/>
        </w:rPr>
        <w:t xml:space="preserve"> expense was recognized pursuant to the Takeda License and Termination Agreement. During the three months ended March 31, 2021, the Company recognized a credit in research and development expenses of </w:t>
      </w:r>
      <w:r>
        <w:rPr>
          <w:sz w:val="18"/>
          <w:szCs w:val="18"/>
        </w:rPr>
        <w:t>$</w:t>
      </w:r>
      <w:r>
        <w:rPr>
          <w:sz w:val="18"/>
          <w:szCs w:val="18"/>
        </w:rPr>
        <w:t>2.</w:t>
      </w:r>
      <w:r>
        <w:rPr>
          <w:sz w:val="18"/>
          <w:szCs w:val="18"/>
        </w:rPr>
        <w:t>6</w:t>
      </w:r>
      <w:r>
        <w:rPr>
          <w:sz w:val="18"/>
          <w:szCs w:val="18"/>
        </w:rPr>
        <w:t xml:space="preserve"> million a</w:t>
      </w:r>
      <w:r>
        <w:rPr>
          <w:sz w:val="18"/>
          <w:szCs w:val="18"/>
        </w:rPr>
        <w:t xml:space="preserve">nd recognized </w:t>
      </w:r>
      <w:r>
        <w:rPr>
          <w:sz w:val="18"/>
          <w:szCs w:val="18"/>
        </w:rPr>
        <w:t>$</w:t>
      </w:r>
      <w:r>
        <w:rPr>
          <w:sz w:val="18"/>
          <w:szCs w:val="18"/>
        </w:rPr>
        <w:t>0.</w:t>
      </w:r>
      <w:r>
        <w:rPr>
          <w:sz w:val="18"/>
          <w:szCs w:val="18"/>
        </w:rPr>
        <w:t>1</w:t>
      </w:r>
      <w:r>
        <w:rPr>
          <w:sz w:val="18"/>
          <w:szCs w:val="18"/>
        </w:rPr>
        <w:t xml:space="preserve"> million in general and administrative expenses representing costs which were reimbursed to the Company from Takeda</w:t>
      </w:r>
      <w:r>
        <w:rPr>
          <w:sz w:val="18"/>
          <w:szCs w:val="18"/>
        </w:rPr>
        <w:t>.</w:t>
      </w:r>
      <w:r>
        <w:rPr>
          <w:sz w:val="18"/>
          <w:szCs w:val="18"/>
        </w:rPr>
        <w:t xml:space="preserve"> </w:t>
      </w:r>
    </w:p>
    <w:p w:rsidR="00000000" w:rsidRDefault="00CF461A">
      <w:pPr>
        <w:pStyle w:val="a3"/>
        <w:spacing w:before="200" w:beforeAutospacing="0" w:after="0" w:afterAutospacing="0"/>
        <w:jc w:val="both"/>
        <w:divId w:val="835535355"/>
        <w:rPr>
          <w:sz w:val="20"/>
          <w:szCs w:val="20"/>
        </w:rPr>
      </w:pPr>
      <w:r>
        <w:rPr>
          <w:b/>
          <w:bCs/>
          <w:sz w:val="18"/>
          <w:szCs w:val="18"/>
        </w:rPr>
        <w:t>Healx License and Option Agreemen</w:t>
      </w:r>
      <w:r>
        <w:rPr>
          <w:b/>
          <w:bCs/>
          <w:sz w:val="18"/>
          <w:szCs w:val="18"/>
        </w:rPr>
        <w:t>t</w:t>
      </w:r>
    </w:p>
    <w:p w:rsidR="00000000" w:rsidRDefault="00CF461A">
      <w:pPr>
        <w:pStyle w:val="a3"/>
        <w:spacing w:before="120" w:beforeAutospacing="0" w:after="0" w:afterAutospacing="0"/>
        <w:jc w:val="both"/>
        <w:divId w:val="835535355"/>
        <w:rPr>
          <w:sz w:val="20"/>
          <w:szCs w:val="20"/>
        </w:rPr>
      </w:pPr>
      <w:r>
        <w:rPr>
          <w:sz w:val="18"/>
          <w:szCs w:val="18"/>
        </w:rPr>
        <w:t>On</w:t>
      </w:r>
      <w:r>
        <w:rPr>
          <w:sz w:val="18"/>
          <w:szCs w:val="18"/>
        </w:rPr>
        <w:t xml:space="preserve"> </w:t>
      </w:r>
      <w:r>
        <w:rPr>
          <w:sz w:val="18"/>
          <w:szCs w:val="18"/>
        </w:rPr>
        <w:t>February 1, 202</w:t>
      </w:r>
      <w:r>
        <w:rPr>
          <w:sz w:val="18"/>
          <w:szCs w:val="18"/>
        </w:rPr>
        <w:t>2</w:t>
      </w:r>
      <w:r>
        <w:rPr>
          <w:sz w:val="18"/>
          <w:szCs w:val="18"/>
        </w:rPr>
        <w:t xml:space="preserve">, the Company entered into an exclusive license option agreement, </w:t>
      </w:r>
      <w:r>
        <w:rPr>
          <w:sz w:val="18"/>
          <w:szCs w:val="18"/>
        </w:rPr>
        <w:t>or the Healx License and Option Agreement, with Healx. Under the terms of the Healx License and Option Agreement, Healx has secured a one-year option to investigate gaboxadol (OV101) as part of a potential combination therapy for Fragile X syndrome in a Ph</w:t>
      </w:r>
      <w:r>
        <w:rPr>
          <w:sz w:val="18"/>
          <w:szCs w:val="18"/>
        </w:rPr>
        <w:t xml:space="preserve">ase 2A clinical trial, as well as a treatment for other indications, for an upfront payment of </w:t>
      </w:r>
      <w:r>
        <w:rPr>
          <w:sz w:val="18"/>
          <w:szCs w:val="18"/>
        </w:rPr>
        <w:t>$</w:t>
      </w:r>
      <w:r>
        <w:rPr>
          <w:sz w:val="18"/>
          <w:szCs w:val="18"/>
        </w:rPr>
        <w:t>0.</w:t>
      </w:r>
      <w:r>
        <w:rPr>
          <w:sz w:val="18"/>
          <w:szCs w:val="18"/>
        </w:rPr>
        <w:t>5</w:t>
      </w:r>
      <w:r>
        <w:rPr>
          <w:sz w:val="18"/>
          <w:szCs w:val="18"/>
        </w:rPr>
        <w:t xml:space="preserve"> million, and fees to support prosecution and maintenance of our relevant intellectual property rights. At the end of the one-year option period, Healx has t</w:t>
      </w:r>
      <w:r>
        <w:rPr>
          <w:sz w:val="18"/>
          <w:szCs w:val="18"/>
        </w:rPr>
        <w:t xml:space="preserve">he option to secure rights to an exclusive license under our relevant intellectual property rights, in exchange for an additional payment of </w:t>
      </w:r>
      <w:r>
        <w:rPr>
          <w:sz w:val="18"/>
          <w:szCs w:val="18"/>
        </w:rPr>
        <w:t>$</w:t>
      </w:r>
      <w:r>
        <w:rPr>
          <w:sz w:val="18"/>
          <w:szCs w:val="18"/>
        </w:rPr>
        <w:t>2.</w:t>
      </w:r>
      <w:r>
        <w:rPr>
          <w:sz w:val="18"/>
          <w:szCs w:val="18"/>
        </w:rPr>
        <w:t>0</w:t>
      </w:r>
      <w:r>
        <w:rPr>
          <w:sz w:val="18"/>
          <w:szCs w:val="18"/>
        </w:rPr>
        <w:t xml:space="preserve"> million, development and commercial milestone payments, and low to mid-tier double digit royalties. Royalties </w:t>
      </w:r>
      <w:r>
        <w:rPr>
          <w:sz w:val="18"/>
          <w:szCs w:val="18"/>
        </w:rPr>
        <w:t>are payable on a country-by-country and product-by-product basis during the period beginning on the date of the first commercial sale of such product in such country and ending on the later to occur of the expiration of patent rights covering the product i</w:t>
      </w:r>
      <w:r>
        <w:rPr>
          <w:sz w:val="18"/>
          <w:szCs w:val="18"/>
        </w:rPr>
        <w:t>n such country and a specified anniversary of such first commercial sale</w:t>
      </w:r>
      <w:r>
        <w:rPr>
          <w:sz w:val="18"/>
          <w:szCs w:val="18"/>
        </w:rPr>
        <w:t>.</w:t>
      </w:r>
      <w:r>
        <w:rPr>
          <w:sz w:val="18"/>
          <w:szCs w:val="18"/>
        </w:rPr>
        <w:t xml:space="preserve"> </w:t>
      </w:r>
    </w:p>
    <w:p w:rsidR="00000000" w:rsidRDefault="00CF461A">
      <w:pPr>
        <w:pStyle w:val="a3"/>
        <w:spacing w:before="120" w:beforeAutospacing="0" w:after="0" w:afterAutospacing="0"/>
        <w:jc w:val="both"/>
        <w:divId w:val="835535355"/>
        <w:rPr>
          <w:sz w:val="20"/>
          <w:szCs w:val="20"/>
        </w:rPr>
      </w:pPr>
      <w:r>
        <w:rPr>
          <w:sz w:val="18"/>
          <w:szCs w:val="18"/>
        </w:rPr>
        <w:t xml:space="preserve">Healx will assume all responsibility for, and costs of, both development and commercialization of gaboxadol following the exercise of the option. The Company will retain the option </w:t>
      </w:r>
      <w:r>
        <w:rPr>
          <w:sz w:val="18"/>
          <w:szCs w:val="18"/>
        </w:rPr>
        <w:t xml:space="preserve">to co-develop and co-commercialize the program with Healx, or the Ovid Opt-In Right, at the end of a positive readout of clinical phase 2B and would share net profits and losses in lieu of the milestones and royalty payments. If the Ovid-Opt-In Right were </w:t>
      </w:r>
      <w:r>
        <w:rPr>
          <w:sz w:val="18"/>
          <w:szCs w:val="18"/>
        </w:rPr>
        <w:t>exercised, the Company would be required to pay Healx</w:t>
      </w:r>
      <w:r>
        <w:rPr>
          <w:sz w:val="18"/>
          <w:szCs w:val="18"/>
        </w:rPr>
        <w:t xml:space="preserve"> </w:t>
      </w:r>
      <w:r>
        <w:rPr>
          <w:sz w:val="18"/>
          <w:szCs w:val="18"/>
        </w:rPr>
        <w:t>5</w:t>
      </w:r>
      <w:r>
        <w:rPr>
          <w:sz w:val="18"/>
          <w:szCs w:val="18"/>
        </w:rPr>
        <w:t>0</w:t>
      </w:r>
      <w:r>
        <w:rPr>
          <w:sz w:val="18"/>
          <w:szCs w:val="18"/>
        </w:rPr>
        <w:t xml:space="preserve">% of development costs. The Company does not plan to conduct further trials of gaboxadol. The term of the Healx License and Option Agreement will continue until the later of (a) the expiration of all </w:t>
      </w:r>
      <w:r>
        <w:rPr>
          <w:sz w:val="18"/>
          <w:szCs w:val="18"/>
        </w:rPr>
        <w:t>relevant royalty terms, or in the event that Healx does not exercise its option during the option period defined in the Healx License and Option Agreement, or the Option Period, the expiration of such period, or (b) in the event that Healx does exercise it</w:t>
      </w:r>
      <w:r>
        <w:rPr>
          <w:sz w:val="18"/>
          <w:szCs w:val="18"/>
        </w:rPr>
        <w:t>s option during the Option Period, and the Company does not exercise the Ovid Opt-In Right during the period of time we have to opt-in, or the Opt-In Period, or the opt-in terms are otherwise terminated, upon the expiration of all payment obligations, or (</w:t>
      </w:r>
      <w:r>
        <w:rPr>
          <w:sz w:val="18"/>
          <w:szCs w:val="18"/>
        </w:rPr>
        <w:t>c) in the event that Healx does exercise the Option during the Option Period, and the Company does exercise the Ovid Opt-In Right during the Opt-In Period, such time as neither Healx nor Ovid is continuing to exploit the gaboxadol. As part of the revised c</w:t>
      </w:r>
      <w:r>
        <w:rPr>
          <w:sz w:val="18"/>
          <w:szCs w:val="18"/>
        </w:rPr>
        <w:t>ontractual obligations with Lundbeck, Ovid will owe Lundbeck a share of all milestone and royalty payments received from Healx, if we do not exercise the Ovid Opt-In Right. If we do exercise the Ovid Opt-In Right to co-develop and co-commercialize the prog</w:t>
      </w:r>
      <w:r>
        <w:rPr>
          <w:sz w:val="18"/>
          <w:szCs w:val="18"/>
        </w:rPr>
        <w:t>ram with Healx, we will owe a share of the net profit share to Lundbeck</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During the three months ended March 31, 202</w:t>
      </w:r>
      <w:r>
        <w:rPr>
          <w:sz w:val="18"/>
          <w:szCs w:val="18"/>
        </w:rPr>
        <w:t>2</w:t>
      </w:r>
      <w:r>
        <w:rPr>
          <w:sz w:val="18"/>
          <w:szCs w:val="18"/>
        </w:rPr>
        <w:t xml:space="preserve">, the Company recorded revenue of </w:t>
      </w:r>
      <w:r>
        <w:rPr>
          <w:sz w:val="18"/>
          <w:szCs w:val="18"/>
        </w:rPr>
        <w:t>$</w:t>
      </w:r>
      <w:r>
        <w:rPr>
          <w:sz w:val="18"/>
          <w:szCs w:val="18"/>
        </w:rPr>
        <w:t>0.</w:t>
      </w:r>
      <w:r>
        <w:rPr>
          <w:sz w:val="18"/>
          <w:szCs w:val="18"/>
        </w:rPr>
        <w:t>5</w:t>
      </w:r>
      <w:r>
        <w:rPr>
          <w:sz w:val="18"/>
          <w:szCs w:val="18"/>
        </w:rPr>
        <w:t xml:space="preserve"> </w:t>
      </w:r>
      <w:r>
        <w:rPr>
          <w:sz w:val="18"/>
          <w:szCs w:val="18"/>
        </w:rPr>
        <w:t>million associated with the Healx License and Option Agreement</w:t>
      </w:r>
      <w:r>
        <w:rPr>
          <w:sz w:val="18"/>
          <w:szCs w:val="18"/>
        </w:rPr>
        <w:t>.</w:t>
      </w:r>
    </w:p>
    <w:p w:rsidR="00000000" w:rsidRDefault="00CF461A">
      <w:pPr>
        <w:pStyle w:val="a3"/>
        <w:spacing w:before="120" w:beforeAutospacing="0" w:after="0" w:afterAutospacing="0"/>
        <w:jc w:val="both"/>
        <w:divId w:val="835535355"/>
        <w:rPr>
          <w:sz w:val="20"/>
          <w:szCs w:val="20"/>
        </w:rPr>
      </w:pPr>
      <w:r>
        <w:rPr>
          <w:b/>
          <w:bCs/>
          <w:sz w:val="18"/>
          <w:szCs w:val="18"/>
        </w:rPr>
        <w:t>Marinus Pharmaceuticals Out-License Agreemen</w:t>
      </w:r>
      <w:r>
        <w:rPr>
          <w:b/>
          <w:bCs/>
          <w:sz w:val="18"/>
          <w:szCs w:val="18"/>
        </w:rPr>
        <w:t>t</w:t>
      </w:r>
      <w:r>
        <w:rPr>
          <w:i/>
          <w:iCs/>
          <w:sz w:val="18"/>
          <w:szCs w:val="18"/>
        </w:rPr>
        <w:t xml:space="preserve"> </w:t>
      </w:r>
    </w:p>
    <w:p w:rsidR="00000000" w:rsidRDefault="00CF461A">
      <w:pPr>
        <w:pStyle w:val="a3"/>
        <w:spacing w:before="120" w:beforeAutospacing="0" w:after="0" w:afterAutospacing="0"/>
        <w:jc w:val="both"/>
        <w:divId w:val="835535355"/>
        <w:rPr>
          <w:sz w:val="20"/>
          <w:szCs w:val="20"/>
        </w:rPr>
      </w:pPr>
      <w:r>
        <w:rPr>
          <w:sz w:val="18"/>
          <w:szCs w:val="18"/>
        </w:rPr>
        <w:t>On</w:t>
      </w:r>
      <w:r>
        <w:rPr>
          <w:sz w:val="18"/>
          <w:szCs w:val="18"/>
        </w:rPr>
        <w:t xml:space="preserve"> </w:t>
      </w:r>
      <w:r>
        <w:rPr>
          <w:sz w:val="18"/>
          <w:szCs w:val="18"/>
        </w:rPr>
        <w:t>March 1, 202</w:t>
      </w:r>
      <w:r>
        <w:rPr>
          <w:sz w:val="18"/>
          <w:szCs w:val="18"/>
        </w:rPr>
        <w:t>2</w:t>
      </w:r>
      <w:r>
        <w:rPr>
          <w:sz w:val="18"/>
          <w:szCs w:val="18"/>
        </w:rPr>
        <w:t>, the Company entered into an exclusive patent license agreement with Marinus, or the Marinus License Agreement. Under the Marinu</w:t>
      </w:r>
      <w:r>
        <w:rPr>
          <w:sz w:val="18"/>
          <w:szCs w:val="18"/>
        </w:rPr>
        <w:t>s License Agreement, the Company granted Marinus an exclusive, non-transferable (except as expressly provided therein), royalty-bearing right and license under certain Ovid patents relating to ganaxolone to develop, make, have made, commercialize, promote,</w:t>
      </w:r>
      <w:r>
        <w:rPr>
          <w:sz w:val="18"/>
          <w:szCs w:val="18"/>
        </w:rPr>
        <w:t xml:space="preserve"> distribute, sell, offer for sale and import licensed products in the territory (which consist of the United States, the European Economic Area, United Kingdom and Switzerland) for the treatment of CDKL5 deficiency disorders. Following the date of regulato</w:t>
      </w:r>
      <w:r>
        <w:rPr>
          <w:sz w:val="18"/>
          <w:szCs w:val="18"/>
        </w:rPr>
        <w:t>ry approval by the FDA of the first licensed product in the territory which was received on March 18, 2022, Marinus issued, at the Company's option,</w:t>
      </w:r>
      <w:r>
        <w:rPr>
          <w:sz w:val="18"/>
          <w:szCs w:val="18"/>
        </w:rPr>
        <w:t xml:space="preserve"> </w:t>
      </w:r>
      <w:r>
        <w:rPr>
          <w:sz w:val="18"/>
          <w:szCs w:val="18"/>
        </w:rPr>
        <w:t>123,25</w:t>
      </w:r>
      <w:r>
        <w:rPr>
          <w:sz w:val="18"/>
          <w:szCs w:val="18"/>
        </w:rPr>
        <w:t>5</w:t>
      </w:r>
      <w:r>
        <w:rPr>
          <w:sz w:val="18"/>
          <w:szCs w:val="18"/>
        </w:rPr>
        <w:t xml:space="preserve"> shares of Marinus common stock, par value </w:t>
      </w:r>
      <w:r>
        <w:rPr>
          <w:sz w:val="18"/>
          <w:szCs w:val="18"/>
        </w:rPr>
        <w:t>$</w:t>
      </w:r>
      <w:r>
        <w:rPr>
          <w:sz w:val="18"/>
          <w:szCs w:val="18"/>
        </w:rPr>
        <w:t>0.00</w:t>
      </w:r>
      <w:r>
        <w:rPr>
          <w:sz w:val="18"/>
          <w:szCs w:val="18"/>
        </w:rPr>
        <w:t>1</w:t>
      </w:r>
      <w:r>
        <w:rPr>
          <w:sz w:val="18"/>
          <w:szCs w:val="18"/>
        </w:rPr>
        <w:t xml:space="preserve"> per share, as payment. The Marinus License Agreeme</w:t>
      </w:r>
      <w:r>
        <w:rPr>
          <w:sz w:val="18"/>
          <w:szCs w:val="18"/>
        </w:rPr>
        <w:t>nt also provides for payment of royalties from Marinus to the Company in single digits on net sales of each such licensed product sold</w:t>
      </w:r>
      <w:r>
        <w:rPr>
          <w:sz w:val="18"/>
          <w:szCs w:val="18"/>
        </w:rPr>
        <w:t>.</w:t>
      </w:r>
    </w:p>
    <w:p w:rsidR="00000000" w:rsidRDefault="00CF461A">
      <w:pPr>
        <w:pStyle w:val="a3"/>
        <w:spacing w:before="120" w:beforeAutospacing="0" w:after="0" w:afterAutospacing="0"/>
        <w:jc w:val="both"/>
        <w:divId w:val="835535355"/>
        <w:rPr>
          <w:sz w:val="20"/>
          <w:szCs w:val="20"/>
        </w:rPr>
      </w:pPr>
      <w:r>
        <w:rPr>
          <w:sz w:val="18"/>
          <w:szCs w:val="18"/>
        </w:rPr>
        <w:t xml:space="preserve">The Company recorded revenue and an associated investment in equity securities of approximately </w:t>
      </w:r>
      <w:r>
        <w:rPr>
          <w:sz w:val="18"/>
          <w:szCs w:val="18"/>
        </w:rPr>
        <w:t>$</w:t>
      </w:r>
      <w:r>
        <w:rPr>
          <w:sz w:val="18"/>
          <w:szCs w:val="18"/>
        </w:rPr>
        <w:t>0.</w:t>
      </w:r>
      <w:r>
        <w:rPr>
          <w:sz w:val="18"/>
          <w:szCs w:val="18"/>
        </w:rPr>
        <w:t>9</w:t>
      </w:r>
      <w:r>
        <w:rPr>
          <w:sz w:val="18"/>
          <w:szCs w:val="18"/>
        </w:rPr>
        <w:t xml:space="preserve"> million related to </w:t>
      </w:r>
      <w:r>
        <w:rPr>
          <w:sz w:val="18"/>
          <w:szCs w:val="18"/>
        </w:rPr>
        <w:t xml:space="preserve">the patent license agreement on March 18, 2022, based on the price of Marinus common stock on March 1, 2022. The Company had an unrealized gain on the Marinus common stock of </w:t>
      </w:r>
      <w:r>
        <w:rPr>
          <w:sz w:val="18"/>
          <w:szCs w:val="18"/>
        </w:rPr>
        <w:t>$</w:t>
      </w:r>
      <w:r>
        <w:rPr>
          <w:sz w:val="18"/>
          <w:szCs w:val="18"/>
        </w:rPr>
        <w:t>0.</w:t>
      </w:r>
      <w:r>
        <w:rPr>
          <w:sz w:val="18"/>
          <w:szCs w:val="18"/>
        </w:rPr>
        <w:t>2</w:t>
      </w:r>
      <w:r>
        <w:rPr>
          <w:sz w:val="18"/>
          <w:szCs w:val="18"/>
        </w:rPr>
        <w:t xml:space="preserve"> million which is recorded as an unrealized gain on equity securities and is </w:t>
      </w:r>
      <w:r>
        <w:rPr>
          <w:sz w:val="18"/>
          <w:szCs w:val="18"/>
        </w:rPr>
        <w:t>reflected in other income (expenses), net in the condensed consolidated statements of operations for the three-months ended</w:t>
      </w:r>
      <w:r>
        <w:rPr>
          <w:sz w:val="18"/>
          <w:szCs w:val="18"/>
        </w:rPr>
        <w:t xml:space="preserve"> </w:t>
      </w:r>
      <w:r>
        <w:rPr>
          <w:sz w:val="18"/>
          <w:szCs w:val="18"/>
        </w:rPr>
        <w:t>March 31, 202</w:t>
      </w:r>
      <w:r>
        <w:rPr>
          <w:sz w:val="18"/>
          <w:szCs w:val="18"/>
        </w:rPr>
        <w:t>2</w:t>
      </w:r>
      <w:r>
        <w:rPr>
          <w:sz w:val="18"/>
          <w:szCs w:val="18"/>
        </w:rPr>
        <w:t>.</w: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1</w:t>
      </w:r>
      <w:r>
        <w:rPr>
          <w:sz w:val="18"/>
          <w:szCs w:val="18"/>
        </w:rPr>
        <w:t>6</w:t>
      </w:r>
    </w:p>
    <w:p w:rsidR="00000000" w:rsidRDefault="00CF461A">
      <w:pPr>
        <w:rPr>
          <w:rFonts w:eastAsia="Times New Roman"/>
        </w:rPr>
      </w:pPr>
      <w:r>
        <w:rPr>
          <w:rFonts w:eastAsia="Times New Roman"/>
        </w:rPr>
        <w:pict>
          <v:rect id="_x0000_i1041"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360" w:beforeAutospacing="0" w:after="0" w:afterAutospacing="0"/>
        <w:jc w:val="both"/>
        <w:divId w:val="1328903465"/>
        <w:rPr>
          <w:sz w:val="20"/>
          <w:szCs w:val="20"/>
        </w:rPr>
      </w:pPr>
      <w:r>
        <w:rPr>
          <w:b/>
          <w:bCs/>
          <w:sz w:val="18"/>
          <w:szCs w:val="18"/>
        </w:rPr>
        <w:t>NOTE 12 – RELATED PARTY TRANSACTION</w:t>
      </w:r>
      <w:r>
        <w:rPr>
          <w:b/>
          <w:bCs/>
          <w:sz w:val="18"/>
          <w:szCs w:val="18"/>
        </w:rPr>
        <w:t>S</w:t>
      </w:r>
    </w:p>
    <w:p w:rsidR="00000000" w:rsidRDefault="00CF461A">
      <w:pPr>
        <w:pStyle w:val="a3"/>
        <w:spacing w:before="160" w:beforeAutospacing="0" w:after="0" w:afterAutospacing="0"/>
        <w:jc w:val="both"/>
        <w:divId w:val="1328903465"/>
        <w:rPr>
          <w:sz w:val="20"/>
          <w:szCs w:val="20"/>
        </w:rPr>
      </w:pPr>
      <w:r>
        <w:rPr>
          <w:sz w:val="18"/>
          <w:szCs w:val="18"/>
        </w:rPr>
        <w:t xml:space="preserve">In March 2021, the Company entered </w:t>
      </w:r>
      <w:r>
        <w:rPr>
          <w:sz w:val="18"/>
          <w:szCs w:val="18"/>
        </w:rPr>
        <w:t>into the Takeda License and Termination Agreement with Takeda. For a description of the Takeda License and Termination Agreement, see Note 11</w:t>
      </w:r>
      <w:r>
        <w:rPr>
          <w:sz w:val="18"/>
          <w:szCs w:val="18"/>
        </w:rPr>
        <w:t>.</w:t>
      </w:r>
    </w:p>
    <w:p w:rsidR="00000000" w:rsidRDefault="00CF461A">
      <w:pPr>
        <w:pStyle w:val="a3"/>
        <w:spacing w:before="360" w:beforeAutospacing="0" w:after="0" w:afterAutospacing="0"/>
        <w:jc w:val="both"/>
        <w:divId w:val="953634186"/>
        <w:rPr>
          <w:sz w:val="20"/>
          <w:szCs w:val="20"/>
        </w:rPr>
      </w:pPr>
      <w:r>
        <w:rPr>
          <w:b/>
          <w:bCs/>
          <w:sz w:val="18"/>
          <w:szCs w:val="18"/>
        </w:rPr>
        <w:t>NOTE 13 – EARNINGS (LOSS) PER SHAR</w:t>
      </w:r>
      <w:r>
        <w:rPr>
          <w:b/>
          <w:bCs/>
          <w:sz w:val="18"/>
          <w:szCs w:val="18"/>
        </w:rPr>
        <w:t>E</w:t>
      </w:r>
    </w:p>
    <w:p w:rsidR="00000000" w:rsidRDefault="00CF461A">
      <w:pPr>
        <w:pStyle w:val="a3"/>
        <w:spacing w:before="120" w:beforeAutospacing="0" w:after="0" w:afterAutospacing="0"/>
        <w:jc w:val="both"/>
        <w:divId w:val="953634186"/>
        <w:rPr>
          <w:sz w:val="20"/>
          <w:szCs w:val="20"/>
        </w:rPr>
      </w:pPr>
      <w:r>
        <w:rPr>
          <w:sz w:val="18"/>
          <w:szCs w:val="18"/>
        </w:rPr>
        <w:t>Basic net (loss) income per share is calculated based upon the weighted-avera</w:t>
      </w:r>
      <w:r>
        <w:rPr>
          <w:sz w:val="18"/>
          <w:szCs w:val="18"/>
        </w:rPr>
        <w:t>ge number of common shares outstanding during the period, excluding outstanding stock options that have been issued but are not yet vested. Diluted net (loss) income per share is calculated based upon the weighted-average number of common shares outstandin</w:t>
      </w:r>
      <w:r>
        <w:rPr>
          <w:sz w:val="18"/>
          <w:szCs w:val="18"/>
        </w:rPr>
        <w:t>g during the period plus the dilutive impact of weighted-average common equivalent shares outstanding during the period resulting from the assumed exercise of outstanding stock options determined under the treasury stock method and the assumed conversion o</w:t>
      </w:r>
      <w:r>
        <w:rPr>
          <w:sz w:val="18"/>
          <w:szCs w:val="18"/>
        </w:rPr>
        <w:t>f preferred stock into common shares determined using the if-converted method</w:t>
      </w:r>
      <w:r>
        <w:rPr>
          <w:sz w:val="18"/>
          <w:szCs w:val="18"/>
        </w:rPr>
        <w:t>.</w:t>
      </w:r>
    </w:p>
    <w:p w:rsidR="00000000" w:rsidRDefault="00CF461A">
      <w:pPr>
        <w:pStyle w:val="a3"/>
        <w:spacing w:before="120" w:beforeAutospacing="0" w:after="0" w:afterAutospacing="0"/>
        <w:jc w:val="both"/>
        <w:divId w:val="953634186"/>
        <w:rPr>
          <w:sz w:val="20"/>
          <w:szCs w:val="20"/>
        </w:rPr>
      </w:pPr>
      <w:r>
        <w:rPr>
          <w:sz w:val="18"/>
          <w:szCs w:val="18"/>
        </w:rPr>
        <w:t>The Basic and diluted net (loss) income per common share is presented in conformity with the two-class method required for participating securities and multiple classes of share</w:t>
      </w:r>
      <w:r>
        <w:rPr>
          <w:sz w:val="18"/>
          <w:szCs w:val="18"/>
        </w:rPr>
        <w:t>s. The Company considers the preferred stock to be participating securities</w:t>
      </w:r>
      <w:r>
        <w:rPr>
          <w:sz w:val="18"/>
          <w:szCs w:val="18"/>
        </w:rPr>
        <w:t>.</w:t>
      </w:r>
    </w:p>
    <w:p w:rsidR="00000000" w:rsidRDefault="00CF461A">
      <w:pPr>
        <w:pStyle w:val="a3"/>
        <w:spacing w:before="120" w:beforeAutospacing="0" w:after="0" w:afterAutospacing="0"/>
        <w:jc w:val="both"/>
        <w:divId w:val="953634186"/>
        <w:rPr>
          <w:sz w:val="20"/>
          <w:szCs w:val="20"/>
        </w:rPr>
      </w:pPr>
      <w:r>
        <w:rPr>
          <w:sz w:val="18"/>
          <w:szCs w:val="18"/>
        </w:rPr>
        <w:t>For any period in which the Company records net income, undistributed earnings allocated to the participating securities are subtracted from net income in determining net income a</w:t>
      </w:r>
      <w:r>
        <w:rPr>
          <w:sz w:val="18"/>
          <w:szCs w:val="18"/>
        </w:rPr>
        <w:t>ttributable to common stockholders. The undistributed earnings have been allocated based on the participation rights of preferred stock and common shares as if the earnings for the year have been distributed. For periods in which the Company recognizes a n</w:t>
      </w:r>
      <w:r>
        <w:rPr>
          <w:sz w:val="18"/>
          <w:szCs w:val="18"/>
        </w:rPr>
        <w:t>et loss, undistributed losses are allocated only to common shares as the participating securities do not contractually participate in the Company’s losses. Basic net (loss) income per share is computed by dividing the net (loss) income attributable to comm</w:t>
      </w:r>
      <w:r>
        <w:rPr>
          <w:sz w:val="18"/>
          <w:szCs w:val="18"/>
        </w:rPr>
        <w:t>on stockholders by the weighted-average number of common shares outstanding during the period. Participating securities are excluded from basic weighted-average common shares outstanding</w:t>
      </w:r>
      <w:r>
        <w:rPr>
          <w:sz w:val="18"/>
          <w:szCs w:val="18"/>
        </w:rPr>
        <w:t>.</w:t>
      </w:r>
    </w:p>
    <w:p w:rsidR="00000000" w:rsidRDefault="00CF461A">
      <w:pPr>
        <w:pStyle w:val="a3"/>
        <w:spacing w:before="120" w:beforeAutospacing="0" w:after="0" w:afterAutospacing="0"/>
        <w:jc w:val="both"/>
        <w:divId w:val="2039234234"/>
        <w:rPr>
          <w:sz w:val="20"/>
          <w:szCs w:val="20"/>
        </w:rPr>
      </w:pPr>
      <w:r>
        <w:rPr>
          <w:sz w:val="18"/>
          <w:szCs w:val="18"/>
        </w:rPr>
        <w:t xml:space="preserve">The following table summarizes the calculation of basic and diluted </w:t>
      </w:r>
      <w:r>
        <w:rPr>
          <w:sz w:val="18"/>
          <w:szCs w:val="18"/>
        </w:rPr>
        <w:t>net (loss) income per share</w:t>
      </w:r>
      <w:r>
        <w:rPr>
          <w:sz w:val="18"/>
          <w:szCs w:val="18"/>
        </w:rPr>
        <w:t>:</w:t>
      </w:r>
    </w:p>
    <w:p w:rsidR="00000000" w:rsidRDefault="00CF461A">
      <w:pPr>
        <w:pStyle w:val="a3"/>
        <w:spacing w:before="0" w:beforeAutospacing="0" w:after="0" w:afterAutospacing="0"/>
        <w:jc w:val="both"/>
        <w:divId w:val="2039234234"/>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09"/>
        <w:gridCol w:w="164"/>
        <w:gridCol w:w="150"/>
        <w:gridCol w:w="1056"/>
        <w:gridCol w:w="120"/>
        <w:gridCol w:w="164"/>
        <w:gridCol w:w="150"/>
        <w:gridCol w:w="1058"/>
        <w:gridCol w:w="135"/>
      </w:tblGrid>
      <w:tr w:rsidR="00000000">
        <w:trPr>
          <w:divId w:val="2039234234"/>
          <w:tblCellSpacing w:w="15" w:type="dxa"/>
        </w:trPr>
        <w:tc>
          <w:tcPr>
            <w:tcW w:w="3302" w:type="pct"/>
            <w:vAlign w:val="center"/>
            <w:hideMark/>
          </w:tcPr>
          <w:p w:rsidR="00000000" w:rsidRDefault="00CF461A">
            <w:pPr>
              <w:rPr>
                <w:sz w:val="20"/>
                <w:szCs w:val="20"/>
              </w:rPr>
            </w:pPr>
          </w:p>
        </w:tc>
        <w:tc>
          <w:tcPr>
            <w:tcW w:w="10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57"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c>
          <w:tcPr>
            <w:tcW w:w="10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658"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rFonts w:ascii="Calibri" w:hAnsi="Calibri" w:cs="Calibri"/>
                <w:sz w:val="18"/>
                <w:szCs w:val="18"/>
              </w:rPr>
              <w:t> </w:t>
            </w:r>
          </w:p>
        </w:tc>
        <w:tc>
          <w:tcPr>
            <w:tcW w:w="0" w:type="auto"/>
            <w:gridSpan w:val="6"/>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rFonts w:ascii="Calibri" w:hAnsi="Calibri" w:cs="Calibri"/>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16,108,05</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176,007,30</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income attributable to participating securitie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7,439,35</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income attributable to common stockholder</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16,108,05</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168,567,95</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income attributable to common stockholder</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16,108,05</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168,567,95</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Weighted average common shares outstanding used in</w:t>
            </w:r>
            <w:r>
              <w:rPr>
                <w:sz w:val="18"/>
                <w:szCs w:val="18"/>
              </w:rPr>
              <w:br/>
              <w:t>  </w:t>
            </w:r>
            <w:r>
              <w:rPr>
                <w:sz w:val="18"/>
                <w:szCs w:val="18"/>
              </w:rPr>
              <w:t>computing net income (loss) per share - basi</w:t>
            </w:r>
            <w:r>
              <w:rPr>
                <w:sz w:val="18"/>
                <w:szCs w:val="18"/>
              </w:rPr>
              <w:t>c</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70,345,82</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66,088,59</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Weighted average common shares outstanding used in</w:t>
            </w:r>
            <w:r>
              <w:rPr>
                <w:sz w:val="18"/>
                <w:szCs w:val="18"/>
              </w:rPr>
              <w:br/>
              <w:t>  computing net income (loss) per share - dilute</w:t>
            </w:r>
            <w:r>
              <w:rPr>
                <w:sz w:val="18"/>
                <w:szCs w:val="18"/>
              </w:rPr>
              <w:t>d</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70,345,82</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66,578,37</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income per share, basi</w:t>
            </w:r>
            <w:r>
              <w:rPr>
                <w:sz w:val="18"/>
                <w:szCs w:val="18"/>
              </w:rPr>
              <w:t>c</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0.2</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2.5</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income per share, dilute</w:t>
            </w:r>
            <w:r>
              <w:rPr>
                <w:sz w:val="18"/>
                <w:szCs w:val="18"/>
              </w:rPr>
              <w:t>d</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w:t>
            </w:r>
            <w:r>
              <w:rPr>
                <w:sz w:val="18"/>
                <w:szCs w:val="18"/>
              </w:rPr>
              <w:t>0.2</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2.5</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2039234234"/>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rFonts w:ascii="Calibri" w:hAnsi="Calibri" w:cs="Calibri"/>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rFonts w:ascii="Calibri" w:hAnsi="Calibri" w:cs="Calibri"/>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rFonts w:ascii="Calibri" w:hAnsi="Calibri" w:cs="Calibri"/>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rFonts w:ascii="Calibri" w:hAnsi="Calibri" w:cs="Calibri"/>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rFonts w:ascii="Calibri" w:hAnsi="Calibri" w:cs="Calibri"/>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rFonts w:ascii="Calibri" w:hAnsi="Calibri" w:cs="Calibri"/>
                <w:sz w:val="18"/>
                <w:szCs w:val="18"/>
              </w:rPr>
              <w:t> </w:t>
            </w:r>
          </w:p>
        </w:tc>
      </w:tr>
    </w:tbl>
    <w:p w:rsidR="00000000" w:rsidRDefault="00CF461A">
      <w:pPr>
        <w:pStyle w:val="a3"/>
        <w:spacing w:before="0" w:beforeAutospacing="0" w:after="0" w:afterAutospacing="0"/>
        <w:jc w:val="both"/>
        <w:divId w:val="2039234234"/>
        <w:rPr>
          <w:sz w:val="20"/>
          <w:szCs w:val="20"/>
        </w:rPr>
      </w:pPr>
      <w:r>
        <w:rPr>
          <w:sz w:val="18"/>
          <w:szCs w:val="18"/>
        </w:rPr>
        <w:t> </w:t>
      </w:r>
    </w:p>
    <w:p w:rsidR="00000000" w:rsidRDefault="00CF461A">
      <w:pPr>
        <w:pStyle w:val="a3"/>
        <w:spacing w:before="160" w:beforeAutospacing="0" w:after="0" w:afterAutospacing="0"/>
        <w:jc w:val="both"/>
        <w:divId w:val="1367100032"/>
        <w:rPr>
          <w:sz w:val="20"/>
          <w:szCs w:val="20"/>
        </w:rPr>
      </w:pPr>
      <w:r>
        <w:rPr>
          <w:sz w:val="18"/>
          <w:szCs w:val="18"/>
        </w:rPr>
        <w:t>The following potentially dilutive securities have been excluded from the computations of diluted weighted-average shares outstanding as they would be anti-dilutive</w:t>
      </w:r>
      <w:r>
        <w:rPr>
          <w:sz w:val="18"/>
          <w:szCs w:val="18"/>
        </w:rPr>
        <w:t>:</w:t>
      </w:r>
    </w:p>
    <w:p w:rsidR="00000000" w:rsidRDefault="00CF461A">
      <w:pPr>
        <w:pStyle w:val="a3"/>
        <w:spacing w:before="160" w:beforeAutospacing="0" w:after="0" w:afterAutospacing="0"/>
        <w:jc w:val="both"/>
        <w:divId w:val="1367100032"/>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48"/>
        <w:gridCol w:w="169"/>
        <w:gridCol w:w="110"/>
        <w:gridCol w:w="883"/>
        <w:gridCol w:w="110"/>
        <w:gridCol w:w="168"/>
        <w:gridCol w:w="110"/>
        <w:gridCol w:w="883"/>
        <w:gridCol w:w="125"/>
      </w:tblGrid>
      <w:tr w:rsidR="00000000">
        <w:trPr>
          <w:divId w:val="1367100032"/>
          <w:tblCellSpacing w:w="15" w:type="dxa"/>
        </w:trPr>
        <w:tc>
          <w:tcPr>
            <w:tcW w:w="3560" w:type="pct"/>
            <w:vAlign w:val="center"/>
            <w:hideMark/>
          </w:tcPr>
          <w:p w:rsidR="00000000" w:rsidRDefault="00CF461A">
            <w:pPr>
              <w:rPr>
                <w:sz w:val="20"/>
                <w:szCs w:val="20"/>
              </w:rPr>
            </w:pPr>
          </w:p>
        </w:tc>
        <w:tc>
          <w:tcPr>
            <w:tcW w:w="86"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533"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86"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533"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r>
      <w:tr w:rsidR="00000000">
        <w:trPr>
          <w:divId w:val="1367100032"/>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CF461A">
            <w:pPr>
              <w:pStyle w:val="a3"/>
              <w:spacing w:before="0" w:beforeAutospacing="0" w:after="0" w:afterAutospacing="0"/>
              <w:jc w:val="center"/>
              <w:rPr>
                <w:sz w:val="18"/>
                <w:szCs w:val="18"/>
              </w:rPr>
            </w:pPr>
            <w:r>
              <w:rPr>
                <w:b/>
                <w:bCs/>
                <w:sz w:val="18"/>
                <w:szCs w:val="18"/>
              </w:rPr>
              <w:t>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367100032"/>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divId w:val="1367100032"/>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Stock options to purchase common stoc</w:t>
            </w:r>
            <w:r>
              <w:rPr>
                <w:sz w:val="18"/>
                <w:szCs w:val="18"/>
              </w:rPr>
              <w:t>k</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12,755,65</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10,518,39</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divId w:val="1367100032"/>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Common stock issuable upon conversion of Series A convertible preferred stoc</w:t>
            </w:r>
            <w:r>
              <w:rPr>
                <w:sz w:val="18"/>
                <w:szCs w:val="18"/>
              </w:rPr>
              <w:t>k</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1,250,00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20"/>
                <w:szCs w:val="20"/>
              </w:rPr>
            </w:pPr>
            <w:r>
              <w:rPr>
                <w:sz w:val="18"/>
                <w:szCs w:val="18"/>
              </w:rPr>
              <w:t>2,916,66</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0" w:beforeAutospacing="0" w:after="0" w:afterAutospacing="0"/>
        <w:jc w:val="both"/>
        <w:divId w:val="1367100032"/>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1</w:t>
      </w:r>
      <w:r>
        <w:rPr>
          <w:sz w:val="18"/>
          <w:szCs w:val="18"/>
        </w:rPr>
        <w:t>7</w:t>
      </w:r>
    </w:p>
    <w:p w:rsidR="00000000" w:rsidRDefault="00CF461A">
      <w:pPr>
        <w:rPr>
          <w:rFonts w:eastAsia="Times New Roman"/>
        </w:rPr>
      </w:pPr>
      <w:r>
        <w:rPr>
          <w:rFonts w:eastAsia="Times New Roman"/>
        </w:rPr>
        <w:pict>
          <v:rect id="_x0000_i1042"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rPr>
          <w:sz w:val="20"/>
          <w:szCs w:val="20"/>
        </w:rPr>
      </w:pPr>
      <w:r>
        <w:rPr>
          <w:b/>
          <w:bCs/>
          <w:sz w:val="18"/>
          <w:szCs w:val="18"/>
        </w:rPr>
        <w:t>Item 2</w:t>
      </w:r>
      <w:r>
        <w:rPr>
          <w:b/>
          <w:bCs/>
          <w:sz w:val="18"/>
          <w:szCs w:val="18"/>
        </w:rPr>
        <w:t>.</w:t>
      </w:r>
      <w:r>
        <w:rPr>
          <w:sz w:val="18"/>
          <w:szCs w:val="18"/>
        </w:rPr>
        <w:t xml:space="preserve"> </w:t>
      </w:r>
      <w:r>
        <w:rPr>
          <w:b/>
          <w:bCs/>
          <w:sz w:val="18"/>
          <w:szCs w:val="18"/>
        </w:rPr>
        <w:t>Management’s Discussion and Analysis of Financial Condition and Results of Operation</w:t>
      </w:r>
      <w:r>
        <w:rPr>
          <w:b/>
          <w:bCs/>
          <w:sz w:val="18"/>
          <w:szCs w:val="18"/>
        </w:rPr>
        <w:t>s</w:t>
      </w:r>
    </w:p>
    <w:p w:rsidR="00000000" w:rsidRDefault="00CF461A">
      <w:pPr>
        <w:pStyle w:val="a3"/>
        <w:spacing w:before="120" w:beforeAutospacing="0" w:after="0" w:afterAutospacing="0"/>
        <w:ind w:firstLine="555"/>
        <w:jc w:val="both"/>
        <w:rPr>
          <w:sz w:val="20"/>
          <w:szCs w:val="20"/>
        </w:rPr>
      </w:pPr>
      <w:r>
        <w:rPr>
          <w:i/>
          <w:iCs/>
          <w:sz w:val="18"/>
          <w:szCs w:val="18"/>
        </w:rPr>
        <w:t>The following information should be read in conjunction with the unaudited condensed consolidated financial statements and the notes thereto included in this Quarterly Report on Form 10-Q and the audited financial information and the notes thereto included</w:t>
      </w:r>
      <w:r>
        <w:rPr>
          <w:i/>
          <w:iCs/>
          <w:sz w:val="18"/>
          <w:szCs w:val="18"/>
        </w:rPr>
        <w:t xml:space="preserve"> in the Annual Report on Form 10-K for the year ended December 31, 2021, which was filed with the Securities and Exchange Commission (“SEC”) on March 15, 2022. In addition to historical financial information, the following discussion contains forward-looki</w:t>
      </w:r>
      <w:r>
        <w:rPr>
          <w:i/>
          <w:iCs/>
          <w:sz w:val="18"/>
          <w:szCs w:val="18"/>
        </w:rPr>
        <w:t>ng statements based upon our current plans, expectations and beliefs that involve risks, uncertainties and assumptions. Our actual results may differ materially from those described in or implied by these forward-looking statements because of many factors,</w:t>
      </w:r>
      <w:r>
        <w:rPr>
          <w:i/>
          <w:iCs/>
          <w:sz w:val="18"/>
          <w:szCs w:val="18"/>
        </w:rPr>
        <w:t xml:space="preserve"> including those set forth under the section titled “Risk Factors” in Part II, Item 1A. Such factors may be amplified by the ongoing COVID-19 pandemic and its potential impact on our business and the global economy</w:t>
      </w:r>
      <w:r>
        <w:rPr>
          <w:i/>
          <w:iCs/>
          <w:sz w:val="18"/>
          <w:szCs w:val="18"/>
        </w:rPr>
        <w:t>.</w:t>
      </w:r>
    </w:p>
    <w:p w:rsidR="00000000" w:rsidRDefault="00CF461A">
      <w:pPr>
        <w:pStyle w:val="a3"/>
        <w:spacing w:before="200" w:beforeAutospacing="0" w:after="0" w:afterAutospacing="0"/>
        <w:jc w:val="both"/>
        <w:rPr>
          <w:sz w:val="20"/>
          <w:szCs w:val="20"/>
        </w:rPr>
      </w:pPr>
      <w:r>
        <w:rPr>
          <w:b/>
          <w:bCs/>
          <w:sz w:val="18"/>
          <w:szCs w:val="18"/>
        </w:rPr>
        <w:t>Overvie</w:t>
      </w:r>
      <w:r>
        <w:rPr>
          <w:b/>
          <w:bCs/>
          <w:sz w:val="18"/>
          <w:szCs w:val="18"/>
        </w:rPr>
        <w:t>w</w:t>
      </w:r>
    </w:p>
    <w:p w:rsidR="00000000" w:rsidRDefault="00CF461A">
      <w:pPr>
        <w:pStyle w:val="a3"/>
        <w:spacing w:before="120" w:beforeAutospacing="0" w:after="0" w:afterAutospacing="0"/>
        <w:ind w:firstLine="555"/>
        <w:jc w:val="both"/>
        <w:rPr>
          <w:sz w:val="20"/>
          <w:szCs w:val="20"/>
        </w:rPr>
      </w:pPr>
      <w:r>
        <w:rPr>
          <w:sz w:val="18"/>
          <w:szCs w:val="18"/>
        </w:rPr>
        <w:t>We are a biopharmaceutical comp</w:t>
      </w:r>
      <w:r>
        <w:rPr>
          <w:sz w:val="18"/>
          <w:szCs w:val="18"/>
        </w:rPr>
        <w:t>any focused on drug discovery and development for epilepsies and rare CNS disorders in a manner that is scientifically driven, patient focused and is coupled with an integrated and disciplined approach to research, clinical development and business develop</w:t>
      </w:r>
      <w:r>
        <w:rPr>
          <w:sz w:val="18"/>
          <w:szCs w:val="18"/>
        </w:rPr>
        <w:t xml:space="preserve">ment. Our team has significant experience and understanding of rare epilepsy and neurological conditions, and we continue to build insight into the way the different molecular mechanisms and pathways underlying these disorders impact the symptoms patients </w:t>
      </w:r>
      <w:r>
        <w:rPr>
          <w:sz w:val="18"/>
          <w:szCs w:val="18"/>
        </w:rPr>
        <w:t>suffer. Ovid has set out to be a leader in the field, and has developed a differentiated pipeline containing three novel mechanisms of action to target different causes of epilepsies and seizures. Our knowledge of epilepsy disease biology and pathology, wh</w:t>
      </w:r>
      <w:r>
        <w:rPr>
          <w:sz w:val="18"/>
          <w:szCs w:val="18"/>
        </w:rPr>
        <w:t>ich was acquired through our small molecule development programs, now contributes to our pursuit of additional relevant genetic targets and molecular pathways that are the cause of seizures. Over time, we have built a scalable scientific platform and effic</w:t>
      </w:r>
      <w:r>
        <w:rPr>
          <w:sz w:val="18"/>
          <w:szCs w:val="18"/>
        </w:rPr>
        <w:t>ient development capabilities in epilepsies that focus on clear, clinical endpoints. We are initially pursuing therapeutic assets for rare disorders as they can leverage accelerated development programs. If successfully developed and marketed in rare condi</w:t>
      </w:r>
      <w:r>
        <w:rPr>
          <w:sz w:val="18"/>
          <w:szCs w:val="18"/>
        </w:rPr>
        <w:t xml:space="preserve">tions, we intend to explore these assets for broader neurologic indications. Our cohesive focus in epilepsies and seizures reinforces our belief that we can develop and produce multiple novel medicines, scale our infrastructure, and thereby succeed in our </w:t>
      </w:r>
      <w:r>
        <w:rPr>
          <w:sz w:val="18"/>
          <w:szCs w:val="18"/>
        </w:rPr>
        <w:t>mission</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Since our inception in April 2014, we have devoted substantially all of our efforts to organizing and planning our business, building our management and technical team, acquiring operating assets and raising capital</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following chart sets forth</w:t>
      </w:r>
      <w:r>
        <w:rPr>
          <w:sz w:val="18"/>
          <w:szCs w:val="18"/>
        </w:rPr>
        <w:t xml:space="preserve"> the status and mechanism of action of our drug candidates</w:t>
      </w:r>
      <w:r>
        <w:rPr>
          <w:sz w:val="18"/>
          <w:szCs w:val="18"/>
        </w:rPr>
        <w:t>:</w:t>
      </w:r>
    </w:p>
    <w:p w:rsidR="00000000" w:rsidRDefault="00CF461A">
      <w:pPr>
        <w:pStyle w:val="a3"/>
        <w:spacing w:before="0" w:beforeAutospacing="0" w:after="0" w:afterAutospacing="0"/>
        <w:ind w:firstLine="555"/>
        <w:jc w:val="both"/>
        <w:rPr>
          <w:sz w:val="20"/>
          <w:szCs w:val="20"/>
        </w:rPr>
      </w:pPr>
      <w:r>
        <w:rPr>
          <w:noProof/>
          <w:sz w:val="20"/>
          <w:szCs w:val="20"/>
        </w:rPr>
        <w:drawing>
          <wp:inline distT="0" distB="0" distL="0" distR="0">
            <wp:extent cx="304800" cy="3048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sz w:val="20"/>
          <w:szCs w:val="20"/>
        </w:rPr>
        <w:t> </w:t>
      </w:r>
    </w:p>
    <w:p w:rsidR="00000000" w:rsidRDefault="00CF461A">
      <w:pPr>
        <w:pStyle w:val="a3"/>
        <w:spacing w:before="240" w:beforeAutospacing="0" w:after="0" w:afterAutospacing="0"/>
        <w:ind w:firstLine="555"/>
        <w:jc w:val="both"/>
        <w:rPr>
          <w:sz w:val="20"/>
          <w:szCs w:val="20"/>
        </w:rPr>
      </w:pPr>
      <w:r>
        <w:rPr>
          <w:sz w:val="18"/>
          <w:szCs w:val="18"/>
        </w:rPr>
        <w:t>During the three months ended March 31, 2022, we generated $1.4 million revenue through licensing agreements. We have historically funded our business primarily through the sale of capital s</w:t>
      </w:r>
      <w:r>
        <w:rPr>
          <w:sz w:val="18"/>
          <w:szCs w:val="18"/>
        </w:rPr>
        <w:t>tock. Through March 31, 2022, we have raised net proceeds of $275.4 million from the sale of our convertible preferred stock and our common stock. As of March 31, 2022, we had $166.7 million in cash and cash equivalents. As of March 31, 2022, we had an acc</w:t>
      </w:r>
      <w:r>
        <w:rPr>
          <w:sz w:val="18"/>
          <w:szCs w:val="18"/>
        </w:rPr>
        <w:t>umulated deficit of $187.5 million</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expect to continue to incur significant expenses and increasing operating losses for at least the next several years. Our net losses may fluctuate significantly from period to period, depending on the timing of our pl</w:t>
      </w:r>
      <w:r>
        <w:rPr>
          <w:sz w:val="18"/>
          <w:szCs w:val="18"/>
        </w:rPr>
        <w:t>anned clinical trials and expenditures on our other research and development and commercial development activities. We expect our expenses will increase substantially over time as we</w:t>
      </w:r>
      <w:r>
        <w:rPr>
          <w:sz w:val="18"/>
          <w:szCs w:val="18"/>
        </w:rPr>
        <w:t>:</w:t>
      </w:r>
    </w:p>
    <w:p w:rsidR="00000000" w:rsidRDefault="00CF461A">
      <w:pPr>
        <w:jc w:val="both"/>
        <w:divId w:val="2013990732"/>
        <w:rPr>
          <w:rFonts w:eastAsia="Times New Roman"/>
        </w:rPr>
      </w:pPr>
      <w:r>
        <w:rPr>
          <w:rFonts w:eastAsia="Times New Roman"/>
          <w:sz w:val="18"/>
          <w:szCs w:val="18"/>
        </w:rPr>
        <w:t>•</w:t>
      </w:r>
    </w:p>
    <w:p w:rsidR="00000000" w:rsidRDefault="00CF461A">
      <w:pPr>
        <w:jc w:val="both"/>
        <w:divId w:val="1419137313"/>
        <w:rPr>
          <w:rFonts w:eastAsia="Times New Roman"/>
        </w:rPr>
      </w:pPr>
      <w:r>
        <w:rPr>
          <w:rFonts w:eastAsia="Times New Roman"/>
          <w:sz w:val="18"/>
          <w:szCs w:val="18"/>
        </w:rPr>
        <w:t xml:space="preserve">continue the ongoing and planned preclinical and clinical development </w:t>
      </w:r>
      <w:r>
        <w:rPr>
          <w:rFonts w:eastAsia="Times New Roman"/>
          <w:sz w:val="18"/>
          <w:szCs w:val="18"/>
        </w:rPr>
        <w:t>of our drug candidates</w:t>
      </w:r>
      <w:r>
        <w:rPr>
          <w:rFonts w:eastAsia="Times New Roman"/>
          <w:sz w:val="18"/>
          <w:szCs w:val="18"/>
        </w:rPr>
        <w:t>;</w:t>
      </w:r>
    </w:p>
    <w:p w:rsidR="00000000" w:rsidRDefault="00CF461A">
      <w:pPr>
        <w:jc w:val="both"/>
        <w:divId w:val="1556046200"/>
        <w:rPr>
          <w:rFonts w:eastAsia="Times New Roman"/>
        </w:rPr>
      </w:pPr>
      <w:r>
        <w:rPr>
          <w:rFonts w:eastAsia="Times New Roman"/>
          <w:sz w:val="18"/>
          <w:szCs w:val="18"/>
        </w:rPr>
        <w:t>•</w:t>
      </w:r>
    </w:p>
    <w:p w:rsidR="00000000" w:rsidRDefault="00CF461A">
      <w:pPr>
        <w:jc w:val="both"/>
        <w:divId w:val="1846168393"/>
        <w:rPr>
          <w:rFonts w:eastAsia="Times New Roman"/>
        </w:rPr>
      </w:pPr>
      <w:r>
        <w:rPr>
          <w:rFonts w:eastAsia="Times New Roman"/>
          <w:sz w:val="18"/>
          <w:szCs w:val="18"/>
        </w:rPr>
        <w:t>build a portfolio of drug candidates through the development, acquisition or in-license of drugs, drug candidates or technologies</w:t>
      </w:r>
      <w:r>
        <w:rPr>
          <w:rFonts w:eastAsia="Times New Roman"/>
          <w:sz w:val="18"/>
          <w:szCs w:val="18"/>
        </w:rPr>
        <w:t>;</w:t>
      </w:r>
    </w:p>
    <w:p w:rsidR="00000000" w:rsidRDefault="00CF461A">
      <w:pPr>
        <w:pStyle w:val="a3"/>
        <w:spacing w:before="240" w:beforeAutospacing="0" w:after="0" w:afterAutospacing="0"/>
        <w:jc w:val="center"/>
        <w:rPr>
          <w:sz w:val="20"/>
          <w:szCs w:val="20"/>
        </w:rPr>
      </w:pPr>
      <w:r>
        <w:rPr>
          <w:sz w:val="18"/>
          <w:szCs w:val="18"/>
        </w:rPr>
        <w:t>1</w:t>
      </w:r>
      <w:r>
        <w:rPr>
          <w:sz w:val="18"/>
          <w:szCs w:val="18"/>
        </w:rPr>
        <w:t>8</w:t>
      </w:r>
    </w:p>
    <w:p w:rsidR="00000000" w:rsidRDefault="00CF461A">
      <w:pPr>
        <w:rPr>
          <w:rFonts w:eastAsia="Times New Roman"/>
        </w:rPr>
      </w:pPr>
      <w:r>
        <w:rPr>
          <w:rFonts w:eastAsia="Times New Roman"/>
        </w:rPr>
        <w:pict>
          <v:rect id="_x0000_i1044"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jc w:val="both"/>
        <w:divId w:val="1168639923"/>
        <w:rPr>
          <w:rFonts w:eastAsia="Times New Roman"/>
        </w:rPr>
      </w:pPr>
      <w:r>
        <w:rPr>
          <w:rFonts w:eastAsia="Times New Roman"/>
          <w:sz w:val="18"/>
          <w:szCs w:val="18"/>
        </w:rPr>
        <w:t>•</w:t>
      </w:r>
    </w:p>
    <w:p w:rsidR="00000000" w:rsidRDefault="00CF461A">
      <w:pPr>
        <w:jc w:val="both"/>
        <w:divId w:val="1339427993"/>
        <w:rPr>
          <w:rFonts w:eastAsia="Times New Roman"/>
        </w:rPr>
      </w:pPr>
      <w:r>
        <w:rPr>
          <w:rFonts w:eastAsia="Times New Roman"/>
          <w:sz w:val="18"/>
          <w:szCs w:val="18"/>
        </w:rPr>
        <w:t>initiate preclinical studies and clinical trials for any</w:t>
      </w:r>
      <w:r>
        <w:rPr>
          <w:rFonts w:eastAsia="Times New Roman"/>
          <w:sz w:val="18"/>
          <w:szCs w:val="18"/>
        </w:rPr>
        <w:t xml:space="preserve"> additional drug candidates that we may pursue in the future</w:t>
      </w:r>
      <w:r>
        <w:rPr>
          <w:rFonts w:eastAsia="Times New Roman"/>
          <w:sz w:val="18"/>
          <w:szCs w:val="18"/>
        </w:rPr>
        <w:t>;</w:t>
      </w:r>
    </w:p>
    <w:p w:rsidR="00000000" w:rsidRDefault="00CF461A">
      <w:pPr>
        <w:jc w:val="both"/>
        <w:divId w:val="1262956901"/>
        <w:rPr>
          <w:rFonts w:eastAsia="Times New Roman"/>
        </w:rPr>
      </w:pPr>
      <w:r>
        <w:rPr>
          <w:rFonts w:eastAsia="Times New Roman"/>
          <w:sz w:val="18"/>
          <w:szCs w:val="18"/>
        </w:rPr>
        <w:t>•</w:t>
      </w:r>
    </w:p>
    <w:p w:rsidR="00000000" w:rsidRDefault="00CF461A">
      <w:pPr>
        <w:jc w:val="both"/>
        <w:divId w:val="1489709921"/>
        <w:rPr>
          <w:rFonts w:eastAsia="Times New Roman"/>
        </w:rPr>
      </w:pPr>
      <w:r>
        <w:rPr>
          <w:rFonts w:eastAsia="Times New Roman"/>
          <w:sz w:val="18"/>
          <w:szCs w:val="18"/>
        </w:rPr>
        <w:t>seek marketing approvals for our current and future drug candidates that successfully complete clinical trials</w:t>
      </w:r>
      <w:r>
        <w:rPr>
          <w:rFonts w:eastAsia="Times New Roman"/>
          <w:sz w:val="18"/>
          <w:szCs w:val="18"/>
        </w:rPr>
        <w:t>;</w:t>
      </w:r>
    </w:p>
    <w:p w:rsidR="00000000" w:rsidRDefault="00CF461A">
      <w:pPr>
        <w:jc w:val="both"/>
        <w:divId w:val="1684362297"/>
        <w:rPr>
          <w:rFonts w:eastAsia="Times New Roman"/>
        </w:rPr>
      </w:pPr>
      <w:r>
        <w:rPr>
          <w:rFonts w:eastAsia="Times New Roman"/>
          <w:sz w:val="18"/>
          <w:szCs w:val="18"/>
        </w:rPr>
        <w:t>•</w:t>
      </w:r>
    </w:p>
    <w:p w:rsidR="00000000" w:rsidRDefault="00CF461A">
      <w:pPr>
        <w:jc w:val="both"/>
        <w:divId w:val="2091543068"/>
        <w:rPr>
          <w:rFonts w:eastAsia="Times New Roman"/>
        </w:rPr>
      </w:pPr>
      <w:r>
        <w:rPr>
          <w:rFonts w:eastAsia="Times New Roman"/>
          <w:sz w:val="18"/>
          <w:szCs w:val="18"/>
        </w:rPr>
        <w:t>establish a sales, marketing and distribution infrastructure to commercialize any drug candidate for which we may obtain marketing approval</w:t>
      </w:r>
      <w:r>
        <w:rPr>
          <w:rFonts w:eastAsia="Times New Roman"/>
          <w:sz w:val="18"/>
          <w:szCs w:val="18"/>
        </w:rPr>
        <w:t>;</w:t>
      </w:r>
    </w:p>
    <w:p w:rsidR="00000000" w:rsidRDefault="00CF461A">
      <w:pPr>
        <w:jc w:val="both"/>
        <w:divId w:val="410348823"/>
        <w:rPr>
          <w:rFonts w:eastAsia="Times New Roman"/>
        </w:rPr>
      </w:pPr>
      <w:r>
        <w:rPr>
          <w:rFonts w:eastAsia="Times New Roman"/>
          <w:sz w:val="18"/>
          <w:szCs w:val="18"/>
        </w:rPr>
        <w:t>•</w:t>
      </w:r>
    </w:p>
    <w:p w:rsidR="00000000" w:rsidRDefault="00CF461A">
      <w:pPr>
        <w:jc w:val="both"/>
        <w:divId w:val="846823227"/>
        <w:rPr>
          <w:rFonts w:eastAsia="Times New Roman"/>
        </w:rPr>
      </w:pPr>
      <w:r>
        <w:rPr>
          <w:rFonts w:eastAsia="Times New Roman"/>
          <w:sz w:val="18"/>
          <w:szCs w:val="18"/>
        </w:rPr>
        <w:t>develop, maintain, expand and protect our intellectual property portfolio</w:t>
      </w:r>
      <w:r>
        <w:rPr>
          <w:rFonts w:eastAsia="Times New Roman"/>
          <w:sz w:val="18"/>
          <w:szCs w:val="18"/>
        </w:rPr>
        <w:t>;</w:t>
      </w:r>
    </w:p>
    <w:p w:rsidR="00000000" w:rsidRDefault="00CF461A">
      <w:pPr>
        <w:jc w:val="both"/>
        <w:divId w:val="1392461731"/>
        <w:rPr>
          <w:rFonts w:eastAsia="Times New Roman"/>
        </w:rPr>
      </w:pPr>
      <w:r>
        <w:rPr>
          <w:rFonts w:eastAsia="Times New Roman"/>
          <w:sz w:val="18"/>
          <w:szCs w:val="18"/>
        </w:rPr>
        <w:t>•</w:t>
      </w:r>
    </w:p>
    <w:p w:rsidR="00000000" w:rsidRDefault="00CF461A">
      <w:pPr>
        <w:jc w:val="both"/>
        <w:divId w:val="864321110"/>
        <w:rPr>
          <w:rFonts w:eastAsia="Times New Roman"/>
        </w:rPr>
      </w:pPr>
      <w:r>
        <w:rPr>
          <w:rFonts w:eastAsia="Times New Roman"/>
          <w:sz w:val="18"/>
          <w:szCs w:val="18"/>
        </w:rPr>
        <w:t>implement operational, financial and</w:t>
      </w:r>
      <w:r>
        <w:rPr>
          <w:rFonts w:eastAsia="Times New Roman"/>
          <w:sz w:val="18"/>
          <w:szCs w:val="18"/>
        </w:rPr>
        <w:t xml:space="preserve"> management systems; and attract, hire and retain additional administrative, clinical, regulatory, manufacturing, commercial and scientific personnel</w:t>
      </w:r>
      <w:r>
        <w:rPr>
          <w:rFonts w:eastAsia="Times New Roman"/>
          <w:sz w:val="18"/>
          <w:szCs w:val="18"/>
        </w:rPr>
        <w:t>.</w:t>
      </w:r>
    </w:p>
    <w:p w:rsidR="00000000" w:rsidRDefault="00CF461A">
      <w:pPr>
        <w:pStyle w:val="a3"/>
        <w:spacing w:before="200" w:beforeAutospacing="0" w:after="0" w:afterAutospacing="0"/>
        <w:jc w:val="both"/>
        <w:rPr>
          <w:sz w:val="20"/>
          <w:szCs w:val="20"/>
        </w:rPr>
      </w:pPr>
      <w:r>
        <w:rPr>
          <w:b/>
          <w:bCs/>
          <w:sz w:val="18"/>
          <w:szCs w:val="18"/>
        </w:rPr>
        <w:t>Recent Development</w:t>
      </w:r>
      <w:r>
        <w:rPr>
          <w:b/>
          <w:bCs/>
          <w:sz w:val="18"/>
          <w:szCs w:val="18"/>
        </w:rPr>
        <w:t>s</w:t>
      </w:r>
    </w:p>
    <w:p w:rsidR="00000000" w:rsidRDefault="00CF461A">
      <w:pPr>
        <w:pStyle w:val="a3"/>
        <w:spacing w:before="120" w:beforeAutospacing="0" w:after="0" w:afterAutospacing="0"/>
        <w:rPr>
          <w:sz w:val="20"/>
          <w:szCs w:val="20"/>
        </w:rPr>
      </w:pPr>
      <w:r>
        <w:rPr>
          <w:i/>
          <w:iCs/>
          <w:sz w:val="18"/>
          <w:szCs w:val="18"/>
        </w:rPr>
        <w:t>License and Option Agreement with Heal</w:t>
      </w:r>
      <w:r>
        <w:rPr>
          <w:i/>
          <w:iCs/>
          <w:sz w:val="18"/>
          <w:szCs w:val="18"/>
        </w:rPr>
        <w:t>x</w:t>
      </w:r>
    </w:p>
    <w:p w:rsidR="00000000" w:rsidRDefault="00CF461A">
      <w:pPr>
        <w:pStyle w:val="a3"/>
        <w:spacing w:before="120" w:beforeAutospacing="0" w:after="0" w:afterAutospacing="0"/>
        <w:ind w:firstLine="555"/>
        <w:jc w:val="both"/>
        <w:rPr>
          <w:sz w:val="20"/>
          <w:szCs w:val="20"/>
        </w:rPr>
      </w:pPr>
      <w:r>
        <w:rPr>
          <w:sz w:val="18"/>
          <w:szCs w:val="18"/>
        </w:rPr>
        <w:t>On February 1, 2022, we entered into an exclu</w:t>
      </w:r>
      <w:r>
        <w:rPr>
          <w:sz w:val="18"/>
          <w:szCs w:val="18"/>
        </w:rPr>
        <w:t>sive license option agreement, or the Healx License and Option Agreement, with Healx. Under the terms of the Healx License and Option Agreement, Healx has secured a one-year option to investigate gaboxadol (OV101) as part of a potential combination therapy</w:t>
      </w:r>
      <w:r>
        <w:rPr>
          <w:sz w:val="18"/>
          <w:szCs w:val="18"/>
        </w:rPr>
        <w:t xml:space="preserve"> for Fragile X syndrome in a Phase 2A clinical trial, as well as a treatment for other indications, for an upfront payment of $0.5 million, and fees to support prosecution and maintenance of our relevant intellectual property rights. At the end of the one-</w:t>
      </w:r>
      <w:r>
        <w:rPr>
          <w:sz w:val="18"/>
          <w:szCs w:val="18"/>
        </w:rPr>
        <w:t>year option period, Healx has the option to secure rights to an exclusive license under our relevant intellectual property rights, in exchange for a payment of $2.0 million, development and commercial milestone payments, and low to mid-tier double digit ro</w:t>
      </w:r>
      <w:r>
        <w:rPr>
          <w:sz w:val="18"/>
          <w:szCs w:val="18"/>
        </w:rPr>
        <w:t>yalties. Royalties are payable on a country-by-country and product-by-product basis during the period beginning on the date of the first commercial sale of such product in such country and ending on the later to occur of the expiration of patent rights cov</w:t>
      </w:r>
      <w:r>
        <w:rPr>
          <w:sz w:val="18"/>
          <w:szCs w:val="18"/>
        </w:rPr>
        <w:t>ering the product in such country and a specified anniversary of such first commercial sale</w:t>
      </w:r>
      <w:r>
        <w:rPr>
          <w:sz w:val="18"/>
          <w:szCs w:val="18"/>
        </w:rPr>
        <w:t>.</w:t>
      </w:r>
      <w:r>
        <w:rPr>
          <w:sz w:val="18"/>
          <w:szCs w:val="18"/>
        </w:rPr>
        <w:t xml:space="preserve"> </w:t>
      </w:r>
    </w:p>
    <w:p w:rsidR="00000000" w:rsidRDefault="00CF461A">
      <w:pPr>
        <w:pStyle w:val="a3"/>
        <w:spacing w:before="120" w:beforeAutospacing="0" w:after="0" w:afterAutospacing="0"/>
        <w:ind w:firstLine="555"/>
        <w:jc w:val="both"/>
        <w:rPr>
          <w:sz w:val="20"/>
          <w:szCs w:val="20"/>
        </w:rPr>
      </w:pPr>
      <w:r>
        <w:rPr>
          <w:sz w:val="18"/>
          <w:szCs w:val="18"/>
        </w:rPr>
        <w:t>Healx will assume all responsibility for, and costs of, both development and commercialization of gaboxadol following the exercise of the option. We will retain t</w:t>
      </w:r>
      <w:r>
        <w:rPr>
          <w:sz w:val="18"/>
          <w:szCs w:val="18"/>
        </w:rPr>
        <w:t>he option to co-develop and co-commercialize the program with Healx, or the Ovid Opt-In Right, at the end of a positive readout of clinical phase 2B and will share net profits and losses in lieu of the milestones and royalty payments. If the Ovid-Opt-In Ri</w:t>
      </w:r>
      <w:r>
        <w:rPr>
          <w:sz w:val="18"/>
          <w:szCs w:val="18"/>
        </w:rPr>
        <w:t>ght were exercised, the Company would be required to pay Healx 50% of development costs. We do not plan to conduct further trials of gaboxadol. The term of the Healx License and Option Agreement will continue until the later of (a) the expiration of all re</w:t>
      </w:r>
      <w:r>
        <w:rPr>
          <w:sz w:val="18"/>
          <w:szCs w:val="18"/>
        </w:rPr>
        <w:t xml:space="preserve">levant royalty terms, or in the event that Healx does not exercise its option during the option period defined in the Healx License and Option Agreement, or the Option Period, the expiration of such period, or (b) in the event that Healx does exercise its </w:t>
      </w:r>
      <w:r>
        <w:rPr>
          <w:sz w:val="18"/>
          <w:szCs w:val="18"/>
        </w:rPr>
        <w:t>option during the Option Period, and we do not exercise the Ovid Opt-In Right during the period of time we have to opt-in, or the Opt-In Period, or the opt-in terms are otherwise terminated, upon the expiration of all payment obligations, or (c) in the eve</w:t>
      </w:r>
      <w:r>
        <w:rPr>
          <w:sz w:val="18"/>
          <w:szCs w:val="18"/>
        </w:rPr>
        <w:t>nt that Healx does exercise the Option during the Option Period, and we do exercise the Ovid Opt-In Right during the Opt-In Period, such time as neither Healx nor Ovid is continuing to exploit the gaboxadol. As part of the revised contractual obligations w</w:t>
      </w:r>
      <w:r>
        <w:rPr>
          <w:sz w:val="18"/>
          <w:szCs w:val="18"/>
        </w:rPr>
        <w:t xml:space="preserve">ith Lundbeck, Ovid will owe Lundbeck a share of all milestone and royalty payments received from Healx, if we do not exercise the Ovid Opt-In Right. If we to exercise the Ovid Opt-In Right to co-develop and co-commercialize the program with Healx, we will </w:t>
      </w:r>
      <w:r>
        <w:rPr>
          <w:sz w:val="18"/>
          <w:szCs w:val="18"/>
        </w:rPr>
        <w:t>owe a share of the net profit share to Lundbeck</w:t>
      </w:r>
      <w:r>
        <w:rPr>
          <w:sz w:val="18"/>
          <w:szCs w:val="18"/>
        </w:rPr>
        <w:t>.</w:t>
      </w:r>
    </w:p>
    <w:p w:rsidR="00000000" w:rsidRDefault="00CF461A">
      <w:pPr>
        <w:pStyle w:val="a3"/>
        <w:spacing w:before="120" w:beforeAutospacing="0" w:after="0" w:afterAutospacing="0"/>
        <w:jc w:val="both"/>
        <w:rPr>
          <w:sz w:val="20"/>
          <w:szCs w:val="20"/>
        </w:rPr>
      </w:pPr>
      <w:r>
        <w:rPr>
          <w:i/>
          <w:iCs/>
          <w:sz w:val="18"/>
          <w:szCs w:val="18"/>
        </w:rPr>
        <w:t>Out-License Agreement with Marinus Pharmaceutical</w:t>
      </w:r>
      <w:r>
        <w:rPr>
          <w:i/>
          <w:iCs/>
          <w:sz w:val="18"/>
          <w:szCs w:val="18"/>
        </w:rPr>
        <w:t>s</w:t>
      </w:r>
    </w:p>
    <w:p w:rsidR="00000000" w:rsidRDefault="00CF461A">
      <w:pPr>
        <w:pStyle w:val="a3"/>
        <w:spacing w:before="120" w:beforeAutospacing="0" w:after="0" w:afterAutospacing="0"/>
        <w:ind w:firstLine="555"/>
        <w:jc w:val="both"/>
        <w:rPr>
          <w:sz w:val="20"/>
          <w:szCs w:val="20"/>
        </w:rPr>
      </w:pPr>
      <w:r>
        <w:rPr>
          <w:sz w:val="18"/>
          <w:szCs w:val="18"/>
        </w:rPr>
        <w:t>On March 1, 2022, we entered into an exclusive patent license agreement with Marinus Pharmaceuticals, Inc. or the Marinus License Agreement. Under the Marin</w:t>
      </w:r>
      <w:r>
        <w:rPr>
          <w:sz w:val="18"/>
          <w:szCs w:val="18"/>
        </w:rPr>
        <w:t>us License Agreement, we granted Marinus an exclusive, non-transferable (except as expressly provided therein), royalty-bearing right and license under certain Ovid patents relating to ganaxolone to develop, make, have made, commercialize, promote, distrib</w:t>
      </w:r>
      <w:r>
        <w:rPr>
          <w:sz w:val="18"/>
          <w:szCs w:val="18"/>
        </w:rPr>
        <w:t>ute, sell, offer for sale and import licensed products in the territory (which consist of the United States, the European Economic Area, United Kingdom and Switzerland) for the treatment of CDKL5 deficiency disorders. Following regulatory approval by the F</w:t>
      </w:r>
      <w:r>
        <w:rPr>
          <w:sz w:val="18"/>
          <w:szCs w:val="18"/>
        </w:rPr>
        <w:t xml:space="preserve">DA of the first licensed product in the territory, Marinus issued, at the Company's option, 123,255 shares of Marinus common stock, par value $0.001 per share as payment. The Marinus License Agreement also provides for payment of royalties from Marinus to </w:t>
      </w:r>
      <w:r>
        <w:rPr>
          <w:sz w:val="18"/>
          <w:szCs w:val="18"/>
        </w:rPr>
        <w:t>us in single digits on net sales of each such licensed product sold</w:t>
      </w:r>
      <w:r>
        <w:rPr>
          <w:sz w:val="18"/>
          <w:szCs w:val="18"/>
        </w:rPr>
        <w:t>.</w:t>
      </w:r>
    </w:p>
    <w:p w:rsidR="00000000" w:rsidRDefault="00CF461A">
      <w:pPr>
        <w:pStyle w:val="a3"/>
        <w:spacing w:before="200" w:beforeAutospacing="0" w:after="0" w:afterAutospacing="0"/>
        <w:jc w:val="both"/>
        <w:rPr>
          <w:sz w:val="20"/>
          <w:szCs w:val="20"/>
        </w:rPr>
      </w:pPr>
      <w:r>
        <w:rPr>
          <w:b/>
          <w:bCs/>
          <w:sz w:val="18"/>
          <w:szCs w:val="18"/>
        </w:rPr>
        <w:t>COVID-19 Updat</w:t>
      </w:r>
      <w:r>
        <w:rPr>
          <w:b/>
          <w:bCs/>
          <w:sz w:val="18"/>
          <w:szCs w:val="18"/>
        </w:rPr>
        <w:t>e</w:t>
      </w:r>
    </w:p>
    <w:p w:rsidR="00000000" w:rsidRDefault="00CF461A">
      <w:pPr>
        <w:pStyle w:val="a3"/>
        <w:spacing w:before="200" w:beforeAutospacing="0" w:after="0" w:afterAutospacing="0"/>
        <w:ind w:firstLine="511"/>
        <w:jc w:val="both"/>
        <w:rPr>
          <w:sz w:val="20"/>
          <w:szCs w:val="20"/>
        </w:rPr>
      </w:pPr>
      <w:r>
        <w:rPr>
          <w:sz w:val="18"/>
          <w:szCs w:val="18"/>
        </w:rPr>
        <w:t>We have implemented business continuity plans designed to address and mitigate the impact of the ongoing COVID-19 pandemic on our employees and our business. We continue to operate normally with the exception of enabling all of our employees to work produc</w:t>
      </w:r>
      <w:r>
        <w:rPr>
          <w:sz w:val="18"/>
          <w:szCs w:val="18"/>
        </w:rPr>
        <w:t>tively at home and abiding by travel restrictions issued by federal, state and local governments. Our current plans to return to the office remain fluid as federal, state and local guidelines, rules and regulations continue to evolve</w:t>
      </w:r>
      <w:r>
        <w:rPr>
          <w:sz w:val="18"/>
          <w:szCs w:val="18"/>
        </w:rPr>
        <w:t>.</w:t>
      </w:r>
      <w:r>
        <w:rPr>
          <w:sz w:val="18"/>
          <w:szCs w:val="18"/>
        </w:rPr>
        <w:t xml:space="preserve"> </w:t>
      </w:r>
    </w:p>
    <w:p w:rsidR="00000000" w:rsidRDefault="00CF461A">
      <w:pPr>
        <w:pStyle w:val="a3"/>
        <w:spacing w:before="200" w:beforeAutospacing="0" w:after="0" w:afterAutospacing="0"/>
        <w:jc w:val="both"/>
        <w:rPr>
          <w:sz w:val="20"/>
          <w:szCs w:val="20"/>
        </w:rPr>
      </w:pPr>
      <w:r>
        <w:rPr>
          <w:b/>
          <w:bCs/>
          <w:sz w:val="18"/>
          <w:szCs w:val="18"/>
        </w:rPr>
        <w:t>Financial Operations</w:t>
      </w:r>
      <w:r>
        <w:rPr>
          <w:b/>
          <w:bCs/>
          <w:sz w:val="18"/>
          <w:szCs w:val="18"/>
        </w:rPr>
        <w:t xml:space="preserve"> Overvie</w:t>
      </w:r>
      <w:r>
        <w:rPr>
          <w:b/>
          <w:bCs/>
          <w:sz w:val="18"/>
          <w:szCs w:val="18"/>
        </w:rPr>
        <w:t>w</w:t>
      </w:r>
    </w:p>
    <w:p w:rsidR="00000000" w:rsidRDefault="00CF461A">
      <w:pPr>
        <w:pStyle w:val="a3"/>
        <w:spacing w:before="200" w:beforeAutospacing="0" w:after="0" w:afterAutospacing="0"/>
        <w:ind w:left="238"/>
        <w:jc w:val="both"/>
        <w:rPr>
          <w:sz w:val="20"/>
          <w:szCs w:val="20"/>
        </w:rPr>
      </w:pPr>
      <w:r>
        <w:rPr>
          <w:b/>
          <w:bCs/>
          <w:i/>
          <w:iCs/>
          <w:sz w:val="18"/>
          <w:szCs w:val="18"/>
        </w:rPr>
        <w:t>Revenu</w:t>
      </w:r>
      <w:r>
        <w:rPr>
          <w:b/>
          <w:bCs/>
          <w:i/>
          <w:iCs/>
          <w:sz w:val="18"/>
          <w:szCs w:val="18"/>
        </w:rPr>
        <w:t>e</w:t>
      </w:r>
    </w:p>
    <w:p w:rsidR="00000000" w:rsidRDefault="00CF461A">
      <w:pPr>
        <w:pStyle w:val="a3"/>
        <w:spacing w:before="200" w:beforeAutospacing="0" w:after="0" w:afterAutospacing="0"/>
        <w:ind w:firstLine="555"/>
        <w:jc w:val="both"/>
        <w:rPr>
          <w:sz w:val="20"/>
          <w:szCs w:val="20"/>
        </w:rPr>
      </w:pPr>
      <w:r>
        <w:rPr>
          <w:sz w:val="18"/>
          <w:szCs w:val="18"/>
        </w:rPr>
        <w:t>We generated revenue under the various license and collaboration agreements. We have not generated any revenue from commercial drug sales and we do not expect to generate any further revenue unless or until we obtain regulatory approval a</w:t>
      </w:r>
      <w:r>
        <w:rPr>
          <w:sz w:val="18"/>
          <w:szCs w:val="18"/>
        </w:rPr>
        <w:t>nd commercialize one or more of our current or future drug candidates. In the future, we may also seek to generate revenue from a combination of research and development payments, license fees and other upfront or milestone payments</w:t>
      </w:r>
      <w:r>
        <w:rPr>
          <w:sz w:val="18"/>
          <w:szCs w:val="18"/>
        </w:rPr>
        <w:t>.</w:t>
      </w:r>
    </w:p>
    <w:p w:rsidR="00000000" w:rsidRDefault="00CF461A">
      <w:pPr>
        <w:pStyle w:val="a3"/>
        <w:spacing w:before="200" w:beforeAutospacing="0" w:after="0" w:afterAutospacing="0"/>
        <w:ind w:left="238"/>
        <w:jc w:val="both"/>
        <w:rPr>
          <w:sz w:val="20"/>
          <w:szCs w:val="20"/>
        </w:rPr>
      </w:pPr>
      <w:r>
        <w:rPr>
          <w:b/>
          <w:bCs/>
          <w:i/>
          <w:iCs/>
          <w:sz w:val="18"/>
          <w:szCs w:val="18"/>
        </w:rPr>
        <w:t>Research and Development Expense</w:t>
      </w:r>
      <w:r>
        <w:rPr>
          <w:b/>
          <w:bCs/>
          <w:i/>
          <w:iCs/>
          <w:sz w:val="18"/>
          <w:szCs w:val="18"/>
        </w:rPr>
        <w:t>s</w:t>
      </w:r>
    </w:p>
    <w:p w:rsidR="00000000" w:rsidRDefault="00CF461A">
      <w:pPr>
        <w:pStyle w:val="a3"/>
        <w:spacing w:before="200" w:beforeAutospacing="0" w:after="0" w:afterAutospacing="0"/>
        <w:ind w:firstLine="555"/>
        <w:jc w:val="both"/>
        <w:rPr>
          <w:sz w:val="20"/>
          <w:szCs w:val="20"/>
        </w:rPr>
      </w:pPr>
      <w:r>
        <w:rPr>
          <w:sz w:val="18"/>
          <w:szCs w:val="18"/>
        </w:rPr>
        <w:t>Research and development expenses consist primarily of costs incurred for our research activities, including our product discovery efforts and the development of our product candidates, which include, among other things</w:t>
      </w:r>
      <w:r>
        <w:rPr>
          <w:sz w:val="18"/>
          <w:szCs w:val="18"/>
        </w:rPr>
        <w:t>:</w:t>
      </w:r>
    </w:p>
    <w:p w:rsidR="00000000" w:rsidRDefault="00CF461A">
      <w:pPr>
        <w:jc w:val="both"/>
        <w:divId w:val="1462529676"/>
        <w:rPr>
          <w:rFonts w:eastAsia="Times New Roman"/>
        </w:rPr>
      </w:pPr>
      <w:r>
        <w:rPr>
          <w:rFonts w:eastAsia="Times New Roman"/>
          <w:sz w:val="18"/>
          <w:szCs w:val="18"/>
        </w:rPr>
        <w:t>•</w:t>
      </w:r>
    </w:p>
    <w:p w:rsidR="00000000" w:rsidRDefault="00CF461A">
      <w:pPr>
        <w:jc w:val="both"/>
        <w:divId w:val="1149051301"/>
        <w:rPr>
          <w:rFonts w:eastAsia="Times New Roman"/>
        </w:rPr>
      </w:pPr>
      <w:r>
        <w:rPr>
          <w:rFonts w:eastAsia="Times New Roman"/>
          <w:sz w:val="18"/>
          <w:szCs w:val="18"/>
        </w:rPr>
        <w:t>employee-related expenses, including salaries, benefits and stock-based compensation expense</w:t>
      </w:r>
      <w:r>
        <w:rPr>
          <w:rFonts w:eastAsia="Times New Roman"/>
          <w:sz w:val="18"/>
          <w:szCs w:val="18"/>
        </w:rPr>
        <w:t>;</w:t>
      </w:r>
    </w:p>
    <w:p w:rsidR="00000000" w:rsidRDefault="00CF461A">
      <w:pPr>
        <w:jc w:val="both"/>
        <w:divId w:val="1855339613"/>
        <w:rPr>
          <w:rFonts w:eastAsia="Times New Roman"/>
        </w:rPr>
      </w:pPr>
      <w:r>
        <w:rPr>
          <w:rFonts w:eastAsia="Times New Roman"/>
          <w:sz w:val="18"/>
          <w:szCs w:val="18"/>
        </w:rPr>
        <w:t>•</w:t>
      </w:r>
    </w:p>
    <w:p w:rsidR="00000000" w:rsidRDefault="00CF461A">
      <w:pPr>
        <w:jc w:val="both"/>
        <w:divId w:val="428503788"/>
        <w:rPr>
          <w:rFonts w:eastAsia="Times New Roman"/>
        </w:rPr>
      </w:pPr>
      <w:r>
        <w:rPr>
          <w:rFonts w:eastAsia="Times New Roman"/>
          <w:sz w:val="18"/>
          <w:szCs w:val="18"/>
        </w:rPr>
        <w:t>fees paid to consultants for services directly related to our drug development and regulatory effort</w:t>
      </w:r>
      <w:r>
        <w:rPr>
          <w:rFonts w:eastAsia="Times New Roman"/>
          <w:sz w:val="18"/>
          <w:szCs w:val="18"/>
        </w:rPr>
        <w:t>;</w:t>
      </w:r>
    </w:p>
    <w:p w:rsidR="00000000" w:rsidRDefault="00CF461A">
      <w:pPr>
        <w:pStyle w:val="a3"/>
        <w:spacing w:before="240" w:beforeAutospacing="0" w:after="0" w:afterAutospacing="0"/>
        <w:jc w:val="center"/>
        <w:rPr>
          <w:sz w:val="20"/>
          <w:szCs w:val="20"/>
        </w:rPr>
      </w:pPr>
      <w:r>
        <w:rPr>
          <w:sz w:val="18"/>
          <w:szCs w:val="18"/>
        </w:rPr>
        <w:t>1</w:t>
      </w:r>
      <w:r>
        <w:rPr>
          <w:sz w:val="18"/>
          <w:szCs w:val="18"/>
        </w:rPr>
        <w:t>9</w:t>
      </w:r>
    </w:p>
    <w:p w:rsidR="00000000" w:rsidRDefault="00CF461A">
      <w:pPr>
        <w:rPr>
          <w:rFonts w:eastAsia="Times New Roman"/>
        </w:rPr>
      </w:pPr>
      <w:r>
        <w:rPr>
          <w:rFonts w:eastAsia="Times New Roman"/>
        </w:rPr>
        <w:pict>
          <v:rect id="_x0000_i1045"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jc w:val="both"/>
        <w:divId w:val="116337434"/>
        <w:rPr>
          <w:rFonts w:eastAsia="Times New Roman"/>
        </w:rPr>
      </w:pPr>
      <w:r>
        <w:rPr>
          <w:rFonts w:eastAsia="Times New Roman"/>
          <w:sz w:val="18"/>
          <w:szCs w:val="18"/>
        </w:rPr>
        <w:t>•</w:t>
      </w:r>
    </w:p>
    <w:p w:rsidR="00000000" w:rsidRDefault="00CF461A">
      <w:pPr>
        <w:jc w:val="both"/>
        <w:divId w:val="1656377743"/>
        <w:rPr>
          <w:rFonts w:eastAsia="Times New Roman"/>
        </w:rPr>
      </w:pPr>
      <w:r>
        <w:rPr>
          <w:rFonts w:eastAsia="Times New Roman"/>
          <w:sz w:val="18"/>
          <w:szCs w:val="18"/>
        </w:rPr>
        <w:t>expenses incur</w:t>
      </w:r>
      <w:r>
        <w:rPr>
          <w:rFonts w:eastAsia="Times New Roman"/>
          <w:sz w:val="18"/>
          <w:szCs w:val="18"/>
        </w:rPr>
        <w:t>red under agreements with contract research organizations, as well as contract manufacturing organizations and consultants that conduct preclinical studies and clinical trials</w:t>
      </w:r>
      <w:r>
        <w:rPr>
          <w:rFonts w:eastAsia="Times New Roman"/>
          <w:sz w:val="18"/>
          <w:szCs w:val="18"/>
        </w:rPr>
        <w:t>;</w:t>
      </w:r>
    </w:p>
    <w:p w:rsidR="00000000" w:rsidRDefault="00CF461A">
      <w:pPr>
        <w:jc w:val="both"/>
        <w:divId w:val="1099108909"/>
        <w:rPr>
          <w:rFonts w:eastAsia="Times New Roman"/>
        </w:rPr>
      </w:pPr>
      <w:r>
        <w:rPr>
          <w:rFonts w:eastAsia="Times New Roman"/>
          <w:sz w:val="18"/>
          <w:szCs w:val="18"/>
        </w:rPr>
        <w:t>•</w:t>
      </w:r>
    </w:p>
    <w:p w:rsidR="00000000" w:rsidRDefault="00CF461A">
      <w:pPr>
        <w:jc w:val="both"/>
        <w:divId w:val="462818263"/>
        <w:rPr>
          <w:rFonts w:eastAsia="Times New Roman"/>
        </w:rPr>
      </w:pPr>
      <w:r>
        <w:rPr>
          <w:rFonts w:eastAsia="Times New Roman"/>
          <w:sz w:val="18"/>
          <w:szCs w:val="18"/>
        </w:rPr>
        <w:t>costs associated with preclinical activities and development activities</w:t>
      </w:r>
      <w:r>
        <w:rPr>
          <w:rFonts w:eastAsia="Times New Roman"/>
          <w:sz w:val="18"/>
          <w:szCs w:val="18"/>
        </w:rPr>
        <w:t>;</w:t>
      </w:r>
    </w:p>
    <w:p w:rsidR="00000000" w:rsidRDefault="00CF461A">
      <w:pPr>
        <w:jc w:val="both"/>
        <w:divId w:val="493110497"/>
        <w:rPr>
          <w:rFonts w:eastAsia="Times New Roman"/>
        </w:rPr>
      </w:pPr>
      <w:r>
        <w:rPr>
          <w:rFonts w:eastAsia="Times New Roman"/>
          <w:sz w:val="18"/>
          <w:szCs w:val="18"/>
        </w:rPr>
        <w:t>•</w:t>
      </w:r>
    </w:p>
    <w:p w:rsidR="00000000" w:rsidRDefault="00CF461A">
      <w:pPr>
        <w:jc w:val="both"/>
        <w:divId w:val="1207716807"/>
        <w:rPr>
          <w:rFonts w:eastAsia="Times New Roman"/>
        </w:rPr>
      </w:pPr>
      <w:r>
        <w:rPr>
          <w:rFonts w:eastAsia="Times New Roman"/>
          <w:sz w:val="18"/>
          <w:szCs w:val="18"/>
        </w:rPr>
        <w:t>co</w:t>
      </w:r>
      <w:r>
        <w:rPr>
          <w:rFonts w:eastAsia="Times New Roman"/>
          <w:sz w:val="18"/>
          <w:szCs w:val="18"/>
        </w:rPr>
        <w:t>sts associated with technology and intellectual property licenses</w:t>
      </w:r>
      <w:r>
        <w:rPr>
          <w:rFonts w:eastAsia="Times New Roman"/>
          <w:sz w:val="18"/>
          <w:szCs w:val="18"/>
        </w:rPr>
        <w:t>;</w:t>
      </w:r>
    </w:p>
    <w:p w:rsidR="00000000" w:rsidRDefault="00CF461A">
      <w:pPr>
        <w:jc w:val="both"/>
        <w:divId w:val="1289897130"/>
        <w:rPr>
          <w:rFonts w:eastAsia="Times New Roman"/>
        </w:rPr>
      </w:pPr>
      <w:r>
        <w:rPr>
          <w:rFonts w:eastAsia="Times New Roman"/>
          <w:sz w:val="18"/>
          <w:szCs w:val="18"/>
        </w:rPr>
        <w:t>•</w:t>
      </w:r>
    </w:p>
    <w:p w:rsidR="00000000" w:rsidRDefault="00CF461A">
      <w:pPr>
        <w:jc w:val="both"/>
        <w:divId w:val="326783664"/>
        <w:rPr>
          <w:rFonts w:eastAsia="Times New Roman"/>
        </w:rPr>
      </w:pPr>
      <w:r>
        <w:rPr>
          <w:rFonts w:eastAsia="Times New Roman"/>
          <w:sz w:val="18"/>
          <w:szCs w:val="18"/>
        </w:rPr>
        <w:t>milestone payments and other costs under licensing agreements; an</w:t>
      </w:r>
      <w:r>
        <w:rPr>
          <w:rFonts w:eastAsia="Times New Roman"/>
          <w:sz w:val="18"/>
          <w:szCs w:val="18"/>
        </w:rPr>
        <w:t>d</w:t>
      </w:r>
    </w:p>
    <w:p w:rsidR="00000000" w:rsidRDefault="00CF461A">
      <w:pPr>
        <w:jc w:val="both"/>
        <w:divId w:val="1747069016"/>
        <w:rPr>
          <w:rFonts w:eastAsia="Times New Roman"/>
        </w:rPr>
      </w:pPr>
      <w:r>
        <w:rPr>
          <w:rFonts w:eastAsia="Times New Roman"/>
          <w:sz w:val="18"/>
          <w:szCs w:val="18"/>
        </w:rPr>
        <w:t>•</w:t>
      </w:r>
    </w:p>
    <w:p w:rsidR="00000000" w:rsidRDefault="00CF461A">
      <w:pPr>
        <w:jc w:val="both"/>
        <w:divId w:val="1214267849"/>
        <w:rPr>
          <w:rFonts w:eastAsia="Times New Roman"/>
        </w:rPr>
      </w:pPr>
      <w:r>
        <w:rPr>
          <w:rFonts w:eastAsia="Times New Roman"/>
          <w:sz w:val="18"/>
          <w:szCs w:val="18"/>
        </w:rPr>
        <w:t>depreciation expense for assets used in research and development activities</w:t>
      </w:r>
      <w:r>
        <w:rPr>
          <w:rFonts w:eastAsia="Times New Roman"/>
          <w:sz w:val="18"/>
          <w:szCs w:val="18"/>
        </w:rPr>
        <w:t>.</w:t>
      </w:r>
    </w:p>
    <w:p w:rsidR="00000000" w:rsidRDefault="00CF461A">
      <w:pPr>
        <w:pStyle w:val="a3"/>
        <w:spacing w:before="200" w:beforeAutospacing="0" w:after="0" w:afterAutospacing="0"/>
        <w:ind w:firstLine="555"/>
        <w:jc w:val="both"/>
        <w:rPr>
          <w:sz w:val="20"/>
          <w:szCs w:val="20"/>
        </w:rPr>
      </w:pPr>
      <w:r>
        <w:rPr>
          <w:sz w:val="18"/>
          <w:szCs w:val="18"/>
        </w:rPr>
        <w:t>Costs incurred in connection with researc</w:t>
      </w:r>
      <w:r>
        <w:rPr>
          <w:sz w:val="18"/>
          <w:szCs w:val="18"/>
        </w:rPr>
        <w:t xml:space="preserve">h and development activities are expensed as incurred. Costs for certain development activities, such as clinical trials, are recognized based on an evaluation of the progress to completion of specific tasks using data such as patient enrollment, clinical </w:t>
      </w:r>
      <w:r>
        <w:rPr>
          <w:sz w:val="18"/>
          <w:szCs w:val="18"/>
        </w:rPr>
        <w:t>site activations or other information provided to us by our vendors</w:t>
      </w:r>
      <w:r>
        <w:rPr>
          <w:sz w:val="18"/>
          <w:szCs w:val="18"/>
        </w:rPr>
        <w:t>.</w:t>
      </w:r>
    </w:p>
    <w:p w:rsidR="00000000" w:rsidRDefault="00CF461A">
      <w:pPr>
        <w:pStyle w:val="a3"/>
        <w:spacing w:before="200" w:beforeAutospacing="0" w:after="0" w:afterAutospacing="0"/>
        <w:ind w:firstLine="555"/>
        <w:jc w:val="both"/>
        <w:rPr>
          <w:sz w:val="20"/>
          <w:szCs w:val="20"/>
        </w:rPr>
      </w:pPr>
      <w:r>
        <w:rPr>
          <w:sz w:val="18"/>
          <w:szCs w:val="18"/>
        </w:rPr>
        <w:t>Research and development activities are and will continue to be central to our business model. We expect our research and development expenses to increase over the next several years as w</w:t>
      </w:r>
      <w:r>
        <w:rPr>
          <w:sz w:val="18"/>
          <w:szCs w:val="18"/>
        </w:rPr>
        <w:t>e advance our current and future drug candidates through preclinical studies and clinical trials. The process of conducting preclinical studies and clinical trials necessary to obtain regulatory approval is costly and time-consuming. It is difficult to det</w:t>
      </w:r>
      <w:r>
        <w:rPr>
          <w:sz w:val="18"/>
          <w:szCs w:val="18"/>
        </w:rPr>
        <w:t>ermine with certainty the duration and costs of any preclinical study or clinical trial that we may conduct. The duration, costs and timing of clinical trial programs and development of our current and future drug candidates will depend on a variety of fac</w:t>
      </w:r>
      <w:r>
        <w:rPr>
          <w:sz w:val="18"/>
          <w:szCs w:val="18"/>
        </w:rPr>
        <w:t>tors that include, but are not limited to, the following</w:t>
      </w:r>
      <w:r>
        <w:rPr>
          <w:sz w:val="18"/>
          <w:szCs w:val="18"/>
        </w:rPr>
        <w:t>:</w:t>
      </w:r>
    </w:p>
    <w:p w:rsidR="00000000" w:rsidRDefault="00CF461A">
      <w:pPr>
        <w:jc w:val="both"/>
        <w:divId w:val="1675063254"/>
        <w:rPr>
          <w:rFonts w:eastAsia="Times New Roman"/>
        </w:rPr>
      </w:pPr>
      <w:r>
        <w:rPr>
          <w:rFonts w:eastAsia="Times New Roman"/>
          <w:sz w:val="18"/>
          <w:szCs w:val="18"/>
        </w:rPr>
        <w:t>•</w:t>
      </w:r>
    </w:p>
    <w:p w:rsidR="00000000" w:rsidRDefault="00CF461A">
      <w:pPr>
        <w:jc w:val="both"/>
        <w:divId w:val="1195465457"/>
        <w:rPr>
          <w:rFonts w:eastAsia="Times New Roman"/>
        </w:rPr>
      </w:pPr>
      <w:r>
        <w:rPr>
          <w:rFonts w:eastAsia="Times New Roman"/>
          <w:sz w:val="18"/>
          <w:szCs w:val="18"/>
        </w:rPr>
        <w:t>number of clinical trials required for approval and any requirement for extension trials</w:t>
      </w:r>
      <w:r>
        <w:rPr>
          <w:rFonts w:eastAsia="Times New Roman"/>
          <w:sz w:val="18"/>
          <w:szCs w:val="18"/>
        </w:rPr>
        <w:t>;</w:t>
      </w:r>
    </w:p>
    <w:p w:rsidR="00000000" w:rsidRDefault="00CF461A">
      <w:pPr>
        <w:jc w:val="both"/>
        <w:divId w:val="729310236"/>
        <w:rPr>
          <w:rFonts w:eastAsia="Times New Roman"/>
        </w:rPr>
      </w:pPr>
      <w:r>
        <w:rPr>
          <w:rFonts w:eastAsia="Times New Roman"/>
          <w:sz w:val="18"/>
          <w:szCs w:val="18"/>
        </w:rPr>
        <w:t>•</w:t>
      </w:r>
    </w:p>
    <w:p w:rsidR="00000000" w:rsidRDefault="00CF461A">
      <w:pPr>
        <w:jc w:val="both"/>
        <w:divId w:val="231739187"/>
        <w:rPr>
          <w:rFonts w:eastAsia="Times New Roman"/>
        </w:rPr>
      </w:pPr>
      <w:r>
        <w:rPr>
          <w:rFonts w:eastAsia="Times New Roman"/>
          <w:sz w:val="18"/>
          <w:szCs w:val="18"/>
        </w:rPr>
        <w:t>per patient trial costs;</w:t>
      </w:r>
      <w:r>
        <w:rPr>
          <w:rFonts w:eastAsia="Times New Roman"/>
          <w:sz w:val="18"/>
          <w:szCs w:val="18"/>
        </w:rPr>
        <w:t xml:space="preserve"> </w:t>
      </w:r>
    </w:p>
    <w:p w:rsidR="00000000" w:rsidRDefault="00CF461A">
      <w:pPr>
        <w:jc w:val="both"/>
        <w:divId w:val="779761291"/>
        <w:rPr>
          <w:rFonts w:eastAsia="Times New Roman"/>
        </w:rPr>
      </w:pPr>
      <w:r>
        <w:rPr>
          <w:rFonts w:eastAsia="Times New Roman"/>
          <w:sz w:val="18"/>
          <w:szCs w:val="18"/>
        </w:rPr>
        <w:t>•</w:t>
      </w:r>
    </w:p>
    <w:p w:rsidR="00000000" w:rsidRDefault="00CF461A">
      <w:pPr>
        <w:jc w:val="both"/>
        <w:divId w:val="852647477"/>
        <w:rPr>
          <w:rFonts w:eastAsia="Times New Roman"/>
        </w:rPr>
      </w:pPr>
      <w:r>
        <w:rPr>
          <w:rFonts w:eastAsia="Times New Roman"/>
          <w:sz w:val="18"/>
          <w:szCs w:val="18"/>
        </w:rPr>
        <w:t>number of patients who participate in the clinical trials</w:t>
      </w:r>
      <w:r>
        <w:rPr>
          <w:rFonts w:eastAsia="Times New Roman"/>
          <w:sz w:val="18"/>
          <w:szCs w:val="18"/>
        </w:rPr>
        <w:t>;</w:t>
      </w:r>
    </w:p>
    <w:p w:rsidR="00000000" w:rsidRDefault="00CF461A">
      <w:pPr>
        <w:jc w:val="both"/>
        <w:divId w:val="1177386455"/>
        <w:rPr>
          <w:rFonts w:eastAsia="Times New Roman"/>
        </w:rPr>
      </w:pPr>
      <w:r>
        <w:rPr>
          <w:rFonts w:eastAsia="Times New Roman"/>
          <w:sz w:val="18"/>
          <w:szCs w:val="18"/>
        </w:rPr>
        <w:t>•</w:t>
      </w:r>
    </w:p>
    <w:p w:rsidR="00000000" w:rsidRDefault="00CF461A">
      <w:pPr>
        <w:jc w:val="both"/>
        <w:divId w:val="163472543"/>
        <w:rPr>
          <w:rFonts w:eastAsia="Times New Roman"/>
        </w:rPr>
      </w:pPr>
      <w:r>
        <w:rPr>
          <w:rFonts w:eastAsia="Times New Roman"/>
          <w:sz w:val="18"/>
          <w:szCs w:val="18"/>
        </w:rPr>
        <w:t>number of sites included in the clinical trials</w:t>
      </w:r>
      <w:r>
        <w:rPr>
          <w:rFonts w:eastAsia="Times New Roman"/>
          <w:sz w:val="18"/>
          <w:szCs w:val="18"/>
        </w:rPr>
        <w:t>;</w:t>
      </w:r>
    </w:p>
    <w:p w:rsidR="00000000" w:rsidRDefault="00CF461A">
      <w:pPr>
        <w:jc w:val="both"/>
        <w:divId w:val="1689789236"/>
        <w:rPr>
          <w:rFonts w:eastAsia="Times New Roman"/>
        </w:rPr>
      </w:pPr>
      <w:r>
        <w:rPr>
          <w:rFonts w:eastAsia="Times New Roman"/>
          <w:sz w:val="18"/>
          <w:szCs w:val="18"/>
        </w:rPr>
        <w:t>•</w:t>
      </w:r>
    </w:p>
    <w:p w:rsidR="00000000" w:rsidRDefault="00CF461A">
      <w:pPr>
        <w:jc w:val="both"/>
        <w:divId w:val="1463883773"/>
        <w:rPr>
          <w:rFonts w:eastAsia="Times New Roman"/>
        </w:rPr>
      </w:pPr>
      <w:r>
        <w:rPr>
          <w:rFonts w:eastAsia="Times New Roman"/>
          <w:sz w:val="18"/>
          <w:szCs w:val="18"/>
        </w:rPr>
        <w:t>countries in which the clinical trial is conducted</w:t>
      </w:r>
      <w:r>
        <w:rPr>
          <w:rFonts w:eastAsia="Times New Roman"/>
          <w:sz w:val="18"/>
          <w:szCs w:val="18"/>
        </w:rPr>
        <w:t>;</w:t>
      </w:r>
    </w:p>
    <w:p w:rsidR="00000000" w:rsidRDefault="00CF461A">
      <w:pPr>
        <w:jc w:val="both"/>
        <w:divId w:val="359167337"/>
        <w:rPr>
          <w:rFonts w:eastAsia="Times New Roman"/>
        </w:rPr>
      </w:pPr>
      <w:r>
        <w:rPr>
          <w:rFonts w:eastAsia="Times New Roman"/>
          <w:sz w:val="18"/>
          <w:szCs w:val="18"/>
        </w:rPr>
        <w:t>•</w:t>
      </w:r>
    </w:p>
    <w:p w:rsidR="00000000" w:rsidRDefault="00CF461A">
      <w:pPr>
        <w:jc w:val="both"/>
        <w:divId w:val="470750096"/>
        <w:rPr>
          <w:rFonts w:eastAsia="Times New Roman"/>
        </w:rPr>
      </w:pPr>
      <w:r>
        <w:rPr>
          <w:rFonts w:eastAsia="Times New Roman"/>
          <w:sz w:val="18"/>
          <w:szCs w:val="18"/>
        </w:rPr>
        <w:t>length of time required to enroll eligible patients</w:t>
      </w:r>
      <w:r>
        <w:rPr>
          <w:rFonts w:eastAsia="Times New Roman"/>
          <w:sz w:val="18"/>
          <w:szCs w:val="18"/>
        </w:rPr>
        <w:t>;</w:t>
      </w:r>
    </w:p>
    <w:p w:rsidR="00000000" w:rsidRDefault="00CF461A">
      <w:pPr>
        <w:jc w:val="both"/>
        <w:divId w:val="659118129"/>
        <w:rPr>
          <w:rFonts w:eastAsia="Times New Roman"/>
        </w:rPr>
      </w:pPr>
      <w:r>
        <w:rPr>
          <w:rFonts w:eastAsia="Times New Roman"/>
          <w:sz w:val="18"/>
          <w:szCs w:val="18"/>
        </w:rPr>
        <w:t>•</w:t>
      </w:r>
    </w:p>
    <w:p w:rsidR="00000000" w:rsidRDefault="00CF461A">
      <w:pPr>
        <w:jc w:val="both"/>
        <w:divId w:val="1805269280"/>
        <w:rPr>
          <w:rFonts w:eastAsia="Times New Roman"/>
        </w:rPr>
      </w:pPr>
      <w:r>
        <w:rPr>
          <w:rFonts w:eastAsia="Times New Roman"/>
          <w:sz w:val="18"/>
          <w:szCs w:val="18"/>
        </w:rPr>
        <w:t>number of doses that patients recei</w:t>
      </w:r>
      <w:r>
        <w:rPr>
          <w:rFonts w:eastAsia="Times New Roman"/>
          <w:sz w:val="18"/>
          <w:szCs w:val="18"/>
        </w:rPr>
        <w:t>ve</w:t>
      </w:r>
      <w:r>
        <w:rPr>
          <w:rFonts w:eastAsia="Times New Roman"/>
          <w:sz w:val="18"/>
          <w:szCs w:val="18"/>
        </w:rPr>
        <w:t>;</w:t>
      </w:r>
    </w:p>
    <w:p w:rsidR="00000000" w:rsidRDefault="00CF461A">
      <w:pPr>
        <w:jc w:val="both"/>
        <w:divId w:val="339158586"/>
        <w:rPr>
          <w:rFonts w:eastAsia="Times New Roman"/>
        </w:rPr>
      </w:pPr>
      <w:r>
        <w:rPr>
          <w:rFonts w:eastAsia="Times New Roman"/>
          <w:sz w:val="18"/>
          <w:szCs w:val="18"/>
        </w:rPr>
        <w:t>•</w:t>
      </w:r>
    </w:p>
    <w:p w:rsidR="00000000" w:rsidRDefault="00CF461A">
      <w:pPr>
        <w:jc w:val="both"/>
        <w:divId w:val="2077126454"/>
        <w:rPr>
          <w:rFonts w:eastAsia="Times New Roman"/>
        </w:rPr>
      </w:pPr>
      <w:r>
        <w:rPr>
          <w:rFonts w:eastAsia="Times New Roman"/>
          <w:sz w:val="18"/>
          <w:szCs w:val="18"/>
        </w:rPr>
        <w:t>drop-out or discontinuation rates of patients</w:t>
      </w:r>
      <w:r>
        <w:rPr>
          <w:rFonts w:eastAsia="Times New Roman"/>
          <w:sz w:val="18"/>
          <w:szCs w:val="18"/>
        </w:rPr>
        <w:t>;</w:t>
      </w:r>
    </w:p>
    <w:p w:rsidR="00000000" w:rsidRDefault="00CF461A">
      <w:pPr>
        <w:jc w:val="both"/>
        <w:divId w:val="949363171"/>
        <w:rPr>
          <w:rFonts w:eastAsia="Times New Roman"/>
        </w:rPr>
      </w:pPr>
      <w:r>
        <w:rPr>
          <w:rFonts w:eastAsia="Times New Roman"/>
          <w:sz w:val="18"/>
          <w:szCs w:val="18"/>
        </w:rPr>
        <w:t>•</w:t>
      </w:r>
    </w:p>
    <w:p w:rsidR="00000000" w:rsidRDefault="00CF461A">
      <w:pPr>
        <w:jc w:val="both"/>
        <w:divId w:val="498036545"/>
        <w:rPr>
          <w:rFonts w:eastAsia="Times New Roman"/>
        </w:rPr>
      </w:pPr>
      <w:r>
        <w:rPr>
          <w:rFonts w:eastAsia="Times New Roman"/>
          <w:sz w:val="18"/>
          <w:szCs w:val="18"/>
        </w:rPr>
        <w:t>potential additional safety monitoring or other studies requested by regulatory agencies</w:t>
      </w:r>
      <w:r>
        <w:rPr>
          <w:rFonts w:eastAsia="Times New Roman"/>
          <w:sz w:val="18"/>
          <w:szCs w:val="18"/>
        </w:rPr>
        <w:t>;</w:t>
      </w:r>
    </w:p>
    <w:p w:rsidR="00000000" w:rsidRDefault="00CF461A">
      <w:pPr>
        <w:jc w:val="both"/>
        <w:divId w:val="1022315217"/>
        <w:rPr>
          <w:rFonts w:eastAsia="Times New Roman"/>
        </w:rPr>
      </w:pPr>
      <w:r>
        <w:rPr>
          <w:rFonts w:eastAsia="Times New Roman"/>
          <w:sz w:val="18"/>
          <w:szCs w:val="18"/>
        </w:rPr>
        <w:t>•</w:t>
      </w:r>
    </w:p>
    <w:p w:rsidR="00000000" w:rsidRDefault="00CF461A">
      <w:pPr>
        <w:jc w:val="both"/>
        <w:divId w:val="504365555"/>
        <w:rPr>
          <w:rFonts w:eastAsia="Times New Roman"/>
        </w:rPr>
      </w:pPr>
      <w:r>
        <w:rPr>
          <w:rFonts w:eastAsia="Times New Roman"/>
          <w:sz w:val="18"/>
          <w:szCs w:val="18"/>
        </w:rPr>
        <w:t>duration of patient follow-up; an</w:t>
      </w:r>
      <w:r>
        <w:rPr>
          <w:rFonts w:eastAsia="Times New Roman"/>
          <w:sz w:val="18"/>
          <w:szCs w:val="18"/>
        </w:rPr>
        <w:t>d</w:t>
      </w:r>
    </w:p>
    <w:p w:rsidR="00000000" w:rsidRDefault="00CF461A">
      <w:pPr>
        <w:jc w:val="both"/>
        <w:divId w:val="1387027872"/>
        <w:rPr>
          <w:rFonts w:eastAsia="Times New Roman"/>
        </w:rPr>
      </w:pPr>
      <w:r>
        <w:rPr>
          <w:rFonts w:eastAsia="Times New Roman"/>
          <w:sz w:val="18"/>
          <w:szCs w:val="18"/>
        </w:rPr>
        <w:t>•</w:t>
      </w:r>
    </w:p>
    <w:p w:rsidR="00000000" w:rsidRDefault="00CF461A">
      <w:pPr>
        <w:jc w:val="both"/>
        <w:divId w:val="1060401572"/>
        <w:rPr>
          <w:rFonts w:eastAsia="Times New Roman"/>
        </w:rPr>
      </w:pPr>
      <w:r>
        <w:rPr>
          <w:rFonts w:eastAsia="Times New Roman"/>
          <w:sz w:val="18"/>
          <w:szCs w:val="18"/>
        </w:rPr>
        <w:t>efficacy and safety profile of the drug candidate</w:t>
      </w:r>
      <w:r>
        <w:rPr>
          <w:rFonts w:eastAsia="Times New Roman"/>
          <w:sz w:val="18"/>
          <w:szCs w:val="18"/>
        </w:rPr>
        <w:t>.</w:t>
      </w:r>
    </w:p>
    <w:p w:rsidR="00000000" w:rsidRDefault="00CF461A">
      <w:pPr>
        <w:pStyle w:val="a3"/>
        <w:spacing w:before="200" w:beforeAutospacing="0" w:after="0" w:afterAutospacing="0"/>
        <w:ind w:firstLine="555"/>
        <w:jc w:val="both"/>
        <w:rPr>
          <w:sz w:val="20"/>
          <w:szCs w:val="20"/>
        </w:rPr>
      </w:pPr>
      <w:r>
        <w:rPr>
          <w:sz w:val="18"/>
          <w:szCs w:val="18"/>
        </w:rPr>
        <w:t>In addition, the probability of success for any of our current or future drug candidates will depend on numerous factors, including competition, manufacturing capability and commercial viability. We will d</w:t>
      </w:r>
      <w:r>
        <w:rPr>
          <w:sz w:val="18"/>
          <w:szCs w:val="18"/>
        </w:rPr>
        <w:t>etermine which programs to pursue and how much to fund each program in response to the scientific and clinical success of each drug candidate, as well as an assessment of each drug candidate’s commercial potential</w:t>
      </w:r>
      <w:r>
        <w:rPr>
          <w:sz w:val="18"/>
          <w:szCs w:val="18"/>
        </w:rPr>
        <w:t>.</w:t>
      </w:r>
    </w:p>
    <w:p w:rsidR="00000000" w:rsidRDefault="00CF461A">
      <w:pPr>
        <w:pStyle w:val="a3"/>
        <w:spacing w:before="200" w:beforeAutospacing="0" w:after="0" w:afterAutospacing="0"/>
        <w:ind w:firstLine="555"/>
        <w:jc w:val="both"/>
        <w:rPr>
          <w:sz w:val="20"/>
          <w:szCs w:val="20"/>
        </w:rPr>
      </w:pPr>
      <w:r>
        <w:rPr>
          <w:b/>
          <w:bCs/>
          <w:i/>
          <w:iCs/>
          <w:sz w:val="18"/>
          <w:szCs w:val="18"/>
        </w:rPr>
        <w:t>General and Administrative Expense</w:t>
      </w:r>
      <w:r>
        <w:rPr>
          <w:b/>
          <w:bCs/>
          <w:i/>
          <w:iCs/>
          <w:sz w:val="18"/>
          <w:szCs w:val="18"/>
        </w:rPr>
        <w:t>s</w:t>
      </w:r>
    </w:p>
    <w:p w:rsidR="00000000" w:rsidRDefault="00CF461A">
      <w:pPr>
        <w:pStyle w:val="a3"/>
        <w:spacing w:before="200" w:beforeAutospacing="0" w:after="0" w:afterAutospacing="0"/>
        <w:ind w:firstLine="555"/>
        <w:jc w:val="both"/>
        <w:rPr>
          <w:sz w:val="20"/>
          <w:szCs w:val="20"/>
        </w:rPr>
      </w:pPr>
      <w:r>
        <w:rPr>
          <w:sz w:val="18"/>
          <w:szCs w:val="18"/>
        </w:rPr>
        <w:t>Gener</w:t>
      </w:r>
      <w:r>
        <w:rPr>
          <w:sz w:val="18"/>
          <w:szCs w:val="18"/>
        </w:rPr>
        <w:t>al and administrative expenses consist primarily of employee-related expenses, including salaries, benefits and stock-based compensation expense, related to our executive, finance, business development and support functions. Other general and administrativ</w:t>
      </w:r>
      <w:r>
        <w:rPr>
          <w:sz w:val="18"/>
          <w:szCs w:val="18"/>
        </w:rPr>
        <w:t>e expenses include costs associated with operating as a public company described below, travel expenses, conferences, professional fees for auditing, tax and legal services and facility-related costs</w:t>
      </w:r>
      <w:r>
        <w:rPr>
          <w:sz w:val="18"/>
          <w:szCs w:val="18"/>
        </w:rPr>
        <w:t>.</w:t>
      </w:r>
    </w:p>
    <w:p w:rsidR="00000000" w:rsidRDefault="00CF461A">
      <w:pPr>
        <w:pStyle w:val="a3"/>
        <w:spacing w:before="200" w:beforeAutospacing="0" w:after="0" w:afterAutospacing="0"/>
        <w:ind w:firstLine="555"/>
        <w:jc w:val="both"/>
        <w:rPr>
          <w:sz w:val="20"/>
          <w:szCs w:val="20"/>
        </w:rPr>
      </w:pPr>
      <w:r>
        <w:rPr>
          <w:b/>
          <w:bCs/>
          <w:i/>
          <w:iCs/>
          <w:sz w:val="18"/>
          <w:szCs w:val="18"/>
        </w:rPr>
        <w:t>Other Income (Expense), Ne</w:t>
      </w:r>
      <w:r>
        <w:rPr>
          <w:b/>
          <w:bCs/>
          <w:i/>
          <w:iCs/>
          <w:sz w:val="18"/>
          <w:szCs w:val="18"/>
        </w:rPr>
        <w:t>t</w:t>
      </w:r>
    </w:p>
    <w:p w:rsidR="00000000" w:rsidRDefault="00CF461A">
      <w:pPr>
        <w:pStyle w:val="a3"/>
        <w:spacing w:before="200" w:beforeAutospacing="0" w:after="0" w:afterAutospacing="0"/>
        <w:ind w:left="238" w:firstLine="553"/>
        <w:jc w:val="both"/>
        <w:rPr>
          <w:sz w:val="20"/>
          <w:szCs w:val="20"/>
        </w:rPr>
      </w:pPr>
      <w:r>
        <w:rPr>
          <w:sz w:val="18"/>
          <w:szCs w:val="18"/>
        </w:rPr>
        <w:t>Other income (expense) prim</w:t>
      </w:r>
      <w:r>
        <w:rPr>
          <w:sz w:val="18"/>
          <w:szCs w:val="18"/>
        </w:rPr>
        <w:t>arily consists of unrealized gains (losses) on long-term equity investments and interest income earned on our cash and cash equivalents maintained in money market funds and prior short-term investments that were maintained in U.S. treasury notes</w:t>
      </w:r>
      <w:r>
        <w:rPr>
          <w:sz w:val="18"/>
          <w:szCs w:val="18"/>
        </w:rPr>
        <w:t>.</w:t>
      </w:r>
    </w:p>
    <w:p w:rsidR="00000000" w:rsidRDefault="00CF461A">
      <w:pPr>
        <w:pStyle w:val="a3"/>
        <w:spacing w:before="200" w:beforeAutospacing="0" w:after="0" w:afterAutospacing="0"/>
        <w:ind w:left="238" w:firstLine="553"/>
        <w:jc w:val="both"/>
        <w:rPr>
          <w:sz w:val="20"/>
          <w:szCs w:val="20"/>
        </w:rPr>
      </w:pPr>
      <w:r>
        <w:rPr>
          <w:b/>
          <w:bCs/>
          <w:i/>
          <w:iCs/>
          <w:sz w:val="18"/>
          <w:szCs w:val="18"/>
        </w:rPr>
        <w:t>Reclassification</w:t>
      </w:r>
      <w:r>
        <w:rPr>
          <w:b/>
          <w:bCs/>
          <w:i/>
          <w:iCs/>
          <w:sz w:val="18"/>
          <w:szCs w:val="18"/>
        </w:rPr>
        <w:t>s</w:t>
      </w:r>
    </w:p>
    <w:p w:rsidR="00000000" w:rsidRDefault="00CF461A">
      <w:pPr>
        <w:pStyle w:val="a3"/>
        <w:spacing w:before="200" w:beforeAutospacing="0" w:after="0" w:afterAutospacing="0"/>
        <w:ind w:left="238" w:firstLine="553"/>
        <w:jc w:val="both"/>
        <w:rPr>
          <w:sz w:val="20"/>
          <w:szCs w:val="20"/>
        </w:rPr>
      </w:pPr>
      <w:r>
        <w:rPr>
          <w:sz w:val="18"/>
          <w:szCs w:val="18"/>
        </w:rPr>
        <w:t>Certain prior period amounts have been reclassified for consistency with the current period presentation. These reclassifications had no effect on the reported results of operations</w:t>
      </w:r>
      <w:r>
        <w:rPr>
          <w:sz w:val="18"/>
          <w:szCs w:val="18"/>
        </w:rPr>
        <w:t>.</w:t>
      </w:r>
    </w:p>
    <w:p w:rsidR="00000000" w:rsidRDefault="00CF461A">
      <w:pPr>
        <w:pStyle w:val="a3"/>
        <w:spacing w:before="240" w:beforeAutospacing="0" w:after="0" w:afterAutospacing="0"/>
        <w:jc w:val="center"/>
        <w:rPr>
          <w:sz w:val="20"/>
          <w:szCs w:val="20"/>
        </w:rPr>
      </w:pPr>
      <w:r>
        <w:rPr>
          <w:sz w:val="18"/>
          <w:szCs w:val="18"/>
        </w:rPr>
        <w:t>2</w:t>
      </w:r>
      <w:r>
        <w:rPr>
          <w:sz w:val="18"/>
          <w:szCs w:val="18"/>
        </w:rPr>
        <w:t>0</w:t>
      </w:r>
    </w:p>
    <w:p w:rsidR="00000000" w:rsidRDefault="00CF461A">
      <w:pPr>
        <w:rPr>
          <w:rFonts w:eastAsia="Times New Roman"/>
        </w:rPr>
      </w:pPr>
      <w:r>
        <w:rPr>
          <w:rFonts w:eastAsia="Times New Roman"/>
        </w:rPr>
        <w:pict>
          <v:rect id="_x0000_i1046"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360" w:beforeAutospacing="0" w:after="0" w:afterAutospacing="0"/>
        <w:jc w:val="both"/>
        <w:rPr>
          <w:sz w:val="20"/>
          <w:szCs w:val="20"/>
        </w:rPr>
      </w:pPr>
      <w:r>
        <w:rPr>
          <w:b/>
          <w:bCs/>
          <w:sz w:val="18"/>
          <w:szCs w:val="18"/>
        </w:rPr>
        <w:t>Results of Ope</w:t>
      </w:r>
      <w:r>
        <w:rPr>
          <w:b/>
          <w:bCs/>
          <w:sz w:val="18"/>
          <w:szCs w:val="18"/>
        </w:rPr>
        <w:t>ration</w:t>
      </w:r>
      <w:r>
        <w:rPr>
          <w:b/>
          <w:bCs/>
          <w:sz w:val="18"/>
          <w:szCs w:val="18"/>
        </w:rPr>
        <w:t>s</w:t>
      </w:r>
      <w:r>
        <w:rPr>
          <w:b/>
          <w:bCs/>
          <w:sz w:val="18"/>
          <w:szCs w:val="18"/>
        </w:rPr>
        <w:t xml:space="preserve"> </w:t>
      </w:r>
    </w:p>
    <w:p w:rsidR="00000000" w:rsidRDefault="00CF461A">
      <w:pPr>
        <w:pStyle w:val="a3"/>
        <w:spacing w:before="120" w:beforeAutospacing="0" w:after="0" w:afterAutospacing="0"/>
        <w:ind w:left="238"/>
        <w:jc w:val="both"/>
        <w:rPr>
          <w:sz w:val="20"/>
          <w:szCs w:val="20"/>
        </w:rPr>
      </w:pPr>
      <w:r>
        <w:rPr>
          <w:b/>
          <w:bCs/>
          <w:i/>
          <w:iCs/>
          <w:sz w:val="18"/>
          <w:szCs w:val="18"/>
        </w:rPr>
        <w:t>Comparison of the Three Months Ended March 31, 2022 and 2021, respectivel</w:t>
      </w:r>
      <w:r>
        <w:rPr>
          <w:b/>
          <w:bCs/>
          <w:i/>
          <w:iCs/>
          <w:sz w:val="18"/>
          <w:szCs w:val="18"/>
        </w:rPr>
        <w:t>y</w:t>
      </w:r>
    </w:p>
    <w:p w:rsidR="00000000" w:rsidRDefault="00CF461A">
      <w:pPr>
        <w:pStyle w:val="a3"/>
        <w:spacing w:before="120" w:beforeAutospacing="0" w:after="120" w:afterAutospacing="0"/>
        <w:ind w:firstLine="555"/>
        <w:jc w:val="both"/>
        <w:rPr>
          <w:sz w:val="20"/>
          <w:szCs w:val="20"/>
        </w:rPr>
      </w:pPr>
      <w:r>
        <w:rPr>
          <w:sz w:val="18"/>
          <w:szCs w:val="18"/>
        </w:rPr>
        <w:t>The following table summarizes the results of our operations for the periods indicated</w:t>
      </w:r>
      <w:r>
        <w:rPr>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3"/>
        <w:gridCol w:w="143"/>
        <w:gridCol w:w="150"/>
        <w:gridCol w:w="1283"/>
        <w:gridCol w:w="120"/>
        <w:gridCol w:w="143"/>
        <w:gridCol w:w="150"/>
        <w:gridCol w:w="1283"/>
        <w:gridCol w:w="120"/>
        <w:gridCol w:w="143"/>
        <w:gridCol w:w="150"/>
        <w:gridCol w:w="1283"/>
        <w:gridCol w:w="135"/>
      </w:tblGrid>
      <w:tr w:rsidR="00000000">
        <w:trPr>
          <w:tblCellSpacing w:w="15" w:type="dxa"/>
        </w:trPr>
        <w:tc>
          <w:tcPr>
            <w:tcW w:w="2019" w:type="pct"/>
            <w:vAlign w:val="center"/>
            <w:hideMark/>
          </w:tcPr>
          <w:p w:rsidR="00000000" w:rsidRDefault="00CF461A">
            <w:pPr>
              <w:rPr>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12"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12"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12"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Chang</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CF461A">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Revenue</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License and other revenu</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1,44</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12,38</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(10,93</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License revenue - related part</w:t>
            </w:r>
            <w:r>
              <w:rPr>
                <w:sz w:val="18"/>
                <w:szCs w:val="18"/>
              </w:rPr>
              <w:t>y</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196,00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(196,00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300"/>
              <w:rPr>
                <w:sz w:val="18"/>
                <w:szCs w:val="18"/>
              </w:rPr>
            </w:pPr>
            <w:r>
              <w:rPr>
                <w:sz w:val="18"/>
                <w:szCs w:val="18"/>
              </w:rPr>
              <w:t>Total revenu</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1,44</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208,38</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(206,93</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Operating expenses</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Research and developmen</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7,83</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16,24</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(8,41</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General and administrativ</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9,88</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15,57</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(5,69</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300"/>
              <w:rPr>
                <w:sz w:val="18"/>
                <w:szCs w:val="18"/>
              </w:rPr>
            </w:pPr>
            <w:r>
              <w:rPr>
                <w:sz w:val="18"/>
                <w:szCs w:val="18"/>
              </w:rPr>
              <w:t>Total operating expense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17,71</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31,82</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(14,11</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(Loss) income from operation</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(16,26</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176,55</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(192,82</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Other income (expenses), ne</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20</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(5</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25</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(Loss) income before provision for income taxe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(16,05</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176,50</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(192,56</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ind w:left="200"/>
              <w:rPr>
                <w:sz w:val="18"/>
                <w:szCs w:val="18"/>
              </w:rPr>
            </w:pPr>
            <w:r>
              <w:rPr>
                <w:sz w:val="18"/>
                <w:szCs w:val="18"/>
              </w:rPr>
              <w:t>Provision for income taxe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5</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50</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(45</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(loss) incom</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(16,10</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176,00</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(193,01</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bl>
    <w:p w:rsidR="00000000" w:rsidRDefault="00CF461A">
      <w:pPr>
        <w:pStyle w:val="a3"/>
        <w:spacing w:before="160" w:beforeAutospacing="0" w:after="0" w:afterAutospacing="0"/>
        <w:ind w:left="238"/>
        <w:jc w:val="both"/>
        <w:rPr>
          <w:sz w:val="20"/>
          <w:szCs w:val="20"/>
        </w:rPr>
      </w:pPr>
      <w:r>
        <w:rPr>
          <w:b/>
          <w:bCs/>
          <w:i/>
          <w:iCs/>
          <w:sz w:val="18"/>
          <w:szCs w:val="18"/>
        </w:rPr>
        <w:t>Revenu</w:t>
      </w:r>
      <w:r>
        <w:rPr>
          <w:b/>
          <w:bCs/>
          <w:i/>
          <w:iCs/>
          <w:sz w:val="18"/>
          <w:szCs w:val="18"/>
        </w:rPr>
        <w:t>e</w:t>
      </w:r>
    </w:p>
    <w:p w:rsidR="00000000" w:rsidRDefault="00CF461A">
      <w:pPr>
        <w:pStyle w:val="a3"/>
        <w:spacing w:before="120" w:beforeAutospacing="0" w:after="0" w:afterAutospacing="0"/>
        <w:ind w:firstLine="630"/>
        <w:jc w:val="both"/>
        <w:rPr>
          <w:sz w:val="20"/>
          <w:szCs w:val="20"/>
        </w:rPr>
      </w:pPr>
      <w:r>
        <w:rPr>
          <w:sz w:val="18"/>
          <w:szCs w:val="18"/>
        </w:rPr>
        <w:t>Total revenue was $1.4 million during the three months ended March 31, 2022, pursuant to the Marinus and Healx License Agreements. Total revenue was $208.4 million for the three months ended March 31, 2021, recorded in connection with the Takeda and Angeli</w:t>
      </w:r>
      <w:r>
        <w:rPr>
          <w:sz w:val="18"/>
          <w:szCs w:val="18"/>
        </w:rPr>
        <w:t>ni License Agreements</w:t>
      </w:r>
      <w:r>
        <w:rPr>
          <w:sz w:val="18"/>
          <w:szCs w:val="18"/>
        </w:rPr>
        <w:t>.</w:t>
      </w:r>
    </w:p>
    <w:p w:rsidR="00000000" w:rsidRDefault="00CF461A">
      <w:pPr>
        <w:pStyle w:val="a3"/>
        <w:spacing w:before="120" w:beforeAutospacing="0" w:after="120" w:afterAutospacing="0"/>
        <w:ind w:left="238"/>
        <w:jc w:val="both"/>
        <w:rPr>
          <w:sz w:val="20"/>
          <w:szCs w:val="20"/>
        </w:rPr>
      </w:pPr>
      <w:r>
        <w:rPr>
          <w:b/>
          <w:bCs/>
          <w:i/>
          <w:iCs/>
          <w:sz w:val="18"/>
          <w:szCs w:val="18"/>
        </w:rPr>
        <w:t>Research and Development Expense</w:t>
      </w:r>
      <w:r>
        <w:rPr>
          <w:b/>
          <w:bCs/>
          <w:i/>
          <w:iCs/>
          <w:sz w:val="18"/>
          <w:szCs w:val="18"/>
        </w:rPr>
        <w:t>s</w:t>
      </w:r>
      <w:r>
        <w:rPr>
          <w:b/>
          <w:bCs/>
          <w:i/>
          <w:iCs/>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4"/>
        <w:gridCol w:w="142"/>
        <w:gridCol w:w="151"/>
        <w:gridCol w:w="1296"/>
        <w:gridCol w:w="105"/>
        <w:gridCol w:w="143"/>
        <w:gridCol w:w="150"/>
        <w:gridCol w:w="1297"/>
        <w:gridCol w:w="105"/>
        <w:gridCol w:w="143"/>
        <w:gridCol w:w="150"/>
        <w:gridCol w:w="1285"/>
        <w:gridCol w:w="135"/>
      </w:tblGrid>
      <w:tr w:rsidR="00000000">
        <w:trPr>
          <w:tblCellSpacing w:w="15" w:type="dxa"/>
        </w:trPr>
        <w:tc>
          <w:tcPr>
            <w:tcW w:w="2020" w:type="pct"/>
            <w:vAlign w:val="center"/>
            <w:hideMark/>
          </w:tcPr>
          <w:p w:rsidR="00000000" w:rsidRDefault="00CF461A">
            <w:pPr>
              <w:rPr>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21"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21"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13"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Chang</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CF461A">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Preclinical and development expens</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2,12</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11,13</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(9,01</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Payroll and payroll-related expense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4,93</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3,91</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1,01</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Other expense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77</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1,19</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(42</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Total research and developmen</w:t>
            </w:r>
            <w:r>
              <w:rPr>
                <w:sz w:val="18"/>
                <w:szCs w:val="18"/>
              </w:rPr>
              <w:t>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7,83</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16,24</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(8,41</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bl>
    <w:p w:rsidR="00000000" w:rsidRDefault="00CF461A">
      <w:pPr>
        <w:pStyle w:val="a3"/>
        <w:spacing w:before="120" w:beforeAutospacing="0" w:after="0" w:afterAutospacing="0"/>
        <w:ind w:firstLine="555"/>
        <w:jc w:val="both"/>
        <w:rPr>
          <w:sz w:val="20"/>
          <w:szCs w:val="20"/>
        </w:rPr>
      </w:pPr>
      <w:r>
        <w:rPr>
          <w:sz w:val="18"/>
          <w:szCs w:val="18"/>
        </w:rPr>
        <w:t>During the three months ended March 31, 2022, total research and development expenses were $7.8 million compared to $16.2 million for the three months ended March 31, 2021. The decrease of $8.4 million was primarily due to the decision to discontinue the c</w:t>
      </w:r>
      <w:r>
        <w:rPr>
          <w:sz w:val="18"/>
          <w:szCs w:val="18"/>
        </w:rPr>
        <w:t>linical study of OV101 in Angelman syndrome and Fragile X syndrome and the termination of the Takeda collaboration agreement for OV935. The increase to payroll and payroll-related expenses was primarily related to severance pay recognized during the period</w:t>
      </w:r>
      <w:r>
        <w:rPr>
          <w:sz w:val="18"/>
          <w:szCs w:val="18"/>
        </w:rPr>
        <w:t>.</w:t>
      </w:r>
    </w:p>
    <w:p w:rsidR="00000000" w:rsidRDefault="00CF461A">
      <w:pPr>
        <w:pStyle w:val="a3"/>
        <w:spacing w:before="120" w:beforeAutospacing="0" w:after="120" w:afterAutospacing="0"/>
        <w:ind w:left="238"/>
        <w:jc w:val="both"/>
        <w:rPr>
          <w:sz w:val="20"/>
          <w:szCs w:val="20"/>
        </w:rPr>
      </w:pPr>
      <w:r>
        <w:rPr>
          <w:b/>
          <w:bCs/>
          <w:i/>
          <w:iCs/>
          <w:sz w:val="18"/>
          <w:szCs w:val="18"/>
        </w:rPr>
        <w:t>General and Administrative Expense</w:t>
      </w:r>
      <w:r>
        <w:rPr>
          <w:b/>
          <w:bCs/>
          <w:i/>
          <w:iCs/>
          <w:sz w:val="18"/>
          <w:szCs w:val="18"/>
        </w:rPr>
        <w:t>s</w:t>
      </w:r>
      <w:r>
        <w:rPr>
          <w:b/>
          <w:bCs/>
          <w:i/>
          <w:iCs/>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6"/>
        <w:gridCol w:w="142"/>
        <w:gridCol w:w="151"/>
        <w:gridCol w:w="1295"/>
        <w:gridCol w:w="105"/>
        <w:gridCol w:w="143"/>
        <w:gridCol w:w="150"/>
        <w:gridCol w:w="1296"/>
        <w:gridCol w:w="105"/>
        <w:gridCol w:w="143"/>
        <w:gridCol w:w="150"/>
        <w:gridCol w:w="1285"/>
        <w:gridCol w:w="135"/>
      </w:tblGrid>
      <w:tr w:rsidR="00000000">
        <w:trPr>
          <w:tblCellSpacing w:w="15" w:type="dxa"/>
        </w:trPr>
        <w:tc>
          <w:tcPr>
            <w:tcW w:w="2020" w:type="pct"/>
            <w:vAlign w:val="center"/>
            <w:hideMark/>
          </w:tcPr>
          <w:p w:rsidR="00000000" w:rsidRDefault="00CF461A">
            <w:pPr>
              <w:rPr>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20"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20" w:type="pct"/>
            <w:vAlign w:val="center"/>
            <w:hideMark/>
          </w:tcPr>
          <w:p w:rsidR="00000000" w:rsidRDefault="00CF461A">
            <w:pPr>
              <w:rPr>
                <w:rFonts w:eastAsia="Times New Roman"/>
                <w:sz w:val="20"/>
                <w:szCs w:val="20"/>
              </w:rPr>
            </w:pPr>
          </w:p>
        </w:tc>
        <w:tc>
          <w:tcPr>
            <w:tcW w:w="26" w:type="pct"/>
            <w:vAlign w:val="center"/>
            <w:hideMark/>
          </w:tcPr>
          <w:p w:rsidR="00000000" w:rsidRDefault="00CF461A">
            <w:pPr>
              <w:rPr>
                <w:rFonts w:eastAsia="Times New Roman"/>
                <w:sz w:val="20"/>
                <w:szCs w:val="20"/>
              </w:rPr>
            </w:pPr>
          </w:p>
        </w:tc>
        <w:tc>
          <w:tcPr>
            <w:tcW w:w="90"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13"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Chang</w:t>
            </w:r>
            <w:r>
              <w:rPr>
                <w:b/>
                <w:bCs/>
                <w:sz w:val="18"/>
                <w:szCs w:val="18"/>
              </w:rPr>
              <w:t>e</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10"/>
            <w:vAlign w:val="bottom"/>
            <w:hideMark/>
          </w:tcPr>
          <w:p w:rsidR="00000000" w:rsidRDefault="00CF461A">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Payroll and payroll-related expense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4,76</w:t>
            </w:r>
            <w:r>
              <w:rPr>
                <w:sz w:val="18"/>
                <w:szCs w:val="18"/>
              </w:rPr>
              <w:t>8</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3,78</w:t>
            </w:r>
            <w:r>
              <w:rPr>
                <w:sz w:val="18"/>
                <w:szCs w:val="18"/>
              </w:rPr>
              <w:t>5</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98</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Legal and professional fee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3,09</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10,33</w:t>
            </w:r>
            <w:r>
              <w:rPr>
                <w:sz w:val="18"/>
                <w:szCs w:val="18"/>
              </w:rPr>
              <w:t>4</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(7,24</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General office expense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2,02</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1,45</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56</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Total general and administrativ</w:t>
            </w:r>
            <w:r>
              <w:rPr>
                <w:sz w:val="18"/>
                <w:szCs w:val="18"/>
              </w:rPr>
              <w:t>e</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9,88</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15,57</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(5,69</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bl>
    <w:p w:rsidR="00000000" w:rsidRDefault="00CF461A">
      <w:pPr>
        <w:pStyle w:val="a3"/>
        <w:spacing w:before="120" w:beforeAutospacing="0" w:after="0" w:afterAutospacing="0"/>
        <w:ind w:firstLine="555"/>
        <w:jc w:val="both"/>
        <w:rPr>
          <w:sz w:val="20"/>
          <w:szCs w:val="20"/>
        </w:rPr>
      </w:pPr>
      <w:r>
        <w:rPr>
          <w:sz w:val="18"/>
          <w:szCs w:val="18"/>
        </w:rPr>
        <w:t xml:space="preserve">General and administrative expenses were $9.9 million for the three months ended March 31, 2022 compared to $15.6 million for the three months ended March 31, 2021. The decrease of $5.7 million was primarily due to decreases in legal and professional fees </w:t>
      </w:r>
      <w:r>
        <w:rPr>
          <w:sz w:val="18"/>
          <w:szCs w:val="18"/>
        </w:rPr>
        <w:t>of $7.2 million, which related to execution of the Takeda License and Termination Agreement. Further, payroll and payroll-related expenses increased by $1.0 million, which was primarily related to severance payment recognized during the period</w:t>
      </w:r>
      <w:r>
        <w:rPr>
          <w:sz w:val="18"/>
          <w:szCs w:val="18"/>
        </w:rPr>
        <w:t>.</w:t>
      </w:r>
    </w:p>
    <w:p w:rsidR="00000000" w:rsidRDefault="00CF461A">
      <w:pPr>
        <w:pStyle w:val="a3"/>
        <w:spacing w:before="160" w:beforeAutospacing="0" w:after="0" w:afterAutospacing="0"/>
        <w:ind w:left="238"/>
        <w:jc w:val="both"/>
        <w:rPr>
          <w:sz w:val="20"/>
          <w:szCs w:val="20"/>
        </w:rPr>
      </w:pPr>
      <w:r>
        <w:rPr>
          <w:b/>
          <w:bCs/>
          <w:i/>
          <w:iCs/>
          <w:sz w:val="18"/>
          <w:szCs w:val="18"/>
        </w:rPr>
        <w:t>Provision f</w:t>
      </w:r>
      <w:r>
        <w:rPr>
          <w:b/>
          <w:bCs/>
          <w:i/>
          <w:iCs/>
          <w:sz w:val="18"/>
          <w:szCs w:val="18"/>
        </w:rPr>
        <w:t>or income taxe</w:t>
      </w:r>
      <w:r>
        <w:rPr>
          <w:b/>
          <w:bCs/>
          <w:i/>
          <w:iCs/>
          <w:sz w:val="18"/>
          <w:szCs w:val="18"/>
        </w:rPr>
        <w:t>s</w:t>
      </w:r>
    </w:p>
    <w:p w:rsidR="00000000" w:rsidRDefault="00CF461A">
      <w:pPr>
        <w:pStyle w:val="a3"/>
        <w:spacing w:before="40" w:beforeAutospacing="0" w:after="0" w:afterAutospacing="0"/>
        <w:ind w:firstLine="555"/>
        <w:jc w:val="both"/>
        <w:rPr>
          <w:sz w:val="20"/>
          <w:szCs w:val="20"/>
        </w:rPr>
      </w:pPr>
      <w:r>
        <w:rPr>
          <w:sz w:val="18"/>
          <w:szCs w:val="18"/>
        </w:rPr>
        <w:t>The provision for income taxes was $0.1 million and $0.5 million for the three months ended March 31, 2022 and 2021, respectively. Certain estimated state taxes were recorded despite the net loss position</w:t>
      </w:r>
      <w:r>
        <w:rPr>
          <w:sz w:val="18"/>
          <w:szCs w:val="18"/>
        </w:rPr>
        <w:t>.</w:t>
      </w:r>
    </w:p>
    <w:p w:rsidR="00000000" w:rsidRDefault="00CF461A">
      <w:pPr>
        <w:pStyle w:val="a3"/>
        <w:spacing w:before="160" w:beforeAutospacing="0" w:after="0" w:afterAutospacing="0"/>
        <w:ind w:left="238"/>
        <w:jc w:val="both"/>
        <w:rPr>
          <w:sz w:val="20"/>
          <w:szCs w:val="20"/>
        </w:rPr>
      </w:pPr>
      <w:r>
        <w:rPr>
          <w:b/>
          <w:bCs/>
          <w:i/>
          <w:iCs/>
          <w:sz w:val="18"/>
          <w:szCs w:val="18"/>
        </w:rPr>
        <w:t>Other Income (Expense), ne</w:t>
      </w:r>
      <w:r>
        <w:rPr>
          <w:b/>
          <w:bCs/>
          <w:i/>
          <w:iCs/>
          <w:sz w:val="18"/>
          <w:szCs w:val="18"/>
        </w:rPr>
        <w:t>t</w:t>
      </w:r>
    </w:p>
    <w:p w:rsidR="00000000" w:rsidRDefault="00CF461A">
      <w:pPr>
        <w:pStyle w:val="a3"/>
        <w:spacing w:before="120" w:beforeAutospacing="0" w:after="0" w:afterAutospacing="0"/>
        <w:ind w:firstLine="555"/>
        <w:jc w:val="both"/>
        <w:rPr>
          <w:sz w:val="20"/>
          <w:szCs w:val="20"/>
        </w:rPr>
      </w:pPr>
      <w:r>
        <w:rPr>
          <w:sz w:val="18"/>
          <w:szCs w:val="18"/>
        </w:rPr>
        <w:t xml:space="preserve">Other </w:t>
      </w:r>
      <w:r>
        <w:rPr>
          <w:sz w:val="18"/>
          <w:szCs w:val="18"/>
        </w:rPr>
        <w:t>income (expense) for the three months ended March 31, 2022 includes unrealized gain (loss) on long-term equity investments and included interest income and other nominal items for the three months ended March 31, 2021</w:t>
      </w:r>
      <w:r>
        <w:rPr>
          <w:sz w:val="18"/>
          <w:szCs w:val="18"/>
        </w:rPr>
        <w:t>.</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2</w:t>
      </w:r>
      <w:r>
        <w:rPr>
          <w:sz w:val="18"/>
          <w:szCs w:val="18"/>
        </w:rPr>
        <w:t>1</w:t>
      </w:r>
    </w:p>
    <w:p w:rsidR="00000000" w:rsidRDefault="00CF461A">
      <w:pPr>
        <w:rPr>
          <w:rFonts w:eastAsia="Times New Roman"/>
        </w:rPr>
      </w:pPr>
      <w:r>
        <w:rPr>
          <w:rFonts w:eastAsia="Times New Roman"/>
        </w:rPr>
        <w:pict>
          <v:rect id="_x0000_i1047"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360" w:beforeAutospacing="0" w:after="0" w:afterAutospacing="0"/>
        <w:jc w:val="both"/>
        <w:rPr>
          <w:sz w:val="20"/>
          <w:szCs w:val="20"/>
        </w:rPr>
      </w:pPr>
      <w:r>
        <w:rPr>
          <w:b/>
          <w:bCs/>
          <w:sz w:val="18"/>
          <w:szCs w:val="18"/>
        </w:rPr>
        <w:t>Liquidity and Capital Resource</w:t>
      </w:r>
      <w:r>
        <w:rPr>
          <w:b/>
          <w:bCs/>
          <w:sz w:val="18"/>
          <w:szCs w:val="18"/>
        </w:rPr>
        <w:t>s</w:t>
      </w:r>
    </w:p>
    <w:p w:rsidR="00000000" w:rsidRDefault="00CF461A">
      <w:pPr>
        <w:pStyle w:val="a3"/>
        <w:spacing w:before="120" w:beforeAutospacing="0" w:after="0" w:afterAutospacing="0"/>
        <w:ind w:left="238"/>
        <w:jc w:val="both"/>
        <w:rPr>
          <w:sz w:val="20"/>
          <w:szCs w:val="20"/>
        </w:rPr>
      </w:pPr>
      <w:r>
        <w:rPr>
          <w:b/>
          <w:bCs/>
          <w:i/>
          <w:iCs/>
          <w:sz w:val="18"/>
          <w:szCs w:val="18"/>
        </w:rPr>
        <w:t>Overvie</w:t>
      </w:r>
      <w:r>
        <w:rPr>
          <w:b/>
          <w:bCs/>
          <w:i/>
          <w:iCs/>
          <w:sz w:val="18"/>
          <w:szCs w:val="18"/>
        </w:rPr>
        <w:t>w</w:t>
      </w:r>
      <w:r>
        <w:rPr>
          <w:b/>
          <w:bCs/>
          <w:i/>
          <w:iCs/>
          <w:sz w:val="18"/>
          <w:szCs w:val="18"/>
        </w:rPr>
        <w:t xml:space="preserve"> </w:t>
      </w:r>
    </w:p>
    <w:p w:rsidR="00000000" w:rsidRDefault="00CF461A">
      <w:pPr>
        <w:pStyle w:val="a3"/>
        <w:spacing w:before="120" w:beforeAutospacing="0" w:after="0" w:afterAutospacing="0"/>
        <w:ind w:firstLine="555"/>
        <w:jc w:val="both"/>
        <w:rPr>
          <w:sz w:val="20"/>
          <w:szCs w:val="20"/>
        </w:rPr>
      </w:pPr>
      <w:r>
        <w:rPr>
          <w:sz w:val="18"/>
          <w:szCs w:val="18"/>
        </w:rPr>
        <w:t>As of March 31, 2022, we had total cash and cash equivalents of $166.7 million as compared to $187.8 million of cash and cash equivalents as of December 31, 2021. The $(21.1) m</w:t>
      </w:r>
      <w:r>
        <w:rPr>
          <w:sz w:val="18"/>
          <w:szCs w:val="18"/>
        </w:rPr>
        <w:t>illion decrease in total cash and cash equivalents was due to payments relating to licensing and other agreements of $5 million, and operating expenses totaling $17.7 million for the three months ended March 31, 2022</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Similar to other development stage bio</w:t>
      </w:r>
      <w:r>
        <w:rPr>
          <w:sz w:val="18"/>
          <w:szCs w:val="18"/>
        </w:rPr>
        <w:t>technology companies, we have generated limited revenue, which has been through the Angelini License Agreement. With the exception of the three months ended March 31, 2021, when we received the one-time upfront payment of $196.0 million as part of the Take</w:t>
      </w:r>
      <w:r>
        <w:rPr>
          <w:sz w:val="18"/>
          <w:szCs w:val="18"/>
        </w:rPr>
        <w:t xml:space="preserve">da License and Termination Agreement, we have incurred losses and experienced negative operating cash flows since our inception and anticipate that we will continue to incur losses for at least the next several years. We recorded net loss of approximately </w:t>
      </w:r>
      <w:r>
        <w:rPr>
          <w:sz w:val="18"/>
          <w:szCs w:val="18"/>
        </w:rPr>
        <w:t>$16.1 million and net incomes of approximately $176.0 million for the three months ended March 31, 2022 and 2021, respectively. We expect to incur net losses in subsequent periods. As of March 31, 2022, we had an accumulated deficit of $187.5 million and w</w:t>
      </w:r>
      <w:r>
        <w:rPr>
          <w:sz w:val="18"/>
          <w:szCs w:val="18"/>
        </w:rPr>
        <w:t>orking capital of $159.9 million</w:t>
      </w:r>
      <w:r>
        <w:rPr>
          <w:sz w:val="18"/>
          <w:szCs w:val="18"/>
        </w:rPr>
        <w:t>.</w:t>
      </w:r>
    </w:p>
    <w:p w:rsidR="00000000" w:rsidRDefault="00CF461A">
      <w:pPr>
        <w:pStyle w:val="a3"/>
        <w:spacing w:before="240" w:beforeAutospacing="0" w:after="0" w:afterAutospacing="0"/>
        <w:ind w:firstLine="555"/>
        <w:jc w:val="both"/>
        <w:rPr>
          <w:sz w:val="20"/>
          <w:szCs w:val="20"/>
        </w:rPr>
      </w:pPr>
      <w:r>
        <w:rPr>
          <w:sz w:val="18"/>
          <w:szCs w:val="18"/>
        </w:rPr>
        <w:t>We believe that our existing cash and cash equivalents as of March 31, 2022 will be sufficient to fund our current operating plans through at least the next 12 months from the date of the filing of this Quarterly Report on</w:t>
      </w:r>
      <w:r>
        <w:rPr>
          <w:sz w:val="18"/>
          <w:szCs w:val="18"/>
        </w:rPr>
        <w:t xml:space="preserve"> Form 10-Q</w:t>
      </w:r>
      <w:r>
        <w:rPr>
          <w:sz w:val="18"/>
          <w:szCs w:val="18"/>
        </w:rPr>
        <w:t>.</w:t>
      </w:r>
    </w:p>
    <w:p w:rsidR="00000000" w:rsidRDefault="00CF461A">
      <w:pPr>
        <w:pStyle w:val="a3"/>
        <w:spacing w:before="120" w:beforeAutospacing="0" w:after="0" w:afterAutospacing="0"/>
        <w:ind w:left="238"/>
        <w:jc w:val="both"/>
        <w:rPr>
          <w:sz w:val="20"/>
          <w:szCs w:val="20"/>
        </w:rPr>
      </w:pPr>
      <w:r>
        <w:rPr>
          <w:b/>
          <w:bCs/>
          <w:i/>
          <w:iCs/>
          <w:sz w:val="18"/>
          <w:szCs w:val="18"/>
        </w:rPr>
        <w:t>Future Funding Requirement</w:t>
      </w:r>
      <w:r>
        <w:rPr>
          <w:b/>
          <w:bCs/>
          <w:i/>
          <w:iCs/>
          <w:sz w:val="18"/>
          <w:szCs w:val="18"/>
        </w:rPr>
        <w:t>s</w:t>
      </w:r>
    </w:p>
    <w:p w:rsidR="00000000" w:rsidRDefault="00CF461A">
      <w:pPr>
        <w:pStyle w:val="a3"/>
        <w:spacing w:before="120" w:beforeAutospacing="0" w:after="0" w:afterAutospacing="0"/>
        <w:ind w:firstLine="555"/>
        <w:jc w:val="both"/>
        <w:rPr>
          <w:sz w:val="20"/>
          <w:szCs w:val="20"/>
        </w:rPr>
      </w:pPr>
      <w:r>
        <w:rPr>
          <w:sz w:val="18"/>
          <w:szCs w:val="18"/>
        </w:rPr>
        <w:t>We believe that our available cash and cash equivalents are sufficient to fund existing and planned cash requirements. Our primary uses of capital are, and we expect will continue to be, compensation and related expe</w:t>
      </w:r>
      <w:r>
        <w:rPr>
          <w:sz w:val="18"/>
          <w:szCs w:val="18"/>
        </w:rPr>
        <w:t xml:space="preserve">nses, third-party clinical research and development services, clinical costs, legal and other regulatory expenses and general overhead costs. We have based our estimates on assumptions that may prove to be incorrect, and we could use our capital resources </w:t>
      </w:r>
      <w:r>
        <w:rPr>
          <w:sz w:val="18"/>
          <w:szCs w:val="18"/>
        </w:rPr>
        <w:t>sooner than we currently expect. Additionally, the process of testing drug candidates in clinical trials is costly, and the timing of progress in these trials is uncertain. We cannot estimate the actual amounts necessary to successfully complete the develo</w:t>
      </w:r>
      <w:r>
        <w:rPr>
          <w:sz w:val="18"/>
          <w:szCs w:val="18"/>
        </w:rPr>
        <w:t>pment and commercialization of our product candidates or whether, or when, we may achieve profitability</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As of March 31, 2022, we had no long-term debt and no material non-cancelable purchase commitments with service providers, as we have generally contrac</w:t>
      </w:r>
      <w:r>
        <w:rPr>
          <w:sz w:val="18"/>
          <w:szCs w:val="18"/>
        </w:rPr>
        <w:t>ted on a cancelable, purchase order basis. We cannot estimate whether we will receive or the timing of any potential contingent payments upon the achievement by us of clinical, regulatory and commercial events, as applicable, or royalty payments that we ma</w:t>
      </w:r>
      <w:r>
        <w:rPr>
          <w:sz w:val="18"/>
          <w:szCs w:val="18"/>
        </w:rPr>
        <w:t>y be required to make under license agreements we have entered into with various entities pursuant to which we have in-licensed certain intellectual property as contractual obligations or commitments, including agreements with AstraZeneca AB, H. Lundbeck A</w:t>
      </w:r>
      <w:r>
        <w:rPr>
          <w:sz w:val="18"/>
          <w:szCs w:val="18"/>
        </w:rPr>
        <w:t>/S, and Northwestern. Pursuant to these license agreements, we have agreed to make milestone payments up to an aggregate of $279.3 million upon the achievement of certain development, regulatory and sales milestones. We excluded these contingent payments g</w:t>
      </w:r>
      <w:r>
        <w:rPr>
          <w:sz w:val="18"/>
          <w:szCs w:val="18"/>
        </w:rPr>
        <w:t>iven that the timing, probability, and amount, if any, of such payments cannot be reasonably estimated at this time</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In September 2021, we entered into a 10-year lease agreement for its corporate headquarters with a term commencing March 10, 2022, for appr</w:t>
      </w:r>
      <w:r>
        <w:rPr>
          <w:sz w:val="18"/>
          <w:szCs w:val="18"/>
        </w:rPr>
        <w:t>oximately 19,143 square feet of office space at Hudson Commons in New York, NY. The lease provides for monthly rental payments over the lease term. The base rent under the lease is currently $2.3 million per year. Rent payments commence 10 months following</w:t>
      </w:r>
      <w:r>
        <w:rPr>
          <w:sz w:val="18"/>
          <w:szCs w:val="18"/>
        </w:rPr>
        <w:t xml:space="preserve"> the commencement date of the lease, or January 10, 2023, and continue for 10 years following the rent commencement date. Rent also includes two months of free rent in the 6th and 7th months following the rent commencement date. We issued a letter of credi</w:t>
      </w:r>
      <w:r>
        <w:rPr>
          <w:sz w:val="18"/>
          <w:szCs w:val="18"/>
        </w:rPr>
        <w:t>t in the amount of $1.9 million in association with the execution of the lease agreement; the letter of credit is characterized as restricted cash on the balance sheet. Payment obligations under the lease agreement include approximately $515,000 in the twe</w:t>
      </w:r>
      <w:r>
        <w:rPr>
          <w:sz w:val="18"/>
          <w:szCs w:val="18"/>
        </w:rPr>
        <w:t>lve months subsequent to March 31, 2022 and approximately $23.5 million over the term of the agreement. For additional information see Note 5 to our condensed consolidated financial statements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We have no products approved for commercial sale and have not </w:t>
      </w:r>
      <w:r>
        <w:rPr>
          <w:sz w:val="18"/>
          <w:szCs w:val="18"/>
        </w:rPr>
        <w:t>generated any product revenues from product sales to date. Until such time, if ever, as we can generate substantial product revenues, we expect to finance our cash needs through a combination of equity offerings, debt financings and additional funding from</w:t>
      </w:r>
      <w:r>
        <w:rPr>
          <w:sz w:val="18"/>
          <w:szCs w:val="18"/>
        </w:rPr>
        <w:t xml:space="preserve"> license and collaboration arrangements. Except for any obligations of our collaborators to reimburse us for research and development expenses or to make milestone or royalty payments under our agreements with them, we will not have any committed external </w:t>
      </w:r>
      <w:r>
        <w:rPr>
          <w:sz w:val="18"/>
          <w:szCs w:val="18"/>
        </w:rPr>
        <w:t>source of liquidity. To the extent that we raise additional capital through future equity offerings or debt financings, ownership interests may be diluted, and the terms of these securities may include liquidation or other preferences that adversely affect</w:t>
      </w:r>
      <w:r>
        <w:rPr>
          <w:sz w:val="18"/>
          <w:szCs w:val="18"/>
        </w:rPr>
        <w:t xml:space="preserve"> your rights as a common stockholder. Debt and equity financings, if available, may involve agreements that include covenants limiting or restricting our ability to take specific actions, such as incurring additional debt, making capital expenditures or de</w:t>
      </w:r>
      <w:r>
        <w:rPr>
          <w:sz w:val="18"/>
          <w:szCs w:val="18"/>
        </w:rPr>
        <w:t>claring dividends. There can be no assurance that such financings will be obtained on terms acceptable to us, if at all. The ongoing COVID-19 pandemic continues to rapidly evolve and has already resulted in a significant disruption of global financial mark</w:t>
      </w:r>
      <w:r>
        <w:rPr>
          <w:sz w:val="18"/>
          <w:szCs w:val="18"/>
        </w:rPr>
        <w:t>ets. If the disruption persists and deepens, we could experience an inability to access additional capital, which could in the future negatively affect our operations. If we raise additional funds through collaborations, strategic alliances or licensing ag</w:t>
      </w:r>
      <w:r>
        <w:rPr>
          <w:sz w:val="18"/>
          <w:szCs w:val="18"/>
        </w:rPr>
        <w:t xml:space="preserve">reements with third parties for one or more of our current or future drug candidates, we may be required to relinquish valuable rights to our technologies, future revenue streams, research programs or drug candidates or to grant licenses on terms that may </w:t>
      </w:r>
      <w:r>
        <w:rPr>
          <w:sz w:val="18"/>
          <w:szCs w:val="18"/>
        </w:rPr>
        <w:t>not be favorable to us. Our failure to raise capital as and when needed would have a material adverse effect on our financial condition and our ability to pursue our business strategy</w:t>
      </w:r>
      <w:r>
        <w:rPr>
          <w:sz w:val="18"/>
          <w:szCs w:val="18"/>
        </w:rPr>
        <w:t>.</w:t>
      </w:r>
    </w:p>
    <w:p w:rsidR="00000000" w:rsidRDefault="00CF461A">
      <w:pPr>
        <w:pStyle w:val="a3"/>
        <w:spacing w:before="120" w:beforeAutospacing="0" w:after="0" w:afterAutospacing="0"/>
        <w:ind w:left="238"/>
        <w:jc w:val="both"/>
        <w:rPr>
          <w:sz w:val="20"/>
          <w:szCs w:val="20"/>
        </w:rPr>
      </w:pPr>
      <w:r>
        <w:rPr>
          <w:b/>
          <w:bCs/>
          <w:i/>
          <w:iCs/>
          <w:sz w:val="18"/>
          <w:szCs w:val="18"/>
        </w:rPr>
        <w:t>At-the-Market Offering Progra</w:t>
      </w:r>
      <w:r>
        <w:rPr>
          <w:b/>
          <w:bCs/>
          <w:i/>
          <w:iCs/>
          <w:sz w:val="18"/>
          <w:szCs w:val="18"/>
        </w:rPr>
        <w:t>m</w:t>
      </w:r>
    </w:p>
    <w:p w:rsidR="00000000" w:rsidRDefault="00CF461A">
      <w:pPr>
        <w:pStyle w:val="a3"/>
        <w:spacing w:before="120" w:beforeAutospacing="0" w:after="0" w:afterAutospacing="0"/>
        <w:ind w:firstLine="555"/>
        <w:jc w:val="both"/>
        <w:rPr>
          <w:sz w:val="20"/>
          <w:szCs w:val="20"/>
        </w:rPr>
      </w:pPr>
      <w:r>
        <w:rPr>
          <w:sz w:val="18"/>
          <w:szCs w:val="18"/>
        </w:rPr>
        <w:t>In November 2020, we filed a shelf regis</w:t>
      </w:r>
      <w:r>
        <w:rPr>
          <w:sz w:val="18"/>
          <w:szCs w:val="18"/>
        </w:rPr>
        <w:t>tration statement on Form S-3 (Registration No. 333-250054) that allows us to sell up to an aggregate of $250.0 million of our common stock, preferred stock, debt securities and/or warrants (the “S-3 Registration Statement”), which includes a prospectus co</w:t>
      </w:r>
      <w:r>
        <w:rPr>
          <w:sz w:val="18"/>
          <w:szCs w:val="18"/>
        </w:rPr>
        <w:t>vering the issuance and sale of up to $75.0 million of common stock pursuant to an at-the-market (“ATM”) offering program. As of March 31, 2022, we had $250.0 million available under our S-3 Registration Statement, including $75.0 million available pursuan</w:t>
      </w:r>
      <w:r>
        <w:rPr>
          <w:sz w:val="18"/>
          <w:szCs w:val="18"/>
        </w:rPr>
        <w:t>t to our ATM program</w:t>
      </w:r>
      <w:r>
        <w:rPr>
          <w:sz w:val="18"/>
          <w:szCs w:val="18"/>
        </w:rPr>
        <w:t>.</w:t>
      </w:r>
    </w:p>
    <w:p w:rsidR="00000000" w:rsidRDefault="00CF461A">
      <w:pPr>
        <w:pStyle w:val="a3"/>
        <w:spacing w:before="240" w:beforeAutospacing="0" w:after="0" w:afterAutospacing="0"/>
        <w:jc w:val="center"/>
        <w:rPr>
          <w:sz w:val="20"/>
          <w:szCs w:val="20"/>
        </w:rPr>
      </w:pPr>
      <w:r>
        <w:rPr>
          <w:sz w:val="18"/>
          <w:szCs w:val="18"/>
        </w:rPr>
        <w:t>2</w:t>
      </w:r>
      <w:r>
        <w:rPr>
          <w:sz w:val="18"/>
          <w:szCs w:val="18"/>
        </w:rPr>
        <w:t>2</w:t>
      </w:r>
    </w:p>
    <w:p w:rsidR="00000000" w:rsidRDefault="00CF461A">
      <w:pPr>
        <w:rPr>
          <w:rFonts w:eastAsia="Times New Roman"/>
        </w:rPr>
      </w:pPr>
      <w:r>
        <w:rPr>
          <w:rFonts w:eastAsia="Times New Roman"/>
        </w:rPr>
        <w:pict>
          <v:rect id="_x0000_i1048"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ind w:left="238"/>
        <w:jc w:val="both"/>
        <w:rPr>
          <w:sz w:val="20"/>
          <w:szCs w:val="20"/>
        </w:rPr>
      </w:pPr>
      <w:r>
        <w:rPr>
          <w:b/>
          <w:bCs/>
          <w:i/>
          <w:iCs/>
          <w:sz w:val="18"/>
          <w:szCs w:val="18"/>
        </w:rPr>
        <w:t>Cash Flow</w:t>
      </w:r>
      <w:r>
        <w:rPr>
          <w:b/>
          <w:bCs/>
          <w:i/>
          <w:iCs/>
          <w:sz w:val="18"/>
          <w:szCs w:val="18"/>
        </w:rPr>
        <w:t>s</w:t>
      </w:r>
      <w:r>
        <w:rPr>
          <w:b/>
          <w:bCs/>
          <w:i/>
          <w:iCs/>
          <w:sz w:val="18"/>
          <w:szCs w:val="18"/>
        </w:rPr>
        <w:t xml:space="preserve"> </w:t>
      </w:r>
    </w:p>
    <w:p w:rsidR="00000000" w:rsidRDefault="00CF461A">
      <w:pPr>
        <w:pStyle w:val="a3"/>
        <w:spacing w:before="120" w:beforeAutospacing="0" w:after="120" w:afterAutospacing="0"/>
        <w:ind w:firstLine="555"/>
        <w:jc w:val="both"/>
        <w:rPr>
          <w:sz w:val="20"/>
          <w:szCs w:val="20"/>
        </w:rPr>
      </w:pPr>
      <w:r>
        <w:rPr>
          <w:sz w:val="18"/>
          <w:szCs w:val="18"/>
        </w:rPr>
        <w:t>The following table summarizes our cash flows for the periods indicated</w:t>
      </w:r>
      <w:r>
        <w:rPr>
          <w:sz w:val="18"/>
          <w:szCs w:val="18"/>
        </w:rPr>
        <w:t>:</w:t>
      </w:r>
      <w:r>
        <w:rPr>
          <w:sz w:val="18"/>
          <w:szCs w:val="18"/>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2"/>
        <w:gridCol w:w="166"/>
        <w:gridCol w:w="150"/>
        <w:gridCol w:w="1403"/>
        <w:gridCol w:w="120"/>
        <w:gridCol w:w="167"/>
        <w:gridCol w:w="150"/>
        <w:gridCol w:w="1403"/>
        <w:gridCol w:w="135"/>
      </w:tblGrid>
      <w:tr w:rsidR="00000000">
        <w:trPr>
          <w:tblCellSpacing w:w="15" w:type="dxa"/>
        </w:trPr>
        <w:tc>
          <w:tcPr>
            <w:tcW w:w="2867" w:type="pct"/>
            <w:vAlign w:val="center"/>
            <w:hideMark/>
          </w:tcPr>
          <w:p w:rsidR="00000000" w:rsidRDefault="00CF461A">
            <w:pPr>
              <w:rPr>
                <w:sz w:val="20"/>
                <w:szCs w:val="20"/>
              </w:rPr>
            </w:pPr>
          </w:p>
        </w:tc>
        <w:tc>
          <w:tcPr>
            <w:tcW w:w="102"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73"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c>
          <w:tcPr>
            <w:tcW w:w="102" w:type="pct"/>
            <w:vAlign w:val="center"/>
            <w:hideMark/>
          </w:tcPr>
          <w:p w:rsidR="00000000" w:rsidRDefault="00CF461A">
            <w:pPr>
              <w:rPr>
                <w:rFonts w:eastAsia="Times New Roman"/>
                <w:sz w:val="20"/>
                <w:szCs w:val="20"/>
              </w:rPr>
            </w:pPr>
          </w:p>
        </w:tc>
        <w:tc>
          <w:tcPr>
            <w:tcW w:w="54" w:type="pct"/>
            <w:vAlign w:val="center"/>
            <w:hideMark/>
          </w:tcPr>
          <w:p w:rsidR="00000000" w:rsidRDefault="00CF461A">
            <w:pPr>
              <w:rPr>
                <w:rFonts w:eastAsia="Times New Roman"/>
                <w:sz w:val="20"/>
                <w:szCs w:val="20"/>
              </w:rPr>
            </w:pPr>
          </w:p>
        </w:tc>
        <w:tc>
          <w:tcPr>
            <w:tcW w:w="873" w:type="pct"/>
            <w:vAlign w:val="center"/>
            <w:hideMark/>
          </w:tcPr>
          <w:p w:rsidR="00000000" w:rsidRDefault="00CF461A">
            <w:pPr>
              <w:rPr>
                <w:rFonts w:eastAsia="Times New Roman"/>
                <w:sz w:val="20"/>
                <w:szCs w:val="20"/>
              </w:rPr>
            </w:pPr>
          </w:p>
        </w:tc>
        <w:tc>
          <w:tcPr>
            <w:tcW w:w="36"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Three Months Ended March 31</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2</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jc w:val="center"/>
              <w:rPr>
                <w:sz w:val="18"/>
                <w:szCs w:val="18"/>
              </w:rPr>
            </w:pPr>
            <w:r>
              <w:rPr>
                <w:b/>
                <w:bCs/>
                <w:sz w:val="18"/>
                <w:szCs w:val="18"/>
              </w:rPr>
              <w:t>202</w:t>
            </w:r>
            <w:r>
              <w:rPr>
                <w:b/>
                <w:bCs/>
                <w:sz w:val="18"/>
                <w:szCs w:val="18"/>
              </w:rPr>
              <w:t>1</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CF461A">
            <w:pPr>
              <w:pStyle w:val="a3"/>
              <w:spacing w:before="0" w:beforeAutospacing="0" w:after="0" w:afterAutospacing="0"/>
              <w:jc w:val="center"/>
              <w:rPr>
                <w:sz w:val="18"/>
                <w:szCs w:val="18"/>
              </w:rPr>
            </w:pPr>
            <w:r>
              <w:rPr>
                <w:b/>
                <w:bCs/>
                <w:sz w:val="18"/>
                <w:szCs w:val="18"/>
              </w:rPr>
              <w:t>(in thousands</w:t>
            </w:r>
            <w:r>
              <w:rPr>
                <w:b/>
                <w:bCs/>
                <w:sz w:val="18"/>
                <w:szCs w:val="18"/>
              </w:rPr>
              <w:t>)</w:t>
            </w:r>
          </w:p>
        </w:tc>
        <w:tc>
          <w:tcPr>
            <w:tcW w:w="0" w:type="auto"/>
            <w:vAlign w:val="bottom"/>
            <w:hideMark/>
          </w:tcPr>
          <w:p w:rsidR="00000000" w:rsidRDefault="00CF461A">
            <w:pPr>
              <w:pStyle w:val="a3"/>
              <w:spacing w:before="0" w:beforeAutospacing="0" w:after="0" w:afterAutospacing="0"/>
              <w:jc w:val="center"/>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cash (used in) provided by</w:t>
            </w: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Operating activitie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(20,08</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160,89</w:t>
            </w:r>
            <w:r>
              <w:rPr>
                <w:sz w:val="18"/>
                <w:szCs w:val="18"/>
              </w:rPr>
              <w:t>9</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Investing activitie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(1,07</w:t>
            </w:r>
            <w:r>
              <w:rPr>
                <w:sz w:val="18"/>
                <w:szCs w:val="18"/>
              </w:rPr>
              <w:t>6</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w:t>
            </w:r>
            <w:r>
              <w:rPr>
                <w:sz w:val="18"/>
                <w:szCs w:val="18"/>
              </w:rPr>
              <w:t>2</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Financing activitie</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3</w:t>
            </w:r>
            <w:r>
              <w:rPr>
                <w:sz w:val="18"/>
                <w:szCs w:val="18"/>
              </w:rPr>
              <w:t>3</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13</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vAlign w:val="bottom"/>
            <w:hideMark/>
          </w:tcPr>
          <w:p w:rsidR="00000000" w:rsidRDefault="00CF461A">
            <w:pPr>
              <w:pStyle w:val="a3"/>
              <w:spacing w:before="0" w:beforeAutospacing="0" w:after="0" w:afterAutospacing="0"/>
              <w:rPr>
                <w:sz w:val="18"/>
                <w:szCs w:val="18"/>
              </w:rPr>
            </w:pPr>
            <w:r>
              <w:rPr>
                <w:sz w:val="18"/>
                <w:szCs w:val="18"/>
              </w:rPr>
              <w:t>Net (decrease) increase in cash and cash equivalent</w:t>
            </w:r>
            <w:r>
              <w:rPr>
                <w:sz w:val="18"/>
                <w:szCs w:val="18"/>
              </w:rPr>
              <w:t>s</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(21,13</w:t>
            </w:r>
            <w:r>
              <w:rPr>
                <w:sz w:val="18"/>
                <w:szCs w:val="18"/>
              </w:rPr>
              <w:t>0</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w:t>
            </w:r>
          </w:p>
        </w:tc>
        <w:tc>
          <w:tcPr>
            <w:tcW w:w="0" w:type="auto"/>
            <w:vAlign w:val="bottom"/>
            <w:hideMark/>
          </w:tcPr>
          <w:p w:rsidR="00000000" w:rsidRDefault="00CF461A">
            <w:pPr>
              <w:pStyle w:val="a3"/>
              <w:spacing w:before="0" w:beforeAutospacing="0" w:after="0" w:afterAutospacing="0"/>
              <w:jc w:val="right"/>
              <w:rPr>
                <w:sz w:val="18"/>
                <w:szCs w:val="18"/>
              </w:rPr>
            </w:pPr>
            <w:r>
              <w:rPr>
                <w:sz w:val="18"/>
                <w:szCs w:val="18"/>
              </w:rPr>
              <w:t>161,01</w:t>
            </w:r>
            <w:r>
              <w:rPr>
                <w:sz w:val="18"/>
                <w:szCs w:val="18"/>
              </w:rPr>
              <w:t>7</w:t>
            </w:r>
          </w:p>
        </w:tc>
        <w:tc>
          <w:tcPr>
            <w:tcW w:w="0" w:type="auto"/>
            <w:vAlign w:val="bottom"/>
            <w:hideMark/>
          </w:tcPr>
          <w:p w:rsidR="00000000" w:rsidRDefault="00CF461A">
            <w:pPr>
              <w:pStyle w:val="a3"/>
              <w:spacing w:before="0" w:beforeAutospacing="0" w:after="0" w:afterAutospacing="0"/>
              <w:rPr>
                <w:sz w:val="18"/>
                <w:szCs w:val="18"/>
              </w:rPr>
            </w:pPr>
            <w:r>
              <w:rPr>
                <w:sz w:val="18"/>
                <w:szCs w:val="18"/>
              </w:rPr>
              <w:t> </w:t>
            </w:r>
          </w:p>
        </w:tc>
      </w:tr>
    </w:tbl>
    <w:p w:rsidR="00000000" w:rsidRDefault="00CF461A">
      <w:pPr>
        <w:pStyle w:val="a3"/>
        <w:spacing w:before="120" w:beforeAutospacing="0" w:after="0" w:afterAutospacing="0"/>
        <w:ind w:left="238"/>
        <w:jc w:val="both"/>
        <w:rPr>
          <w:sz w:val="20"/>
          <w:szCs w:val="20"/>
        </w:rPr>
      </w:pPr>
      <w:r>
        <w:rPr>
          <w:b/>
          <w:bCs/>
          <w:i/>
          <w:iCs/>
          <w:sz w:val="18"/>
          <w:szCs w:val="18"/>
        </w:rPr>
        <w:t>Net Cash (Used In) Provided By Operating Activitie</w:t>
      </w:r>
      <w:r>
        <w:rPr>
          <w:b/>
          <w:bCs/>
          <w:i/>
          <w:iCs/>
          <w:sz w:val="18"/>
          <w:szCs w:val="18"/>
        </w:rPr>
        <w:t>s</w:t>
      </w:r>
    </w:p>
    <w:p w:rsidR="00000000" w:rsidRDefault="00CF461A">
      <w:pPr>
        <w:pStyle w:val="a3"/>
        <w:spacing w:before="120" w:beforeAutospacing="0" w:after="0" w:afterAutospacing="0"/>
        <w:ind w:firstLine="555"/>
        <w:jc w:val="both"/>
        <w:rPr>
          <w:sz w:val="20"/>
          <w:szCs w:val="20"/>
        </w:rPr>
      </w:pPr>
      <w:r>
        <w:rPr>
          <w:sz w:val="18"/>
          <w:szCs w:val="18"/>
        </w:rPr>
        <w:t>Net cash used in operating activities was $20.1 million for the three months ended March 31, 2022, which consisted of net loss of $16.1 million offset by a net of $2.8 million of non-cash charges and indirect cash changes, primarily related to $1.3 million</w:t>
      </w:r>
      <w:r>
        <w:rPr>
          <w:sz w:val="18"/>
          <w:szCs w:val="18"/>
        </w:rPr>
        <w:t xml:space="preserve"> of stock-based compensation expense, and decreases in accounts payable and accrued expenses of $4.6 million. Net cash provided by operating activities was $160.9 million for the three months ended March 31, 2021, which resulted from an upfront payment pur</w:t>
      </w:r>
      <w:r>
        <w:rPr>
          <w:sz w:val="18"/>
          <w:szCs w:val="18"/>
        </w:rPr>
        <w:t>suant to the Takeda License and Termination Agreement, offset by operating expenses for the period</w:t>
      </w:r>
      <w:r>
        <w:rPr>
          <w:sz w:val="18"/>
          <w:szCs w:val="18"/>
        </w:rPr>
        <w:t>.</w:t>
      </w:r>
    </w:p>
    <w:p w:rsidR="00000000" w:rsidRDefault="00CF461A">
      <w:pPr>
        <w:pStyle w:val="a3"/>
        <w:spacing w:before="120" w:beforeAutospacing="0" w:after="0" w:afterAutospacing="0"/>
        <w:ind w:left="238"/>
        <w:jc w:val="both"/>
        <w:rPr>
          <w:sz w:val="20"/>
          <w:szCs w:val="20"/>
        </w:rPr>
      </w:pPr>
      <w:r>
        <w:rPr>
          <w:b/>
          <w:bCs/>
          <w:i/>
          <w:iCs/>
          <w:sz w:val="18"/>
          <w:szCs w:val="18"/>
        </w:rPr>
        <w:t>Net Cash Used In Investing Activitie</w:t>
      </w:r>
      <w:r>
        <w:rPr>
          <w:b/>
          <w:bCs/>
          <w:i/>
          <w:iCs/>
          <w:sz w:val="18"/>
          <w:szCs w:val="18"/>
        </w:rPr>
        <w:t>s</w:t>
      </w:r>
    </w:p>
    <w:p w:rsidR="00000000" w:rsidRDefault="00CF461A">
      <w:pPr>
        <w:pStyle w:val="a3"/>
        <w:spacing w:before="120" w:beforeAutospacing="0" w:after="0" w:afterAutospacing="0"/>
        <w:ind w:firstLine="555"/>
        <w:jc w:val="both"/>
        <w:rPr>
          <w:sz w:val="20"/>
          <w:szCs w:val="20"/>
        </w:rPr>
      </w:pPr>
      <w:r>
        <w:rPr>
          <w:sz w:val="18"/>
          <w:szCs w:val="18"/>
        </w:rPr>
        <w:t>Net cash used in investing activities was $1.1 million for the three months ended March 31, 2022, and a nominal amount used in investing activities for the three months ended March 31, 2021. Net cash used in investing activities during the three months end</w:t>
      </w:r>
      <w:r>
        <w:rPr>
          <w:sz w:val="18"/>
          <w:szCs w:val="18"/>
        </w:rPr>
        <w:t>ed March 31, 2022 consisted of issuance of a note receivable to an investee of the Company</w:t>
      </w:r>
      <w:r>
        <w:rPr>
          <w:sz w:val="18"/>
          <w:szCs w:val="18"/>
        </w:rPr>
        <w:t>.</w:t>
      </w:r>
    </w:p>
    <w:p w:rsidR="00000000" w:rsidRDefault="00CF461A">
      <w:pPr>
        <w:pStyle w:val="a3"/>
        <w:spacing w:before="120" w:beforeAutospacing="0" w:after="0" w:afterAutospacing="0"/>
        <w:ind w:left="238"/>
        <w:jc w:val="both"/>
        <w:rPr>
          <w:sz w:val="20"/>
          <w:szCs w:val="20"/>
        </w:rPr>
      </w:pPr>
      <w:r>
        <w:rPr>
          <w:b/>
          <w:bCs/>
          <w:i/>
          <w:iCs/>
          <w:sz w:val="18"/>
          <w:szCs w:val="18"/>
        </w:rPr>
        <w:t>Net Cash Provided By Financing Activitie</w:t>
      </w:r>
      <w:r>
        <w:rPr>
          <w:b/>
          <w:bCs/>
          <w:i/>
          <w:iCs/>
          <w:sz w:val="18"/>
          <w:szCs w:val="18"/>
        </w:rPr>
        <w:t>s</w:t>
      </w:r>
    </w:p>
    <w:p w:rsidR="00000000" w:rsidRDefault="00CF461A">
      <w:pPr>
        <w:pStyle w:val="a3"/>
        <w:spacing w:before="120" w:beforeAutospacing="0" w:after="0" w:afterAutospacing="0"/>
        <w:ind w:firstLine="277"/>
        <w:jc w:val="both"/>
        <w:rPr>
          <w:sz w:val="20"/>
          <w:szCs w:val="20"/>
        </w:rPr>
      </w:pPr>
      <w:r>
        <w:rPr>
          <w:sz w:val="18"/>
          <w:szCs w:val="18"/>
        </w:rPr>
        <w:t>Net cash provided by financing activities during the three months ended March 31, 2022 was primarily due to purchases of s</w:t>
      </w:r>
      <w:r>
        <w:rPr>
          <w:sz w:val="18"/>
          <w:szCs w:val="18"/>
        </w:rPr>
        <w:t>hares under the 2017 employee stock purchase plan and the exercise of options. Net cash provided by financing activities of $0.1 million for the three months ended March 31, 2021 was primarily due to proceeds from exercise of options and purchases of share</w:t>
      </w:r>
      <w:r>
        <w:rPr>
          <w:sz w:val="18"/>
          <w:szCs w:val="18"/>
        </w:rPr>
        <w:t>s under the 2017 employee stock purchase plan</w:t>
      </w:r>
      <w:r>
        <w:rPr>
          <w:sz w:val="18"/>
          <w:szCs w:val="18"/>
        </w:rPr>
        <w:t>.</w:t>
      </w:r>
    </w:p>
    <w:p w:rsidR="00000000" w:rsidRDefault="00CF461A">
      <w:pPr>
        <w:pStyle w:val="a3"/>
        <w:spacing w:before="200" w:beforeAutospacing="0" w:after="0" w:afterAutospacing="0"/>
        <w:jc w:val="both"/>
        <w:rPr>
          <w:sz w:val="20"/>
          <w:szCs w:val="20"/>
        </w:rPr>
      </w:pPr>
      <w:r>
        <w:rPr>
          <w:b/>
          <w:bCs/>
          <w:sz w:val="18"/>
          <w:szCs w:val="18"/>
        </w:rPr>
        <w:t>Emerging Growth Company Status and Smaller Reporting Company Statu</w:t>
      </w:r>
      <w:r>
        <w:rPr>
          <w:b/>
          <w:bCs/>
          <w:sz w:val="18"/>
          <w:szCs w:val="18"/>
        </w:rPr>
        <w:t>s</w:t>
      </w:r>
    </w:p>
    <w:p w:rsidR="00000000" w:rsidRDefault="00CF461A">
      <w:pPr>
        <w:pStyle w:val="a3"/>
        <w:spacing w:before="200" w:beforeAutospacing="0" w:after="0" w:afterAutospacing="0"/>
        <w:ind w:firstLine="555"/>
        <w:jc w:val="both"/>
        <w:rPr>
          <w:sz w:val="20"/>
          <w:szCs w:val="20"/>
        </w:rPr>
      </w:pPr>
      <w:r>
        <w:rPr>
          <w:sz w:val="18"/>
          <w:szCs w:val="18"/>
        </w:rPr>
        <w:t>We are an “emerging growth company,” as defined in the Jumpstart Our Business Startups Act of 2012, or the JOBS Act, and may remain an emergi</w:t>
      </w:r>
      <w:r>
        <w:rPr>
          <w:sz w:val="18"/>
          <w:szCs w:val="18"/>
        </w:rPr>
        <w:t>ng growth company until December 31, 2022. For so long as we remain an emerging growth company, we are permitted and intend to rely on exemptions from certain disclosure requirements that are applicable to other public companies that are not emerging growt</w:t>
      </w:r>
      <w:r>
        <w:rPr>
          <w:sz w:val="18"/>
          <w:szCs w:val="18"/>
        </w:rPr>
        <w:t>h companies. These exemptions include</w:t>
      </w:r>
      <w:r>
        <w:rPr>
          <w:sz w:val="18"/>
          <w:szCs w:val="18"/>
        </w:rPr>
        <w:t>:</w:t>
      </w:r>
    </w:p>
    <w:p w:rsidR="00000000" w:rsidRDefault="00CF461A">
      <w:pPr>
        <w:jc w:val="both"/>
        <w:divId w:val="1307204833"/>
        <w:rPr>
          <w:rFonts w:eastAsia="Times New Roman"/>
        </w:rPr>
      </w:pPr>
      <w:r>
        <w:rPr>
          <w:rFonts w:eastAsia="Times New Roman"/>
          <w:sz w:val="18"/>
          <w:szCs w:val="18"/>
        </w:rPr>
        <w:t>•</w:t>
      </w:r>
    </w:p>
    <w:p w:rsidR="00000000" w:rsidRDefault="00CF461A">
      <w:pPr>
        <w:jc w:val="both"/>
        <w:divId w:val="338892190"/>
        <w:rPr>
          <w:rFonts w:eastAsia="Times New Roman"/>
        </w:rPr>
      </w:pPr>
      <w:r>
        <w:rPr>
          <w:rFonts w:eastAsia="Times New Roman"/>
          <w:sz w:val="18"/>
          <w:szCs w:val="18"/>
        </w:rPr>
        <w:t>reduced disclosure about our executive compensation arrangements</w:t>
      </w:r>
      <w:r>
        <w:rPr>
          <w:rFonts w:eastAsia="Times New Roman"/>
          <w:sz w:val="18"/>
          <w:szCs w:val="18"/>
        </w:rPr>
        <w:t>;</w:t>
      </w:r>
    </w:p>
    <w:p w:rsidR="00000000" w:rsidRDefault="00CF461A">
      <w:pPr>
        <w:jc w:val="both"/>
        <w:divId w:val="1467702846"/>
        <w:rPr>
          <w:rFonts w:eastAsia="Times New Roman"/>
        </w:rPr>
      </w:pPr>
      <w:r>
        <w:rPr>
          <w:rFonts w:eastAsia="Times New Roman"/>
          <w:sz w:val="18"/>
          <w:szCs w:val="18"/>
        </w:rPr>
        <w:t>•</w:t>
      </w:r>
    </w:p>
    <w:p w:rsidR="00000000" w:rsidRDefault="00CF461A">
      <w:pPr>
        <w:jc w:val="both"/>
        <w:divId w:val="1386372028"/>
        <w:rPr>
          <w:rFonts w:eastAsia="Times New Roman"/>
        </w:rPr>
      </w:pPr>
      <w:r>
        <w:rPr>
          <w:rFonts w:eastAsia="Times New Roman"/>
          <w:sz w:val="18"/>
          <w:szCs w:val="18"/>
        </w:rPr>
        <w:t>no non-binding stockholder advisory votes on executive compensation or golden parachute arrangements; an</w:t>
      </w:r>
      <w:r>
        <w:rPr>
          <w:rFonts w:eastAsia="Times New Roman"/>
          <w:sz w:val="18"/>
          <w:szCs w:val="18"/>
        </w:rPr>
        <w:t>d</w:t>
      </w:r>
    </w:p>
    <w:p w:rsidR="00000000" w:rsidRDefault="00CF461A">
      <w:pPr>
        <w:jc w:val="both"/>
        <w:divId w:val="1603875600"/>
        <w:rPr>
          <w:rFonts w:eastAsia="Times New Roman"/>
        </w:rPr>
      </w:pPr>
      <w:r>
        <w:rPr>
          <w:rFonts w:eastAsia="Times New Roman"/>
          <w:sz w:val="18"/>
          <w:szCs w:val="18"/>
        </w:rPr>
        <w:t>•</w:t>
      </w:r>
    </w:p>
    <w:p w:rsidR="00000000" w:rsidRDefault="00CF461A">
      <w:pPr>
        <w:jc w:val="both"/>
        <w:divId w:val="105346652"/>
        <w:rPr>
          <w:rFonts w:eastAsia="Times New Roman"/>
        </w:rPr>
      </w:pPr>
      <w:r>
        <w:rPr>
          <w:rFonts w:eastAsia="Times New Roman"/>
          <w:sz w:val="18"/>
          <w:szCs w:val="18"/>
        </w:rPr>
        <w:t xml:space="preserve">exemption from the auditor attestation </w:t>
      </w:r>
      <w:r>
        <w:rPr>
          <w:rFonts w:eastAsia="Times New Roman"/>
          <w:sz w:val="18"/>
          <w:szCs w:val="18"/>
        </w:rPr>
        <w:t>requirement in the assessment of our internal control over financial reporting</w:t>
      </w:r>
      <w:r>
        <w:rPr>
          <w:rFonts w:eastAsia="Times New Roman"/>
          <w:sz w:val="18"/>
          <w:szCs w:val="18"/>
        </w:rPr>
        <w:t>.</w:t>
      </w:r>
    </w:p>
    <w:p w:rsidR="00000000" w:rsidRDefault="00CF461A">
      <w:pPr>
        <w:pStyle w:val="a3"/>
        <w:spacing w:before="200" w:beforeAutospacing="0" w:after="0" w:afterAutospacing="0"/>
        <w:ind w:firstLine="555"/>
        <w:jc w:val="both"/>
        <w:rPr>
          <w:sz w:val="20"/>
          <w:szCs w:val="20"/>
        </w:rPr>
      </w:pPr>
      <w:r>
        <w:rPr>
          <w:sz w:val="18"/>
          <w:szCs w:val="18"/>
        </w:rPr>
        <w:t>We have taken advantage of reduced reporting requirements in this Quarterly Report on Form 10-Q and may continue to do so until such time that we are no longer an emerging grow</w:t>
      </w:r>
      <w:r>
        <w:rPr>
          <w:sz w:val="18"/>
          <w:szCs w:val="18"/>
        </w:rPr>
        <w:t>th company. We will remain an “emerging growth company” until the earliest of (a) the last day of the fiscal year in which we have total annual gross revenues of $1.07 billion or more, (b) December 31, 2022, the last day of the fiscal year following the fi</w:t>
      </w:r>
      <w:r>
        <w:rPr>
          <w:sz w:val="18"/>
          <w:szCs w:val="18"/>
        </w:rPr>
        <w:t>fth anniversary of the completion of the our IPO, (c) the date on which we have issued more than $1.0 billion in nonconvertible debt during the previous three years or (d) the date on which we are deemed to be a large accelerated filer under the rules of t</w:t>
      </w:r>
      <w:r>
        <w:rPr>
          <w:sz w:val="18"/>
          <w:szCs w:val="18"/>
        </w:rPr>
        <w:t>he SEC. Section 107 of the JOBS Act provides that an emerging growth company can take advantage of the extended transition period for complying with new or revised accounting standards. We have irrevocably elected not to avail ourselves of this extended tr</w:t>
      </w:r>
      <w:r>
        <w:rPr>
          <w:sz w:val="18"/>
          <w:szCs w:val="18"/>
        </w:rPr>
        <w:t>ansition period and, as a result, we will adopt new or revised accounting standards on the relevant dates on which adoption of such standards is required for other public companies</w:t>
      </w:r>
      <w:r>
        <w:rPr>
          <w:sz w:val="18"/>
          <w:szCs w:val="18"/>
        </w:rPr>
        <w:t>.</w:t>
      </w:r>
    </w:p>
    <w:p w:rsidR="00000000" w:rsidRDefault="00CF461A">
      <w:pPr>
        <w:pStyle w:val="a3"/>
        <w:spacing w:before="240" w:beforeAutospacing="0" w:after="0" w:afterAutospacing="0"/>
        <w:ind w:firstLine="555"/>
        <w:jc w:val="both"/>
        <w:rPr>
          <w:sz w:val="20"/>
          <w:szCs w:val="20"/>
        </w:rPr>
      </w:pPr>
      <w:r>
        <w:rPr>
          <w:sz w:val="18"/>
          <w:szCs w:val="18"/>
        </w:rPr>
        <w:t>In addition, we are also a smaller reporting company as defined in the Exc</w:t>
      </w:r>
      <w:r>
        <w:rPr>
          <w:sz w:val="18"/>
          <w:szCs w:val="18"/>
        </w:rPr>
        <w:t>hange Act. We may continue to be a smaller reporting company even after we are no longer an emerging growth company. We may take advantage of certain of the scaled disclosures available to smaller reporting companies and will be able to take advantage of t</w:t>
      </w:r>
      <w:r>
        <w:rPr>
          <w:sz w:val="18"/>
          <w:szCs w:val="18"/>
        </w:rPr>
        <w:t>hese scaled disclosures for so long as (i) our voting and non-voting common stock held by non-affiliates is less than $250.0 million measured on the last business day of our second fiscal quarter or (ii) our annual revenue is less than $100.0 million durin</w:t>
      </w:r>
      <w:r>
        <w:rPr>
          <w:sz w:val="18"/>
          <w:szCs w:val="18"/>
        </w:rPr>
        <w:t>g the most recently completed fiscal year and our voting and non-voting common stock held by non-affiliates is less than $700.0 million measured on the last business day of our second fiscal quarter</w:t>
      </w:r>
      <w:r>
        <w:rPr>
          <w:sz w:val="18"/>
          <w:szCs w:val="18"/>
        </w:rPr>
        <w:t>.</w: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2</w:t>
      </w:r>
      <w:r>
        <w:rPr>
          <w:sz w:val="18"/>
          <w:szCs w:val="18"/>
        </w:rPr>
        <w:t>3</w:t>
      </w:r>
    </w:p>
    <w:p w:rsidR="00000000" w:rsidRDefault="00CF461A">
      <w:pPr>
        <w:rPr>
          <w:rFonts w:eastAsia="Times New Roman"/>
        </w:rPr>
      </w:pPr>
      <w:r>
        <w:rPr>
          <w:rFonts w:eastAsia="Times New Roman"/>
        </w:rPr>
        <w:pict>
          <v:rect id="_x0000_i1049"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200" w:beforeAutospacing="0" w:after="0" w:afterAutospacing="0"/>
        <w:jc w:val="both"/>
        <w:rPr>
          <w:sz w:val="20"/>
          <w:szCs w:val="20"/>
        </w:rPr>
      </w:pPr>
      <w:r>
        <w:rPr>
          <w:b/>
          <w:bCs/>
          <w:sz w:val="18"/>
          <w:szCs w:val="18"/>
        </w:rPr>
        <w:t>Critical Accounting Policies and Estimate</w:t>
      </w:r>
      <w:r>
        <w:rPr>
          <w:b/>
          <w:bCs/>
          <w:sz w:val="18"/>
          <w:szCs w:val="18"/>
        </w:rPr>
        <w:t>s</w:t>
      </w:r>
    </w:p>
    <w:p w:rsidR="00000000" w:rsidRDefault="00CF461A">
      <w:pPr>
        <w:pStyle w:val="a3"/>
        <w:spacing w:before="200" w:beforeAutospacing="0" w:after="0" w:afterAutospacing="0"/>
        <w:ind w:firstLine="555"/>
        <w:jc w:val="both"/>
        <w:rPr>
          <w:sz w:val="20"/>
          <w:szCs w:val="20"/>
        </w:rPr>
      </w:pPr>
      <w:r>
        <w:rPr>
          <w:sz w:val="18"/>
          <w:szCs w:val="18"/>
        </w:rPr>
        <w:t>Our management’</w:t>
      </w:r>
      <w:r>
        <w:rPr>
          <w:sz w:val="18"/>
          <w:szCs w:val="18"/>
        </w:rPr>
        <w:t>s discussion and analysis of financial condition and results of operations is based on our financial statements, which have been prepared in accordance with accounting principles generally accepted in the United States. The preparation of these financial s</w:t>
      </w:r>
      <w:r>
        <w:rPr>
          <w:sz w:val="18"/>
          <w:szCs w:val="18"/>
        </w:rPr>
        <w:t>tatements requires us to make estimates and assumptions that affect the reported amounts of assets and liabilities and the disclosure of contingent assets and liabilities at the date of the financial statements, as well as the revenue and expenses incurred</w:t>
      </w:r>
      <w:r>
        <w:rPr>
          <w:sz w:val="18"/>
          <w:szCs w:val="18"/>
        </w:rPr>
        <w:t xml:space="preserve"> during the reported periods. On an ongoing basis, we evaluate our estimates and judgments, including those related to accrued expenses and stock-based compensation. We base our estimates on historical experience and on various other factors that we believ</w:t>
      </w:r>
      <w:r>
        <w:rPr>
          <w:sz w:val="18"/>
          <w:szCs w:val="18"/>
        </w:rPr>
        <w:t>e are reasonable under the circumstances, the results of which form the basis for making judgments about the carrying value of assets and liabilities that are not apparent from other sources. Changes in estimates are reflected in reported results for the p</w:t>
      </w:r>
      <w:r>
        <w:rPr>
          <w:sz w:val="18"/>
          <w:szCs w:val="18"/>
        </w:rPr>
        <w:t>eriod in which they become known. Actual results may differ from these estimates under different assumptions or conditions</w:t>
      </w:r>
      <w:r>
        <w:rPr>
          <w:sz w:val="18"/>
          <w:szCs w:val="18"/>
        </w:rPr>
        <w:t>.</w:t>
      </w:r>
    </w:p>
    <w:p w:rsidR="00000000" w:rsidRDefault="00CF461A">
      <w:pPr>
        <w:pStyle w:val="a3"/>
        <w:spacing w:before="200" w:beforeAutospacing="0" w:after="0" w:afterAutospacing="0"/>
        <w:ind w:firstLine="555"/>
        <w:jc w:val="both"/>
        <w:rPr>
          <w:sz w:val="20"/>
          <w:szCs w:val="20"/>
        </w:rPr>
      </w:pPr>
      <w:r>
        <w:rPr>
          <w:sz w:val="18"/>
          <w:szCs w:val="18"/>
        </w:rPr>
        <w:t>During the three months ended March 31, 2022, there were no material changes to our critical accounting policies as reported for the</w:t>
      </w:r>
      <w:r>
        <w:rPr>
          <w:sz w:val="18"/>
          <w:szCs w:val="18"/>
        </w:rPr>
        <w:t xml:space="preserve"> year ended December 31, 2021 as part of our Annual Report on Form 10-K, which was filed with the SEC on March 15, 2022. In addition, see Note 2 of our Condensed Financial Statements under the heading “Recent Accounting Pronouncements” for new accounting p</w:t>
      </w:r>
      <w:r>
        <w:rPr>
          <w:sz w:val="18"/>
          <w:szCs w:val="18"/>
        </w:rPr>
        <w:t>ronouncements or changes to the accounting pronouncements during the three months ended March 31, 2022</w:t>
      </w:r>
      <w:r>
        <w:rPr>
          <w:sz w:val="18"/>
          <w:szCs w:val="18"/>
        </w:rPr>
        <w:t>.</w:t>
      </w:r>
    </w:p>
    <w:p w:rsidR="00000000" w:rsidRDefault="00CF461A">
      <w:pPr>
        <w:pStyle w:val="a3"/>
        <w:spacing w:before="200" w:beforeAutospacing="0" w:after="0" w:afterAutospacing="0"/>
        <w:jc w:val="both"/>
        <w:rPr>
          <w:sz w:val="20"/>
          <w:szCs w:val="20"/>
        </w:rPr>
      </w:pPr>
      <w:r>
        <w:rPr>
          <w:b/>
          <w:bCs/>
          <w:sz w:val="18"/>
          <w:szCs w:val="18"/>
        </w:rPr>
        <w:t>Item 3. Quantitative and Qualita</w:t>
      </w:r>
      <w:r>
        <w:rPr>
          <w:b/>
          <w:bCs/>
          <w:sz w:val="18"/>
          <w:szCs w:val="18"/>
        </w:rPr>
        <w:t>t</w:t>
      </w:r>
      <w:r>
        <w:rPr>
          <w:b/>
          <w:bCs/>
          <w:sz w:val="18"/>
          <w:szCs w:val="18"/>
        </w:rPr>
        <w:t>ive Disclosures About Market Ris</w:t>
      </w:r>
      <w:r>
        <w:rPr>
          <w:b/>
          <w:bCs/>
          <w:sz w:val="18"/>
          <w:szCs w:val="18"/>
        </w:rPr>
        <w:t>k</w:t>
      </w:r>
    </w:p>
    <w:p w:rsidR="00000000" w:rsidRDefault="00CF461A">
      <w:pPr>
        <w:pStyle w:val="a3"/>
        <w:spacing w:before="120" w:beforeAutospacing="0" w:after="0" w:afterAutospacing="0"/>
        <w:ind w:firstLine="555"/>
        <w:jc w:val="both"/>
        <w:rPr>
          <w:sz w:val="20"/>
          <w:szCs w:val="20"/>
        </w:rPr>
      </w:pPr>
      <w:r>
        <w:rPr>
          <w:sz w:val="18"/>
          <w:szCs w:val="18"/>
        </w:rPr>
        <w:t>The primary objectives of our investment activities are to ensure liquidity and to pr</w:t>
      </w:r>
      <w:r>
        <w:rPr>
          <w:sz w:val="18"/>
          <w:szCs w:val="18"/>
        </w:rPr>
        <w:t>eserve capital. As of March 31, 2022, we had cash and cash equivalents of $166.7 million that were held in an interest-bearing money market account. Our primary exposure to market risk is interest rate sensitivity, which is affected by changes in the gener</w:t>
      </w:r>
      <w:r>
        <w:rPr>
          <w:sz w:val="18"/>
          <w:szCs w:val="18"/>
        </w:rPr>
        <w:t xml:space="preserve">al level of U.S. interest rates. Due to the short-term maturities of our cash equivalents and short-term investments and the low risk profile of our investments, an immediate 100 basis point change in interest rates would not have a material effect on the </w:t>
      </w:r>
      <w:r>
        <w:rPr>
          <w:sz w:val="18"/>
          <w:szCs w:val="18"/>
        </w:rPr>
        <w:t>fair market value of our cash equivalents and short-term investments. To minimize the risk in the future, we intend to maintain our portfolio of cash equivalents and short-term investments in institutional market funds that are comprised of U.S. Treasury a</w:t>
      </w:r>
      <w:r>
        <w:rPr>
          <w:sz w:val="18"/>
          <w:szCs w:val="18"/>
        </w:rPr>
        <w:t>nd U.S. Treasury-backed repurchase agreements as well as treasury notes and high quality short-term corporate bonds</w:t>
      </w:r>
      <w:r>
        <w:rPr>
          <w:sz w:val="18"/>
          <w:szCs w:val="18"/>
        </w:rPr>
        <w:t>.</w:t>
      </w:r>
    </w:p>
    <w:p w:rsidR="00000000" w:rsidRDefault="00CF461A">
      <w:pPr>
        <w:pStyle w:val="a3"/>
        <w:spacing w:before="360" w:beforeAutospacing="0" w:after="0" w:afterAutospacing="0"/>
        <w:jc w:val="both"/>
        <w:rPr>
          <w:sz w:val="20"/>
          <w:szCs w:val="20"/>
        </w:rPr>
      </w:pPr>
      <w:r>
        <w:rPr>
          <w:b/>
          <w:bCs/>
          <w:sz w:val="18"/>
          <w:szCs w:val="18"/>
        </w:rPr>
        <w:t>Item 4. Control</w:t>
      </w:r>
      <w:r>
        <w:rPr>
          <w:b/>
          <w:bCs/>
          <w:sz w:val="18"/>
          <w:szCs w:val="18"/>
        </w:rPr>
        <w:t>s</w:t>
      </w:r>
      <w:r>
        <w:rPr>
          <w:b/>
          <w:bCs/>
          <w:sz w:val="18"/>
          <w:szCs w:val="18"/>
        </w:rPr>
        <w:t xml:space="preserve"> and Procedures</w:t>
      </w:r>
      <w:r>
        <w:rPr>
          <w:b/>
          <w:bCs/>
          <w:sz w:val="18"/>
          <w:szCs w:val="18"/>
        </w:rPr>
        <w:t>.</w:t>
      </w:r>
    </w:p>
    <w:p w:rsidR="00000000" w:rsidRDefault="00CF461A">
      <w:pPr>
        <w:pStyle w:val="a3"/>
        <w:spacing w:before="120" w:beforeAutospacing="0" w:after="0" w:afterAutospacing="0"/>
        <w:jc w:val="both"/>
        <w:rPr>
          <w:sz w:val="20"/>
          <w:szCs w:val="20"/>
        </w:rPr>
      </w:pPr>
      <w:r>
        <w:rPr>
          <w:b/>
          <w:bCs/>
          <w:i/>
          <w:iCs/>
          <w:sz w:val="18"/>
          <w:szCs w:val="18"/>
        </w:rPr>
        <w:t>Management’s Evaluation of our Disclosure Controls and Procedure</w:t>
      </w:r>
      <w:r>
        <w:rPr>
          <w:b/>
          <w:bCs/>
          <w:i/>
          <w:iCs/>
          <w:sz w:val="18"/>
          <w:szCs w:val="18"/>
        </w:rPr>
        <w:t>s</w:t>
      </w:r>
    </w:p>
    <w:p w:rsidR="00000000" w:rsidRDefault="00CF461A">
      <w:pPr>
        <w:pStyle w:val="a3"/>
        <w:spacing w:before="120" w:beforeAutospacing="0" w:after="0" w:afterAutospacing="0"/>
        <w:ind w:firstLine="555"/>
        <w:jc w:val="both"/>
        <w:rPr>
          <w:sz w:val="20"/>
          <w:szCs w:val="20"/>
        </w:rPr>
      </w:pPr>
      <w:r>
        <w:rPr>
          <w:sz w:val="18"/>
          <w:szCs w:val="18"/>
        </w:rPr>
        <w:t>We maintain disclosure controls and proc</w:t>
      </w:r>
      <w:r>
        <w:rPr>
          <w:sz w:val="18"/>
          <w:szCs w:val="18"/>
        </w:rPr>
        <w:t>edures that are designed to ensure that information required to be disclosed in the reports that we file or submit under the Securities Exchange Act of 1934, as amended (the “Exchange Act”) is (1) recorded, processed, summarized, and reported within the ti</w:t>
      </w:r>
      <w:r>
        <w:rPr>
          <w:sz w:val="18"/>
          <w:szCs w:val="18"/>
        </w:rPr>
        <w:t>me periods specified in the SEC’s rules and forms and (2) accumulated and communicated to our management, including our principal executive officer and principal financial officer, to allow timely decisions regarding required disclosure</w:t>
      </w:r>
      <w:r>
        <w:rPr>
          <w:sz w:val="18"/>
          <w:szCs w:val="18"/>
        </w:rPr>
        <w:t>.</w:t>
      </w:r>
    </w:p>
    <w:p w:rsidR="00000000" w:rsidRDefault="00CF461A">
      <w:pPr>
        <w:pStyle w:val="a3"/>
        <w:spacing w:before="240" w:beforeAutospacing="0" w:after="0" w:afterAutospacing="0"/>
        <w:ind w:firstLine="555"/>
        <w:jc w:val="both"/>
        <w:rPr>
          <w:sz w:val="20"/>
          <w:szCs w:val="20"/>
        </w:rPr>
      </w:pPr>
      <w:r>
        <w:rPr>
          <w:sz w:val="18"/>
          <w:szCs w:val="18"/>
        </w:rPr>
        <w:t>As of March 31, 20</w:t>
      </w:r>
      <w:r>
        <w:rPr>
          <w:sz w:val="18"/>
          <w:szCs w:val="18"/>
        </w:rPr>
        <w:t>22, our management, with the participation of our principal executive officer and principal financial officer, evaluated the effectiveness of our disclosure controls and procedures (as defined in Rules 13a-15(e) and 15d-15(e) under the Exchange Act). Our m</w:t>
      </w:r>
      <w:r>
        <w:rPr>
          <w:sz w:val="18"/>
          <w:szCs w:val="18"/>
        </w:rPr>
        <w:t>anagement recognizes that any controls and procedures, no matter how well designed and operated, can provide only reasonable assurance of achieving their objectives, and management necessarily applies its judgment in evaluating the cost-benefit relationshi</w:t>
      </w:r>
      <w:r>
        <w:rPr>
          <w:sz w:val="18"/>
          <w:szCs w:val="18"/>
        </w:rPr>
        <w:t>p of possible controls and procedures. Our principal executive officer and principal financial officer have concluded based upon the evaluation described above that, as of March 31, 2022, our disclosure controls and procedures were effective at the reasona</w:t>
      </w:r>
      <w:r>
        <w:rPr>
          <w:sz w:val="18"/>
          <w:szCs w:val="18"/>
        </w:rPr>
        <w:t>ble assurance level</w:t>
      </w:r>
      <w:r>
        <w:rPr>
          <w:sz w:val="18"/>
          <w:szCs w:val="18"/>
        </w:rPr>
        <w:t>.</w:t>
      </w:r>
    </w:p>
    <w:p w:rsidR="00000000" w:rsidRDefault="00CF461A">
      <w:pPr>
        <w:pStyle w:val="a3"/>
        <w:spacing w:before="360" w:beforeAutospacing="0" w:after="0" w:afterAutospacing="0"/>
        <w:jc w:val="both"/>
        <w:rPr>
          <w:sz w:val="20"/>
          <w:szCs w:val="20"/>
        </w:rPr>
      </w:pPr>
      <w:r>
        <w:rPr>
          <w:b/>
          <w:bCs/>
          <w:i/>
          <w:iCs/>
          <w:sz w:val="18"/>
          <w:szCs w:val="18"/>
        </w:rPr>
        <w:t>Changes in Internal Control over Financial Reportin</w:t>
      </w:r>
      <w:r>
        <w:rPr>
          <w:b/>
          <w:bCs/>
          <w:i/>
          <w:iCs/>
          <w:sz w:val="18"/>
          <w:szCs w:val="18"/>
        </w:rPr>
        <w:t>g</w:t>
      </w:r>
    </w:p>
    <w:p w:rsidR="00000000" w:rsidRDefault="00CF461A">
      <w:pPr>
        <w:pStyle w:val="a3"/>
        <w:spacing w:before="240" w:beforeAutospacing="0" w:after="0" w:afterAutospacing="0"/>
        <w:ind w:firstLine="555"/>
        <w:jc w:val="both"/>
        <w:rPr>
          <w:sz w:val="20"/>
          <w:szCs w:val="20"/>
        </w:rPr>
      </w:pPr>
      <w:r>
        <w:rPr>
          <w:sz w:val="18"/>
          <w:szCs w:val="18"/>
        </w:rPr>
        <w:t xml:space="preserve">There have been no changes in our internal control over financial reporting during our most recent quarter ended March 31, 2022 that materially affected, or are reasonably likely to </w:t>
      </w:r>
      <w:r>
        <w:rPr>
          <w:sz w:val="18"/>
          <w:szCs w:val="18"/>
        </w:rPr>
        <w:t>materially affect, our internal control over financial reporting</w:t>
      </w:r>
      <w:r>
        <w:rPr>
          <w:sz w:val="18"/>
          <w:szCs w:val="18"/>
        </w:rPr>
        <w:t>.</w:t>
      </w:r>
    </w:p>
    <w:p w:rsidR="00000000" w:rsidRDefault="00CF461A">
      <w:pPr>
        <w:pStyle w:val="a3"/>
        <w:spacing w:before="240" w:beforeAutospacing="0" w:after="0" w:afterAutospacing="0"/>
        <w:jc w:val="center"/>
        <w:rPr>
          <w:sz w:val="20"/>
          <w:szCs w:val="20"/>
        </w:rPr>
      </w:pPr>
      <w:r>
        <w:rPr>
          <w:sz w:val="18"/>
          <w:szCs w:val="18"/>
        </w:rPr>
        <w:t>2</w:t>
      </w:r>
      <w:r>
        <w:rPr>
          <w:sz w:val="18"/>
          <w:szCs w:val="18"/>
        </w:rPr>
        <w:t>4</w:t>
      </w:r>
    </w:p>
    <w:p w:rsidR="00000000" w:rsidRDefault="00CF461A">
      <w:pPr>
        <w:rPr>
          <w:rFonts w:eastAsia="Times New Roman"/>
        </w:rPr>
      </w:pPr>
      <w:r>
        <w:rPr>
          <w:rFonts w:eastAsia="Times New Roman"/>
        </w:rPr>
        <w:pict>
          <v:rect id="_x0000_i1050"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PART II—OTHER INFORMATIO</w:t>
      </w:r>
      <w:r>
        <w:rPr>
          <w:b/>
          <w:bCs/>
          <w:sz w:val="18"/>
          <w:szCs w:val="18"/>
        </w:rPr>
        <w:t>N</w:t>
      </w:r>
    </w:p>
    <w:p w:rsidR="00000000" w:rsidRDefault="00CF461A">
      <w:pPr>
        <w:pStyle w:val="a3"/>
        <w:spacing w:before="240" w:beforeAutospacing="0" w:after="0" w:afterAutospacing="0"/>
        <w:jc w:val="both"/>
        <w:rPr>
          <w:sz w:val="20"/>
          <w:szCs w:val="20"/>
        </w:rPr>
      </w:pPr>
      <w:r>
        <w:rPr>
          <w:b/>
          <w:bCs/>
          <w:sz w:val="18"/>
          <w:szCs w:val="18"/>
        </w:rPr>
        <w:t>Item 1. Lega</w:t>
      </w:r>
      <w:r>
        <w:rPr>
          <w:b/>
          <w:bCs/>
          <w:sz w:val="18"/>
          <w:szCs w:val="18"/>
        </w:rPr>
        <w:t>l</w:t>
      </w:r>
      <w:r>
        <w:rPr>
          <w:b/>
          <w:bCs/>
          <w:sz w:val="18"/>
          <w:szCs w:val="18"/>
        </w:rPr>
        <w:t xml:space="preserve"> Proceedings</w:t>
      </w:r>
      <w:r>
        <w:rPr>
          <w:b/>
          <w:b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are not currently subject to any material legal proceedings</w:t>
      </w:r>
      <w:r>
        <w:rPr>
          <w:sz w:val="18"/>
          <w:szCs w:val="18"/>
        </w:rPr>
        <w:t>.</w:t>
      </w:r>
    </w:p>
    <w:p w:rsidR="00000000" w:rsidRDefault="00CF461A">
      <w:pPr>
        <w:pStyle w:val="a3"/>
        <w:spacing w:before="0" w:beforeAutospacing="0" w:after="0" w:afterAutospacing="0"/>
        <w:jc w:val="both"/>
        <w:rPr>
          <w:sz w:val="20"/>
          <w:szCs w:val="20"/>
        </w:rPr>
      </w:pPr>
      <w:r>
        <w:rPr>
          <w:sz w:val="2"/>
          <w:szCs w:val="2"/>
        </w:rPr>
        <w:t> </w:t>
      </w:r>
    </w:p>
    <w:p w:rsidR="00000000" w:rsidRDefault="00CF461A">
      <w:pPr>
        <w:pStyle w:val="a3"/>
        <w:spacing w:before="340" w:beforeAutospacing="0" w:after="0" w:afterAutospacing="0"/>
        <w:jc w:val="both"/>
        <w:rPr>
          <w:sz w:val="20"/>
          <w:szCs w:val="20"/>
        </w:rPr>
      </w:pPr>
      <w:r>
        <w:rPr>
          <w:b/>
          <w:bCs/>
          <w:sz w:val="18"/>
          <w:szCs w:val="18"/>
        </w:rPr>
        <w:t>Item 1</w:t>
      </w:r>
      <w:r>
        <w:rPr>
          <w:b/>
          <w:bCs/>
          <w:sz w:val="18"/>
          <w:szCs w:val="18"/>
        </w:rPr>
        <w:t>A</w:t>
      </w:r>
      <w:r>
        <w:rPr>
          <w:b/>
          <w:bCs/>
          <w:sz w:val="18"/>
          <w:szCs w:val="18"/>
        </w:rPr>
        <w:t>. Risk Factor</w:t>
      </w:r>
      <w:r>
        <w:rPr>
          <w:b/>
          <w:bCs/>
          <w:sz w:val="18"/>
          <w:szCs w:val="18"/>
        </w:rPr>
        <w:t>s</w:t>
      </w:r>
    </w:p>
    <w:p w:rsidR="00000000" w:rsidRDefault="00CF461A">
      <w:pPr>
        <w:pStyle w:val="a3"/>
        <w:spacing w:before="200" w:beforeAutospacing="0" w:after="0" w:afterAutospacing="0"/>
        <w:ind w:firstLine="555"/>
        <w:jc w:val="both"/>
        <w:rPr>
          <w:sz w:val="20"/>
          <w:szCs w:val="20"/>
        </w:rPr>
      </w:pPr>
      <w:r>
        <w:rPr>
          <w:i/>
          <w:iCs/>
          <w:sz w:val="18"/>
          <w:szCs w:val="18"/>
        </w:rPr>
        <w:t>An investment in our securities involves a high degree of risk. You should carefully consider the following information about these risks, together with the other infor</w:t>
      </w:r>
      <w:r>
        <w:rPr>
          <w:i/>
          <w:iCs/>
          <w:sz w:val="18"/>
          <w:szCs w:val="18"/>
        </w:rPr>
        <w:t>mation appearing elsewhere in this Quarterly Report on Form 10-Q, including our unaudited condensed financial statements and related notes hereto, before deciding to invest in our common stock. The occurrence of any of the following risks could have a mate</w:t>
      </w:r>
      <w:r>
        <w:rPr>
          <w:i/>
          <w:iCs/>
          <w:sz w:val="18"/>
          <w:szCs w:val="18"/>
        </w:rPr>
        <w:t>rial adverse effect on our business, financial condition, results of operations and future growth prospects or cause our actual results to differ materially from those contained in forward-looking statements we have made in this report and those we may mak</w:t>
      </w:r>
      <w:r>
        <w:rPr>
          <w:i/>
          <w:iCs/>
          <w:sz w:val="18"/>
          <w:szCs w:val="18"/>
        </w:rPr>
        <w:t>e from time to time. In these circumstances, the market price of our common stock could decline and you may lose all or part of your investment. We cannot assure you that any of the events discussed below will not occur. In addition, such risks may be ampl</w:t>
      </w:r>
      <w:r>
        <w:rPr>
          <w:i/>
          <w:iCs/>
          <w:sz w:val="18"/>
          <w:szCs w:val="18"/>
        </w:rPr>
        <w:t>ified by the COVID-19 pandemic and its potential impact on Ovid’s business and the global economy</w:t>
      </w:r>
      <w:r>
        <w:rPr>
          <w:i/>
          <w:iCs/>
          <w:sz w:val="18"/>
          <w:szCs w:val="18"/>
        </w:rPr>
        <w:t>.</w:t>
      </w:r>
    </w:p>
    <w:p w:rsidR="00000000" w:rsidRDefault="00CF461A">
      <w:pPr>
        <w:pStyle w:val="a3"/>
        <w:spacing w:before="240" w:beforeAutospacing="0" w:after="0" w:afterAutospacing="0"/>
        <w:rPr>
          <w:sz w:val="20"/>
          <w:szCs w:val="20"/>
        </w:rPr>
      </w:pPr>
      <w:r>
        <w:rPr>
          <w:b/>
          <w:bCs/>
          <w:sz w:val="18"/>
          <w:szCs w:val="18"/>
        </w:rPr>
        <w:t>Summary of Selected Risks Associated with Our Busines</w:t>
      </w:r>
      <w:r>
        <w:rPr>
          <w:b/>
          <w:bCs/>
          <w:sz w:val="18"/>
          <w:szCs w:val="18"/>
        </w:rPr>
        <w:t>s</w:t>
      </w:r>
    </w:p>
    <w:p w:rsidR="00000000" w:rsidRDefault="00CF461A">
      <w:pPr>
        <w:pStyle w:val="a3"/>
        <w:spacing w:before="120" w:beforeAutospacing="0" w:after="0" w:afterAutospacing="0"/>
        <w:ind w:firstLine="555"/>
        <w:jc w:val="both"/>
        <w:rPr>
          <w:sz w:val="20"/>
          <w:szCs w:val="20"/>
        </w:rPr>
      </w:pPr>
      <w:r>
        <w:rPr>
          <w:sz w:val="18"/>
          <w:szCs w:val="18"/>
        </w:rPr>
        <w:t>Our business is subject to numerous risks and uncertainties. If any of the following risks are realize</w:t>
      </w:r>
      <w:r>
        <w:rPr>
          <w:sz w:val="18"/>
          <w:szCs w:val="18"/>
        </w:rPr>
        <w:t>d, our business, financial condition and results of operations could be materially and adversely affected. Some of the more significant risks we face include the following</w:t>
      </w:r>
      <w:r>
        <w:rPr>
          <w:sz w:val="18"/>
          <w:szCs w:val="18"/>
        </w:rPr>
        <w:t>:</w:t>
      </w:r>
    </w:p>
    <w:p w:rsidR="00000000" w:rsidRDefault="00CF461A">
      <w:pPr>
        <w:jc w:val="both"/>
        <w:divId w:val="668753116"/>
        <w:rPr>
          <w:rFonts w:eastAsia="Times New Roman"/>
        </w:rPr>
      </w:pPr>
      <w:r>
        <w:rPr>
          <w:rFonts w:eastAsia="Times New Roman"/>
          <w:sz w:val="18"/>
          <w:szCs w:val="18"/>
        </w:rPr>
        <w:t>•</w:t>
      </w:r>
    </w:p>
    <w:p w:rsidR="00000000" w:rsidRDefault="00CF461A">
      <w:pPr>
        <w:jc w:val="both"/>
        <w:divId w:val="2081639070"/>
        <w:rPr>
          <w:rFonts w:eastAsia="Times New Roman"/>
        </w:rPr>
      </w:pPr>
      <w:r>
        <w:rPr>
          <w:rFonts w:eastAsia="Times New Roman"/>
          <w:sz w:val="18"/>
          <w:szCs w:val="18"/>
        </w:rPr>
        <w:t>Historically, we have incurred significant operating losses and expect to continu</w:t>
      </w:r>
      <w:r>
        <w:rPr>
          <w:rFonts w:eastAsia="Times New Roman"/>
          <w:sz w:val="18"/>
          <w:szCs w:val="18"/>
        </w:rPr>
        <w:t>e to incur substantial operating losses for the foreseeable future and may never achieve or maintain profitability</w:t>
      </w:r>
      <w:r>
        <w:rPr>
          <w:rFonts w:eastAsia="Times New Roman"/>
          <w:sz w:val="18"/>
          <w:szCs w:val="18"/>
        </w:rPr>
        <w:t>.</w:t>
      </w:r>
    </w:p>
    <w:p w:rsidR="00000000" w:rsidRDefault="00CF461A">
      <w:pPr>
        <w:jc w:val="both"/>
        <w:divId w:val="310335350"/>
        <w:rPr>
          <w:rFonts w:eastAsia="Times New Roman"/>
        </w:rPr>
      </w:pPr>
      <w:r>
        <w:rPr>
          <w:rFonts w:eastAsia="Times New Roman"/>
          <w:sz w:val="18"/>
          <w:szCs w:val="18"/>
        </w:rPr>
        <w:t>•</w:t>
      </w:r>
    </w:p>
    <w:p w:rsidR="00000000" w:rsidRDefault="00CF461A">
      <w:pPr>
        <w:jc w:val="both"/>
        <w:divId w:val="2006739822"/>
        <w:rPr>
          <w:rFonts w:eastAsia="Times New Roman"/>
        </w:rPr>
      </w:pPr>
      <w:r>
        <w:rPr>
          <w:rFonts w:eastAsia="Times New Roman"/>
          <w:sz w:val="18"/>
          <w:szCs w:val="18"/>
        </w:rPr>
        <w:t>Our operating history may make it difficult to evaluate the success of our business to date and to assess our future viability</w:t>
      </w:r>
      <w:r>
        <w:rPr>
          <w:rFonts w:eastAsia="Times New Roman"/>
          <w:sz w:val="18"/>
          <w:szCs w:val="18"/>
        </w:rPr>
        <w:t>.</w:t>
      </w:r>
    </w:p>
    <w:p w:rsidR="00000000" w:rsidRDefault="00CF461A">
      <w:pPr>
        <w:jc w:val="both"/>
        <w:divId w:val="455679481"/>
        <w:rPr>
          <w:rFonts w:eastAsia="Times New Roman"/>
        </w:rPr>
      </w:pPr>
      <w:r>
        <w:rPr>
          <w:rFonts w:eastAsia="Times New Roman"/>
          <w:sz w:val="18"/>
          <w:szCs w:val="18"/>
        </w:rPr>
        <w:t>•</w:t>
      </w:r>
    </w:p>
    <w:p w:rsidR="00000000" w:rsidRDefault="00CF461A">
      <w:pPr>
        <w:jc w:val="both"/>
        <w:divId w:val="1856114610"/>
        <w:rPr>
          <w:rFonts w:eastAsia="Times New Roman"/>
        </w:rPr>
      </w:pPr>
      <w:r>
        <w:rPr>
          <w:rFonts w:eastAsia="Times New Roman"/>
          <w:sz w:val="18"/>
          <w:szCs w:val="18"/>
        </w:rPr>
        <w:t xml:space="preserve">We will </w:t>
      </w:r>
      <w:r>
        <w:rPr>
          <w:rFonts w:eastAsia="Times New Roman"/>
          <w:sz w:val="18"/>
          <w:szCs w:val="18"/>
        </w:rPr>
        <w:t>require additional capital to finance our operations, which may not be available on acceptable terms, if at all. Failure to obtain this necessary capital when needed may force us to delay, limit or terminate certain of our drug development efforts or other</w:t>
      </w:r>
      <w:r>
        <w:rPr>
          <w:rFonts w:eastAsia="Times New Roman"/>
          <w:sz w:val="18"/>
          <w:szCs w:val="18"/>
        </w:rPr>
        <w:t xml:space="preserve"> operations</w:t>
      </w:r>
      <w:r>
        <w:rPr>
          <w:rFonts w:eastAsia="Times New Roman"/>
          <w:sz w:val="18"/>
          <w:szCs w:val="18"/>
        </w:rPr>
        <w:t>.</w:t>
      </w:r>
    </w:p>
    <w:p w:rsidR="00000000" w:rsidRDefault="00CF461A">
      <w:pPr>
        <w:jc w:val="both"/>
        <w:divId w:val="1488205373"/>
        <w:rPr>
          <w:rFonts w:eastAsia="Times New Roman"/>
        </w:rPr>
      </w:pPr>
      <w:r>
        <w:rPr>
          <w:rFonts w:eastAsia="Times New Roman"/>
          <w:sz w:val="18"/>
          <w:szCs w:val="18"/>
        </w:rPr>
        <w:t>•</w:t>
      </w:r>
    </w:p>
    <w:p w:rsidR="00000000" w:rsidRDefault="00CF461A">
      <w:pPr>
        <w:jc w:val="both"/>
        <w:divId w:val="1811089791"/>
        <w:rPr>
          <w:rFonts w:eastAsia="Times New Roman"/>
        </w:rPr>
      </w:pPr>
      <w:r>
        <w:rPr>
          <w:rFonts w:eastAsia="Times New Roman"/>
          <w:sz w:val="18"/>
          <w:szCs w:val="18"/>
        </w:rPr>
        <w:t>We are early in our development efforts of our current drug candidates and all our drug candidates are in preclinical development. If we are unable to successfully develop, receive regulatory approval for and commercialize our drug candidate</w:t>
      </w:r>
      <w:r>
        <w:rPr>
          <w:rFonts w:eastAsia="Times New Roman"/>
          <w:sz w:val="18"/>
          <w:szCs w:val="18"/>
        </w:rPr>
        <w:t>s for these or any other indications, or successfully develop any other drug candidates, or experience significant delays in doing so, our business will be harmed.</w:t>
      </w:r>
      <w:r>
        <w:rPr>
          <w:rFonts w:eastAsia="Times New Roman"/>
          <w:sz w:val="18"/>
          <w:szCs w:val="18"/>
        </w:rPr>
        <w:t xml:space="preserve"> </w:t>
      </w:r>
    </w:p>
    <w:p w:rsidR="00000000" w:rsidRDefault="00CF461A">
      <w:pPr>
        <w:jc w:val="both"/>
        <w:divId w:val="2055810210"/>
        <w:rPr>
          <w:rFonts w:eastAsia="Times New Roman"/>
        </w:rPr>
      </w:pPr>
      <w:r>
        <w:rPr>
          <w:rFonts w:eastAsia="Times New Roman"/>
          <w:sz w:val="18"/>
          <w:szCs w:val="18"/>
        </w:rPr>
        <w:t>•</w:t>
      </w:r>
    </w:p>
    <w:p w:rsidR="00000000" w:rsidRDefault="00CF461A">
      <w:pPr>
        <w:jc w:val="both"/>
        <w:divId w:val="1613826719"/>
        <w:rPr>
          <w:rFonts w:eastAsia="Times New Roman"/>
        </w:rPr>
      </w:pPr>
      <w:r>
        <w:rPr>
          <w:rFonts w:eastAsia="Times New Roman"/>
          <w:sz w:val="18"/>
          <w:szCs w:val="18"/>
        </w:rPr>
        <w:t>Our future success is dependent on the successful clinical development, regulatory approv</w:t>
      </w:r>
      <w:r>
        <w:rPr>
          <w:rFonts w:eastAsia="Times New Roman"/>
          <w:sz w:val="18"/>
          <w:szCs w:val="18"/>
        </w:rPr>
        <w:t xml:space="preserve">al and commercialization of our current and future drug candidates. If we, or our licensees, are not able to obtain the required regulatory approvals, we, or our licensees, will not be able to commercialize our drug candidates, and our ability to generate </w:t>
      </w:r>
      <w:r>
        <w:rPr>
          <w:rFonts w:eastAsia="Times New Roman"/>
          <w:sz w:val="18"/>
          <w:szCs w:val="18"/>
        </w:rPr>
        <w:t>revenue will be adversely affected</w:t>
      </w:r>
      <w:r>
        <w:rPr>
          <w:rFonts w:eastAsia="Times New Roman"/>
          <w:sz w:val="18"/>
          <w:szCs w:val="18"/>
        </w:rPr>
        <w:t>.</w:t>
      </w:r>
    </w:p>
    <w:p w:rsidR="00000000" w:rsidRDefault="00CF461A">
      <w:pPr>
        <w:jc w:val="both"/>
        <w:divId w:val="990668930"/>
        <w:rPr>
          <w:rFonts w:eastAsia="Times New Roman"/>
        </w:rPr>
      </w:pPr>
      <w:r>
        <w:rPr>
          <w:rFonts w:eastAsia="Times New Roman"/>
          <w:sz w:val="18"/>
          <w:szCs w:val="18"/>
        </w:rPr>
        <w:t>•</w:t>
      </w:r>
    </w:p>
    <w:p w:rsidR="00000000" w:rsidRDefault="00CF461A">
      <w:pPr>
        <w:jc w:val="both"/>
        <w:divId w:val="1223445844"/>
        <w:rPr>
          <w:rFonts w:eastAsia="Times New Roman"/>
        </w:rPr>
      </w:pPr>
      <w:r>
        <w:rPr>
          <w:rFonts w:eastAsia="Times New Roman"/>
          <w:sz w:val="18"/>
          <w:szCs w:val="18"/>
        </w:rPr>
        <w:t>Because the results of preclinical studies or earlier clinical trials are not necessarily predictive of future results, our drug candidates may not have favorable results in planned or future preclinical studies or clinical trials, or may not receive regul</w:t>
      </w:r>
      <w:r>
        <w:rPr>
          <w:rFonts w:eastAsia="Times New Roman"/>
          <w:sz w:val="18"/>
          <w:szCs w:val="18"/>
        </w:rPr>
        <w:t>atory approval</w:t>
      </w:r>
      <w:r>
        <w:rPr>
          <w:rFonts w:eastAsia="Times New Roman"/>
          <w:sz w:val="18"/>
          <w:szCs w:val="18"/>
        </w:rPr>
        <w:t>.</w:t>
      </w:r>
    </w:p>
    <w:p w:rsidR="00000000" w:rsidRDefault="00CF461A">
      <w:pPr>
        <w:jc w:val="both"/>
        <w:divId w:val="1974938577"/>
        <w:rPr>
          <w:rFonts w:eastAsia="Times New Roman"/>
        </w:rPr>
      </w:pPr>
      <w:r>
        <w:rPr>
          <w:rFonts w:eastAsia="Times New Roman"/>
          <w:sz w:val="18"/>
          <w:szCs w:val="18"/>
        </w:rPr>
        <w:t>•</w:t>
      </w:r>
    </w:p>
    <w:p w:rsidR="00000000" w:rsidRDefault="00CF461A">
      <w:pPr>
        <w:jc w:val="both"/>
        <w:divId w:val="1629579678"/>
        <w:rPr>
          <w:rFonts w:eastAsia="Times New Roman"/>
        </w:rPr>
      </w:pPr>
      <w:r>
        <w:rPr>
          <w:rFonts w:eastAsia="Times New Roman"/>
          <w:sz w:val="18"/>
          <w:szCs w:val="18"/>
        </w:rPr>
        <w:t>Interim topline and preliminary results from our clinical trials that we announce or publish from time to time may change as more patient data become available and are subject to audit and verification procedures, which could result in ma</w:t>
      </w:r>
      <w:r>
        <w:rPr>
          <w:rFonts w:eastAsia="Times New Roman"/>
          <w:sz w:val="18"/>
          <w:szCs w:val="18"/>
        </w:rPr>
        <w:t>terial changes in the final data</w:t>
      </w:r>
      <w:r>
        <w:rPr>
          <w:rFonts w:eastAsia="Times New Roman"/>
          <w:sz w:val="18"/>
          <w:szCs w:val="18"/>
        </w:rPr>
        <w:t>.</w:t>
      </w:r>
    </w:p>
    <w:p w:rsidR="00000000" w:rsidRDefault="00CF461A">
      <w:pPr>
        <w:jc w:val="both"/>
        <w:divId w:val="361367965"/>
        <w:rPr>
          <w:rFonts w:eastAsia="Times New Roman"/>
        </w:rPr>
      </w:pPr>
      <w:r>
        <w:rPr>
          <w:rFonts w:eastAsia="Times New Roman"/>
          <w:sz w:val="18"/>
          <w:szCs w:val="18"/>
        </w:rPr>
        <w:t>•</w:t>
      </w:r>
    </w:p>
    <w:p w:rsidR="00000000" w:rsidRDefault="00CF461A">
      <w:pPr>
        <w:jc w:val="both"/>
        <w:divId w:val="2071153530"/>
        <w:rPr>
          <w:rFonts w:eastAsia="Times New Roman"/>
        </w:rPr>
      </w:pPr>
      <w:r>
        <w:rPr>
          <w:rFonts w:eastAsia="Times New Roman"/>
          <w:sz w:val="18"/>
          <w:szCs w:val="18"/>
        </w:rPr>
        <w:t>Preclinical studies and clinical trials are very expensive, time-consuming and difficult to design and implement and involve uncertain outcomes. Further, we may encounter substantial delays in our clinical trials or we m</w:t>
      </w:r>
      <w:r>
        <w:rPr>
          <w:rFonts w:eastAsia="Times New Roman"/>
          <w:sz w:val="18"/>
          <w:szCs w:val="18"/>
        </w:rPr>
        <w:t>ay fail to demonstrate safety and efficacy in our preclinical studies and clinical trials to the satisfaction of applicable regulatory authorities</w:t>
      </w:r>
      <w:r>
        <w:rPr>
          <w:rFonts w:eastAsia="Times New Roman"/>
          <w:sz w:val="18"/>
          <w:szCs w:val="18"/>
        </w:rPr>
        <w:t>.</w:t>
      </w:r>
    </w:p>
    <w:p w:rsidR="00000000" w:rsidRDefault="00CF461A">
      <w:pPr>
        <w:jc w:val="both"/>
        <w:divId w:val="2132287853"/>
        <w:rPr>
          <w:rFonts w:eastAsia="Times New Roman"/>
        </w:rPr>
      </w:pPr>
      <w:r>
        <w:rPr>
          <w:rFonts w:eastAsia="Times New Roman"/>
          <w:sz w:val="18"/>
          <w:szCs w:val="18"/>
        </w:rPr>
        <w:t>•</w:t>
      </w:r>
    </w:p>
    <w:p w:rsidR="00000000" w:rsidRDefault="00CF461A">
      <w:pPr>
        <w:jc w:val="both"/>
        <w:divId w:val="1146051877"/>
        <w:rPr>
          <w:rFonts w:eastAsia="Times New Roman"/>
        </w:rPr>
      </w:pPr>
      <w:r>
        <w:rPr>
          <w:rFonts w:eastAsia="Times New Roman"/>
          <w:sz w:val="18"/>
          <w:szCs w:val="18"/>
        </w:rPr>
        <w:t>If we are not successful in discovering, developing and commercializing additional drug candidates, our ability to expand our business and achieve our strategic objectives would be impaired</w:t>
      </w:r>
      <w:r>
        <w:rPr>
          <w:rFonts w:eastAsia="Times New Roman"/>
          <w:sz w:val="18"/>
          <w:szCs w:val="18"/>
        </w:rPr>
        <w:t>.</w:t>
      </w:r>
    </w:p>
    <w:p w:rsidR="00000000" w:rsidRDefault="00CF461A">
      <w:pPr>
        <w:jc w:val="both"/>
        <w:divId w:val="2043237441"/>
        <w:rPr>
          <w:rFonts w:eastAsia="Times New Roman"/>
        </w:rPr>
      </w:pPr>
      <w:r>
        <w:rPr>
          <w:rFonts w:eastAsia="Times New Roman"/>
          <w:sz w:val="18"/>
          <w:szCs w:val="18"/>
        </w:rPr>
        <w:t>•</w:t>
      </w:r>
    </w:p>
    <w:p w:rsidR="00000000" w:rsidRDefault="00CF461A">
      <w:pPr>
        <w:jc w:val="both"/>
        <w:divId w:val="1922370257"/>
        <w:rPr>
          <w:rFonts w:eastAsia="Times New Roman"/>
        </w:rPr>
      </w:pPr>
      <w:r>
        <w:rPr>
          <w:rFonts w:eastAsia="Times New Roman"/>
          <w:sz w:val="18"/>
          <w:szCs w:val="18"/>
        </w:rPr>
        <w:t xml:space="preserve">Our drug candidates may cause undesirable side effects or have </w:t>
      </w:r>
      <w:r>
        <w:rPr>
          <w:rFonts w:eastAsia="Times New Roman"/>
          <w:sz w:val="18"/>
          <w:szCs w:val="18"/>
        </w:rPr>
        <w:t>other properties that could delay or prevent their regulatory approval, limit the commercial potential or result in significant negative consequences following any potential marketing approval</w:t>
      </w:r>
      <w:r>
        <w:rPr>
          <w:rFonts w:eastAsia="Times New Roman"/>
          <w:sz w:val="18"/>
          <w:szCs w:val="18"/>
        </w:rPr>
        <w:t>.</w:t>
      </w:r>
    </w:p>
    <w:p w:rsidR="00000000" w:rsidRDefault="00CF461A">
      <w:pPr>
        <w:jc w:val="both"/>
        <w:divId w:val="180054599"/>
        <w:rPr>
          <w:rFonts w:eastAsia="Times New Roman"/>
        </w:rPr>
      </w:pPr>
      <w:r>
        <w:rPr>
          <w:rFonts w:eastAsia="Times New Roman"/>
          <w:sz w:val="18"/>
          <w:szCs w:val="18"/>
        </w:rPr>
        <w:t>•</w:t>
      </w:r>
    </w:p>
    <w:p w:rsidR="00000000" w:rsidRDefault="00CF461A">
      <w:pPr>
        <w:jc w:val="both"/>
        <w:divId w:val="1531796560"/>
        <w:rPr>
          <w:rFonts w:eastAsia="Times New Roman"/>
        </w:rPr>
      </w:pPr>
      <w:r>
        <w:rPr>
          <w:rFonts w:eastAsia="Times New Roman"/>
          <w:sz w:val="18"/>
          <w:szCs w:val="18"/>
        </w:rPr>
        <w:t>Even if our current or future drug candidates receive market</w:t>
      </w:r>
      <w:r>
        <w:rPr>
          <w:rFonts w:eastAsia="Times New Roman"/>
          <w:sz w:val="18"/>
          <w:szCs w:val="18"/>
        </w:rPr>
        <w:t>ing approval, they may fail to achieve market acceptance by physicians, patients, third-party payors or others in the medical community necessary for commercial success</w:t>
      </w:r>
      <w:r>
        <w:rPr>
          <w:rFonts w:eastAsia="Times New Roman"/>
          <w:sz w:val="18"/>
          <w:szCs w:val="18"/>
        </w:rPr>
        <w:t>.</w:t>
      </w:r>
    </w:p>
    <w:p w:rsidR="00000000" w:rsidRDefault="00CF461A">
      <w:pPr>
        <w:jc w:val="both"/>
        <w:divId w:val="1649895025"/>
        <w:rPr>
          <w:rFonts w:eastAsia="Times New Roman"/>
        </w:rPr>
      </w:pPr>
      <w:r>
        <w:rPr>
          <w:rFonts w:eastAsia="Times New Roman"/>
          <w:sz w:val="18"/>
          <w:szCs w:val="18"/>
        </w:rPr>
        <w:t>•</w:t>
      </w:r>
    </w:p>
    <w:p w:rsidR="00000000" w:rsidRDefault="00CF461A">
      <w:pPr>
        <w:jc w:val="both"/>
        <w:divId w:val="1576277730"/>
        <w:rPr>
          <w:rFonts w:eastAsia="Times New Roman"/>
        </w:rPr>
      </w:pPr>
      <w:r>
        <w:rPr>
          <w:rFonts w:eastAsia="Times New Roman"/>
          <w:sz w:val="18"/>
          <w:szCs w:val="18"/>
        </w:rPr>
        <w:t>Under the Takeda License and Termination Agreement, we are entitled to receive royal</w:t>
      </w:r>
      <w:r>
        <w:rPr>
          <w:rFonts w:eastAsia="Times New Roman"/>
          <w:sz w:val="18"/>
          <w:szCs w:val="18"/>
        </w:rPr>
        <w:t xml:space="preserve">ty and milestone payments in connection with the development and commercialization of soticlestat. If Takeda fails to progress or discontinues the development of soticlestat, we may not receive some or all of such payments, which would materially harm our </w:t>
      </w:r>
      <w:r>
        <w:rPr>
          <w:rFonts w:eastAsia="Times New Roman"/>
          <w:sz w:val="18"/>
          <w:szCs w:val="18"/>
        </w:rPr>
        <w:t>business</w:t>
      </w:r>
      <w:r>
        <w:rPr>
          <w:rFonts w:eastAsia="Times New Roman"/>
          <w:sz w:val="18"/>
          <w:szCs w:val="18"/>
        </w:rPr>
        <w:t>.</w:t>
      </w:r>
    </w:p>
    <w:p w:rsidR="00000000" w:rsidRDefault="00CF461A">
      <w:pPr>
        <w:jc w:val="both"/>
        <w:divId w:val="537472648"/>
        <w:rPr>
          <w:rFonts w:eastAsia="Times New Roman"/>
        </w:rPr>
      </w:pPr>
      <w:r>
        <w:rPr>
          <w:rFonts w:eastAsia="Times New Roman"/>
          <w:sz w:val="18"/>
          <w:szCs w:val="18"/>
        </w:rPr>
        <w:t>•</w:t>
      </w:r>
    </w:p>
    <w:p w:rsidR="00000000" w:rsidRDefault="00CF461A">
      <w:pPr>
        <w:jc w:val="both"/>
        <w:divId w:val="517548352"/>
        <w:rPr>
          <w:rFonts w:eastAsia="Times New Roman"/>
        </w:rPr>
      </w:pPr>
      <w:r>
        <w:rPr>
          <w:rFonts w:eastAsia="Times New Roman"/>
          <w:sz w:val="18"/>
          <w:szCs w:val="18"/>
        </w:rPr>
        <w:t>Our relationships with customers, physicians, and third-party payors may be subject, directly or indirectly, to federal and state healthcare fraud and abuse laws, false claims laws, health information privacy and security laws, and other health</w:t>
      </w:r>
      <w:r>
        <w:rPr>
          <w:rFonts w:eastAsia="Times New Roman"/>
          <w:sz w:val="18"/>
          <w:szCs w:val="18"/>
        </w:rPr>
        <w:t>care laws and regulations. If we are unable to comply, or have not fully complied, with such laws, we could face substantial penalties</w:t>
      </w:r>
      <w:r>
        <w:rPr>
          <w:rFonts w:eastAsia="Times New Roman"/>
          <w:sz w:val="18"/>
          <w:szCs w:val="18"/>
        </w:rPr>
        <w:t>.</w:t>
      </w:r>
    </w:p>
    <w:p w:rsidR="00000000" w:rsidRDefault="00CF461A">
      <w:pPr>
        <w:jc w:val="both"/>
        <w:divId w:val="1932811366"/>
        <w:rPr>
          <w:rFonts w:eastAsia="Times New Roman"/>
        </w:rPr>
      </w:pPr>
      <w:r>
        <w:rPr>
          <w:rFonts w:eastAsia="Times New Roman"/>
          <w:sz w:val="18"/>
          <w:szCs w:val="18"/>
        </w:rPr>
        <w:t>•</w:t>
      </w:r>
    </w:p>
    <w:p w:rsidR="00000000" w:rsidRDefault="00CF461A">
      <w:pPr>
        <w:jc w:val="both"/>
        <w:divId w:val="755172862"/>
        <w:rPr>
          <w:rFonts w:eastAsia="Times New Roman"/>
        </w:rPr>
      </w:pPr>
      <w:r>
        <w:rPr>
          <w:rFonts w:eastAsia="Times New Roman"/>
          <w:sz w:val="18"/>
          <w:szCs w:val="18"/>
        </w:rPr>
        <w:t>Coverage and adequate reimbursement may not be available for our current or any future drug candidates, which could ma</w:t>
      </w:r>
      <w:r>
        <w:rPr>
          <w:rFonts w:eastAsia="Times New Roman"/>
          <w:sz w:val="18"/>
          <w:szCs w:val="18"/>
        </w:rPr>
        <w:t>ke it difficult for us to sell profitably, if approved</w:t>
      </w:r>
      <w:r>
        <w:rPr>
          <w:rFonts w:eastAsia="Times New Roman"/>
          <w:sz w:val="18"/>
          <w:szCs w:val="18"/>
        </w:rPr>
        <w:t>.</w:t>
      </w:r>
    </w:p>
    <w:p w:rsidR="00000000" w:rsidRDefault="00CF461A">
      <w:pPr>
        <w:jc w:val="both"/>
        <w:divId w:val="959998175"/>
        <w:rPr>
          <w:rFonts w:eastAsia="Times New Roman"/>
        </w:rPr>
      </w:pPr>
      <w:r>
        <w:rPr>
          <w:rFonts w:eastAsia="Times New Roman"/>
          <w:sz w:val="18"/>
          <w:szCs w:val="18"/>
        </w:rPr>
        <w:t>•</w:t>
      </w:r>
    </w:p>
    <w:p w:rsidR="00000000" w:rsidRDefault="00CF461A">
      <w:pPr>
        <w:jc w:val="both"/>
        <w:divId w:val="1296763579"/>
        <w:rPr>
          <w:rFonts w:eastAsia="Times New Roman"/>
        </w:rPr>
      </w:pPr>
      <w:r>
        <w:rPr>
          <w:rFonts w:eastAsia="Times New Roman"/>
          <w:sz w:val="18"/>
          <w:szCs w:val="18"/>
        </w:rPr>
        <w:t>If we are unable to obtain and maintain patent protection for our current or any future drug candidates, or if the scope of the patent protection obtained is not sufficiently broad, we may not be ab</w:t>
      </w:r>
      <w:r>
        <w:rPr>
          <w:rFonts w:eastAsia="Times New Roman"/>
          <w:sz w:val="18"/>
          <w:szCs w:val="18"/>
        </w:rPr>
        <w:t>le to compete effectively in our markets</w:t>
      </w:r>
      <w:r>
        <w:rPr>
          <w:rFonts w:eastAsia="Times New Roman"/>
          <w:sz w:val="18"/>
          <w:szCs w:val="18"/>
        </w:rPr>
        <w:t>.</w:t>
      </w:r>
    </w:p>
    <w:p w:rsidR="00000000" w:rsidRDefault="00CF461A">
      <w:pPr>
        <w:jc w:val="both"/>
        <w:divId w:val="1267735450"/>
        <w:rPr>
          <w:rFonts w:eastAsia="Times New Roman"/>
        </w:rPr>
      </w:pPr>
      <w:r>
        <w:rPr>
          <w:rFonts w:eastAsia="Times New Roman"/>
          <w:sz w:val="18"/>
          <w:szCs w:val="18"/>
        </w:rPr>
        <w:t>•</w:t>
      </w:r>
    </w:p>
    <w:p w:rsidR="00000000" w:rsidRDefault="00CF461A">
      <w:pPr>
        <w:jc w:val="both"/>
        <w:divId w:val="1303343964"/>
        <w:rPr>
          <w:rFonts w:eastAsia="Times New Roman"/>
        </w:rPr>
      </w:pPr>
      <w:r>
        <w:rPr>
          <w:rFonts w:eastAsia="Times New Roman"/>
          <w:sz w:val="18"/>
          <w:szCs w:val="18"/>
        </w:rPr>
        <w:t>We may be involved in lawsuits to protect or enforce our patents, the patents of our licensors or our other intellectual property rights, which could be expensive, time consuming and unsuccessful</w:t>
      </w:r>
      <w:r>
        <w:rPr>
          <w:rFonts w:eastAsia="Times New Roman"/>
          <w:sz w:val="18"/>
          <w:szCs w:val="18"/>
        </w:rPr>
        <w:t>.</w:t>
      </w:r>
    </w:p>
    <w:p w:rsidR="00000000" w:rsidRDefault="00CF461A">
      <w:pPr>
        <w:pStyle w:val="a3"/>
        <w:spacing w:before="240" w:beforeAutospacing="0" w:after="0" w:afterAutospacing="0"/>
        <w:jc w:val="center"/>
        <w:rPr>
          <w:sz w:val="20"/>
          <w:szCs w:val="20"/>
        </w:rPr>
      </w:pPr>
      <w:r>
        <w:rPr>
          <w:sz w:val="18"/>
          <w:szCs w:val="18"/>
        </w:rPr>
        <w:t>2</w:t>
      </w:r>
      <w:r>
        <w:rPr>
          <w:sz w:val="18"/>
          <w:szCs w:val="18"/>
        </w:rPr>
        <w:t>5</w:t>
      </w:r>
    </w:p>
    <w:p w:rsidR="00000000" w:rsidRDefault="00CF461A">
      <w:pPr>
        <w:rPr>
          <w:rFonts w:eastAsia="Times New Roman"/>
        </w:rPr>
      </w:pPr>
      <w:r>
        <w:rPr>
          <w:rFonts w:eastAsia="Times New Roman"/>
        </w:rPr>
        <w:pict>
          <v:rect id="_x0000_i1051"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jc w:val="both"/>
        <w:divId w:val="1055928975"/>
        <w:rPr>
          <w:rFonts w:eastAsia="Times New Roman"/>
        </w:rPr>
      </w:pPr>
      <w:r>
        <w:rPr>
          <w:rFonts w:eastAsia="Times New Roman"/>
          <w:sz w:val="18"/>
          <w:szCs w:val="18"/>
        </w:rPr>
        <w:t>•</w:t>
      </w:r>
    </w:p>
    <w:p w:rsidR="00000000" w:rsidRDefault="00CF461A">
      <w:pPr>
        <w:jc w:val="both"/>
        <w:divId w:val="1969890511"/>
        <w:rPr>
          <w:rFonts w:eastAsia="Times New Roman"/>
        </w:rPr>
      </w:pPr>
      <w:r>
        <w:rPr>
          <w:rFonts w:eastAsia="Times New Roman"/>
          <w:sz w:val="18"/>
          <w:szCs w:val="18"/>
        </w:rPr>
        <w:t>We do not have our own manufacturing capabilities and will rely on third parties to produce clinical and commercial supplies of our current and any future drug candidates</w:t>
      </w:r>
      <w:r>
        <w:rPr>
          <w:rFonts w:eastAsia="Times New Roman"/>
          <w:sz w:val="18"/>
          <w:szCs w:val="18"/>
        </w:rPr>
        <w:t>.</w:t>
      </w:r>
    </w:p>
    <w:p w:rsidR="00000000" w:rsidRDefault="00CF461A">
      <w:pPr>
        <w:jc w:val="both"/>
        <w:divId w:val="2052025385"/>
        <w:rPr>
          <w:rFonts w:eastAsia="Times New Roman"/>
        </w:rPr>
      </w:pPr>
      <w:r>
        <w:rPr>
          <w:rFonts w:eastAsia="Times New Roman"/>
          <w:sz w:val="18"/>
          <w:szCs w:val="18"/>
        </w:rPr>
        <w:t>•</w:t>
      </w:r>
    </w:p>
    <w:p w:rsidR="00000000" w:rsidRDefault="00CF461A">
      <w:pPr>
        <w:jc w:val="both"/>
        <w:divId w:val="923495908"/>
        <w:rPr>
          <w:rFonts w:eastAsia="Times New Roman"/>
        </w:rPr>
      </w:pPr>
      <w:r>
        <w:rPr>
          <w:rFonts w:eastAsia="Times New Roman"/>
          <w:sz w:val="18"/>
          <w:szCs w:val="18"/>
        </w:rPr>
        <w:t>We intend to rely on third parties to conduct, supervise and monitor our preclinical studies and clinical trials, and if those third parties perform in an unsatisfactory manner, it may harm our business</w:t>
      </w:r>
      <w:r>
        <w:rPr>
          <w:rFonts w:eastAsia="Times New Roman"/>
          <w:sz w:val="18"/>
          <w:szCs w:val="18"/>
        </w:rPr>
        <w:t>.</w:t>
      </w:r>
    </w:p>
    <w:p w:rsidR="00000000" w:rsidRDefault="00CF461A">
      <w:pPr>
        <w:jc w:val="both"/>
        <w:divId w:val="27147662"/>
        <w:rPr>
          <w:rFonts w:eastAsia="Times New Roman"/>
        </w:rPr>
      </w:pPr>
      <w:r>
        <w:rPr>
          <w:rFonts w:eastAsia="Times New Roman"/>
          <w:sz w:val="18"/>
          <w:szCs w:val="18"/>
        </w:rPr>
        <w:t>•</w:t>
      </w:r>
    </w:p>
    <w:p w:rsidR="00000000" w:rsidRDefault="00CF461A">
      <w:pPr>
        <w:jc w:val="both"/>
        <w:divId w:val="161047495"/>
        <w:rPr>
          <w:rFonts w:eastAsia="Times New Roman"/>
        </w:rPr>
      </w:pPr>
      <w:r>
        <w:rPr>
          <w:rFonts w:eastAsia="Times New Roman"/>
          <w:sz w:val="18"/>
          <w:szCs w:val="18"/>
        </w:rPr>
        <w:t>COVID-19 could adversely impact our business, incl</w:t>
      </w:r>
      <w:r>
        <w:rPr>
          <w:rFonts w:eastAsia="Times New Roman"/>
          <w:sz w:val="18"/>
          <w:szCs w:val="18"/>
        </w:rPr>
        <w:t>uding our preclinical studies, clinical trials and access to capital</w:t>
      </w:r>
      <w:r>
        <w:rPr>
          <w:rFonts w:eastAsia="Times New Roman"/>
          <w:sz w:val="18"/>
          <w:szCs w:val="18"/>
        </w:rPr>
        <w:t>.</w:t>
      </w:r>
    </w:p>
    <w:p w:rsidR="00000000" w:rsidRDefault="00CF461A">
      <w:pPr>
        <w:jc w:val="both"/>
        <w:divId w:val="1057974580"/>
        <w:rPr>
          <w:rFonts w:eastAsia="Times New Roman"/>
        </w:rPr>
      </w:pPr>
      <w:r>
        <w:rPr>
          <w:rFonts w:eastAsia="Times New Roman"/>
          <w:sz w:val="18"/>
          <w:szCs w:val="18"/>
        </w:rPr>
        <w:t>•</w:t>
      </w:r>
    </w:p>
    <w:p w:rsidR="00000000" w:rsidRDefault="00CF461A">
      <w:pPr>
        <w:jc w:val="both"/>
        <w:divId w:val="2049522056"/>
        <w:rPr>
          <w:rFonts w:eastAsia="Times New Roman"/>
        </w:rPr>
      </w:pPr>
      <w:r>
        <w:rPr>
          <w:rFonts w:eastAsia="Times New Roman"/>
          <w:sz w:val="18"/>
          <w:szCs w:val="18"/>
        </w:rPr>
        <w:t>We may need to expand our organization, and we may experience difficulties in managing this growth, which could disrupt our operations</w:t>
      </w:r>
      <w:r>
        <w:rPr>
          <w:rFonts w:eastAsia="Times New Roman"/>
          <w:sz w:val="18"/>
          <w:szCs w:val="18"/>
        </w:rPr>
        <w:t>.</w:t>
      </w:r>
    </w:p>
    <w:p w:rsidR="00000000" w:rsidRDefault="00CF461A">
      <w:pPr>
        <w:jc w:val="both"/>
        <w:divId w:val="271131084"/>
        <w:rPr>
          <w:rFonts w:eastAsia="Times New Roman"/>
        </w:rPr>
      </w:pPr>
      <w:r>
        <w:rPr>
          <w:rFonts w:eastAsia="Times New Roman"/>
          <w:sz w:val="18"/>
          <w:szCs w:val="18"/>
        </w:rPr>
        <w:t>•</w:t>
      </w:r>
    </w:p>
    <w:p w:rsidR="00000000" w:rsidRDefault="00CF461A">
      <w:pPr>
        <w:jc w:val="both"/>
        <w:divId w:val="332150485"/>
        <w:rPr>
          <w:rFonts w:eastAsia="Times New Roman"/>
        </w:rPr>
      </w:pPr>
      <w:r>
        <w:rPr>
          <w:rFonts w:eastAsia="Times New Roman"/>
          <w:sz w:val="18"/>
          <w:szCs w:val="18"/>
        </w:rPr>
        <w:t>We may be subject to numerous and varying priv</w:t>
      </w:r>
      <w:r>
        <w:rPr>
          <w:rFonts w:eastAsia="Times New Roman"/>
          <w:sz w:val="18"/>
          <w:szCs w:val="18"/>
        </w:rPr>
        <w:t>acy and security laws, and our failure to comply could result in penalties and reputational damage</w:t>
      </w:r>
      <w:r>
        <w:rPr>
          <w:rFonts w:eastAsia="Times New Roman"/>
          <w:sz w:val="18"/>
          <w:szCs w:val="18"/>
        </w:rPr>
        <w:t>.</w:t>
      </w:r>
    </w:p>
    <w:p w:rsidR="00000000" w:rsidRDefault="00CF461A">
      <w:pPr>
        <w:pStyle w:val="a3"/>
        <w:spacing w:before="200" w:beforeAutospacing="0" w:after="0" w:afterAutospacing="0"/>
        <w:jc w:val="both"/>
        <w:rPr>
          <w:sz w:val="20"/>
          <w:szCs w:val="20"/>
        </w:rPr>
      </w:pPr>
      <w:r>
        <w:rPr>
          <w:b/>
          <w:bCs/>
          <w:sz w:val="18"/>
          <w:szCs w:val="18"/>
        </w:rPr>
        <w:t>Risks Related to Our Financial Position and Need for Additional Capita</w:t>
      </w:r>
      <w:r>
        <w:rPr>
          <w:b/>
          <w:bCs/>
          <w:sz w:val="18"/>
          <w:szCs w:val="18"/>
        </w:rPr>
        <w:t>l</w:t>
      </w:r>
    </w:p>
    <w:p w:rsidR="00000000" w:rsidRDefault="00CF461A">
      <w:pPr>
        <w:pStyle w:val="a3"/>
        <w:spacing w:before="200" w:beforeAutospacing="0" w:after="0" w:afterAutospacing="0"/>
        <w:jc w:val="both"/>
        <w:rPr>
          <w:sz w:val="20"/>
          <w:szCs w:val="20"/>
        </w:rPr>
      </w:pPr>
      <w:r>
        <w:rPr>
          <w:b/>
          <w:bCs/>
          <w:i/>
          <w:iCs/>
          <w:sz w:val="18"/>
          <w:szCs w:val="18"/>
        </w:rPr>
        <w:t>Historically, we have incurred significant operating losses and expect to continue t</w:t>
      </w:r>
      <w:r>
        <w:rPr>
          <w:b/>
          <w:bCs/>
          <w:i/>
          <w:iCs/>
          <w:sz w:val="18"/>
          <w:szCs w:val="18"/>
        </w:rPr>
        <w:t>o incur substantial operating losses for the foreseeable future and may never achieve or maintain profitability</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have historically incurred significant operating losses with the exception of net income we reported in 2021 due to a one-time, upfront paym</w:t>
      </w:r>
      <w:r>
        <w:rPr>
          <w:sz w:val="18"/>
          <w:szCs w:val="18"/>
        </w:rPr>
        <w:t xml:space="preserve">ent of $196.0 million received pursuant to the royalty, license and termination agreement (the “Takeda License and Termination Agreement”) with Takeda Pharmaceutical Company Limited (“Takeda”). As of March 31, 2022, we had an accumulated deficit of $187.5 </w:t>
      </w:r>
      <w:r>
        <w:rPr>
          <w:sz w:val="18"/>
          <w:szCs w:val="18"/>
        </w:rPr>
        <w:t>million. We expect to incur increasing operating losses for the foreseeable future. Since inception, we have devoted substantially all of our efforts to research and preclinical and clinical development of our drug candidates, as well as hiring employees a</w:t>
      </w:r>
      <w:r>
        <w:rPr>
          <w:sz w:val="18"/>
          <w:szCs w:val="18"/>
        </w:rPr>
        <w:t>nd building our infrastructure</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We have no drugs approved for commercialization and have never generated any revenue from drug sales. All of our drug candidates are still in the preclinical testing stage. It could be several years, if ever, before we have </w:t>
      </w:r>
      <w:r>
        <w:rPr>
          <w:sz w:val="18"/>
          <w:szCs w:val="18"/>
        </w:rPr>
        <w:t>a commercialized drug. We expect to continue to incur significant expenses and operating losses over the next several years, and the net losses we incur may fluctuate significantly from quarter to quarter and year to year. We anticipate that our expenses w</w:t>
      </w:r>
      <w:r>
        <w:rPr>
          <w:sz w:val="18"/>
          <w:szCs w:val="18"/>
        </w:rPr>
        <w:t>ill increase substantially if, and as, we</w:t>
      </w:r>
      <w:r>
        <w:rPr>
          <w:sz w:val="18"/>
          <w:szCs w:val="18"/>
        </w:rPr>
        <w:t>:</w:t>
      </w:r>
    </w:p>
    <w:p w:rsidR="00000000" w:rsidRDefault="00CF461A">
      <w:pPr>
        <w:jc w:val="both"/>
        <w:divId w:val="1115753143"/>
        <w:rPr>
          <w:rFonts w:eastAsia="Times New Roman"/>
        </w:rPr>
      </w:pPr>
      <w:r>
        <w:rPr>
          <w:rFonts w:eastAsia="Times New Roman"/>
          <w:sz w:val="18"/>
          <w:szCs w:val="18"/>
        </w:rPr>
        <w:t>•</w:t>
      </w:r>
    </w:p>
    <w:p w:rsidR="00000000" w:rsidRDefault="00CF461A">
      <w:pPr>
        <w:jc w:val="both"/>
        <w:divId w:val="706948264"/>
        <w:rPr>
          <w:rFonts w:eastAsia="Times New Roman"/>
        </w:rPr>
      </w:pPr>
      <w:r>
        <w:rPr>
          <w:rFonts w:eastAsia="Times New Roman"/>
          <w:sz w:val="18"/>
          <w:szCs w:val="18"/>
        </w:rPr>
        <w:t>continue to advance the ongoing and planned preclinical and clinical development of our drug candidates</w:t>
      </w:r>
      <w:r>
        <w:rPr>
          <w:rFonts w:eastAsia="Times New Roman"/>
          <w:sz w:val="18"/>
          <w:szCs w:val="18"/>
        </w:rPr>
        <w:t>;</w:t>
      </w:r>
    </w:p>
    <w:p w:rsidR="00000000" w:rsidRDefault="00CF461A">
      <w:pPr>
        <w:jc w:val="both"/>
        <w:divId w:val="789907219"/>
        <w:rPr>
          <w:rFonts w:eastAsia="Times New Roman"/>
        </w:rPr>
      </w:pPr>
      <w:r>
        <w:rPr>
          <w:rFonts w:eastAsia="Times New Roman"/>
          <w:sz w:val="18"/>
          <w:szCs w:val="18"/>
        </w:rPr>
        <w:t>•</w:t>
      </w:r>
    </w:p>
    <w:p w:rsidR="00000000" w:rsidRDefault="00CF461A">
      <w:pPr>
        <w:jc w:val="both"/>
        <w:divId w:val="657654759"/>
        <w:rPr>
          <w:rFonts w:eastAsia="Times New Roman"/>
        </w:rPr>
      </w:pPr>
      <w:r>
        <w:rPr>
          <w:rFonts w:eastAsia="Times New Roman"/>
          <w:sz w:val="18"/>
          <w:szCs w:val="18"/>
        </w:rPr>
        <w:t>continue to build a portfolio of drug candidates through the acquisition or in-license of drugs, drug ca</w:t>
      </w:r>
      <w:r>
        <w:rPr>
          <w:rFonts w:eastAsia="Times New Roman"/>
          <w:sz w:val="18"/>
          <w:szCs w:val="18"/>
        </w:rPr>
        <w:t>ndidates or technologies</w:t>
      </w:r>
      <w:r>
        <w:rPr>
          <w:rFonts w:eastAsia="Times New Roman"/>
          <w:sz w:val="18"/>
          <w:szCs w:val="18"/>
        </w:rPr>
        <w:t>;</w:t>
      </w:r>
    </w:p>
    <w:p w:rsidR="00000000" w:rsidRDefault="00CF461A">
      <w:pPr>
        <w:jc w:val="both"/>
        <w:divId w:val="1089817554"/>
        <w:rPr>
          <w:rFonts w:eastAsia="Times New Roman"/>
        </w:rPr>
      </w:pPr>
      <w:r>
        <w:rPr>
          <w:rFonts w:eastAsia="Times New Roman"/>
          <w:sz w:val="18"/>
          <w:szCs w:val="18"/>
        </w:rPr>
        <w:t>•</w:t>
      </w:r>
    </w:p>
    <w:p w:rsidR="00000000" w:rsidRDefault="00CF461A">
      <w:pPr>
        <w:jc w:val="both"/>
        <w:divId w:val="1779253254"/>
        <w:rPr>
          <w:rFonts w:eastAsia="Times New Roman"/>
        </w:rPr>
      </w:pPr>
      <w:r>
        <w:rPr>
          <w:rFonts w:eastAsia="Times New Roman"/>
          <w:sz w:val="18"/>
          <w:szCs w:val="18"/>
        </w:rPr>
        <w:t>initiate preclinical studies and clinical trials for any additional drug candidates that we may pursue in the future</w:t>
      </w:r>
      <w:r>
        <w:rPr>
          <w:rFonts w:eastAsia="Times New Roman"/>
          <w:sz w:val="18"/>
          <w:szCs w:val="18"/>
        </w:rPr>
        <w:t>;</w:t>
      </w:r>
    </w:p>
    <w:p w:rsidR="00000000" w:rsidRDefault="00CF461A">
      <w:pPr>
        <w:jc w:val="both"/>
        <w:divId w:val="1870996280"/>
        <w:rPr>
          <w:rFonts w:eastAsia="Times New Roman"/>
        </w:rPr>
      </w:pPr>
      <w:r>
        <w:rPr>
          <w:rFonts w:eastAsia="Times New Roman"/>
          <w:sz w:val="18"/>
          <w:szCs w:val="18"/>
        </w:rPr>
        <w:t>•</w:t>
      </w:r>
    </w:p>
    <w:p w:rsidR="00000000" w:rsidRDefault="00CF461A">
      <w:pPr>
        <w:jc w:val="both"/>
        <w:divId w:val="1596088900"/>
        <w:rPr>
          <w:rFonts w:eastAsia="Times New Roman"/>
        </w:rPr>
      </w:pPr>
      <w:r>
        <w:rPr>
          <w:rFonts w:eastAsia="Times New Roman"/>
          <w:sz w:val="18"/>
          <w:szCs w:val="18"/>
        </w:rPr>
        <w:t>experience delays in our preclinical studies and planned clinical studies due to the ongoing COVID-19 pandem</w:t>
      </w:r>
      <w:r>
        <w:rPr>
          <w:rFonts w:eastAsia="Times New Roman"/>
          <w:sz w:val="18"/>
          <w:szCs w:val="18"/>
        </w:rPr>
        <w:t>ic</w:t>
      </w:r>
      <w:r>
        <w:rPr>
          <w:rFonts w:eastAsia="Times New Roman"/>
          <w:sz w:val="18"/>
          <w:szCs w:val="18"/>
        </w:rPr>
        <w:t>;</w:t>
      </w:r>
    </w:p>
    <w:p w:rsidR="00000000" w:rsidRDefault="00CF461A">
      <w:pPr>
        <w:jc w:val="both"/>
        <w:divId w:val="1567492334"/>
        <w:rPr>
          <w:rFonts w:eastAsia="Times New Roman"/>
        </w:rPr>
      </w:pPr>
      <w:r>
        <w:rPr>
          <w:rFonts w:eastAsia="Times New Roman"/>
          <w:sz w:val="18"/>
          <w:szCs w:val="18"/>
        </w:rPr>
        <w:t>•</w:t>
      </w:r>
    </w:p>
    <w:p w:rsidR="00000000" w:rsidRDefault="00CF461A">
      <w:pPr>
        <w:jc w:val="both"/>
        <w:divId w:val="550195525"/>
        <w:rPr>
          <w:rFonts w:eastAsia="Times New Roman"/>
        </w:rPr>
      </w:pPr>
      <w:r>
        <w:rPr>
          <w:rFonts w:eastAsia="Times New Roman"/>
          <w:sz w:val="18"/>
          <w:szCs w:val="18"/>
        </w:rPr>
        <w:t>seek marketing approvals for our current and future drug candidates that successfully complete clinical trials</w:t>
      </w:r>
      <w:r>
        <w:rPr>
          <w:rFonts w:eastAsia="Times New Roman"/>
          <w:sz w:val="18"/>
          <w:szCs w:val="18"/>
        </w:rPr>
        <w:t>;</w:t>
      </w:r>
    </w:p>
    <w:p w:rsidR="00000000" w:rsidRDefault="00CF461A">
      <w:pPr>
        <w:jc w:val="both"/>
        <w:divId w:val="699208966"/>
        <w:rPr>
          <w:rFonts w:eastAsia="Times New Roman"/>
        </w:rPr>
      </w:pPr>
      <w:r>
        <w:rPr>
          <w:rFonts w:eastAsia="Times New Roman"/>
          <w:sz w:val="18"/>
          <w:szCs w:val="18"/>
        </w:rPr>
        <w:t>•</w:t>
      </w:r>
    </w:p>
    <w:p w:rsidR="00000000" w:rsidRDefault="00CF461A">
      <w:pPr>
        <w:jc w:val="both"/>
        <w:divId w:val="539585274"/>
        <w:rPr>
          <w:rFonts w:eastAsia="Times New Roman"/>
        </w:rPr>
      </w:pPr>
      <w:r>
        <w:rPr>
          <w:rFonts w:eastAsia="Times New Roman"/>
          <w:sz w:val="18"/>
          <w:szCs w:val="18"/>
        </w:rPr>
        <w:t>establish a sales, marketing and distribution infrastructure to commercialize any drug candidate for which we may obtain marketing approval</w:t>
      </w:r>
      <w:r>
        <w:rPr>
          <w:rFonts w:eastAsia="Times New Roman"/>
          <w:sz w:val="18"/>
          <w:szCs w:val="18"/>
        </w:rPr>
        <w:t>;</w:t>
      </w:r>
    </w:p>
    <w:p w:rsidR="00000000" w:rsidRDefault="00CF461A">
      <w:pPr>
        <w:jc w:val="both"/>
        <w:divId w:val="2017073077"/>
        <w:rPr>
          <w:rFonts w:eastAsia="Times New Roman"/>
        </w:rPr>
      </w:pPr>
      <w:r>
        <w:rPr>
          <w:rFonts w:eastAsia="Times New Roman"/>
          <w:sz w:val="18"/>
          <w:szCs w:val="18"/>
        </w:rPr>
        <w:t>•</w:t>
      </w:r>
    </w:p>
    <w:p w:rsidR="00000000" w:rsidRDefault="00CF461A">
      <w:pPr>
        <w:jc w:val="both"/>
        <w:divId w:val="607808900"/>
        <w:rPr>
          <w:rFonts w:eastAsia="Times New Roman"/>
        </w:rPr>
      </w:pPr>
      <w:r>
        <w:rPr>
          <w:rFonts w:eastAsia="Times New Roman"/>
          <w:sz w:val="18"/>
          <w:szCs w:val="18"/>
        </w:rPr>
        <w:t>develop, maintain, expand and protect our intellectual property portfolio</w:t>
      </w:r>
      <w:r>
        <w:rPr>
          <w:rFonts w:eastAsia="Times New Roman"/>
          <w:sz w:val="18"/>
          <w:szCs w:val="18"/>
        </w:rPr>
        <w:t>;</w:t>
      </w:r>
    </w:p>
    <w:p w:rsidR="00000000" w:rsidRDefault="00CF461A">
      <w:pPr>
        <w:jc w:val="both"/>
        <w:divId w:val="456460487"/>
        <w:rPr>
          <w:rFonts w:eastAsia="Times New Roman"/>
        </w:rPr>
      </w:pPr>
      <w:r>
        <w:rPr>
          <w:rFonts w:eastAsia="Times New Roman"/>
          <w:sz w:val="18"/>
          <w:szCs w:val="18"/>
        </w:rPr>
        <w:t>•</w:t>
      </w:r>
    </w:p>
    <w:p w:rsidR="00000000" w:rsidRDefault="00CF461A">
      <w:pPr>
        <w:jc w:val="both"/>
        <w:divId w:val="336886026"/>
        <w:rPr>
          <w:rFonts w:eastAsia="Times New Roman"/>
        </w:rPr>
      </w:pPr>
      <w:r>
        <w:rPr>
          <w:rFonts w:eastAsia="Times New Roman"/>
          <w:sz w:val="18"/>
          <w:szCs w:val="18"/>
        </w:rPr>
        <w:t>implement operational, financial and management systems; an</w:t>
      </w:r>
      <w:r>
        <w:rPr>
          <w:rFonts w:eastAsia="Times New Roman"/>
          <w:sz w:val="18"/>
          <w:szCs w:val="18"/>
        </w:rPr>
        <w:t>d</w:t>
      </w:r>
    </w:p>
    <w:p w:rsidR="00000000" w:rsidRDefault="00CF461A">
      <w:pPr>
        <w:jc w:val="both"/>
        <w:divId w:val="1155102424"/>
        <w:rPr>
          <w:rFonts w:eastAsia="Times New Roman"/>
        </w:rPr>
      </w:pPr>
      <w:r>
        <w:rPr>
          <w:rFonts w:eastAsia="Times New Roman"/>
          <w:sz w:val="18"/>
          <w:szCs w:val="18"/>
        </w:rPr>
        <w:t>•</w:t>
      </w:r>
    </w:p>
    <w:p w:rsidR="00000000" w:rsidRDefault="00CF461A">
      <w:pPr>
        <w:jc w:val="both"/>
        <w:divId w:val="1194421100"/>
        <w:rPr>
          <w:rFonts w:eastAsia="Times New Roman"/>
        </w:rPr>
      </w:pPr>
      <w:r>
        <w:rPr>
          <w:rFonts w:eastAsia="Times New Roman"/>
          <w:sz w:val="18"/>
          <w:szCs w:val="18"/>
        </w:rPr>
        <w:t>attract, hire and retain additional administrative, clinical, regulatory and scientific personnel</w:t>
      </w:r>
      <w:r>
        <w:rPr>
          <w:rFonts w:eastAsia="Times New Roman"/>
          <w:sz w:val="18"/>
          <w:szCs w:val="18"/>
        </w:rPr>
        <w:t>.</w:t>
      </w:r>
    </w:p>
    <w:p w:rsidR="00000000" w:rsidRDefault="00CF461A">
      <w:pPr>
        <w:pStyle w:val="a3"/>
        <w:spacing w:before="120" w:beforeAutospacing="0" w:after="0" w:afterAutospacing="0"/>
        <w:ind w:firstLine="555"/>
        <w:jc w:val="both"/>
        <w:rPr>
          <w:sz w:val="20"/>
          <w:szCs w:val="20"/>
        </w:rPr>
      </w:pPr>
      <w:r>
        <w:rPr>
          <w:sz w:val="18"/>
          <w:szCs w:val="18"/>
        </w:rPr>
        <w:t>Even if we comple</w:t>
      </w:r>
      <w:r>
        <w:rPr>
          <w:sz w:val="18"/>
          <w:szCs w:val="18"/>
        </w:rPr>
        <w:t>te the development and regulatory processes described above, we anticipate incurring significant costs associated with launching and commercializing our current and future drug candidates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If we do achieve profitability, we may not be able to sustain or in</w:t>
      </w:r>
      <w:r>
        <w:rPr>
          <w:sz w:val="18"/>
          <w:szCs w:val="18"/>
        </w:rPr>
        <w:t>crease profitability on a quarterly or annual basis. Our failure to become and remain profitable would decrease the value of our company and could impair our ability to raise capital, maintain our research and development efforts, expand our business or co</w:t>
      </w:r>
      <w:r>
        <w:rPr>
          <w:sz w:val="18"/>
          <w:szCs w:val="18"/>
        </w:rPr>
        <w:t>ntinue our operations</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Our operating history may make it difficult to evaluate the success of our business to date and to assess our future viability</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Our operations have consumed substantial amounts of cash since our inception in April 2014, primarily due</w:t>
      </w:r>
      <w:r>
        <w:rPr>
          <w:sz w:val="18"/>
          <w:szCs w:val="18"/>
        </w:rPr>
        <w:t xml:space="preserve"> to organizing and staffing our company, business planning, raising capital, acquiring assets and undertaking the development of our drug candidates. We have not yet demonstrated the ability to obtain marketing approvals, manufacture a commercial-scale dru</w:t>
      </w:r>
      <w:r>
        <w:rPr>
          <w:sz w:val="18"/>
          <w:szCs w:val="18"/>
        </w:rPr>
        <w:t>g or conduct sales and marketing activities necessary for successful commercialization. Consequently, any predictions about our future success or viability may not be as accurate as they could be if we had more experience developing drug candidates</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We exp</w:t>
      </w:r>
      <w:r>
        <w:rPr>
          <w:sz w:val="18"/>
          <w:szCs w:val="18"/>
        </w:rPr>
        <w:t xml:space="preserve">ect our financial condition and operating results to continue to fluctuate from quarter to quarter and year to year due to a variety of factors, many of which are beyond our control. We will need to eventually transition from a company with a research and </w:t>
      </w:r>
      <w:r>
        <w:rPr>
          <w:sz w:val="18"/>
          <w:szCs w:val="18"/>
        </w:rPr>
        <w:t>development focus to a company capable of undertaking commercial activities. We may encounter unforeseen expenses, difficulties, complications and delays and may not be successful in such a transition</w:t>
      </w:r>
      <w:r>
        <w:rPr>
          <w:sz w:val="18"/>
          <w:szCs w:val="18"/>
        </w:rPr>
        <w:t>.</w:t>
      </w:r>
      <w:r>
        <w:rPr>
          <w:sz w:val="18"/>
          <w:szCs w:val="18"/>
        </w:rPr>
        <w:t xml:space="preserve"> </w:t>
      </w:r>
    </w:p>
    <w:p w:rsidR="00000000" w:rsidRDefault="00CF461A">
      <w:pPr>
        <w:pStyle w:val="a3"/>
        <w:spacing w:before="200" w:beforeAutospacing="0" w:after="0" w:afterAutospacing="0"/>
        <w:jc w:val="both"/>
        <w:rPr>
          <w:sz w:val="20"/>
          <w:szCs w:val="20"/>
        </w:rPr>
      </w:pPr>
      <w:r>
        <w:rPr>
          <w:b/>
          <w:bCs/>
          <w:i/>
          <w:iCs/>
          <w:sz w:val="18"/>
          <w:szCs w:val="18"/>
        </w:rPr>
        <w:t>We will require additional capital to finance our ope</w:t>
      </w:r>
      <w:r>
        <w:rPr>
          <w:b/>
          <w:bCs/>
          <w:i/>
          <w:iCs/>
          <w:sz w:val="18"/>
          <w:szCs w:val="18"/>
        </w:rPr>
        <w:t>rations, which may not be available on acceptable terms, if at all. Failure to obtain this necessary capital when needed may force us to delay, limit or terminate certain of our drug development efforts or other operations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Our operations have consumed sub</w:t>
      </w:r>
      <w:r>
        <w:rPr>
          <w:sz w:val="18"/>
          <w:szCs w:val="18"/>
        </w:rPr>
        <w:t>stantial amounts of cash since our inception. We expect our expenses to increase as we advance our current and future drug candidates through preclinical studies and clinical trials, commercialize our drug candidates, and pursue the acquisition or in-licen</w:t>
      </w:r>
      <w:r>
        <w:rPr>
          <w:sz w:val="18"/>
          <w:szCs w:val="18"/>
        </w:rPr>
        <w:t>sing of any additional drug candidates. Our expenses could increase beyond expectations if the FDA or other regulatory authorities require us to perfor</w:t>
      </w:r>
      <w:r>
        <w:rPr>
          <w:sz w:val="18"/>
          <w:szCs w:val="18"/>
        </w:rPr>
        <w:t>m</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2</w:t>
      </w:r>
      <w:r>
        <w:rPr>
          <w:sz w:val="18"/>
          <w:szCs w:val="18"/>
        </w:rPr>
        <w:t>6</w:t>
      </w:r>
    </w:p>
    <w:p w:rsidR="00000000" w:rsidRDefault="00CF461A">
      <w:pPr>
        <w:rPr>
          <w:rFonts w:eastAsia="Times New Roman"/>
        </w:rPr>
      </w:pPr>
      <w:r>
        <w:rPr>
          <w:rFonts w:eastAsia="Times New Roman"/>
        </w:rPr>
        <w:pict>
          <v:rect id="_x0000_i1052"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32" w:beforeAutospacing="0" w:after="0" w:afterAutospacing="0"/>
        <w:jc w:val="both"/>
        <w:rPr>
          <w:sz w:val="20"/>
          <w:szCs w:val="20"/>
        </w:rPr>
      </w:pPr>
      <w:r>
        <w:rPr>
          <w:sz w:val="18"/>
          <w:szCs w:val="18"/>
        </w:rPr>
        <w:t xml:space="preserve">preclinical studies or clinical trials in addition to those </w:t>
      </w:r>
      <w:r>
        <w:rPr>
          <w:sz w:val="18"/>
          <w:szCs w:val="18"/>
        </w:rPr>
        <w:t>that we currently anticipate. In addition, even if we obtain marketing approval for our drug candidates, they may not achieve commercial success. Our revenue, if any, will be derived from sales of drugs that we do not expect to be commercially available fo</w:t>
      </w:r>
      <w:r>
        <w:rPr>
          <w:sz w:val="18"/>
          <w:szCs w:val="18"/>
        </w:rPr>
        <w:t>r a number of years, if at all. If we obtain marketing approval for any drug candidates that we develop or otherwise acquire, we expect to incur significant expenses related to manufacturing, marketing, sales and distribution</w:t>
      </w:r>
      <w:r>
        <w:rPr>
          <w:sz w:val="18"/>
          <w:szCs w:val="18"/>
        </w:rPr>
        <w:t>.</w:t>
      </w:r>
      <w:r>
        <w:rPr>
          <w:sz w:val="18"/>
          <w:szCs w:val="18"/>
        </w:rPr>
        <w:t xml:space="preserve"> </w:t>
      </w:r>
    </w:p>
    <w:p w:rsidR="00000000" w:rsidRDefault="00CF461A">
      <w:pPr>
        <w:pStyle w:val="a3"/>
        <w:spacing w:before="120" w:beforeAutospacing="0" w:after="0" w:afterAutospacing="0"/>
        <w:ind w:firstLine="604"/>
        <w:jc w:val="both"/>
        <w:rPr>
          <w:sz w:val="20"/>
          <w:szCs w:val="20"/>
        </w:rPr>
      </w:pPr>
      <w:r>
        <w:rPr>
          <w:sz w:val="18"/>
          <w:szCs w:val="18"/>
        </w:rPr>
        <w:t>As of March 31, 2022, our ca</w:t>
      </w:r>
      <w:r>
        <w:rPr>
          <w:sz w:val="18"/>
          <w:szCs w:val="18"/>
        </w:rPr>
        <w:t>sh and cash equivalents were $166.7 million, and we had an accumulated deficit of $187.5 million.</w:t>
      </w:r>
      <w:r>
        <w:rPr>
          <w:sz w:val="18"/>
          <w:szCs w:val="18"/>
        </w:rPr>
        <w:t xml:space="preserve"> </w:t>
      </w:r>
      <w:r>
        <w:rPr>
          <w:sz w:val="18"/>
          <w:szCs w:val="18"/>
        </w:rPr>
        <w:t>We believe that our existing cash and cash equivalents will fund our current operating plans through at least 12 months from the filing of this Quarterly Repo</w:t>
      </w:r>
      <w:r>
        <w:rPr>
          <w:sz w:val="18"/>
          <w:szCs w:val="18"/>
        </w:rPr>
        <w:t xml:space="preserve">rt on Form 10-Q. However, our operating plans may change because of many factors currently unknown to us, and we may need to seek additional funds sooner than planned, through public or private equity or debt financings, third-party funding, marketing and </w:t>
      </w:r>
      <w:r>
        <w:rPr>
          <w:sz w:val="18"/>
          <w:szCs w:val="18"/>
        </w:rPr>
        <w:t>distribution arrangements, as well as other collaborations, strategic alliances and licensing arrangements, or any combination of these approaches</w:t>
      </w:r>
      <w:r>
        <w:rPr>
          <w:sz w:val="18"/>
          <w:szCs w:val="18"/>
        </w:rPr>
        <w:t>.</w:t>
      </w:r>
      <w:r>
        <w:rPr>
          <w:sz w:val="18"/>
          <w:szCs w:val="18"/>
        </w:rPr>
        <w:t xml:space="preserve"> </w:t>
      </w:r>
    </w:p>
    <w:p w:rsidR="00000000" w:rsidRDefault="00CF461A">
      <w:pPr>
        <w:pStyle w:val="a3"/>
        <w:spacing w:before="120" w:beforeAutospacing="0" w:after="0" w:afterAutospacing="0"/>
        <w:ind w:firstLine="604"/>
        <w:jc w:val="both"/>
        <w:rPr>
          <w:sz w:val="20"/>
          <w:szCs w:val="20"/>
        </w:rPr>
      </w:pPr>
      <w:r>
        <w:rPr>
          <w:sz w:val="18"/>
          <w:szCs w:val="18"/>
        </w:rPr>
        <w:t>We will require more capital in order to advance the preclinical and clinical development, obtain regulator</w:t>
      </w:r>
      <w:r>
        <w:rPr>
          <w:sz w:val="18"/>
          <w:szCs w:val="18"/>
        </w:rPr>
        <w:t>y approval and, following regulatory approval, commercialize our current or future drug candidates. Any additional capital raising efforts may divert our management from their day-to-day activities, which may adversely affect our ability to develop and com</w:t>
      </w:r>
      <w:r>
        <w:rPr>
          <w:sz w:val="18"/>
          <w:szCs w:val="18"/>
        </w:rPr>
        <w:t>mercialize our current and future drug candidates. The ongoing COVID-19 pandemic has already resulted in a significant disruption of global financial markets. If the disruption persists and deepens, we could experience an inability to access additional cap</w:t>
      </w:r>
      <w:r>
        <w:rPr>
          <w:sz w:val="18"/>
          <w:szCs w:val="18"/>
        </w:rPr>
        <w:t>ital. If we do not raise additional capital in sufficient amounts, or on terms acceptable to us, we may be prevented from pursuing development and commercialization efforts, which will harm our business, operating results and prospects</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Raising additional capital or acquiring or licensing assets by issuing equity or debt securities may cause dilution to our stockholders, and raising funds through lending and licensing arrangements may restrict our operations or require us to relinquish pr</w:t>
      </w:r>
      <w:r>
        <w:rPr>
          <w:b/>
          <w:bCs/>
          <w:i/>
          <w:iCs/>
          <w:sz w:val="18"/>
          <w:szCs w:val="18"/>
        </w:rPr>
        <w:t>oprietary rights</w:t>
      </w:r>
      <w:r>
        <w:rPr>
          <w:b/>
          <w:bCs/>
          <w:i/>
          <w:iCs/>
          <w:sz w:val="18"/>
          <w:szCs w:val="18"/>
        </w:rPr>
        <w:t>.</w:t>
      </w:r>
    </w:p>
    <w:p w:rsidR="00000000" w:rsidRDefault="00CF461A">
      <w:pPr>
        <w:pStyle w:val="a3"/>
        <w:spacing w:before="120" w:beforeAutospacing="0" w:after="0" w:afterAutospacing="0"/>
        <w:ind w:firstLine="620"/>
        <w:jc w:val="both"/>
        <w:rPr>
          <w:sz w:val="20"/>
          <w:szCs w:val="20"/>
        </w:rPr>
      </w:pPr>
      <w:r>
        <w:rPr>
          <w:sz w:val="18"/>
          <w:szCs w:val="18"/>
        </w:rPr>
        <w:t>Until such time as we can generate substantial revenue from drug sales, if ever, we expect to finance our cash needs through a combination of equity and debt financings, strategic alliances, and license and development agreements in conne</w:t>
      </w:r>
      <w:r>
        <w:rPr>
          <w:sz w:val="18"/>
          <w:szCs w:val="18"/>
        </w:rPr>
        <w:t xml:space="preserve">ction with any collaborations. We do not have any committed external source of funds. To the extent that we issue additional equity securities, our stockholders may experience substantial dilution, and the terms of these securities may include liquidation </w:t>
      </w:r>
      <w:r>
        <w:rPr>
          <w:sz w:val="18"/>
          <w:szCs w:val="18"/>
        </w:rPr>
        <w:t>or other preferences that adversely affect your rights as a stockholder. In addition, we may issue equity or debt securities as consideration for obtaining rights to additional compounds</w:t>
      </w:r>
      <w:r>
        <w:rPr>
          <w:sz w:val="18"/>
          <w:szCs w:val="18"/>
        </w:rPr>
        <w:t>.</w:t>
      </w:r>
      <w:r>
        <w:rPr>
          <w:sz w:val="18"/>
          <w:szCs w:val="18"/>
        </w:rPr>
        <w:t xml:space="preserve"> </w:t>
      </w:r>
    </w:p>
    <w:p w:rsidR="00000000" w:rsidRDefault="00CF461A">
      <w:pPr>
        <w:pStyle w:val="a3"/>
        <w:spacing w:before="120" w:beforeAutospacing="0" w:after="0" w:afterAutospacing="0"/>
        <w:ind w:firstLine="604"/>
        <w:jc w:val="both"/>
        <w:rPr>
          <w:sz w:val="20"/>
          <w:szCs w:val="20"/>
        </w:rPr>
      </w:pPr>
      <w:r>
        <w:rPr>
          <w:sz w:val="18"/>
          <w:szCs w:val="18"/>
        </w:rPr>
        <w:t>Debt and equity financings, if available, may involve agreements th</w:t>
      </w:r>
      <w:r>
        <w:rPr>
          <w:sz w:val="18"/>
          <w:szCs w:val="18"/>
        </w:rPr>
        <w:t>at include covenants limiting or restricting our ability to take specific actions, such as redeeming our shares, making investments, issuing additional equity, incurring additional debt, making capital expenditures, declaring dividends or placing limitatio</w:t>
      </w:r>
      <w:r>
        <w:rPr>
          <w:sz w:val="18"/>
          <w:szCs w:val="18"/>
        </w:rPr>
        <w:t xml:space="preserve">ns on our ability to acquire, sell or license intellectual property rights and other operating restrictions that could negatively impact our ability to conduct our business. If we raise additional capital through future collaborations, strategic alliances </w:t>
      </w:r>
      <w:r>
        <w:rPr>
          <w:sz w:val="18"/>
          <w:szCs w:val="18"/>
        </w:rPr>
        <w:t>or third-party licensing arrangements, we may have to relinquish valuable rights to our intellectual property, future revenue streams, research programs or drug candidates, or grant licenses on terms that may not be favorable to us</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If we are unable to rai</w:t>
      </w:r>
      <w:r>
        <w:rPr>
          <w:sz w:val="18"/>
          <w:szCs w:val="18"/>
        </w:rPr>
        <w:t>se additional capital when needed, we may be required to delay, limit, reduce or terminate our drug development or future commercialization efforts, or grant rights to develop and market drug candidates that we would otherwise develop and market ourselves</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Our ability to use our net operating loss (“NOL”) carryforwards and certain other tax attributes to offset future taxable income may be subject to limitation</w:t>
      </w:r>
      <w:r>
        <w:rPr>
          <w:b/>
          <w:bCs/>
          <w:i/>
          <w:iCs/>
          <w:sz w:val="18"/>
          <w:szCs w:val="18"/>
        </w:rPr>
        <w:t>.</w:t>
      </w:r>
    </w:p>
    <w:p w:rsidR="00000000" w:rsidRDefault="00CF461A">
      <w:pPr>
        <w:pStyle w:val="a3"/>
        <w:spacing w:before="120" w:beforeAutospacing="0" w:after="0" w:afterAutospacing="0"/>
        <w:ind w:firstLine="604"/>
        <w:jc w:val="both"/>
        <w:rPr>
          <w:sz w:val="20"/>
          <w:szCs w:val="20"/>
        </w:rPr>
      </w:pPr>
      <w:r>
        <w:rPr>
          <w:sz w:val="18"/>
          <w:szCs w:val="18"/>
        </w:rPr>
        <w:t>Our NOL carryforwards could expire unused and be unavailable to offset future income tax liabili</w:t>
      </w:r>
      <w:r>
        <w:rPr>
          <w:sz w:val="18"/>
          <w:szCs w:val="18"/>
        </w:rPr>
        <w:t>ties because of their limited duration or because of restrictions under U.S. tax law. Our federal NOLs generated in tax years beginning on or before December 31, 2017 are permitted to be carried forward for only 20 years under applicable U.S. tax law. Unde</w:t>
      </w:r>
      <w:r>
        <w:rPr>
          <w:sz w:val="18"/>
          <w:szCs w:val="18"/>
        </w:rPr>
        <w:t>r the Tax Cuts and Jobs Act, or the Tax Act, as modified by the Coronavirus Aid, Relief, and Economic Security Act, or the CARES Act, federal NOLs incurred in taxable years beginning after December 31, 2017 may be carried forward indefinitely, but the util</w:t>
      </w:r>
      <w:r>
        <w:rPr>
          <w:sz w:val="18"/>
          <w:szCs w:val="18"/>
        </w:rPr>
        <w:t>ization of such federal NOLs incurred in the taxable year beginning after December 31, 2020 is limited</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In addition, under Section 382 and Section 383 of the Internal Revenue Code of 1986, as amended, and corresponding provisions of state law, if a corpora</w:t>
      </w:r>
      <w:r>
        <w:rPr>
          <w:sz w:val="18"/>
          <w:szCs w:val="18"/>
        </w:rPr>
        <w:t xml:space="preserve">tion undergoes an “ownership change,” its ability to use its pre-change NOL carryforwards and other pre-change tax attributes (such as research tax credits) to offset its post-change income may be limited. A Section 382 “ownership change” generally occurs </w:t>
      </w:r>
      <w:r>
        <w:rPr>
          <w:sz w:val="18"/>
          <w:szCs w:val="18"/>
        </w:rPr>
        <w:t>if one or more stockholders or groups of stockholders who own at least 5% of our stock increase their ownership by more than 50 percentage points (by value) over their lowest ownership percentage over a rolling three-year period. We may have experienced ow</w:t>
      </w:r>
      <w:r>
        <w:rPr>
          <w:sz w:val="18"/>
          <w:szCs w:val="18"/>
        </w:rPr>
        <w:t>nership changes in the past and may experience ownership changes in the future as a result of shifts in our stock ownership (some of which are outside our control). As a result, if we earn net taxable income, our ability to use our pre-change NOLs to offse</w:t>
      </w:r>
      <w:r>
        <w:rPr>
          <w:sz w:val="18"/>
          <w:szCs w:val="18"/>
        </w:rPr>
        <w:t>t such taxable income may be subject to limitations. Similar provisions of state tax law may also apply to limit our use of accumulated state tax attributes. In addition, at the state level, there may be periods during which the use of NOLs is suspended or</w:t>
      </w:r>
      <w:r>
        <w:rPr>
          <w:sz w:val="18"/>
          <w:szCs w:val="18"/>
        </w:rPr>
        <w:t xml:space="preserve"> otherwise limited, which could accelerate or permanently increase state taxes owed</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For the three months ended March 31, 2022, we recorded no U.S. federal or state income tax provision, based on a pre-tax loss of approximately $15.2 million. As of March 3</w:t>
      </w:r>
      <w:r>
        <w:rPr>
          <w:sz w:val="18"/>
          <w:szCs w:val="18"/>
        </w:rPr>
        <w:t>1, 2022, we had available approximately $171.3 million of unused NOL carryforwards for federal and New York state income tax purposes and approximately $163.9 million of unused NOL carryforwards for New York City income tax purposes, that may be applied ag</w:t>
      </w:r>
      <w:r>
        <w:rPr>
          <w:sz w:val="18"/>
          <w:szCs w:val="18"/>
        </w:rPr>
        <w:t>ainst future taxable income. Our NOL carryforwards are significantly limited such that even if we achieve profitability in future periods, we may not be able to utilize a material portion of our NOL carryforwards and certain other tax attributes, which cou</w:t>
      </w:r>
      <w:r>
        <w:rPr>
          <w:sz w:val="18"/>
          <w:szCs w:val="18"/>
        </w:rPr>
        <w:t>ld have a material adverse effect on cash flow and results of operations</w:t>
      </w:r>
      <w:r>
        <w:rPr>
          <w:sz w:val="18"/>
          <w:szCs w:val="18"/>
        </w:rPr>
        <w:t>.</w:t>
      </w:r>
      <w:r>
        <w:rPr>
          <w:sz w:val="18"/>
          <w:szCs w:val="18"/>
        </w:rPr>
        <w:t xml:space="preserve"> </w:t>
      </w:r>
    </w:p>
    <w:p w:rsidR="00000000" w:rsidRDefault="00CF461A">
      <w:pPr>
        <w:pStyle w:val="a3"/>
        <w:spacing w:before="200" w:beforeAutospacing="0" w:after="0" w:afterAutospacing="0"/>
        <w:jc w:val="both"/>
        <w:rPr>
          <w:sz w:val="20"/>
          <w:szCs w:val="20"/>
        </w:rPr>
      </w:pPr>
      <w:r>
        <w:rPr>
          <w:b/>
          <w:bCs/>
          <w:sz w:val="18"/>
          <w:szCs w:val="18"/>
        </w:rPr>
        <w:t>Risks Related to the Development and Commercialization of Our Drug Candidate</w:t>
      </w:r>
      <w:r>
        <w:rPr>
          <w:b/>
          <w:bCs/>
          <w:sz w:val="18"/>
          <w:szCs w:val="18"/>
        </w:rPr>
        <w:t>s</w:t>
      </w:r>
    </w:p>
    <w:p w:rsidR="00000000" w:rsidRDefault="00CF461A">
      <w:pPr>
        <w:pStyle w:val="a3"/>
        <w:spacing w:before="200" w:beforeAutospacing="0" w:after="0" w:afterAutospacing="0"/>
        <w:jc w:val="both"/>
        <w:rPr>
          <w:sz w:val="20"/>
          <w:szCs w:val="20"/>
        </w:rPr>
      </w:pPr>
      <w:r>
        <w:rPr>
          <w:b/>
          <w:bCs/>
          <w:i/>
          <w:iCs/>
          <w:sz w:val="18"/>
          <w:szCs w:val="18"/>
        </w:rPr>
        <w:t>We are very early in our development efforts and all our drug candidates are in preclinical development</w:t>
      </w:r>
      <w:r>
        <w:rPr>
          <w:b/>
          <w:bCs/>
          <w:i/>
          <w:iCs/>
          <w:sz w:val="18"/>
          <w:szCs w:val="18"/>
        </w:rPr>
        <w:t>. If we are unable to successfully develop, receive regulatory approval for and commercialize our drug candidates for these or any other indications, or successfully develop any other drug candidates, or experience significant delays in doing so, our busin</w:t>
      </w:r>
      <w:r>
        <w:rPr>
          <w:b/>
          <w:bCs/>
          <w:i/>
          <w:iCs/>
          <w:sz w:val="18"/>
          <w:szCs w:val="18"/>
        </w:rPr>
        <w:t>ess will be harmed</w:t>
      </w:r>
      <w:r>
        <w:rPr>
          <w:b/>
          <w:bCs/>
          <w:i/>
          <w:iCs/>
          <w:sz w:val="18"/>
          <w:szCs w:val="18"/>
        </w:rPr>
        <w:t>.</w:t>
      </w:r>
    </w:p>
    <w:p w:rsidR="00000000" w:rsidRDefault="00CF461A">
      <w:pPr>
        <w:pStyle w:val="a3"/>
        <w:spacing w:before="240" w:beforeAutospacing="0" w:after="0" w:afterAutospacing="0"/>
        <w:jc w:val="center"/>
        <w:rPr>
          <w:sz w:val="20"/>
          <w:szCs w:val="20"/>
        </w:rPr>
      </w:pPr>
      <w:r>
        <w:rPr>
          <w:sz w:val="18"/>
          <w:szCs w:val="18"/>
        </w:rPr>
        <w:t>2</w:t>
      </w:r>
      <w:r>
        <w:rPr>
          <w:sz w:val="18"/>
          <w:szCs w:val="18"/>
        </w:rPr>
        <w:t>7</w:t>
      </w:r>
    </w:p>
    <w:p w:rsidR="00000000" w:rsidRDefault="00CF461A">
      <w:pPr>
        <w:rPr>
          <w:rFonts w:eastAsia="Times New Roman"/>
        </w:rPr>
      </w:pPr>
      <w:r>
        <w:rPr>
          <w:rFonts w:eastAsia="Times New Roman"/>
        </w:rPr>
        <w:pict>
          <v:rect id="_x0000_i1053"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jc w:val="both"/>
        <w:rPr>
          <w:sz w:val="20"/>
          <w:szCs w:val="20"/>
        </w:rPr>
      </w:pPr>
      <w:r>
        <w:rPr>
          <w:sz w:val="18"/>
          <w:szCs w:val="18"/>
        </w:rPr>
        <w:t>We are very early in our development efforts and all of the drug candidates (including OV329 and OV350), for which we control developmental and commercial responsibility are still in preclinical</w:t>
      </w:r>
      <w:r>
        <w:rPr>
          <w:sz w:val="18"/>
          <w:szCs w:val="18"/>
        </w:rPr>
        <w:t xml:space="preserve"> development. For example, we previously publicly announced we anticipate filing three investigational new drug (“IND”) applications in three years, beginning in 2022, however we cannot guarantee success of pre-clinical development to achieve all such IND </w:t>
      </w:r>
      <w:r>
        <w:rPr>
          <w:sz w:val="18"/>
          <w:szCs w:val="18"/>
        </w:rPr>
        <w:t>applications. Following IND acceptance, each of our drug candidates will need to be progressed through clinical development in order to achieve regulatory approval, and we will also need to address issues relating to manufacture and supply, which may invol</w:t>
      </w:r>
      <w:r>
        <w:rPr>
          <w:sz w:val="18"/>
          <w:szCs w:val="18"/>
        </w:rPr>
        <w:t>ve building our own capacity and expertise. In order to commercialize any product that achieves regulatory approval, we will need to build a commercial organization or successfully outsource commercialization, all of which will require substantial investme</w:t>
      </w:r>
      <w:r>
        <w:rPr>
          <w:sz w:val="18"/>
          <w:szCs w:val="18"/>
        </w:rPr>
        <w:t>nt and significant marketing efforts before we have the ability to generate any revenue from drug sales. We do not have any drugs that are approved for commercial sale, and we may never be able to develop or commercialize marketable drugs</w:t>
      </w:r>
      <w:r>
        <w:rPr>
          <w:sz w:val="18"/>
          <w:szCs w:val="18"/>
        </w:rPr>
        <w:t>.</w:t>
      </w:r>
    </w:p>
    <w:p w:rsidR="00000000" w:rsidRDefault="00CF461A">
      <w:pPr>
        <w:pStyle w:val="a3"/>
        <w:spacing w:before="132" w:beforeAutospacing="0" w:after="0" w:afterAutospacing="0"/>
        <w:ind w:firstLine="599"/>
        <w:jc w:val="both"/>
        <w:rPr>
          <w:sz w:val="20"/>
          <w:szCs w:val="20"/>
        </w:rPr>
      </w:pPr>
      <w:r>
        <w:rPr>
          <w:sz w:val="18"/>
          <w:szCs w:val="18"/>
        </w:rPr>
        <w:t>Our ability to g</w:t>
      </w:r>
      <w:r>
        <w:rPr>
          <w:sz w:val="18"/>
          <w:szCs w:val="18"/>
        </w:rPr>
        <w:t>enerate revenue from drug sales and achieve profitability depends on our ability, alone or with any current or future collaborative partners, to successfully complete the development of, and obtain the regulatory approvals necessary to commercialize, our c</w:t>
      </w:r>
      <w:r>
        <w:rPr>
          <w:sz w:val="18"/>
          <w:szCs w:val="18"/>
        </w:rPr>
        <w:t xml:space="preserve">urrent and future drug candidates. We do not anticipate generating revenue from drug sales for the next several years, if ever. Our ability to generate revenue from drug sales depends heavily on our, or any current or future collaborators’, success in the </w:t>
      </w:r>
      <w:r>
        <w:rPr>
          <w:sz w:val="18"/>
          <w:szCs w:val="18"/>
        </w:rPr>
        <w:t>following areas, including but not limited to</w:t>
      </w:r>
      <w:r>
        <w:rPr>
          <w:sz w:val="18"/>
          <w:szCs w:val="18"/>
        </w:rPr>
        <w:t>:</w:t>
      </w:r>
    </w:p>
    <w:p w:rsidR="00000000" w:rsidRDefault="00CF461A">
      <w:pPr>
        <w:jc w:val="both"/>
        <w:divId w:val="1326787172"/>
        <w:rPr>
          <w:rFonts w:eastAsia="Times New Roman"/>
        </w:rPr>
      </w:pPr>
      <w:r>
        <w:rPr>
          <w:rFonts w:eastAsia="Times New Roman"/>
          <w:sz w:val="18"/>
          <w:szCs w:val="18"/>
        </w:rPr>
        <w:t>•</w:t>
      </w:r>
    </w:p>
    <w:p w:rsidR="00000000" w:rsidRDefault="00CF461A">
      <w:pPr>
        <w:jc w:val="both"/>
        <w:divId w:val="1495684824"/>
        <w:rPr>
          <w:rFonts w:eastAsia="Times New Roman"/>
        </w:rPr>
      </w:pPr>
      <w:r>
        <w:rPr>
          <w:rFonts w:eastAsia="Times New Roman"/>
          <w:sz w:val="18"/>
          <w:szCs w:val="18"/>
        </w:rPr>
        <w:t>timely and successfully completing preclinical and clinical development of our current and future drug candidates</w:t>
      </w:r>
      <w:r>
        <w:rPr>
          <w:rFonts w:eastAsia="Times New Roman"/>
          <w:sz w:val="18"/>
          <w:szCs w:val="18"/>
        </w:rPr>
        <w:t>;</w:t>
      </w:r>
    </w:p>
    <w:p w:rsidR="00000000" w:rsidRDefault="00CF461A">
      <w:pPr>
        <w:jc w:val="both"/>
        <w:divId w:val="1122259962"/>
        <w:rPr>
          <w:rFonts w:eastAsia="Times New Roman"/>
        </w:rPr>
      </w:pPr>
      <w:r>
        <w:rPr>
          <w:rFonts w:eastAsia="Times New Roman"/>
          <w:sz w:val="18"/>
          <w:szCs w:val="18"/>
        </w:rPr>
        <w:t>•</w:t>
      </w:r>
    </w:p>
    <w:p w:rsidR="00000000" w:rsidRDefault="00CF461A">
      <w:pPr>
        <w:jc w:val="both"/>
        <w:divId w:val="1224484268"/>
        <w:rPr>
          <w:rFonts w:eastAsia="Times New Roman"/>
        </w:rPr>
      </w:pPr>
      <w:r>
        <w:rPr>
          <w:rFonts w:eastAsia="Times New Roman"/>
          <w:sz w:val="18"/>
          <w:szCs w:val="18"/>
        </w:rPr>
        <w:t>obtaining regulatory approvals for our current and future drug candidates for which we successfully complete clinical trials</w:t>
      </w:r>
      <w:r>
        <w:rPr>
          <w:rFonts w:eastAsia="Times New Roman"/>
          <w:sz w:val="18"/>
          <w:szCs w:val="18"/>
        </w:rPr>
        <w:t>;</w:t>
      </w:r>
    </w:p>
    <w:p w:rsidR="00000000" w:rsidRDefault="00CF461A">
      <w:pPr>
        <w:jc w:val="both"/>
        <w:divId w:val="627129533"/>
        <w:rPr>
          <w:rFonts w:eastAsia="Times New Roman"/>
        </w:rPr>
      </w:pPr>
      <w:r>
        <w:rPr>
          <w:rFonts w:eastAsia="Times New Roman"/>
          <w:sz w:val="18"/>
          <w:szCs w:val="18"/>
        </w:rPr>
        <w:t>•</w:t>
      </w:r>
    </w:p>
    <w:p w:rsidR="00000000" w:rsidRDefault="00CF461A">
      <w:pPr>
        <w:jc w:val="both"/>
        <w:divId w:val="1240404340"/>
        <w:rPr>
          <w:rFonts w:eastAsia="Times New Roman"/>
        </w:rPr>
      </w:pPr>
      <w:r>
        <w:rPr>
          <w:rFonts w:eastAsia="Times New Roman"/>
          <w:sz w:val="18"/>
          <w:szCs w:val="18"/>
        </w:rPr>
        <w:t>launching and commercializing any drug candidates for which we obtain regulatory approval by establishing a sales force, marketi</w:t>
      </w:r>
      <w:r>
        <w:rPr>
          <w:rFonts w:eastAsia="Times New Roman"/>
          <w:sz w:val="18"/>
          <w:szCs w:val="18"/>
        </w:rPr>
        <w:t>ng and distribution infrastructure or, alternatively, collaborating with a commercialization partner</w:t>
      </w:r>
      <w:r>
        <w:rPr>
          <w:rFonts w:eastAsia="Times New Roman"/>
          <w:sz w:val="18"/>
          <w:szCs w:val="18"/>
        </w:rPr>
        <w:t>;</w:t>
      </w:r>
    </w:p>
    <w:p w:rsidR="00000000" w:rsidRDefault="00CF461A">
      <w:pPr>
        <w:jc w:val="both"/>
        <w:divId w:val="1385563546"/>
        <w:rPr>
          <w:rFonts w:eastAsia="Times New Roman"/>
        </w:rPr>
      </w:pPr>
      <w:r>
        <w:rPr>
          <w:rFonts w:eastAsia="Times New Roman"/>
          <w:sz w:val="18"/>
          <w:szCs w:val="18"/>
        </w:rPr>
        <w:t>•</w:t>
      </w:r>
    </w:p>
    <w:p w:rsidR="00000000" w:rsidRDefault="00CF461A">
      <w:pPr>
        <w:jc w:val="both"/>
        <w:divId w:val="896935634"/>
        <w:rPr>
          <w:rFonts w:eastAsia="Times New Roman"/>
        </w:rPr>
      </w:pPr>
      <w:r>
        <w:rPr>
          <w:rFonts w:eastAsia="Times New Roman"/>
          <w:sz w:val="18"/>
          <w:szCs w:val="18"/>
        </w:rPr>
        <w:t>qualifying for coverage and adequate reimbursement by government and third-party payors for any drug candidates for which we obtain regulatory approval,</w:t>
      </w:r>
      <w:r>
        <w:rPr>
          <w:rFonts w:eastAsia="Times New Roman"/>
          <w:sz w:val="18"/>
          <w:szCs w:val="18"/>
        </w:rPr>
        <w:t xml:space="preserve"> both in the United States and internationally</w:t>
      </w:r>
      <w:r>
        <w:rPr>
          <w:rFonts w:eastAsia="Times New Roman"/>
          <w:sz w:val="18"/>
          <w:szCs w:val="18"/>
        </w:rPr>
        <w:t>;</w:t>
      </w:r>
    </w:p>
    <w:p w:rsidR="00000000" w:rsidRDefault="00CF461A">
      <w:pPr>
        <w:jc w:val="both"/>
        <w:divId w:val="1271233611"/>
        <w:rPr>
          <w:rFonts w:eastAsia="Times New Roman"/>
        </w:rPr>
      </w:pPr>
      <w:r>
        <w:rPr>
          <w:rFonts w:eastAsia="Times New Roman"/>
          <w:sz w:val="18"/>
          <w:szCs w:val="18"/>
        </w:rPr>
        <w:t>•</w:t>
      </w:r>
    </w:p>
    <w:p w:rsidR="00000000" w:rsidRDefault="00CF461A">
      <w:pPr>
        <w:jc w:val="both"/>
        <w:divId w:val="1574581921"/>
        <w:rPr>
          <w:rFonts w:eastAsia="Times New Roman"/>
        </w:rPr>
      </w:pPr>
      <w:r>
        <w:rPr>
          <w:rFonts w:eastAsia="Times New Roman"/>
          <w:sz w:val="18"/>
          <w:szCs w:val="18"/>
        </w:rPr>
        <w:t>developing, validating and maintaining a commercially viable, sustainable, scalable, reproducible and transferable manufacturing process for our current and future drug candidates that is compliant with cur</w:t>
      </w:r>
      <w:r>
        <w:rPr>
          <w:rFonts w:eastAsia="Times New Roman"/>
          <w:sz w:val="18"/>
          <w:szCs w:val="18"/>
        </w:rPr>
        <w:t>rent good manufacturing practices (“cGMP”)</w:t>
      </w:r>
      <w:r>
        <w:rPr>
          <w:rFonts w:eastAsia="Times New Roman"/>
          <w:sz w:val="18"/>
          <w:szCs w:val="18"/>
        </w:rPr>
        <w:t>;</w:t>
      </w:r>
    </w:p>
    <w:p w:rsidR="00000000" w:rsidRDefault="00CF461A">
      <w:pPr>
        <w:jc w:val="both"/>
        <w:divId w:val="764805341"/>
        <w:rPr>
          <w:rFonts w:eastAsia="Times New Roman"/>
        </w:rPr>
      </w:pPr>
      <w:r>
        <w:rPr>
          <w:rFonts w:eastAsia="Times New Roman"/>
          <w:sz w:val="18"/>
          <w:szCs w:val="18"/>
        </w:rPr>
        <w:t>•</w:t>
      </w:r>
    </w:p>
    <w:p w:rsidR="00000000" w:rsidRDefault="00CF461A">
      <w:pPr>
        <w:jc w:val="both"/>
        <w:divId w:val="1734892725"/>
        <w:rPr>
          <w:rFonts w:eastAsia="Times New Roman"/>
        </w:rPr>
      </w:pPr>
      <w:r>
        <w:rPr>
          <w:rFonts w:eastAsia="Times New Roman"/>
          <w:sz w:val="18"/>
          <w:szCs w:val="18"/>
        </w:rPr>
        <w:t>establishing and maintaining supply and manufacturing relationships with third parties that can provide an adequate amount and quality of drugs and services to support clinical development, as well as the marke</w:t>
      </w:r>
      <w:r>
        <w:rPr>
          <w:rFonts w:eastAsia="Times New Roman"/>
          <w:sz w:val="18"/>
          <w:szCs w:val="18"/>
        </w:rPr>
        <w:t>t demand for our current and future drug candidates, if approved</w:t>
      </w:r>
      <w:r>
        <w:rPr>
          <w:rFonts w:eastAsia="Times New Roman"/>
          <w:sz w:val="18"/>
          <w:szCs w:val="18"/>
        </w:rPr>
        <w:t>;</w:t>
      </w:r>
    </w:p>
    <w:p w:rsidR="00000000" w:rsidRDefault="00CF461A">
      <w:pPr>
        <w:jc w:val="both"/>
        <w:divId w:val="1902520557"/>
        <w:rPr>
          <w:rFonts w:eastAsia="Times New Roman"/>
        </w:rPr>
      </w:pPr>
      <w:r>
        <w:rPr>
          <w:rFonts w:eastAsia="Times New Roman"/>
          <w:sz w:val="18"/>
          <w:szCs w:val="18"/>
        </w:rPr>
        <w:t>•</w:t>
      </w:r>
    </w:p>
    <w:p w:rsidR="00000000" w:rsidRDefault="00CF461A">
      <w:pPr>
        <w:jc w:val="both"/>
        <w:divId w:val="695348934"/>
        <w:rPr>
          <w:rFonts w:eastAsia="Times New Roman"/>
        </w:rPr>
      </w:pPr>
      <w:r>
        <w:rPr>
          <w:rFonts w:eastAsia="Times New Roman"/>
          <w:sz w:val="18"/>
          <w:szCs w:val="18"/>
        </w:rPr>
        <w:t>obtaining market acceptance, if and when approved, of our current or any future drug candidates as a viable treatment option by physicians, patients, third-party payors and others in the m</w:t>
      </w:r>
      <w:r>
        <w:rPr>
          <w:rFonts w:eastAsia="Times New Roman"/>
          <w:sz w:val="18"/>
          <w:szCs w:val="18"/>
        </w:rPr>
        <w:t>edical community</w:t>
      </w:r>
      <w:r>
        <w:rPr>
          <w:rFonts w:eastAsia="Times New Roman"/>
          <w:sz w:val="18"/>
          <w:szCs w:val="18"/>
        </w:rPr>
        <w:t>;</w:t>
      </w:r>
    </w:p>
    <w:p w:rsidR="00000000" w:rsidRDefault="00CF461A">
      <w:pPr>
        <w:jc w:val="both"/>
        <w:divId w:val="1656569163"/>
        <w:rPr>
          <w:rFonts w:eastAsia="Times New Roman"/>
        </w:rPr>
      </w:pPr>
      <w:r>
        <w:rPr>
          <w:rFonts w:eastAsia="Times New Roman"/>
          <w:sz w:val="18"/>
          <w:szCs w:val="18"/>
        </w:rPr>
        <w:t>•</w:t>
      </w:r>
    </w:p>
    <w:p w:rsidR="00000000" w:rsidRDefault="00CF461A">
      <w:pPr>
        <w:jc w:val="both"/>
        <w:divId w:val="409082451"/>
        <w:rPr>
          <w:rFonts w:eastAsia="Times New Roman"/>
        </w:rPr>
      </w:pPr>
      <w:r>
        <w:rPr>
          <w:rFonts w:eastAsia="Times New Roman"/>
          <w:sz w:val="18"/>
          <w:szCs w:val="18"/>
        </w:rPr>
        <w:t>effectively addressing any competing technological and market developments</w:t>
      </w:r>
      <w:r>
        <w:rPr>
          <w:rFonts w:eastAsia="Times New Roman"/>
          <w:sz w:val="18"/>
          <w:szCs w:val="18"/>
        </w:rPr>
        <w:t>;</w:t>
      </w:r>
    </w:p>
    <w:p w:rsidR="00000000" w:rsidRDefault="00CF461A">
      <w:pPr>
        <w:jc w:val="both"/>
        <w:divId w:val="2029288606"/>
        <w:rPr>
          <w:rFonts w:eastAsia="Times New Roman"/>
        </w:rPr>
      </w:pPr>
      <w:r>
        <w:rPr>
          <w:rFonts w:eastAsia="Times New Roman"/>
          <w:sz w:val="18"/>
          <w:szCs w:val="18"/>
        </w:rPr>
        <w:t>•</w:t>
      </w:r>
    </w:p>
    <w:p w:rsidR="00000000" w:rsidRDefault="00CF461A">
      <w:pPr>
        <w:jc w:val="both"/>
        <w:divId w:val="67046087"/>
        <w:rPr>
          <w:rFonts w:eastAsia="Times New Roman"/>
        </w:rPr>
      </w:pPr>
      <w:r>
        <w:rPr>
          <w:rFonts w:eastAsia="Times New Roman"/>
          <w:sz w:val="18"/>
          <w:szCs w:val="18"/>
        </w:rPr>
        <w:t>implementing additional internal systems and infrastructure, as needed</w:t>
      </w:r>
      <w:r>
        <w:rPr>
          <w:rFonts w:eastAsia="Times New Roman"/>
          <w:sz w:val="18"/>
          <w:szCs w:val="18"/>
        </w:rPr>
        <w:t>;</w:t>
      </w:r>
    </w:p>
    <w:p w:rsidR="00000000" w:rsidRDefault="00CF461A">
      <w:pPr>
        <w:jc w:val="both"/>
        <w:divId w:val="310522087"/>
        <w:rPr>
          <w:rFonts w:eastAsia="Times New Roman"/>
        </w:rPr>
      </w:pPr>
      <w:r>
        <w:rPr>
          <w:rFonts w:eastAsia="Times New Roman"/>
          <w:sz w:val="18"/>
          <w:szCs w:val="18"/>
        </w:rPr>
        <w:t>•</w:t>
      </w:r>
    </w:p>
    <w:p w:rsidR="00000000" w:rsidRDefault="00CF461A">
      <w:pPr>
        <w:jc w:val="both"/>
        <w:divId w:val="1549881740"/>
        <w:rPr>
          <w:rFonts w:eastAsia="Times New Roman"/>
        </w:rPr>
      </w:pPr>
      <w:r>
        <w:rPr>
          <w:rFonts w:eastAsia="Times New Roman"/>
          <w:sz w:val="18"/>
          <w:szCs w:val="18"/>
        </w:rPr>
        <w:t>negotiating favorable terms in any collaboration, licensing or other arrangements in</w:t>
      </w:r>
      <w:r>
        <w:rPr>
          <w:rFonts w:eastAsia="Times New Roman"/>
          <w:sz w:val="18"/>
          <w:szCs w:val="18"/>
        </w:rPr>
        <w:t>to which we may enter and performing our obligations pursuant to such arrangements</w:t>
      </w:r>
      <w:r>
        <w:rPr>
          <w:rFonts w:eastAsia="Times New Roman"/>
          <w:sz w:val="18"/>
          <w:szCs w:val="18"/>
        </w:rPr>
        <w:t>;</w:t>
      </w:r>
    </w:p>
    <w:p w:rsidR="00000000" w:rsidRDefault="00CF461A">
      <w:pPr>
        <w:jc w:val="both"/>
        <w:divId w:val="1019309656"/>
        <w:rPr>
          <w:rFonts w:eastAsia="Times New Roman"/>
        </w:rPr>
      </w:pPr>
      <w:r>
        <w:rPr>
          <w:rFonts w:eastAsia="Times New Roman"/>
          <w:sz w:val="18"/>
          <w:szCs w:val="18"/>
        </w:rPr>
        <w:t>•</w:t>
      </w:r>
    </w:p>
    <w:p w:rsidR="00000000" w:rsidRDefault="00CF461A">
      <w:pPr>
        <w:jc w:val="both"/>
        <w:divId w:val="423913908"/>
        <w:rPr>
          <w:rFonts w:eastAsia="Times New Roman"/>
        </w:rPr>
      </w:pPr>
      <w:r>
        <w:rPr>
          <w:rFonts w:eastAsia="Times New Roman"/>
          <w:sz w:val="18"/>
          <w:szCs w:val="18"/>
        </w:rPr>
        <w:t>obtaining and maintaining orphan drug exclusivity for any of our current and future drug candidates for which we obtain regulatory approval</w:t>
      </w:r>
      <w:r>
        <w:rPr>
          <w:rFonts w:eastAsia="Times New Roman"/>
          <w:sz w:val="18"/>
          <w:szCs w:val="18"/>
        </w:rPr>
        <w:t>;</w:t>
      </w:r>
    </w:p>
    <w:p w:rsidR="00000000" w:rsidRDefault="00CF461A">
      <w:pPr>
        <w:jc w:val="both"/>
        <w:divId w:val="632830470"/>
        <w:rPr>
          <w:rFonts w:eastAsia="Times New Roman"/>
        </w:rPr>
      </w:pPr>
      <w:r>
        <w:rPr>
          <w:rFonts w:eastAsia="Times New Roman"/>
          <w:sz w:val="18"/>
          <w:szCs w:val="18"/>
        </w:rPr>
        <w:t>•</w:t>
      </w:r>
    </w:p>
    <w:p w:rsidR="00000000" w:rsidRDefault="00CF461A">
      <w:pPr>
        <w:jc w:val="both"/>
        <w:divId w:val="1007825150"/>
        <w:rPr>
          <w:rFonts w:eastAsia="Times New Roman"/>
        </w:rPr>
      </w:pPr>
      <w:r>
        <w:rPr>
          <w:rFonts w:eastAsia="Times New Roman"/>
          <w:sz w:val="18"/>
          <w:szCs w:val="18"/>
        </w:rPr>
        <w:t>maintaining, protecting and</w:t>
      </w:r>
      <w:r>
        <w:rPr>
          <w:rFonts w:eastAsia="Times New Roman"/>
          <w:sz w:val="18"/>
          <w:szCs w:val="18"/>
        </w:rPr>
        <w:t xml:space="preserve"> expanding our portfolio of intellectual property rights, including patents, trade secrets and know-how</w:t>
      </w:r>
      <w:r>
        <w:rPr>
          <w:rFonts w:eastAsia="Times New Roman"/>
          <w:sz w:val="18"/>
          <w:szCs w:val="18"/>
        </w:rPr>
        <w:t>;</w:t>
      </w:r>
    </w:p>
    <w:p w:rsidR="00000000" w:rsidRDefault="00CF461A">
      <w:pPr>
        <w:jc w:val="both"/>
        <w:divId w:val="30960202"/>
        <w:rPr>
          <w:rFonts w:eastAsia="Times New Roman"/>
        </w:rPr>
      </w:pPr>
      <w:r>
        <w:rPr>
          <w:rFonts w:eastAsia="Times New Roman"/>
          <w:sz w:val="18"/>
          <w:szCs w:val="18"/>
        </w:rPr>
        <w:t>•</w:t>
      </w:r>
    </w:p>
    <w:p w:rsidR="00000000" w:rsidRDefault="00CF461A">
      <w:pPr>
        <w:jc w:val="both"/>
        <w:divId w:val="415135078"/>
        <w:rPr>
          <w:rFonts w:eastAsia="Times New Roman"/>
        </w:rPr>
      </w:pPr>
      <w:r>
        <w:rPr>
          <w:rFonts w:eastAsia="Times New Roman"/>
          <w:sz w:val="18"/>
          <w:szCs w:val="18"/>
        </w:rPr>
        <w:t>avoiding and defending against third-party interference or infringement claims; an</w:t>
      </w:r>
      <w:r>
        <w:rPr>
          <w:rFonts w:eastAsia="Times New Roman"/>
          <w:sz w:val="18"/>
          <w:szCs w:val="18"/>
        </w:rPr>
        <w:t>d</w:t>
      </w:r>
    </w:p>
    <w:p w:rsidR="00000000" w:rsidRDefault="00CF461A">
      <w:pPr>
        <w:jc w:val="both"/>
        <w:divId w:val="479812367"/>
        <w:rPr>
          <w:rFonts w:eastAsia="Times New Roman"/>
        </w:rPr>
      </w:pPr>
      <w:r>
        <w:rPr>
          <w:rFonts w:eastAsia="Times New Roman"/>
          <w:sz w:val="18"/>
          <w:szCs w:val="18"/>
        </w:rPr>
        <w:t>•</w:t>
      </w:r>
    </w:p>
    <w:p w:rsidR="00000000" w:rsidRDefault="00CF461A">
      <w:pPr>
        <w:jc w:val="both"/>
        <w:divId w:val="1322659464"/>
        <w:rPr>
          <w:rFonts w:eastAsia="Times New Roman"/>
        </w:rPr>
      </w:pPr>
      <w:r>
        <w:rPr>
          <w:rFonts w:eastAsia="Times New Roman"/>
          <w:sz w:val="18"/>
          <w:szCs w:val="18"/>
        </w:rPr>
        <w:t>securing appropriate pricing in the United States, the European</w:t>
      </w:r>
      <w:r>
        <w:rPr>
          <w:rFonts w:eastAsia="Times New Roman"/>
          <w:sz w:val="18"/>
          <w:szCs w:val="18"/>
        </w:rPr>
        <w:t xml:space="preserve"> Union and other countries</w:t>
      </w:r>
      <w:r>
        <w:rPr>
          <w:rFonts w:eastAsia="Times New Roman"/>
          <w:sz w:val="18"/>
          <w:szCs w:val="18"/>
        </w:rPr>
        <w:t>.</w:t>
      </w:r>
    </w:p>
    <w:p w:rsidR="00000000" w:rsidRDefault="00CF461A">
      <w:pPr>
        <w:pStyle w:val="a3"/>
        <w:spacing w:before="120" w:beforeAutospacing="0" w:after="0" w:afterAutospacing="0"/>
        <w:ind w:firstLine="555"/>
        <w:jc w:val="both"/>
        <w:rPr>
          <w:sz w:val="20"/>
          <w:szCs w:val="20"/>
        </w:rPr>
      </w:pPr>
      <w:r>
        <w:rPr>
          <w:sz w:val="18"/>
          <w:szCs w:val="18"/>
        </w:rPr>
        <w:t>If we are not successful with respect to one or more of these factors in a timely manner or at all, we could experience significant delays or an inability to successfully commercialize the drug candidates we develop, which would</w:t>
      </w:r>
      <w:r>
        <w:rPr>
          <w:sz w:val="18"/>
          <w:szCs w:val="18"/>
        </w:rPr>
        <w:t xml:space="preserve"> materially harm our business. If we do not receive marketing approvals for any drug candidate we develop, we may not be able to continue our operations</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Our future success is dependent on the successful clinical development, regulatory approval and commer</w:t>
      </w:r>
      <w:r>
        <w:rPr>
          <w:b/>
          <w:bCs/>
          <w:i/>
          <w:iCs/>
          <w:sz w:val="18"/>
          <w:szCs w:val="18"/>
        </w:rPr>
        <w:t xml:space="preserve">cialization of our current and future drug candidates. If we, or our licensees, are not able to obtain the required regulatory approvals, we, or our licensees, will not be able to commercialize our drug candidates, and our ability to generate revenue will </w:t>
      </w:r>
      <w:r>
        <w:rPr>
          <w:b/>
          <w:bCs/>
          <w:i/>
          <w:iCs/>
          <w:sz w:val="18"/>
          <w:szCs w:val="18"/>
        </w:rPr>
        <w:t>be adversely affected</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do not have any drugs that have received regulatory approval. Our business is dependent on our ability to successfully complete preclinical and clinical development of, obtain regulatory approval for, and, if approved, successfully commercialize our cur</w:t>
      </w:r>
      <w:r>
        <w:rPr>
          <w:sz w:val="18"/>
          <w:szCs w:val="18"/>
        </w:rPr>
        <w:t>rent and future drug candidates in a timely manner. Activities associated with the development and commercialization of our current and future drug candidates are subject to comprehensive regulation by the FDA and other regulatory agencies in the United St</w:t>
      </w:r>
      <w:r>
        <w:rPr>
          <w:sz w:val="18"/>
          <w:szCs w:val="18"/>
        </w:rPr>
        <w:t>ates and similar regulatory authorities outside the United States. Failure to obtain regulatory approval in the United States or other jurisdictions would prevent us from commercializing and marketing our current and future drug candidates. An inability to</w:t>
      </w:r>
      <w:r>
        <w:rPr>
          <w:sz w:val="18"/>
          <w:szCs w:val="18"/>
        </w:rPr>
        <w:t xml:space="preserve"> effectively develop and commercialize our current and future drug candidates, whether due to the impacts of the ongoing COVID-19 pandemic or otherwise, could have an adverse effect on our business, financial condition, results of operations and growth pro</w:t>
      </w:r>
      <w:r>
        <w:rPr>
          <w:sz w:val="18"/>
          <w:szCs w:val="18"/>
        </w:rPr>
        <w:t>spects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TAK-935, the most advanced compound we helped to develop, is continuing to be developed by Takeda and is currently in a pivotal trial program. If the pivotal trials are unsuccessful, or the compound is not approved, we will not receive the mileston</w:t>
      </w:r>
      <w:r>
        <w:rPr>
          <w:sz w:val="18"/>
          <w:szCs w:val="18"/>
        </w:rPr>
        <w:t>e payments and royalties from the Takeda License and Termination Agreement. Without those funds, we may need to raise significant additional capital to pursue the development and commercialization of our current and future pipeline</w:t>
      </w:r>
      <w:r>
        <w:rPr>
          <w:sz w:val="18"/>
          <w:szCs w:val="18"/>
        </w:rPr>
        <w:t>.</w:t>
      </w:r>
    </w:p>
    <w:p w:rsidR="00000000" w:rsidRDefault="00CF461A">
      <w:pPr>
        <w:pStyle w:val="a3"/>
        <w:spacing w:before="240" w:beforeAutospacing="0" w:after="0" w:afterAutospacing="0"/>
        <w:jc w:val="center"/>
        <w:rPr>
          <w:sz w:val="20"/>
          <w:szCs w:val="20"/>
        </w:rPr>
      </w:pPr>
      <w:r>
        <w:rPr>
          <w:sz w:val="18"/>
          <w:szCs w:val="18"/>
        </w:rPr>
        <w:t>2</w:t>
      </w:r>
      <w:r>
        <w:rPr>
          <w:sz w:val="18"/>
          <w:szCs w:val="18"/>
        </w:rPr>
        <w:t>8</w:t>
      </w:r>
    </w:p>
    <w:p w:rsidR="00000000" w:rsidRDefault="00CF461A">
      <w:pPr>
        <w:rPr>
          <w:rFonts w:eastAsia="Times New Roman"/>
        </w:rPr>
      </w:pPr>
      <w:r>
        <w:rPr>
          <w:rFonts w:eastAsia="Times New Roman"/>
        </w:rPr>
        <w:pict>
          <v:rect id="_x0000_i1054"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ind w:firstLine="555"/>
        <w:jc w:val="both"/>
        <w:rPr>
          <w:sz w:val="20"/>
          <w:szCs w:val="20"/>
        </w:rPr>
      </w:pPr>
      <w:r>
        <w:rPr>
          <w:sz w:val="18"/>
          <w:szCs w:val="18"/>
        </w:rPr>
        <w:t>Further, activities associated with the development and commercialization of our current and future drug candidates are subject to comprehensive regulation by the FDA and other regulatory agencies in the United States and similar regulato</w:t>
      </w:r>
      <w:r>
        <w:rPr>
          <w:sz w:val="18"/>
          <w:szCs w:val="18"/>
        </w:rPr>
        <w:t>ry authorities outside the United States. Failure to obtain regulatory approval in the United States or other jurisdictions would prevent us from commercializing and marketing our current and future drug candidates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Even if we obtain approval from the FDA </w:t>
      </w:r>
      <w:r>
        <w:rPr>
          <w:sz w:val="18"/>
          <w:szCs w:val="18"/>
        </w:rPr>
        <w:t>and comparable foreign regulatory authorities for our current and future drug candidates, any approval might contain significant limitations related to use restrictions for specified age groups, warnings, precautions or contraindications, or may be subject</w:t>
      </w:r>
      <w:r>
        <w:rPr>
          <w:sz w:val="18"/>
          <w:szCs w:val="18"/>
        </w:rPr>
        <w:t xml:space="preserve"> to burdensome post-approval study or risk management requirements. If we are unable to obtain regulatory approval, or any approval contains significant limitations, we may not be able to obtain sufficient funding or generate sufficient revenue to continue</w:t>
      </w:r>
      <w:r>
        <w:rPr>
          <w:sz w:val="18"/>
          <w:szCs w:val="18"/>
        </w:rPr>
        <w:t xml:space="preserve"> the development of that drug candidate or any other drug candidate that we may in-license, develop or acquire in the future. In certain circumstances, our third-party licensees are responsible for obtaining regulatory approvals in the countries covered by</w:t>
      </w:r>
      <w:r>
        <w:rPr>
          <w:sz w:val="18"/>
          <w:szCs w:val="18"/>
        </w:rPr>
        <w:t xml:space="preserve"> the license, and we are dependent on their efforts in order to achieve the necessary approvals in order to commercialize our products. If any future licensees fail to perform their obligations to develop and obtain regulatory approvals for the licensed pr</w:t>
      </w:r>
      <w:r>
        <w:rPr>
          <w:sz w:val="18"/>
          <w:szCs w:val="18"/>
        </w:rPr>
        <w:t>oducts, we may not be able to commercialize our products in the affected countries, or our ability to do so may be substantially delayed</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Furthermore, even if we obtain regulatory approval for our current and future drug candidates, we will still need to d</w:t>
      </w:r>
      <w:r>
        <w:rPr>
          <w:sz w:val="18"/>
          <w:szCs w:val="18"/>
        </w:rPr>
        <w:t>evelop a commercial organization, establish a commercially viable pricing structure and obtain approval for adequate reimbursement from third-party and government payors. If we are unable to successfully commercialize our current and future drug candidates</w:t>
      </w:r>
      <w:r>
        <w:rPr>
          <w:sz w:val="18"/>
          <w:szCs w:val="18"/>
        </w:rPr>
        <w:t>, we may not be able to generate sufficient revenue to continue our business</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Because the results of preclinical studies or earlier clinical trials are not necessarily predictive of future results, our drug candidates may not have favorable results in plan</w:t>
      </w:r>
      <w:r>
        <w:rPr>
          <w:b/>
          <w:bCs/>
          <w:i/>
          <w:iCs/>
          <w:sz w:val="18"/>
          <w:szCs w:val="18"/>
        </w:rPr>
        <w:t>ned or future preclinical studies or clinical trials, or may not receive regulatory approval</w:t>
      </w:r>
      <w:r>
        <w:rPr>
          <w:b/>
          <w:bCs/>
          <w:i/>
          <w:iCs/>
          <w:sz w:val="18"/>
          <w:szCs w:val="18"/>
        </w:rPr>
        <w:t>.</w:t>
      </w:r>
    </w:p>
    <w:p w:rsidR="00000000" w:rsidRDefault="00CF461A">
      <w:pPr>
        <w:pStyle w:val="a3"/>
        <w:spacing w:before="120" w:beforeAutospacing="0" w:after="0" w:afterAutospacing="0"/>
        <w:ind w:firstLine="506"/>
        <w:jc w:val="both"/>
        <w:rPr>
          <w:sz w:val="20"/>
          <w:szCs w:val="20"/>
        </w:rPr>
      </w:pPr>
      <w:r>
        <w:rPr>
          <w:sz w:val="18"/>
          <w:szCs w:val="18"/>
        </w:rPr>
        <w:t>Success in preclinical testing and early clinical trials does not ensure that subsequent clinical trials will generate similar results or otherwise provide adequa</w:t>
      </w:r>
      <w:r>
        <w:rPr>
          <w:sz w:val="18"/>
          <w:szCs w:val="18"/>
        </w:rPr>
        <w:t>te data to demonstrate the efficacy and safety of a drug candidate. Frequently, drug candidates that have shown promising results in early clinical trials have subsequently suffered significant setbacks in later clinical trials. For instance, our NEPTUNE t</w:t>
      </w:r>
      <w:r>
        <w:rPr>
          <w:sz w:val="18"/>
          <w:szCs w:val="18"/>
        </w:rPr>
        <w:t>rial of OV101, one of our former drug candidates, did not meet its primary endpoints despite earlier encouraging results from our phase 2 trial STARS, the first clinical trial evaluating efficacy of OV101 in patients with Angelman syndrome. We closed our O</w:t>
      </w:r>
      <w:r>
        <w:rPr>
          <w:sz w:val="18"/>
          <w:szCs w:val="18"/>
        </w:rPr>
        <w:t>V101 program in Angelman syndrome in early 2021. The results from preclinical studies of our current and future drug candidates may not be predictive of the effects of these compounds in later stage clinical trials. If we do not observe favorable results i</w:t>
      </w:r>
      <w:r>
        <w:rPr>
          <w:sz w:val="18"/>
          <w:szCs w:val="18"/>
        </w:rPr>
        <w:t>n clinical trials of one of our drug candidates, we may decide to delay or abandon clinical development of that drug candidate. Any such delay or abandonment could harm our business, financial condition, results of operations and prospects</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It is difficult</w:t>
      </w:r>
      <w:r>
        <w:rPr>
          <w:b/>
          <w:bCs/>
          <w:i/>
          <w:iCs/>
          <w:sz w:val="18"/>
          <w:szCs w:val="18"/>
        </w:rPr>
        <w:t xml:space="preserve"> to predict the time and cost of product candidate development and subsequently obtaining regulatory approval for our gene therapy candidates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Our future success depends in part on the successful development of our early-stage gene therapy product candidat</w:t>
      </w:r>
      <w:r>
        <w:rPr>
          <w:sz w:val="18"/>
          <w:szCs w:val="18"/>
        </w:rPr>
        <w:t>es. We may experience delays in developing a sustainable, reproducible, and scalable manufacturing process or transferring that process to internal and external commercial manufacturing sites, which may prevent us from initiating or completing our clinical</w:t>
      </w:r>
      <w:r>
        <w:rPr>
          <w:sz w:val="18"/>
          <w:szCs w:val="18"/>
        </w:rPr>
        <w:t xml:space="preserve"> trials or commercializing our product candidates on a timely or profitable basis, if at all</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The regulatory approval process for novel gene therapy products such as ours can be more expensive and take longer than for other product types, which are better </w:t>
      </w:r>
      <w:r>
        <w:rPr>
          <w:sz w:val="18"/>
          <w:szCs w:val="18"/>
        </w:rPr>
        <w:t>known or more extensively studied to date. Regulatory approaches and requirements for gene therapy products continue to evolve, and any changes could create significant delay and unpredictability for product development and approval as compared to technolo</w:t>
      </w:r>
      <w:r>
        <w:rPr>
          <w:sz w:val="18"/>
          <w:szCs w:val="18"/>
        </w:rPr>
        <w:t>gies with which regulatory authorities have more substantial experience</w:t>
      </w:r>
      <w:r>
        <w:rPr>
          <w:sz w:val="18"/>
          <w:szCs w:val="18"/>
        </w:rPr>
        <w:t>.</w:t>
      </w:r>
      <w:r>
        <w:rPr>
          <w:sz w:val="18"/>
          <w:szCs w:val="18"/>
        </w:rPr>
        <w:t xml:space="preserve"> </w:t>
      </w:r>
    </w:p>
    <w:p w:rsidR="00000000" w:rsidRDefault="00CF461A">
      <w:pPr>
        <w:pStyle w:val="a3"/>
        <w:spacing w:before="120" w:beforeAutospacing="0" w:after="0" w:afterAutospacing="0"/>
        <w:ind w:firstLine="555"/>
        <w:jc w:val="both"/>
        <w:rPr>
          <w:sz w:val="20"/>
          <w:szCs w:val="20"/>
        </w:rPr>
      </w:pPr>
      <w:r>
        <w:rPr>
          <w:sz w:val="18"/>
          <w:szCs w:val="18"/>
        </w:rPr>
        <w:t>Also, before a clinical trial can begin to enroll at a site, each clinical site's Institutional Review Board (“IRB”) and its Institutional Biosafety Committee will have to review the</w:t>
      </w:r>
      <w:r>
        <w:rPr>
          <w:sz w:val="18"/>
          <w:szCs w:val="18"/>
        </w:rPr>
        <w:t xml:space="preserve"> proposed clinical trial to assess appropriateness to conduct the clinical trial at that site. In addition, adverse events in clinical trials of gene therapy products conducted by others may cause the FDA or other regulatory authorities outside the U.S. to</w:t>
      </w:r>
      <w:r>
        <w:rPr>
          <w:sz w:val="18"/>
          <w:szCs w:val="18"/>
        </w:rPr>
        <w:t xml:space="preserve"> change the requirements for human research on or for approval of any of our product candidates</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Negative public opinion and increased regulatory scrutiny of gene therapy and genetic research may damage public perception of our product candidates or advers</w:t>
      </w:r>
      <w:r>
        <w:rPr>
          <w:b/>
          <w:bCs/>
          <w:i/>
          <w:iCs/>
          <w:sz w:val="18"/>
          <w:szCs w:val="18"/>
        </w:rPr>
        <w:t>ely affect our ability to conduct our business or obtain marketing approvals for our product candidates</w:t>
      </w:r>
      <w:r>
        <w:rPr>
          <w:b/>
          <w:bCs/>
          <w:i/>
          <w:iCs/>
          <w:sz w:val="18"/>
          <w:szCs w:val="18"/>
        </w:rPr>
        <w:t>.</w:t>
      </w:r>
    </w:p>
    <w:p w:rsidR="00000000" w:rsidRDefault="00CF461A">
      <w:pPr>
        <w:pStyle w:val="a3"/>
        <w:spacing w:before="120" w:beforeAutospacing="0" w:after="0" w:afterAutospacing="0"/>
        <w:ind w:firstLine="506"/>
        <w:jc w:val="both"/>
        <w:rPr>
          <w:sz w:val="20"/>
          <w:szCs w:val="20"/>
        </w:rPr>
      </w:pPr>
      <w:r>
        <w:rPr>
          <w:sz w:val="18"/>
          <w:szCs w:val="18"/>
        </w:rPr>
        <w:t>Public perception may be influenced by claims that gene therapy is unsafe, and gene therapy may not gain the acceptance of the public or the medical co</w:t>
      </w:r>
      <w:r>
        <w:rPr>
          <w:sz w:val="18"/>
          <w:szCs w:val="18"/>
        </w:rPr>
        <w:t>mmunity. More restrictive government regulations or negative public opinion would have a negative effect on our business or financial condition and may delay or impair the development and commercialization of our product candidates or demand for any produc</w:t>
      </w:r>
      <w:r>
        <w:rPr>
          <w:sz w:val="18"/>
          <w:szCs w:val="18"/>
        </w:rPr>
        <w:t>ts we may develop. Trials using early versions of retroviral vectors, which integrate into, and thereby alter, the host cell’s DNA, have led to several well-publicized adverse events. The risk of serious adverse events remains a concern for gene therapy an</w:t>
      </w:r>
      <w:r>
        <w:rPr>
          <w:sz w:val="18"/>
          <w:szCs w:val="18"/>
        </w:rPr>
        <w:t xml:space="preserve">d we cannot assure that it will not occur in any of our future clinical trials. In addition, there is the potential risk of delayed adverse events following exposure to gene therapy products due to persistent biological activity of the genetic material or </w:t>
      </w:r>
      <w:r>
        <w:rPr>
          <w:sz w:val="18"/>
          <w:szCs w:val="18"/>
        </w:rPr>
        <w:t>other components of products used to carry the genetic material</w:t>
      </w:r>
      <w:r>
        <w:rPr>
          <w:sz w:val="18"/>
          <w:szCs w:val="18"/>
        </w:rPr>
        <w:t>.</w:t>
      </w:r>
    </w:p>
    <w:p w:rsidR="00000000" w:rsidRDefault="00CF461A">
      <w:pPr>
        <w:pStyle w:val="a3"/>
        <w:spacing w:before="120" w:beforeAutospacing="0" w:after="0" w:afterAutospacing="0"/>
        <w:ind w:firstLine="506"/>
        <w:jc w:val="both"/>
        <w:rPr>
          <w:sz w:val="20"/>
          <w:szCs w:val="20"/>
        </w:rPr>
      </w:pPr>
      <w:r>
        <w:rPr>
          <w:sz w:val="18"/>
          <w:szCs w:val="18"/>
        </w:rPr>
        <w:t>Adverse events in trials or studies conducted by us or other parties, even if not ultimately attributable to our product candidates, and resulting publicity, could result in increased governmental regulation, unfavorable public perception, potential regula</w:t>
      </w:r>
      <w:r>
        <w:rPr>
          <w:sz w:val="18"/>
          <w:szCs w:val="18"/>
        </w:rPr>
        <w:t>tory delays in the testing or approval of our product candidates, stricter labeling requirements for those product candidates that are approved and a decrease in demand for any such product candidates</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Interim topline and preliminary results from our clini</w:t>
      </w:r>
      <w:r>
        <w:rPr>
          <w:b/>
          <w:bCs/>
          <w:i/>
          <w:iCs/>
          <w:sz w:val="18"/>
          <w:szCs w:val="18"/>
        </w:rPr>
        <w:t>cal trials that we announce or publish from time to time may change as more patient data become available and are subject to audit and verification procedures, which could result in material changes in the final data</w:t>
      </w:r>
      <w:r>
        <w:rPr>
          <w:b/>
          <w:bCs/>
          <w:i/>
          <w:iCs/>
          <w:sz w:val="18"/>
          <w:szCs w:val="18"/>
        </w:rPr>
        <w:t>.</w:t>
      </w:r>
    </w:p>
    <w:p w:rsidR="00000000" w:rsidRDefault="00CF461A">
      <w:pPr>
        <w:pStyle w:val="a3"/>
        <w:spacing w:before="240" w:beforeAutospacing="0" w:after="0" w:afterAutospacing="0"/>
        <w:jc w:val="center"/>
        <w:rPr>
          <w:sz w:val="20"/>
          <w:szCs w:val="20"/>
        </w:rPr>
      </w:pPr>
      <w:r>
        <w:rPr>
          <w:sz w:val="18"/>
          <w:szCs w:val="18"/>
        </w:rPr>
        <w:t>2</w:t>
      </w:r>
      <w:r>
        <w:rPr>
          <w:sz w:val="18"/>
          <w:szCs w:val="18"/>
        </w:rPr>
        <w:t>9</w:t>
      </w:r>
    </w:p>
    <w:p w:rsidR="00000000" w:rsidRDefault="00CF461A">
      <w:pPr>
        <w:rPr>
          <w:rFonts w:eastAsia="Times New Roman"/>
        </w:rPr>
      </w:pPr>
      <w:r>
        <w:rPr>
          <w:rFonts w:eastAsia="Times New Roman"/>
        </w:rPr>
        <w:pict>
          <v:rect id="_x0000_i1055"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ind w:firstLine="604"/>
        <w:jc w:val="both"/>
        <w:rPr>
          <w:sz w:val="20"/>
          <w:szCs w:val="20"/>
        </w:rPr>
      </w:pPr>
      <w:r>
        <w:rPr>
          <w:sz w:val="18"/>
          <w:szCs w:val="18"/>
        </w:rPr>
        <w:t xml:space="preserve">From time to time, we have and may in the future publish or report preliminary or interim data from our clinical trials. Preliminary or interim data from our clinical trials and those of our partners may not be indicative of the final results of the trial </w:t>
      </w:r>
      <w:r>
        <w:rPr>
          <w:sz w:val="18"/>
          <w:szCs w:val="18"/>
        </w:rPr>
        <w:t>and are subject to the risk that one or more of the clinical outcomes may materially change as patient enrollment continues and/or more patient data become available. Preliminary or topline results also remain subject to audit and verification procedures t</w:t>
      </w:r>
      <w:r>
        <w:rPr>
          <w:sz w:val="18"/>
          <w:szCs w:val="18"/>
        </w:rPr>
        <w:t xml:space="preserve">hat may result in the final data being materially different from the preliminary data we previously published or reported. As a result, preliminary or interim data should be considered carefully and with caution until final data are available. Differences </w:t>
      </w:r>
      <w:r>
        <w:rPr>
          <w:sz w:val="18"/>
          <w:szCs w:val="18"/>
        </w:rPr>
        <w:t>between preliminary or interim data and final data could significantly harm our business prospects and may cause the trading price of our common stock to fluctuate significantly</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Preclinical studies and clinical trials are very expensive, time-consuming an</w:t>
      </w:r>
      <w:r>
        <w:rPr>
          <w:b/>
          <w:bCs/>
          <w:i/>
          <w:iCs/>
          <w:sz w:val="18"/>
          <w:szCs w:val="18"/>
        </w:rPr>
        <w:t xml:space="preserve">d difficult to design and implement and involve uncertain outcomes. Further, we may encounter substantial delays in our clinical trials or we may fail to demonstrate safety and efficacy in our preclinical studies and clinical trials to the satisfaction of </w:t>
      </w:r>
      <w:r>
        <w:rPr>
          <w:b/>
          <w:bCs/>
          <w:i/>
          <w:iCs/>
          <w:sz w:val="18"/>
          <w:szCs w:val="18"/>
        </w:rPr>
        <w:t>applicable regulatory authorities</w:t>
      </w:r>
      <w:r>
        <w:rPr>
          <w:b/>
          <w:bCs/>
          <w:i/>
          <w:iCs/>
          <w:sz w:val="18"/>
          <w:szCs w:val="18"/>
        </w:rPr>
        <w:t>.</w:t>
      </w:r>
    </w:p>
    <w:p w:rsidR="00000000" w:rsidRDefault="00CF461A">
      <w:pPr>
        <w:pStyle w:val="a3"/>
        <w:spacing w:before="120" w:beforeAutospacing="0" w:after="0" w:afterAutospacing="0"/>
        <w:ind w:firstLine="604"/>
        <w:jc w:val="both"/>
        <w:rPr>
          <w:sz w:val="20"/>
          <w:szCs w:val="20"/>
        </w:rPr>
      </w:pPr>
      <w:r>
        <w:rPr>
          <w:sz w:val="18"/>
          <w:szCs w:val="18"/>
        </w:rPr>
        <w:t>All of our current drug candidates are in preclinical development and their risk of failure is high. We must demonstrate through lengthy, complex and expensive preclinical testing and clinical trials that each of our drug</w:t>
      </w:r>
      <w:r>
        <w:rPr>
          <w:sz w:val="18"/>
          <w:szCs w:val="18"/>
        </w:rPr>
        <w:t xml:space="preserve"> candidates are safe and effective for its intended indications before we are prepared to submit a new drug application (“NDA”) or Biologics License Application (“BLA”) for regulatory approval. We cannot predict with any certainty if or when we might submi</w:t>
      </w:r>
      <w:r>
        <w:rPr>
          <w:sz w:val="18"/>
          <w:szCs w:val="18"/>
        </w:rPr>
        <w:t>t an NDA or BLA for any of our product candidates or whether any such application will be approved by the FDA. Human clinical trials are very expensive and difficult to design and implement, in part because they are subject to rigorous review and regulator</w:t>
      </w:r>
      <w:r>
        <w:rPr>
          <w:sz w:val="18"/>
          <w:szCs w:val="18"/>
        </w:rPr>
        <w:t>y requirements by numerous government authorities in the United States and in other countries where we intend to test and market our product candidates. For instance, the FDA may not agree with our proposed endpoints for any future clinical trial of our pr</w:t>
      </w:r>
      <w:r>
        <w:rPr>
          <w:sz w:val="18"/>
          <w:szCs w:val="18"/>
        </w:rPr>
        <w:t>oduct candidates, which may delay the commencement of such clinical trial</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We estimate that the successful completion of clinical trials of our product candidates will take at least several years to complete, if not longer. We cannot guarantee that any cli</w:t>
      </w:r>
      <w:r>
        <w:rPr>
          <w:sz w:val="18"/>
          <w:szCs w:val="18"/>
        </w:rPr>
        <w:t>nical trials will be conducted as planned or completed on schedule, if at all. Furthermore, failure can occur at any stage and we could encounter problems that cause us to abandon or repeat clinical trials. Events that may prevent successful or timely comp</w:t>
      </w:r>
      <w:r>
        <w:rPr>
          <w:sz w:val="18"/>
          <w:szCs w:val="18"/>
        </w:rPr>
        <w:t>letion of clinical development include</w:t>
      </w:r>
      <w:r>
        <w:rPr>
          <w:sz w:val="18"/>
          <w:szCs w:val="18"/>
        </w:rPr>
        <w:t>:</w:t>
      </w:r>
    </w:p>
    <w:p w:rsidR="00000000" w:rsidRDefault="00CF461A">
      <w:pPr>
        <w:jc w:val="both"/>
        <w:divId w:val="184490423"/>
        <w:rPr>
          <w:rFonts w:eastAsia="Times New Roman"/>
        </w:rPr>
      </w:pPr>
      <w:r>
        <w:rPr>
          <w:rFonts w:eastAsia="Times New Roman"/>
          <w:sz w:val="18"/>
          <w:szCs w:val="18"/>
        </w:rPr>
        <w:t>•</w:t>
      </w:r>
    </w:p>
    <w:p w:rsidR="00000000" w:rsidRDefault="00CF461A">
      <w:pPr>
        <w:jc w:val="both"/>
        <w:divId w:val="1804613079"/>
        <w:rPr>
          <w:rFonts w:eastAsia="Times New Roman"/>
        </w:rPr>
      </w:pPr>
      <w:r>
        <w:rPr>
          <w:rFonts w:eastAsia="Times New Roman"/>
          <w:sz w:val="18"/>
          <w:szCs w:val="18"/>
        </w:rPr>
        <w:t>our inability to generate sufficient preclinical, toxicology or other data to support the initiation of clinical trials</w:t>
      </w:r>
      <w:r>
        <w:rPr>
          <w:rFonts w:eastAsia="Times New Roman"/>
          <w:sz w:val="18"/>
          <w:szCs w:val="18"/>
        </w:rPr>
        <w:t>;</w:t>
      </w:r>
    </w:p>
    <w:p w:rsidR="00000000" w:rsidRDefault="00CF461A">
      <w:pPr>
        <w:jc w:val="both"/>
        <w:divId w:val="55858591"/>
        <w:rPr>
          <w:rFonts w:eastAsia="Times New Roman"/>
        </w:rPr>
      </w:pPr>
      <w:r>
        <w:rPr>
          <w:rFonts w:eastAsia="Times New Roman"/>
          <w:sz w:val="18"/>
          <w:szCs w:val="18"/>
        </w:rPr>
        <w:t>•</w:t>
      </w:r>
    </w:p>
    <w:p w:rsidR="00000000" w:rsidRDefault="00CF461A">
      <w:pPr>
        <w:jc w:val="both"/>
        <w:divId w:val="67464356"/>
        <w:rPr>
          <w:rFonts w:eastAsia="Times New Roman"/>
        </w:rPr>
      </w:pPr>
      <w:r>
        <w:rPr>
          <w:rFonts w:eastAsia="Times New Roman"/>
          <w:sz w:val="18"/>
          <w:szCs w:val="18"/>
        </w:rPr>
        <w:t>our inability to develop and validate disease-relevant clinical endpoints</w:t>
      </w:r>
      <w:r>
        <w:rPr>
          <w:rFonts w:eastAsia="Times New Roman"/>
          <w:sz w:val="18"/>
          <w:szCs w:val="18"/>
        </w:rPr>
        <w:t>;</w:t>
      </w:r>
    </w:p>
    <w:p w:rsidR="00000000" w:rsidRDefault="00CF461A">
      <w:pPr>
        <w:jc w:val="both"/>
        <w:divId w:val="406657514"/>
        <w:rPr>
          <w:rFonts w:eastAsia="Times New Roman"/>
        </w:rPr>
      </w:pPr>
      <w:r>
        <w:rPr>
          <w:rFonts w:eastAsia="Times New Roman"/>
          <w:sz w:val="18"/>
          <w:szCs w:val="18"/>
        </w:rPr>
        <w:t>•</w:t>
      </w:r>
    </w:p>
    <w:p w:rsidR="00000000" w:rsidRDefault="00CF461A">
      <w:pPr>
        <w:jc w:val="both"/>
        <w:divId w:val="1375930269"/>
        <w:rPr>
          <w:rFonts w:eastAsia="Times New Roman"/>
        </w:rPr>
      </w:pPr>
      <w:r>
        <w:rPr>
          <w:rFonts w:eastAsia="Times New Roman"/>
          <w:sz w:val="18"/>
          <w:szCs w:val="18"/>
        </w:rPr>
        <w:t>delays in reac</w:t>
      </w:r>
      <w:r>
        <w:rPr>
          <w:rFonts w:eastAsia="Times New Roman"/>
          <w:sz w:val="18"/>
          <w:szCs w:val="18"/>
        </w:rPr>
        <w:t>hing a consensus with regulatory authorities on trial design</w:t>
      </w:r>
      <w:r>
        <w:rPr>
          <w:rFonts w:eastAsia="Times New Roman"/>
          <w:sz w:val="18"/>
          <w:szCs w:val="18"/>
        </w:rPr>
        <w:t>;</w:t>
      </w:r>
    </w:p>
    <w:p w:rsidR="00000000" w:rsidRDefault="00CF461A">
      <w:pPr>
        <w:jc w:val="both"/>
        <w:divId w:val="1902010596"/>
        <w:rPr>
          <w:rFonts w:eastAsia="Times New Roman"/>
        </w:rPr>
      </w:pPr>
      <w:r>
        <w:rPr>
          <w:rFonts w:eastAsia="Times New Roman"/>
          <w:sz w:val="18"/>
          <w:szCs w:val="18"/>
        </w:rPr>
        <w:t>•</w:t>
      </w:r>
    </w:p>
    <w:p w:rsidR="00000000" w:rsidRDefault="00CF461A">
      <w:pPr>
        <w:jc w:val="both"/>
        <w:divId w:val="1212838819"/>
        <w:rPr>
          <w:rFonts w:eastAsia="Times New Roman"/>
        </w:rPr>
      </w:pPr>
      <w:r>
        <w:rPr>
          <w:rFonts w:eastAsia="Times New Roman"/>
          <w:sz w:val="18"/>
          <w:szCs w:val="18"/>
        </w:rPr>
        <w:t>delays in reaching agreement on acceptable terms with prospective clinical research organizations (“CROs”) and clinical trial sites</w:t>
      </w:r>
      <w:r>
        <w:rPr>
          <w:rFonts w:eastAsia="Times New Roman"/>
          <w:sz w:val="18"/>
          <w:szCs w:val="18"/>
        </w:rPr>
        <w:t>;</w:t>
      </w:r>
    </w:p>
    <w:p w:rsidR="00000000" w:rsidRDefault="00CF461A">
      <w:pPr>
        <w:jc w:val="both"/>
        <w:divId w:val="225843286"/>
        <w:rPr>
          <w:rFonts w:eastAsia="Times New Roman"/>
        </w:rPr>
      </w:pPr>
      <w:r>
        <w:rPr>
          <w:rFonts w:eastAsia="Times New Roman"/>
          <w:sz w:val="18"/>
          <w:szCs w:val="18"/>
        </w:rPr>
        <w:t>•</w:t>
      </w:r>
    </w:p>
    <w:p w:rsidR="00000000" w:rsidRDefault="00CF461A">
      <w:pPr>
        <w:jc w:val="both"/>
        <w:divId w:val="708408655"/>
        <w:rPr>
          <w:rFonts w:eastAsia="Times New Roman"/>
        </w:rPr>
      </w:pPr>
      <w:r>
        <w:rPr>
          <w:rFonts w:eastAsia="Times New Roman"/>
          <w:sz w:val="18"/>
          <w:szCs w:val="18"/>
        </w:rPr>
        <w:t>delays in opening investigational sites</w:t>
      </w:r>
      <w:r>
        <w:rPr>
          <w:rFonts w:eastAsia="Times New Roman"/>
          <w:sz w:val="18"/>
          <w:szCs w:val="18"/>
        </w:rPr>
        <w:t>;</w:t>
      </w:r>
    </w:p>
    <w:p w:rsidR="00000000" w:rsidRDefault="00CF461A">
      <w:pPr>
        <w:jc w:val="both"/>
        <w:divId w:val="1135022187"/>
        <w:rPr>
          <w:rFonts w:eastAsia="Times New Roman"/>
        </w:rPr>
      </w:pPr>
      <w:r>
        <w:rPr>
          <w:rFonts w:eastAsia="Times New Roman"/>
          <w:sz w:val="18"/>
          <w:szCs w:val="18"/>
        </w:rPr>
        <w:t>•</w:t>
      </w:r>
    </w:p>
    <w:p w:rsidR="00000000" w:rsidRDefault="00CF461A">
      <w:pPr>
        <w:jc w:val="both"/>
        <w:divId w:val="938876862"/>
        <w:rPr>
          <w:rFonts w:eastAsia="Times New Roman"/>
        </w:rPr>
      </w:pPr>
      <w:r>
        <w:rPr>
          <w:rFonts w:eastAsia="Times New Roman"/>
          <w:sz w:val="18"/>
          <w:szCs w:val="18"/>
        </w:rPr>
        <w:t>delays or diff</w:t>
      </w:r>
      <w:r>
        <w:rPr>
          <w:rFonts w:eastAsia="Times New Roman"/>
          <w:sz w:val="18"/>
          <w:szCs w:val="18"/>
        </w:rPr>
        <w:t>iculty in recruiting and enrollment of suitable patients to participate in our clinical trials, whether as a result of the COVID-19 pandemic or otherwise</w:t>
      </w:r>
      <w:r>
        <w:rPr>
          <w:rFonts w:eastAsia="Times New Roman"/>
          <w:sz w:val="18"/>
          <w:szCs w:val="18"/>
        </w:rPr>
        <w:t>;</w:t>
      </w:r>
    </w:p>
    <w:p w:rsidR="00000000" w:rsidRDefault="00CF461A">
      <w:pPr>
        <w:jc w:val="both"/>
        <w:divId w:val="742334685"/>
        <w:rPr>
          <w:rFonts w:eastAsia="Times New Roman"/>
        </w:rPr>
      </w:pPr>
      <w:r>
        <w:rPr>
          <w:rFonts w:eastAsia="Times New Roman"/>
          <w:sz w:val="18"/>
          <w:szCs w:val="18"/>
        </w:rPr>
        <w:t>•</w:t>
      </w:r>
    </w:p>
    <w:p w:rsidR="00000000" w:rsidRDefault="00CF461A">
      <w:pPr>
        <w:jc w:val="both"/>
        <w:divId w:val="1829202235"/>
        <w:rPr>
          <w:rFonts w:eastAsia="Times New Roman"/>
        </w:rPr>
      </w:pPr>
      <w:r>
        <w:rPr>
          <w:rFonts w:eastAsia="Times New Roman"/>
          <w:sz w:val="18"/>
          <w:szCs w:val="18"/>
        </w:rPr>
        <w:t>imposition of a clinical hold by regulatory authorities because of a serious adverse event, concern</w:t>
      </w:r>
      <w:r>
        <w:rPr>
          <w:rFonts w:eastAsia="Times New Roman"/>
          <w:sz w:val="18"/>
          <w:szCs w:val="18"/>
        </w:rPr>
        <w:t>s with a class of drug candidates or after an inspection of our clinical trial operations or trial sites</w:t>
      </w:r>
      <w:r>
        <w:rPr>
          <w:rFonts w:eastAsia="Times New Roman"/>
          <w:sz w:val="18"/>
          <w:szCs w:val="18"/>
        </w:rPr>
        <w:t>;</w:t>
      </w:r>
    </w:p>
    <w:p w:rsidR="00000000" w:rsidRDefault="00CF461A">
      <w:pPr>
        <w:jc w:val="both"/>
        <w:divId w:val="1032919505"/>
        <w:rPr>
          <w:rFonts w:eastAsia="Times New Roman"/>
        </w:rPr>
      </w:pPr>
      <w:r>
        <w:rPr>
          <w:rFonts w:eastAsia="Times New Roman"/>
          <w:sz w:val="18"/>
          <w:szCs w:val="18"/>
        </w:rPr>
        <w:t>•</w:t>
      </w:r>
    </w:p>
    <w:p w:rsidR="00000000" w:rsidRDefault="00CF461A">
      <w:pPr>
        <w:jc w:val="both"/>
        <w:divId w:val="1387024491"/>
        <w:rPr>
          <w:rFonts w:eastAsia="Times New Roman"/>
        </w:rPr>
      </w:pPr>
      <w:r>
        <w:rPr>
          <w:rFonts w:eastAsia="Times New Roman"/>
          <w:sz w:val="18"/>
          <w:szCs w:val="18"/>
        </w:rPr>
        <w:t>delays in having patients complete participation in a trial or return for post-treatment follow-up</w:t>
      </w:r>
      <w:r>
        <w:rPr>
          <w:rFonts w:eastAsia="Times New Roman"/>
          <w:sz w:val="18"/>
          <w:szCs w:val="18"/>
        </w:rPr>
        <w:t>;</w:t>
      </w:r>
    </w:p>
    <w:p w:rsidR="00000000" w:rsidRDefault="00CF461A">
      <w:pPr>
        <w:jc w:val="both"/>
        <w:divId w:val="1704819408"/>
        <w:rPr>
          <w:rFonts w:eastAsia="Times New Roman"/>
        </w:rPr>
      </w:pPr>
      <w:r>
        <w:rPr>
          <w:rFonts w:eastAsia="Times New Roman"/>
          <w:sz w:val="18"/>
          <w:szCs w:val="18"/>
        </w:rPr>
        <w:t>•</w:t>
      </w:r>
    </w:p>
    <w:p w:rsidR="00000000" w:rsidRDefault="00CF461A">
      <w:pPr>
        <w:jc w:val="both"/>
        <w:divId w:val="1801991491"/>
        <w:rPr>
          <w:rFonts w:eastAsia="Times New Roman"/>
        </w:rPr>
      </w:pPr>
      <w:r>
        <w:rPr>
          <w:rFonts w:eastAsia="Times New Roman"/>
          <w:sz w:val="18"/>
          <w:szCs w:val="18"/>
        </w:rPr>
        <w:t>occurrence of serious adverse events associate</w:t>
      </w:r>
      <w:r>
        <w:rPr>
          <w:rFonts w:eastAsia="Times New Roman"/>
          <w:sz w:val="18"/>
          <w:szCs w:val="18"/>
        </w:rPr>
        <w:t>d with the drug candidate that are viewed to outweigh its potential benefits;</w:t>
      </w:r>
      <w:r>
        <w:rPr>
          <w:rFonts w:eastAsia="Times New Roman"/>
          <w:sz w:val="18"/>
          <w:szCs w:val="18"/>
        </w:rPr>
        <w:t xml:space="preserve"> </w:t>
      </w:r>
    </w:p>
    <w:p w:rsidR="00000000" w:rsidRDefault="00CF461A">
      <w:pPr>
        <w:jc w:val="both"/>
        <w:divId w:val="466974929"/>
        <w:rPr>
          <w:rFonts w:eastAsia="Times New Roman"/>
        </w:rPr>
      </w:pPr>
      <w:r>
        <w:rPr>
          <w:rFonts w:eastAsia="Times New Roman"/>
          <w:sz w:val="18"/>
          <w:szCs w:val="18"/>
        </w:rPr>
        <w:t>•</w:t>
      </w:r>
    </w:p>
    <w:p w:rsidR="00000000" w:rsidRDefault="00CF461A">
      <w:pPr>
        <w:jc w:val="both"/>
        <w:divId w:val="605112489"/>
        <w:rPr>
          <w:rFonts w:eastAsia="Times New Roman"/>
        </w:rPr>
      </w:pPr>
      <w:r>
        <w:rPr>
          <w:rFonts w:eastAsia="Times New Roman"/>
          <w:sz w:val="18"/>
          <w:szCs w:val="18"/>
        </w:rPr>
        <w:t>changes in regulatory requirements and guidance that require amending or submitting new clinical protocols; o</w:t>
      </w:r>
      <w:r>
        <w:rPr>
          <w:rFonts w:eastAsia="Times New Roman"/>
          <w:sz w:val="18"/>
          <w:szCs w:val="18"/>
        </w:rPr>
        <w:t>r</w:t>
      </w:r>
    </w:p>
    <w:p w:rsidR="00000000" w:rsidRDefault="00CF461A">
      <w:pPr>
        <w:jc w:val="both"/>
        <w:divId w:val="406224882"/>
        <w:rPr>
          <w:rFonts w:eastAsia="Times New Roman"/>
        </w:rPr>
      </w:pPr>
      <w:r>
        <w:rPr>
          <w:rFonts w:eastAsia="Times New Roman"/>
          <w:sz w:val="18"/>
          <w:szCs w:val="18"/>
        </w:rPr>
        <w:t>•</w:t>
      </w:r>
    </w:p>
    <w:p w:rsidR="00000000" w:rsidRDefault="00CF461A">
      <w:pPr>
        <w:jc w:val="both"/>
        <w:divId w:val="564992316"/>
        <w:rPr>
          <w:rFonts w:eastAsia="Times New Roman"/>
        </w:rPr>
      </w:pPr>
      <w:r>
        <w:rPr>
          <w:rFonts w:eastAsia="Times New Roman"/>
          <w:sz w:val="18"/>
          <w:szCs w:val="18"/>
        </w:rPr>
        <w:t>business interruptions result</w:t>
      </w:r>
      <w:r>
        <w:rPr>
          <w:rFonts w:eastAsia="Times New Roman"/>
          <w:sz w:val="18"/>
          <w:szCs w:val="18"/>
        </w:rPr>
        <w:t>ing from geo-political actions, including war or the perception that hostilities may be imminent, including the conflict in Ukraine and terrorism, or natural disasters and public health epidemics</w:t>
      </w:r>
      <w:r>
        <w:rPr>
          <w:rFonts w:eastAsia="Times New Roman"/>
          <w:sz w:val="18"/>
          <w:szCs w:val="18"/>
        </w:rPr>
        <w:t>.</w:t>
      </w:r>
    </w:p>
    <w:p w:rsidR="00000000" w:rsidRDefault="00CF461A">
      <w:pPr>
        <w:pStyle w:val="a3"/>
        <w:spacing w:before="120" w:beforeAutospacing="0" w:after="0" w:afterAutospacing="0"/>
        <w:ind w:firstLine="604"/>
        <w:jc w:val="both"/>
        <w:rPr>
          <w:sz w:val="20"/>
          <w:szCs w:val="20"/>
        </w:rPr>
      </w:pPr>
      <w:r>
        <w:rPr>
          <w:sz w:val="18"/>
          <w:szCs w:val="18"/>
        </w:rPr>
        <w:t>Clinical site initiation and patient enrollment may be dela</w:t>
      </w:r>
      <w:r>
        <w:rPr>
          <w:sz w:val="18"/>
          <w:szCs w:val="18"/>
        </w:rPr>
        <w:t>yed due to prioritization of hospital resources toward the COVID-19 pandemic. Patients may not be able to comply with clinical trial protocols if quarantines impede patient movement or interrupt healthcare services. Similarly, our ability to recruit and re</w:t>
      </w:r>
      <w:r>
        <w:rPr>
          <w:sz w:val="18"/>
          <w:szCs w:val="18"/>
        </w:rPr>
        <w:t>tain patients and principal investigators and site staff who, as healthcare providers, may have heightened exposure to COVID-19, could be limited, which in turn could adversely impact our clinical trial operations. Additionally, we may experience interrupt</w:t>
      </w:r>
      <w:r>
        <w:rPr>
          <w:sz w:val="18"/>
          <w:szCs w:val="18"/>
        </w:rPr>
        <w:t>ion of key clinical trial activities, such as clinical trial site monitoring, due to limitations on travel, quarantines or social distancing protocols imposed or recommended by federal or state governments, employers and others in connection with the ongoi</w:t>
      </w:r>
      <w:r>
        <w:rPr>
          <w:sz w:val="18"/>
          <w:szCs w:val="18"/>
        </w:rPr>
        <w:t>ng COVID-19 pandemic. As a result of the COVID-19 pandemic, we have faced and may continue to face delays in meeting our anticipated timelines for our ongoing and planned preclinical studies and clinical trials</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Further, clinical endpoints for certain dise</w:t>
      </w:r>
      <w:r>
        <w:rPr>
          <w:sz w:val="18"/>
          <w:szCs w:val="18"/>
        </w:rPr>
        <w:t>ases we are targeting have not been established, and accordingly we may have to develop new modalities or modify existing endpoints to measure efficacy, which may increase the time it takes for us to commence or complete clinical trials. In addition, we be</w:t>
      </w:r>
      <w:r>
        <w:rPr>
          <w:sz w:val="18"/>
          <w:szCs w:val="18"/>
        </w:rPr>
        <w:t>lieve investigators in this area may be inexperienced in conducting trials in this area due to the current lack of drugs to treat these disorders, which may result in increased time and expense to train investigators and open clinical sites</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 xml:space="preserve">Any inability </w:t>
      </w:r>
      <w:r>
        <w:rPr>
          <w:sz w:val="18"/>
          <w:szCs w:val="18"/>
        </w:rPr>
        <w:t xml:space="preserve">to successfully complete preclinical and clinical development could result in additional costs to us or impair our ability to generate revenue from future drug sales and regulatory and commercialization milestones. In addition, if we make manufacturing or </w:t>
      </w:r>
      <w:r>
        <w:rPr>
          <w:sz w:val="18"/>
          <w:szCs w:val="18"/>
        </w:rPr>
        <w:t>formulation changes to our drug candidates, we may need to conduct additional testing to bridge our modified drug candidate to earlier versions. Clinical trial delays could also shorten any periods during which we may have the exclusive right to commercial</w:t>
      </w:r>
      <w:r>
        <w:rPr>
          <w:sz w:val="18"/>
          <w:szCs w:val="18"/>
        </w:rPr>
        <w:t>ize our drug candidates, if approved, or allow our competitors to bring comparable drugs to market before we do, which could impair our ability to successfully commercialize our drug candidates and may harm our business, financial condition, results of ope</w:t>
      </w:r>
      <w:r>
        <w:rPr>
          <w:sz w:val="18"/>
          <w:szCs w:val="18"/>
        </w:rPr>
        <w:t>rations and prospects</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Additionally, if the results of our clinical trials are inconclusive or if there are safety concerns or serious adverse events associated with our drug candidates, we may</w:t>
      </w:r>
      <w:r>
        <w:rPr>
          <w:sz w:val="18"/>
          <w:szCs w:val="18"/>
        </w:rPr>
        <w:t>:</w:t>
      </w:r>
    </w:p>
    <w:p w:rsidR="00000000" w:rsidRDefault="00CF461A">
      <w:pPr>
        <w:pStyle w:val="a3"/>
        <w:spacing w:before="240" w:beforeAutospacing="0" w:after="0" w:afterAutospacing="0"/>
        <w:jc w:val="center"/>
        <w:rPr>
          <w:sz w:val="20"/>
          <w:szCs w:val="20"/>
        </w:rPr>
      </w:pPr>
      <w:r>
        <w:rPr>
          <w:sz w:val="18"/>
          <w:szCs w:val="18"/>
        </w:rPr>
        <w:t>3</w:t>
      </w:r>
      <w:r>
        <w:rPr>
          <w:sz w:val="18"/>
          <w:szCs w:val="18"/>
        </w:rPr>
        <w:t>0</w:t>
      </w:r>
    </w:p>
    <w:p w:rsidR="00000000" w:rsidRDefault="00CF461A">
      <w:pPr>
        <w:rPr>
          <w:rFonts w:eastAsia="Times New Roman"/>
        </w:rPr>
      </w:pPr>
      <w:r>
        <w:rPr>
          <w:rFonts w:eastAsia="Times New Roman"/>
        </w:rPr>
        <w:pict>
          <v:rect id="_x0000_i1056"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jc w:val="both"/>
        <w:divId w:val="1249582143"/>
        <w:rPr>
          <w:rFonts w:eastAsia="Times New Roman"/>
        </w:rPr>
      </w:pPr>
      <w:r>
        <w:rPr>
          <w:rFonts w:eastAsia="Times New Roman"/>
          <w:sz w:val="18"/>
          <w:szCs w:val="18"/>
        </w:rPr>
        <w:t>•</w:t>
      </w:r>
    </w:p>
    <w:p w:rsidR="00000000" w:rsidRDefault="00CF461A">
      <w:pPr>
        <w:jc w:val="both"/>
        <w:divId w:val="77137445"/>
        <w:rPr>
          <w:rFonts w:eastAsia="Times New Roman"/>
        </w:rPr>
      </w:pPr>
      <w:r>
        <w:rPr>
          <w:rFonts w:eastAsia="Times New Roman"/>
          <w:sz w:val="18"/>
          <w:szCs w:val="18"/>
        </w:rPr>
        <w:t>be delayed in obta</w:t>
      </w:r>
      <w:r>
        <w:rPr>
          <w:rFonts w:eastAsia="Times New Roman"/>
          <w:sz w:val="18"/>
          <w:szCs w:val="18"/>
        </w:rPr>
        <w:t>ining marketing approval, if at all</w:t>
      </w:r>
      <w:r>
        <w:rPr>
          <w:rFonts w:eastAsia="Times New Roman"/>
          <w:sz w:val="18"/>
          <w:szCs w:val="18"/>
        </w:rPr>
        <w:t>;</w:t>
      </w:r>
    </w:p>
    <w:p w:rsidR="00000000" w:rsidRDefault="00CF461A">
      <w:pPr>
        <w:jc w:val="both"/>
        <w:divId w:val="684598814"/>
        <w:rPr>
          <w:rFonts w:eastAsia="Times New Roman"/>
        </w:rPr>
      </w:pPr>
      <w:r>
        <w:rPr>
          <w:rFonts w:eastAsia="Times New Roman"/>
          <w:sz w:val="18"/>
          <w:szCs w:val="18"/>
        </w:rPr>
        <w:t>•</w:t>
      </w:r>
    </w:p>
    <w:p w:rsidR="00000000" w:rsidRDefault="00CF461A">
      <w:pPr>
        <w:jc w:val="both"/>
        <w:divId w:val="797720601"/>
        <w:rPr>
          <w:rFonts w:eastAsia="Times New Roman"/>
        </w:rPr>
      </w:pPr>
      <w:r>
        <w:rPr>
          <w:rFonts w:eastAsia="Times New Roman"/>
          <w:sz w:val="18"/>
          <w:szCs w:val="18"/>
        </w:rPr>
        <w:t>obtain approval for indications or patient populations that are not as broad as intended or desired</w:t>
      </w:r>
      <w:r>
        <w:rPr>
          <w:rFonts w:eastAsia="Times New Roman"/>
          <w:sz w:val="18"/>
          <w:szCs w:val="18"/>
        </w:rPr>
        <w:t>;</w:t>
      </w:r>
    </w:p>
    <w:p w:rsidR="00000000" w:rsidRDefault="00CF461A">
      <w:pPr>
        <w:jc w:val="both"/>
        <w:divId w:val="1770349701"/>
        <w:rPr>
          <w:rFonts w:eastAsia="Times New Roman"/>
        </w:rPr>
      </w:pPr>
      <w:r>
        <w:rPr>
          <w:rFonts w:eastAsia="Times New Roman"/>
          <w:sz w:val="18"/>
          <w:szCs w:val="18"/>
        </w:rPr>
        <w:t>•</w:t>
      </w:r>
    </w:p>
    <w:p w:rsidR="00000000" w:rsidRDefault="00CF461A">
      <w:pPr>
        <w:jc w:val="both"/>
        <w:divId w:val="1917283729"/>
        <w:rPr>
          <w:rFonts w:eastAsia="Times New Roman"/>
        </w:rPr>
      </w:pPr>
      <w:r>
        <w:rPr>
          <w:rFonts w:eastAsia="Times New Roman"/>
          <w:sz w:val="18"/>
          <w:szCs w:val="18"/>
        </w:rPr>
        <w:t>obtain approval with labeling that includes significant use or distribution restrictions or safety warnings</w:t>
      </w:r>
      <w:r>
        <w:rPr>
          <w:rFonts w:eastAsia="Times New Roman"/>
          <w:sz w:val="18"/>
          <w:szCs w:val="18"/>
        </w:rPr>
        <w:t>;</w:t>
      </w:r>
    </w:p>
    <w:p w:rsidR="00000000" w:rsidRDefault="00CF461A">
      <w:pPr>
        <w:jc w:val="both"/>
        <w:divId w:val="782580339"/>
        <w:rPr>
          <w:rFonts w:eastAsia="Times New Roman"/>
        </w:rPr>
      </w:pPr>
      <w:r>
        <w:rPr>
          <w:rFonts w:eastAsia="Times New Roman"/>
          <w:sz w:val="18"/>
          <w:szCs w:val="18"/>
        </w:rPr>
        <w:t>•</w:t>
      </w:r>
    </w:p>
    <w:p w:rsidR="00000000" w:rsidRDefault="00CF461A">
      <w:pPr>
        <w:jc w:val="both"/>
        <w:divId w:val="1842160190"/>
        <w:rPr>
          <w:rFonts w:eastAsia="Times New Roman"/>
        </w:rPr>
      </w:pPr>
      <w:r>
        <w:rPr>
          <w:rFonts w:eastAsia="Times New Roman"/>
          <w:sz w:val="18"/>
          <w:szCs w:val="18"/>
        </w:rPr>
        <w:t>be subject to additional post-marketing testing requirements</w:t>
      </w:r>
      <w:r>
        <w:rPr>
          <w:rFonts w:eastAsia="Times New Roman"/>
          <w:sz w:val="18"/>
          <w:szCs w:val="18"/>
        </w:rPr>
        <w:t>;</w:t>
      </w:r>
    </w:p>
    <w:p w:rsidR="00000000" w:rsidRDefault="00CF461A">
      <w:pPr>
        <w:jc w:val="both"/>
        <w:divId w:val="1559516282"/>
        <w:rPr>
          <w:rFonts w:eastAsia="Times New Roman"/>
        </w:rPr>
      </w:pPr>
      <w:r>
        <w:rPr>
          <w:rFonts w:eastAsia="Times New Roman"/>
          <w:sz w:val="18"/>
          <w:szCs w:val="18"/>
        </w:rPr>
        <w:t>•</w:t>
      </w:r>
    </w:p>
    <w:p w:rsidR="00000000" w:rsidRDefault="00CF461A">
      <w:pPr>
        <w:jc w:val="both"/>
        <w:divId w:val="1881891989"/>
        <w:rPr>
          <w:rFonts w:eastAsia="Times New Roman"/>
        </w:rPr>
      </w:pPr>
      <w:r>
        <w:rPr>
          <w:rFonts w:eastAsia="Times New Roman"/>
          <w:sz w:val="18"/>
          <w:szCs w:val="18"/>
        </w:rPr>
        <w:t>be required to perform additional clinical trials to support approval or be subje</w:t>
      </w:r>
      <w:r>
        <w:rPr>
          <w:rFonts w:eastAsia="Times New Roman"/>
          <w:sz w:val="18"/>
          <w:szCs w:val="18"/>
        </w:rPr>
        <w:t>ct to additional post-marketing testing requirements</w:t>
      </w:r>
      <w:r>
        <w:rPr>
          <w:rFonts w:eastAsia="Times New Roman"/>
          <w:sz w:val="18"/>
          <w:szCs w:val="18"/>
        </w:rPr>
        <w:t>;</w:t>
      </w:r>
    </w:p>
    <w:p w:rsidR="00000000" w:rsidRDefault="00CF461A">
      <w:pPr>
        <w:jc w:val="both"/>
        <w:divId w:val="574509727"/>
        <w:rPr>
          <w:rFonts w:eastAsia="Times New Roman"/>
        </w:rPr>
      </w:pPr>
      <w:r>
        <w:rPr>
          <w:rFonts w:eastAsia="Times New Roman"/>
          <w:sz w:val="18"/>
          <w:szCs w:val="18"/>
        </w:rPr>
        <w:t>•</w:t>
      </w:r>
    </w:p>
    <w:p w:rsidR="00000000" w:rsidRDefault="00CF461A">
      <w:pPr>
        <w:jc w:val="both"/>
        <w:divId w:val="1902205569"/>
        <w:rPr>
          <w:rFonts w:eastAsia="Times New Roman"/>
        </w:rPr>
      </w:pPr>
      <w:r>
        <w:rPr>
          <w:rFonts w:eastAsia="Times New Roman"/>
          <w:sz w:val="18"/>
          <w:szCs w:val="18"/>
        </w:rPr>
        <w:t>have regulatory authorities withdraw, or suspend, their approval of the drug or impose restrictions on its distribution in the form of a modified risk evaluation and mitigation strategy (“REMS”)</w:t>
      </w:r>
      <w:r>
        <w:rPr>
          <w:rFonts w:eastAsia="Times New Roman"/>
          <w:sz w:val="18"/>
          <w:szCs w:val="18"/>
        </w:rPr>
        <w:t>;</w:t>
      </w:r>
    </w:p>
    <w:p w:rsidR="00000000" w:rsidRDefault="00CF461A">
      <w:pPr>
        <w:jc w:val="both"/>
        <w:divId w:val="430467414"/>
        <w:rPr>
          <w:rFonts w:eastAsia="Times New Roman"/>
        </w:rPr>
      </w:pPr>
      <w:r>
        <w:rPr>
          <w:rFonts w:eastAsia="Times New Roman"/>
          <w:sz w:val="18"/>
          <w:szCs w:val="18"/>
        </w:rPr>
        <w:t>•</w:t>
      </w:r>
    </w:p>
    <w:p w:rsidR="00000000" w:rsidRDefault="00CF461A">
      <w:pPr>
        <w:jc w:val="both"/>
        <w:divId w:val="806626384"/>
        <w:rPr>
          <w:rFonts w:eastAsia="Times New Roman"/>
        </w:rPr>
      </w:pPr>
      <w:r>
        <w:rPr>
          <w:rFonts w:eastAsia="Times New Roman"/>
          <w:sz w:val="18"/>
          <w:szCs w:val="18"/>
        </w:rPr>
        <w:t>be</w:t>
      </w:r>
      <w:r>
        <w:rPr>
          <w:rFonts w:eastAsia="Times New Roman"/>
          <w:sz w:val="18"/>
          <w:szCs w:val="18"/>
        </w:rPr>
        <w:t xml:space="preserve"> subject to the addition of labeling statements, such as warnings or contraindications</w:t>
      </w:r>
      <w:r>
        <w:rPr>
          <w:rFonts w:eastAsia="Times New Roman"/>
          <w:sz w:val="18"/>
          <w:szCs w:val="18"/>
        </w:rPr>
        <w:t>;</w:t>
      </w:r>
    </w:p>
    <w:p w:rsidR="00000000" w:rsidRDefault="00CF461A">
      <w:pPr>
        <w:jc w:val="both"/>
        <w:divId w:val="1207448324"/>
        <w:rPr>
          <w:rFonts w:eastAsia="Times New Roman"/>
        </w:rPr>
      </w:pPr>
      <w:r>
        <w:rPr>
          <w:rFonts w:eastAsia="Times New Roman"/>
          <w:sz w:val="18"/>
          <w:szCs w:val="18"/>
        </w:rPr>
        <w:t>•</w:t>
      </w:r>
    </w:p>
    <w:p w:rsidR="00000000" w:rsidRDefault="00CF461A">
      <w:pPr>
        <w:jc w:val="both"/>
        <w:divId w:val="520971069"/>
        <w:rPr>
          <w:rFonts w:eastAsia="Times New Roman"/>
        </w:rPr>
      </w:pPr>
      <w:r>
        <w:rPr>
          <w:rFonts w:eastAsia="Times New Roman"/>
          <w:sz w:val="18"/>
          <w:szCs w:val="18"/>
        </w:rPr>
        <w:t>be sued; o</w:t>
      </w:r>
      <w:r>
        <w:rPr>
          <w:rFonts w:eastAsia="Times New Roman"/>
          <w:sz w:val="18"/>
          <w:szCs w:val="18"/>
        </w:rPr>
        <w:t>r</w:t>
      </w:r>
    </w:p>
    <w:p w:rsidR="00000000" w:rsidRDefault="00CF461A">
      <w:pPr>
        <w:jc w:val="both"/>
        <w:divId w:val="68768379"/>
        <w:rPr>
          <w:rFonts w:eastAsia="Times New Roman"/>
        </w:rPr>
      </w:pPr>
      <w:r>
        <w:rPr>
          <w:rFonts w:eastAsia="Times New Roman"/>
          <w:sz w:val="18"/>
          <w:szCs w:val="18"/>
        </w:rPr>
        <w:t>•</w:t>
      </w:r>
    </w:p>
    <w:p w:rsidR="00000000" w:rsidRDefault="00CF461A">
      <w:pPr>
        <w:jc w:val="both"/>
        <w:divId w:val="785466246"/>
        <w:rPr>
          <w:rFonts w:eastAsia="Times New Roman"/>
        </w:rPr>
      </w:pPr>
      <w:r>
        <w:rPr>
          <w:rFonts w:eastAsia="Times New Roman"/>
          <w:sz w:val="18"/>
          <w:szCs w:val="18"/>
        </w:rPr>
        <w:t>experience damage to our reputation</w:t>
      </w:r>
      <w:r>
        <w:rPr>
          <w:rFonts w:eastAsia="Times New Roman"/>
          <w:sz w:val="18"/>
          <w:szCs w:val="18"/>
        </w:rPr>
        <w:t>.</w:t>
      </w:r>
    </w:p>
    <w:p w:rsidR="00000000" w:rsidRDefault="00CF461A">
      <w:pPr>
        <w:pStyle w:val="a3"/>
        <w:spacing w:before="120" w:beforeAutospacing="0" w:after="0" w:afterAutospacing="0"/>
        <w:ind w:firstLine="604"/>
        <w:jc w:val="both"/>
        <w:rPr>
          <w:sz w:val="20"/>
          <w:szCs w:val="20"/>
        </w:rPr>
      </w:pPr>
      <w:r>
        <w:rPr>
          <w:sz w:val="18"/>
          <w:szCs w:val="18"/>
        </w:rPr>
        <w:t>Our drug development costs will also increase if we experience delays in testing or obtaining marketing approvals. We do not know whether any of our preclinical studies or clinical trials will begin as planned, need to be restructured or be completed on sc</w:t>
      </w:r>
      <w:r>
        <w:rPr>
          <w:sz w:val="18"/>
          <w:szCs w:val="18"/>
        </w:rPr>
        <w:t>hedule, if at all</w:t>
      </w:r>
      <w:r>
        <w:rPr>
          <w:sz w:val="18"/>
          <w:szCs w:val="18"/>
        </w:rPr>
        <w:t>.</w:t>
      </w:r>
    </w:p>
    <w:p w:rsidR="00000000" w:rsidRDefault="00CF461A">
      <w:pPr>
        <w:pStyle w:val="a3"/>
        <w:spacing w:before="120" w:beforeAutospacing="0" w:after="0" w:afterAutospacing="0"/>
        <w:ind w:firstLine="604"/>
        <w:jc w:val="both"/>
        <w:rPr>
          <w:sz w:val="20"/>
          <w:szCs w:val="20"/>
        </w:rPr>
      </w:pPr>
      <w:r>
        <w:rPr>
          <w:sz w:val="18"/>
          <w:szCs w:val="18"/>
        </w:rPr>
        <w:t>Further, we, the FDA or an IRB may suspend our clinical trials at any time if it appears that we or our collaborators are failing to conduct a trial in accordance with regulatory requirements, including the FDA’s current Good Clinical Pr</w:t>
      </w:r>
      <w:r>
        <w:rPr>
          <w:sz w:val="18"/>
          <w:szCs w:val="18"/>
        </w:rPr>
        <w:t>actice (“GCP”) regulations, that we are exposing participants to unacceptable health risks, or if the FDA finds deficiencies in our IND applications or the conduct of these trials. Therefore, we cannot predict with any certainty the schedule for commenceme</w:t>
      </w:r>
      <w:r>
        <w:rPr>
          <w:sz w:val="18"/>
          <w:szCs w:val="18"/>
        </w:rPr>
        <w:t>nt and completion of future clinical trials. If we experience delays in the commencement or completion of our clinical trials, or if we terminate a clinical trial prior to completion, the commercial prospects of our drug candidates could be negatively impa</w:t>
      </w:r>
      <w:r>
        <w:rPr>
          <w:sz w:val="18"/>
          <w:szCs w:val="18"/>
        </w:rPr>
        <w:t>cted, and our ability to generate revenues from our drug candidates may be delayed</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 xml:space="preserve">If we are not successful in discovering, developing and commercializing additional drug candidates, our ability to expand our business and achieve our strategic objectives </w:t>
      </w:r>
      <w:r>
        <w:rPr>
          <w:b/>
          <w:bCs/>
          <w:i/>
          <w:iCs/>
          <w:sz w:val="18"/>
          <w:szCs w:val="18"/>
        </w:rPr>
        <w:t>would be impaired</w:t>
      </w:r>
      <w:r>
        <w:rPr>
          <w:b/>
          <w:bCs/>
          <w:i/>
          <w:iCs/>
          <w:sz w:val="18"/>
          <w:szCs w:val="18"/>
        </w:rPr>
        <w:t>.</w:t>
      </w:r>
    </w:p>
    <w:p w:rsidR="00000000" w:rsidRDefault="00CF461A">
      <w:pPr>
        <w:pStyle w:val="a3"/>
        <w:spacing w:before="120" w:beforeAutospacing="0" w:after="0" w:afterAutospacing="0"/>
        <w:ind w:firstLine="604"/>
        <w:jc w:val="both"/>
        <w:rPr>
          <w:sz w:val="20"/>
          <w:szCs w:val="20"/>
        </w:rPr>
      </w:pPr>
      <w:r>
        <w:rPr>
          <w:sz w:val="18"/>
          <w:szCs w:val="18"/>
        </w:rPr>
        <w:t>A key element of our current strategy is to discover, develop and potentially commercialize a portfolio of drug candidates to treat epilepsies, seizure-related disorders, and rare neurological disorders. However, our business development</w:t>
      </w:r>
      <w:r>
        <w:rPr>
          <w:sz w:val="18"/>
          <w:szCs w:val="18"/>
        </w:rPr>
        <w:t xml:space="preserve"> activities and research activities may present attractive opportunities outside of epilepsies and seizure-related disorders and we may choose to pursue drug candidates in other areas of interest including other disorders that we believe would be in the be</w:t>
      </w:r>
      <w:r>
        <w:rPr>
          <w:sz w:val="18"/>
          <w:szCs w:val="18"/>
        </w:rPr>
        <w:t>st interest of the Company and our stockholders. We plan to continuously review our strategies and modify as necessary based on attractive areas of interest and assets that we choose to pursue. We intend to develop our portfolio of drug candidates by in-li</w:t>
      </w:r>
      <w:r>
        <w:rPr>
          <w:sz w:val="18"/>
          <w:szCs w:val="18"/>
        </w:rPr>
        <w:t>censing and entering into collaborations with leading biopharmaceutical companies or academic institutions for new drug candidates. Identifying new drug candidates requires substantial technical, financial and human resources, whether or not any drug candi</w:t>
      </w:r>
      <w:r>
        <w:rPr>
          <w:sz w:val="18"/>
          <w:szCs w:val="18"/>
        </w:rPr>
        <w:t>dates are ultimately identified. The COVID-19 pandemic could also impact our ability to do in-person due diligence, negotiations and other interactions to identify new opportunities. Even if we identify drug candidates that initially show promise, we may f</w:t>
      </w:r>
      <w:r>
        <w:rPr>
          <w:sz w:val="18"/>
          <w:szCs w:val="18"/>
        </w:rPr>
        <w:t>ail to in-license or acquire these assets and may also fail to successfully develop and commercialize such drug candidates for many reasons, including the following</w:t>
      </w:r>
      <w:r>
        <w:rPr>
          <w:sz w:val="18"/>
          <w:szCs w:val="18"/>
        </w:rPr>
        <w:t>:</w:t>
      </w:r>
    </w:p>
    <w:p w:rsidR="00000000" w:rsidRDefault="00CF461A">
      <w:pPr>
        <w:jc w:val="both"/>
        <w:divId w:val="465633621"/>
        <w:rPr>
          <w:rFonts w:eastAsia="Times New Roman"/>
        </w:rPr>
      </w:pPr>
      <w:r>
        <w:rPr>
          <w:rFonts w:eastAsia="Times New Roman"/>
          <w:sz w:val="18"/>
          <w:szCs w:val="18"/>
        </w:rPr>
        <w:t>•</w:t>
      </w:r>
    </w:p>
    <w:p w:rsidR="00000000" w:rsidRDefault="00CF461A">
      <w:pPr>
        <w:jc w:val="both"/>
        <w:divId w:val="1558009596"/>
        <w:rPr>
          <w:rFonts w:eastAsia="Times New Roman"/>
        </w:rPr>
      </w:pPr>
      <w:r>
        <w:rPr>
          <w:rFonts w:eastAsia="Times New Roman"/>
          <w:sz w:val="18"/>
          <w:szCs w:val="18"/>
        </w:rPr>
        <w:t>the research methodology used may not be successful in identifying potential drug candid</w:t>
      </w:r>
      <w:r>
        <w:rPr>
          <w:rFonts w:eastAsia="Times New Roman"/>
          <w:sz w:val="18"/>
          <w:szCs w:val="18"/>
        </w:rPr>
        <w:t>ates</w:t>
      </w:r>
      <w:r>
        <w:rPr>
          <w:rFonts w:eastAsia="Times New Roman"/>
          <w:sz w:val="18"/>
          <w:szCs w:val="18"/>
        </w:rPr>
        <w:t>;</w:t>
      </w:r>
    </w:p>
    <w:p w:rsidR="00000000" w:rsidRDefault="00CF461A">
      <w:pPr>
        <w:jc w:val="both"/>
        <w:divId w:val="1144586298"/>
        <w:rPr>
          <w:rFonts w:eastAsia="Times New Roman"/>
        </w:rPr>
      </w:pPr>
      <w:r>
        <w:rPr>
          <w:rFonts w:eastAsia="Times New Roman"/>
          <w:sz w:val="18"/>
          <w:szCs w:val="18"/>
        </w:rPr>
        <w:t>•</w:t>
      </w:r>
    </w:p>
    <w:p w:rsidR="00000000" w:rsidRDefault="00CF461A">
      <w:pPr>
        <w:jc w:val="both"/>
        <w:divId w:val="557017277"/>
        <w:rPr>
          <w:rFonts w:eastAsia="Times New Roman"/>
        </w:rPr>
      </w:pPr>
      <w:r>
        <w:rPr>
          <w:rFonts w:eastAsia="Times New Roman"/>
          <w:sz w:val="18"/>
          <w:szCs w:val="18"/>
        </w:rPr>
        <w:t>competitors may develop alternatives that render any drug candidate we develop obsolete</w:t>
      </w:r>
      <w:r>
        <w:rPr>
          <w:rFonts w:eastAsia="Times New Roman"/>
          <w:sz w:val="18"/>
          <w:szCs w:val="18"/>
        </w:rPr>
        <w:t>;</w:t>
      </w:r>
    </w:p>
    <w:p w:rsidR="00000000" w:rsidRDefault="00CF461A">
      <w:pPr>
        <w:jc w:val="both"/>
        <w:divId w:val="1952395560"/>
        <w:rPr>
          <w:rFonts w:eastAsia="Times New Roman"/>
        </w:rPr>
      </w:pPr>
      <w:r>
        <w:rPr>
          <w:rFonts w:eastAsia="Times New Roman"/>
          <w:sz w:val="18"/>
          <w:szCs w:val="18"/>
        </w:rPr>
        <w:t>•</w:t>
      </w:r>
    </w:p>
    <w:p w:rsidR="00000000" w:rsidRDefault="00CF461A">
      <w:pPr>
        <w:jc w:val="both"/>
        <w:divId w:val="1033924502"/>
        <w:rPr>
          <w:rFonts w:eastAsia="Times New Roman"/>
        </w:rPr>
      </w:pPr>
      <w:r>
        <w:rPr>
          <w:rFonts w:eastAsia="Times New Roman"/>
          <w:sz w:val="18"/>
          <w:szCs w:val="18"/>
        </w:rPr>
        <w:t>any drug candidate we develop may nevertheless be covered by third parties’ patents or other exclusive rights</w:t>
      </w:r>
      <w:r>
        <w:rPr>
          <w:rFonts w:eastAsia="Times New Roman"/>
          <w:sz w:val="18"/>
          <w:szCs w:val="18"/>
        </w:rPr>
        <w:t>;</w:t>
      </w:r>
    </w:p>
    <w:p w:rsidR="00000000" w:rsidRDefault="00CF461A">
      <w:pPr>
        <w:jc w:val="both"/>
        <w:divId w:val="2249802"/>
        <w:rPr>
          <w:rFonts w:eastAsia="Times New Roman"/>
        </w:rPr>
      </w:pPr>
      <w:r>
        <w:rPr>
          <w:rFonts w:eastAsia="Times New Roman"/>
          <w:sz w:val="18"/>
          <w:szCs w:val="18"/>
        </w:rPr>
        <w:t>•</w:t>
      </w:r>
    </w:p>
    <w:p w:rsidR="00000000" w:rsidRDefault="00CF461A">
      <w:pPr>
        <w:jc w:val="both"/>
        <w:divId w:val="1327245081"/>
        <w:rPr>
          <w:rFonts w:eastAsia="Times New Roman"/>
        </w:rPr>
      </w:pPr>
      <w:r>
        <w:rPr>
          <w:rFonts w:eastAsia="Times New Roman"/>
          <w:sz w:val="18"/>
          <w:szCs w:val="18"/>
        </w:rPr>
        <w:t>a drug candidate may, on further study, be s</w:t>
      </w:r>
      <w:r>
        <w:rPr>
          <w:rFonts w:eastAsia="Times New Roman"/>
          <w:sz w:val="18"/>
          <w:szCs w:val="18"/>
        </w:rPr>
        <w:t>hown to have harmful side effects or other characteristics that indicate it is unlikely to be effective or otherwise does not meet applicable regulatory criteria</w:t>
      </w:r>
      <w:r>
        <w:rPr>
          <w:rFonts w:eastAsia="Times New Roman"/>
          <w:sz w:val="18"/>
          <w:szCs w:val="18"/>
        </w:rPr>
        <w:t>;</w:t>
      </w:r>
    </w:p>
    <w:p w:rsidR="00000000" w:rsidRDefault="00CF461A">
      <w:pPr>
        <w:jc w:val="both"/>
        <w:divId w:val="1082339394"/>
        <w:rPr>
          <w:rFonts w:eastAsia="Times New Roman"/>
        </w:rPr>
      </w:pPr>
      <w:r>
        <w:rPr>
          <w:rFonts w:eastAsia="Times New Roman"/>
          <w:sz w:val="18"/>
          <w:szCs w:val="18"/>
        </w:rPr>
        <w:t>•</w:t>
      </w:r>
    </w:p>
    <w:p w:rsidR="00000000" w:rsidRDefault="00CF461A">
      <w:pPr>
        <w:jc w:val="both"/>
        <w:divId w:val="1327784224"/>
        <w:rPr>
          <w:rFonts w:eastAsia="Times New Roman"/>
        </w:rPr>
      </w:pPr>
      <w:r>
        <w:rPr>
          <w:rFonts w:eastAsia="Times New Roman"/>
          <w:sz w:val="18"/>
          <w:szCs w:val="18"/>
        </w:rPr>
        <w:t>a drug candidate may not be capable of being produced in commercial quantities at an accept</w:t>
      </w:r>
      <w:r>
        <w:rPr>
          <w:rFonts w:eastAsia="Times New Roman"/>
          <w:sz w:val="18"/>
          <w:szCs w:val="18"/>
        </w:rPr>
        <w:t>able cost, or at all; an</w:t>
      </w:r>
      <w:r>
        <w:rPr>
          <w:rFonts w:eastAsia="Times New Roman"/>
          <w:sz w:val="18"/>
          <w:szCs w:val="18"/>
        </w:rPr>
        <w:t>d</w:t>
      </w:r>
    </w:p>
    <w:p w:rsidR="00000000" w:rsidRDefault="00CF461A">
      <w:pPr>
        <w:jc w:val="both"/>
        <w:divId w:val="1587806498"/>
        <w:rPr>
          <w:rFonts w:eastAsia="Times New Roman"/>
        </w:rPr>
      </w:pPr>
      <w:r>
        <w:rPr>
          <w:rFonts w:eastAsia="Times New Roman"/>
          <w:sz w:val="18"/>
          <w:szCs w:val="18"/>
        </w:rPr>
        <w:t>•</w:t>
      </w:r>
    </w:p>
    <w:p w:rsidR="00000000" w:rsidRDefault="00CF461A">
      <w:pPr>
        <w:jc w:val="both"/>
        <w:divId w:val="1697386329"/>
        <w:rPr>
          <w:rFonts w:eastAsia="Times New Roman"/>
        </w:rPr>
      </w:pPr>
      <w:r>
        <w:rPr>
          <w:rFonts w:eastAsia="Times New Roman"/>
          <w:sz w:val="18"/>
          <w:szCs w:val="18"/>
        </w:rPr>
        <w:t>a drug candidate may not be accepted as safe and effective by physicians, patients, the medical community or third-party payors, even if approved</w:t>
      </w:r>
      <w:r>
        <w:rPr>
          <w:rFonts w:eastAsia="Times New Roman"/>
          <w:sz w:val="18"/>
          <w:szCs w:val="18"/>
        </w:rPr>
        <w:t>.</w:t>
      </w:r>
    </w:p>
    <w:p w:rsidR="00000000" w:rsidRDefault="00CF461A">
      <w:pPr>
        <w:pStyle w:val="a3"/>
        <w:spacing w:before="120" w:beforeAutospacing="0" w:after="0" w:afterAutospacing="0"/>
        <w:ind w:firstLine="604"/>
        <w:jc w:val="both"/>
        <w:rPr>
          <w:sz w:val="20"/>
          <w:szCs w:val="20"/>
        </w:rPr>
      </w:pPr>
      <w:r>
        <w:rPr>
          <w:sz w:val="18"/>
          <w:szCs w:val="18"/>
        </w:rPr>
        <w:t>We have limited financial and management resources and, as a result, we may foreg</w:t>
      </w:r>
      <w:r>
        <w:rPr>
          <w:sz w:val="18"/>
          <w:szCs w:val="18"/>
        </w:rPr>
        <w:t>o or delay the pursuit of opportunities with other drug candidates or for other indications that later prove to have greater market potential. Our resource allocation decisions may cause us to fail to capitalize on viable commercial drugs or profitable mar</w:t>
      </w:r>
      <w:r>
        <w:rPr>
          <w:sz w:val="18"/>
          <w:szCs w:val="18"/>
        </w:rPr>
        <w:t>ket opportunities. If we do not accurately evaluate the commercial potential or target market for a particular drug candidate, we may relinquish valuable rights to that drug candidate through collaboration, licensing or other royalty arrangements in circum</w:t>
      </w:r>
      <w:r>
        <w:rPr>
          <w:sz w:val="18"/>
          <w:szCs w:val="18"/>
        </w:rPr>
        <w:t>stances under which it would have been more advantageous for us to retain sole development and commercialization rights to such drug candidate</w:t>
      </w:r>
      <w:r>
        <w:rPr>
          <w:sz w:val="18"/>
          <w:szCs w:val="18"/>
        </w:rPr>
        <w:t>.</w:t>
      </w:r>
    </w:p>
    <w:p w:rsidR="00000000" w:rsidRDefault="00CF461A">
      <w:pPr>
        <w:pStyle w:val="a3"/>
        <w:spacing w:before="264" w:beforeAutospacing="0" w:after="0" w:afterAutospacing="0"/>
        <w:ind w:firstLine="599"/>
        <w:jc w:val="both"/>
        <w:rPr>
          <w:sz w:val="20"/>
          <w:szCs w:val="20"/>
        </w:rPr>
      </w:pPr>
      <w:r>
        <w:rPr>
          <w:sz w:val="18"/>
          <w:szCs w:val="18"/>
        </w:rPr>
        <w:t xml:space="preserve">If we are unsuccessful in identifying and developing additional drug candidates or are unable to do so, our key </w:t>
      </w:r>
      <w:r>
        <w:rPr>
          <w:sz w:val="18"/>
          <w:szCs w:val="18"/>
        </w:rPr>
        <w:t>growth strategy and business will be harmed</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Enrollment and retention of patients in clinical trials is an expensive and time-consuming process and could be made more difficult or rendered impossible by multiple factors outside our control</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Identifying and</w:t>
      </w:r>
      <w:r>
        <w:rPr>
          <w:sz w:val="18"/>
          <w:szCs w:val="18"/>
        </w:rPr>
        <w:t xml:space="preserve"> qualifying patients to participate in our clinical trials is critical to our success. The number of patients suffering from some of the seizure related disorders and rare neurological disorders we are pursuing is small and has not been established with pr</w:t>
      </w:r>
      <w:r>
        <w:rPr>
          <w:sz w:val="18"/>
          <w:szCs w:val="18"/>
        </w:rPr>
        <w:t>ecision. If the actual number of patients with these disorders is smaller than we anticipate, we may encounter difficulties in enrolling patients in our clinical trials, thereby delaying or preventing development and approval of our drug candidates. Even o</w:t>
      </w:r>
      <w:r>
        <w:rPr>
          <w:sz w:val="18"/>
          <w:szCs w:val="18"/>
        </w:rPr>
        <w:t>nce enrolled we may be unable to retain a sufficient number of patients to complete any of our trials. Patient enrollment and retention in clinical trials depends on many factors, including the size of the patient population, th</w:t>
      </w:r>
      <w:r>
        <w:rPr>
          <w:sz w:val="18"/>
          <w:szCs w:val="18"/>
        </w:rPr>
        <w:t>e</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3</w:t>
      </w:r>
      <w:r>
        <w:rPr>
          <w:sz w:val="18"/>
          <w:szCs w:val="18"/>
        </w:rPr>
        <w:t>1</w:t>
      </w:r>
    </w:p>
    <w:p w:rsidR="00000000" w:rsidRDefault="00CF461A">
      <w:pPr>
        <w:rPr>
          <w:rFonts w:eastAsia="Times New Roman"/>
        </w:rPr>
      </w:pPr>
      <w:r>
        <w:rPr>
          <w:rFonts w:eastAsia="Times New Roman"/>
        </w:rPr>
        <w:pict>
          <v:rect id="_x0000_i1057"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32" w:beforeAutospacing="0" w:after="0" w:afterAutospacing="0"/>
        <w:jc w:val="both"/>
        <w:rPr>
          <w:sz w:val="20"/>
          <w:szCs w:val="20"/>
        </w:rPr>
      </w:pPr>
      <w:r>
        <w:rPr>
          <w:sz w:val="18"/>
          <w:szCs w:val="18"/>
        </w:rPr>
        <w:t>nature of the trial protocol, the existing body of safety and efficacy data, the number and nature of competing treatments and ongoing clinical trials of competing therapies for the same indication, the proximity of pa</w:t>
      </w:r>
      <w:r>
        <w:rPr>
          <w:sz w:val="18"/>
          <w:szCs w:val="18"/>
        </w:rPr>
        <w:t>tients to clinical sites and the eligibility criteria for the trial, any such enrollment issues could cause delays or prevent development and approval of our drug candidates. Because we are focused on addressing seizure-related disorders and rare neurologi</w:t>
      </w:r>
      <w:r>
        <w:rPr>
          <w:sz w:val="18"/>
          <w:szCs w:val="18"/>
        </w:rPr>
        <w:t>cal disorders, there are limited patient pools from which to draw in order to complete our clinical trials in a timely and cost-effective manner. Furthermore, our efforts to build relationships with patient communities may not succeed, which could result i</w:t>
      </w:r>
      <w:r>
        <w:rPr>
          <w:sz w:val="18"/>
          <w:szCs w:val="18"/>
        </w:rPr>
        <w:t>n delays in patient enrollment in our clinical trials. In addition, any negative results we may report in clinical trials of our drug candidate may make it difficult or impossible to recruit and retain patients in other clinical trials of that same drug ca</w:t>
      </w:r>
      <w:r>
        <w:rPr>
          <w:sz w:val="18"/>
          <w:szCs w:val="18"/>
        </w:rPr>
        <w:t>ndidate. Delays or failures in planned patient enrollment or retention may result in increased costs, program delays or both, which could have a harmful effect on our ability to develop our drug candidates, or could render further development impossible</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O</w:t>
      </w:r>
      <w:r>
        <w:rPr>
          <w:b/>
          <w:bCs/>
          <w:i/>
          <w:iCs/>
          <w:sz w:val="18"/>
          <w:szCs w:val="18"/>
        </w:rPr>
        <w:t>ur drug candidates may cause undesirable side effects or have other properties that could delay or prevent their regulatory approval, limit the commercial potential or result in significant negative consequences following any potential marketing approval</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During the conduct of clinical trials, patients report changes in their health, including illnesses, injuries and discomforts, to their doctor. Often, it is not possible to determine whether or not the drug candidate being studied caused these conditions. </w:t>
      </w:r>
      <w:r>
        <w:rPr>
          <w:sz w:val="18"/>
          <w:szCs w:val="18"/>
        </w:rPr>
        <w:t>Regulatory authorities may draw different conclusions or require additional testing to confirm these determinations, if they occur. In addition, it is possible that as we test our drug candidates in larger, longer and more extensive clinical programs, or a</w:t>
      </w:r>
      <w:r>
        <w:rPr>
          <w:sz w:val="18"/>
          <w:szCs w:val="18"/>
        </w:rPr>
        <w:t>s use of these drug candidates becomes more widespread if they receive regulatory approval, illnesses, injuries, discomforts and other adverse events that were observed in earlier trials, as well as conditions that did not occur or went undetected in previ</w:t>
      </w:r>
      <w:r>
        <w:rPr>
          <w:sz w:val="18"/>
          <w:szCs w:val="18"/>
        </w:rPr>
        <w:t xml:space="preserve">ous trials, will be reported by subjects. Many times, side effects are only detectable after investigational drugs are tested in large-scale, Phase 3 trials or, in some cases, after they are made available to patients on a commercial scale after approval. </w:t>
      </w:r>
      <w:r>
        <w:rPr>
          <w:sz w:val="18"/>
          <w:szCs w:val="18"/>
        </w:rPr>
        <w:t>For example, adverse events were reported in certain clinical trials for OV101 and OV935, two of our former drug candidates. If clinical experience indicates that any of our drug candidates causes adverse events or serious or life-threatening adverse event</w:t>
      </w:r>
      <w:r>
        <w:rPr>
          <w:sz w:val="18"/>
          <w:szCs w:val="18"/>
        </w:rPr>
        <w:t>s, the development of that drug candidate may fail or be delayed, or, if the drug candidate has received regulatory approval, such approval may be revoked, which would harm our business, prospects, operating results and financial condition</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Moreover, if we</w:t>
      </w:r>
      <w:r>
        <w:rPr>
          <w:sz w:val="18"/>
          <w:szCs w:val="18"/>
        </w:rPr>
        <w:t xml:space="preserve"> elect, or are required, to delay, suspend or terminate any clinical trial of our drug candidates, the commercial prospects of our drug candidates may be harmed and our ability to generate revenue through their sale may be delayed or eliminated. Any of the</w:t>
      </w:r>
      <w:r>
        <w:rPr>
          <w:sz w:val="18"/>
          <w:szCs w:val="18"/>
        </w:rPr>
        <w:t>se occurrences may harm our business, financial condition and prospects significantly</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Additionally, if any of our drug candidates receive marketing approval, the FDA could require us to include a black box warning in our label or adopt REMS to ensure that</w:t>
      </w:r>
      <w:r>
        <w:rPr>
          <w:sz w:val="18"/>
          <w:szCs w:val="18"/>
        </w:rPr>
        <w:t xml:space="preserve"> the benefits outweigh its risks, which may include, among other things, a medication guide outlining the risks of the drug for distribution to patients and a communication plan to health care practitioners. Furthermore, if we or others later identify unde</w:t>
      </w:r>
      <w:r>
        <w:rPr>
          <w:sz w:val="18"/>
          <w:szCs w:val="18"/>
        </w:rPr>
        <w:t>sirable side effects caused by our drug candidates, several potentially significant negative consequences could result, including</w:t>
      </w:r>
      <w:r>
        <w:rPr>
          <w:sz w:val="18"/>
          <w:szCs w:val="18"/>
        </w:rPr>
        <w:t>:</w:t>
      </w:r>
    </w:p>
    <w:p w:rsidR="00000000" w:rsidRDefault="00CF461A">
      <w:pPr>
        <w:jc w:val="both"/>
        <w:divId w:val="1287002737"/>
        <w:rPr>
          <w:rFonts w:eastAsia="Times New Roman"/>
        </w:rPr>
      </w:pPr>
      <w:r>
        <w:rPr>
          <w:rFonts w:eastAsia="Times New Roman"/>
          <w:sz w:val="18"/>
          <w:szCs w:val="18"/>
        </w:rPr>
        <w:t>•</w:t>
      </w:r>
    </w:p>
    <w:p w:rsidR="00000000" w:rsidRDefault="00CF461A">
      <w:pPr>
        <w:jc w:val="both"/>
        <w:divId w:val="1826513302"/>
        <w:rPr>
          <w:rFonts w:eastAsia="Times New Roman"/>
        </w:rPr>
      </w:pPr>
      <w:r>
        <w:rPr>
          <w:rFonts w:eastAsia="Times New Roman"/>
          <w:sz w:val="18"/>
          <w:szCs w:val="18"/>
        </w:rPr>
        <w:t>regulatory authorities may suspend or withdraw approvals of such drug candidate</w:t>
      </w:r>
      <w:r>
        <w:rPr>
          <w:rFonts w:eastAsia="Times New Roman"/>
          <w:sz w:val="18"/>
          <w:szCs w:val="18"/>
        </w:rPr>
        <w:t>;</w:t>
      </w:r>
    </w:p>
    <w:p w:rsidR="00000000" w:rsidRDefault="00CF461A">
      <w:pPr>
        <w:jc w:val="both"/>
        <w:divId w:val="2134664387"/>
        <w:rPr>
          <w:rFonts w:eastAsia="Times New Roman"/>
        </w:rPr>
      </w:pPr>
      <w:r>
        <w:rPr>
          <w:rFonts w:eastAsia="Times New Roman"/>
          <w:sz w:val="18"/>
          <w:szCs w:val="18"/>
        </w:rPr>
        <w:t>•</w:t>
      </w:r>
    </w:p>
    <w:p w:rsidR="00000000" w:rsidRDefault="00CF461A">
      <w:pPr>
        <w:jc w:val="both"/>
        <w:divId w:val="1893348599"/>
        <w:rPr>
          <w:rFonts w:eastAsia="Times New Roman"/>
        </w:rPr>
      </w:pPr>
      <w:r>
        <w:rPr>
          <w:rFonts w:eastAsia="Times New Roman"/>
          <w:sz w:val="18"/>
          <w:szCs w:val="18"/>
        </w:rPr>
        <w:t>regulatory authorities may require additional warnings on the label</w:t>
      </w:r>
      <w:r>
        <w:rPr>
          <w:rFonts w:eastAsia="Times New Roman"/>
          <w:sz w:val="18"/>
          <w:szCs w:val="18"/>
        </w:rPr>
        <w:t>;</w:t>
      </w:r>
    </w:p>
    <w:p w:rsidR="00000000" w:rsidRDefault="00CF461A">
      <w:pPr>
        <w:jc w:val="both"/>
        <w:divId w:val="1053581309"/>
        <w:rPr>
          <w:rFonts w:eastAsia="Times New Roman"/>
        </w:rPr>
      </w:pPr>
      <w:r>
        <w:rPr>
          <w:rFonts w:eastAsia="Times New Roman"/>
          <w:sz w:val="18"/>
          <w:szCs w:val="18"/>
        </w:rPr>
        <w:t>•</w:t>
      </w:r>
    </w:p>
    <w:p w:rsidR="00000000" w:rsidRDefault="00CF461A">
      <w:pPr>
        <w:jc w:val="both"/>
        <w:divId w:val="653685926"/>
        <w:rPr>
          <w:rFonts w:eastAsia="Times New Roman"/>
        </w:rPr>
      </w:pPr>
      <w:r>
        <w:rPr>
          <w:rFonts w:eastAsia="Times New Roman"/>
          <w:sz w:val="18"/>
          <w:szCs w:val="18"/>
        </w:rPr>
        <w:t>we may be required to change the way a drug candidate is administered or conduct additional clinical t</w:t>
      </w:r>
      <w:r>
        <w:rPr>
          <w:rFonts w:eastAsia="Times New Roman"/>
          <w:sz w:val="18"/>
          <w:szCs w:val="18"/>
        </w:rPr>
        <w:t>rials</w:t>
      </w:r>
      <w:r>
        <w:rPr>
          <w:rFonts w:eastAsia="Times New Roman"/>
          <w:sz w:val="18"/>
          <w:szCs w:val="18"/>
        </w:rPr>
        <w:t>;</w:t>
      </w:r>
    </w:p>
    <w:p w:rsidR="00000000" w:rsidRDefault="00CF461A">
      <w:pPr>
        <w:jc w:val="both"/>
        <w:divId w:val="830482729"/>
        <w:rPr>
          <w:rFonts w:eastAsia="Times New Roman"/>
        </w:rPr>
      </w:pPr>
      <w:r>
        <w:rPr>
          <w:rFonts w:eastAsia="Times New Roman"/>
          <w:sz w:val="18"/>
          <w:szCs w:val="18"/>
        </w:rPr>
        <w:t>•</w:t>
      </w:r>
    </w:p>
    <w:p w:rsidR="00000000" w:rsidRDefault="00CF461A">
      <w:pPr>
        <w:jc w:val="both"/>
        <w:divId w:val="333068537"/>
        <w:rPr>
          <w:rFonts w:eastAsia="Times New Roman"/>
        </w:rPr>
      </w:pPr>
      <w:r>
        <w:rPr>
          <w:rFonts w:eastAsia="Times New Roman"/>
          <w:sz w:val="18"/>
          <w:szCs w:val="18"/>
        </w:rPr>
        <w:t>we could be sued and held liable for harm caused to patients</w:t>
      </w:r>
      <w:r>
        <w:rPr>
          <w:rFonts w:eastAsia="Times New Roman"/>
          <w:sz w:val="18"/>
          <w:szCs w:val="18"/>
        </w:rPr>
        <w:t>;</w:t>
      </w:r>
    </w:p>
    <w:p w:rsidR="00000000" w:rsidRDefault="00CF461A">
      <w:pPr>
        <w:jc w:val="both"/>
        <w:divId w:val="1163810922"/>
        <w:rPr>
          <w:rFonts w:eastAsia="Times New Roman"/>
        </w:rPr>
      </w:pPr>
      <w:r>
        <w:rPr>
          <w:rFonts w:eastAsia="Times New Roman"/>
          <w:sz w:val="18"/>
          <w:szCs w:val="18"/>
        </w:rPr>
        <w:t>•</w:t>
      </w:r>
    </w:p>
    <w:p w:rsidR="00000000" w:rsidRDefault="00CF461A">
      <w:pPr>
        <w:jc w:val="both"/>
        <w:divId w:val="451901347"/>
        <w:rPr>
          <w:rFonts w:eastAsia="Times New Roman"/>
        </w:rPr>
      </w:pPr>
      <w:r>
        <w:rPr>
          <w:rFonts w:eastAsia="Times New Roman"/>
          <w:sz w:val="18"/>
          <w:szCs w:val="18"/>
        </w:rPr>
        <w:t>we may need to conduct a recall; an</w:t>
      </w:r>
      <w:r>
        <w:rPr>
          <w:rFonts w:eastAsia="Times New Roman"/>
          <w:sz w:val="18"/>
          <w:szCs w:val="18"/>
        </w:rPr>
        <w:t>d</w:t>
      </w:r>
    </w:p>
    <w:p w:rsidR="00000000" w:rsidRDefault="00CF461A">
      <w:pPr>
        <w:jc w:val="both"/>
        <w:divId w:val="33314376"/>
        <w:rPr>
          <w:rFonts w:eastAsia="Times New Roman"/>
        </w:rPr>
      </w:pPr>
      <w:r>
        <w:rPr>
          <w:rFonts w:eastAsia="Times New Roman"/>
          <w:sz w:val="18"/>
          <w:szCs w:val="18"/>
        </w:rPr>
        <w:t>•</w:t>
      </w:r>
    </w:p>
    <w:p w:rsidR="00000000" w:rsidRDefault="00CF461A">
      <w:pPr>
        <w:jc w:val="both"/>
        <w:divId w:val="245380290"/>
        <w:rPr>
          <w:rFonts w:eastAsia="Times New Roman"/>
        </w:rPr>
      </w:pPr>
      <w:r>
        <w:rPr>
          <w:rFonts w:eastAsia="Times New Roman"/>
          <w:sz w:val="18"/>
          <w:szCs w:val="18"/>
        </w:rPr>
        <w:t>our reputation may suffer</w:t>
      </w:r>
      <w:r>
        <w:rPr>
          <w:rFonts w:eastAsia="Times New Roman"/>
          <w:sz w:val="18"/>
          <w:szCs w:val="18"/>
        </w:rPr>
        <w:t>.</w:t>
      </w:r>
    </w:p>
    <w:p w:rsidR="00000000" w:rsidRDefault="00CF461A">
      <w:pPr>
        <w:pStyle w:val="a3"/>
        <w:spacing w:before="264" w:beforeAutospacing="0" w:after="0" w:afterAutospacing="0"/>
        <w:ind w:firstLine="599"/>
        <w:jc w:val="both"/>
        <w:rPr>
          <w:sz w:val="20"/>
          <w:szCs w:val="20"/>
        </w:rPr>
      </w:pPr>
      <w:r>
        <w:rPr>
          <w:sz w:val="18"/>
          <w:szCs w:val="18"/>
        </w:rPr>
        <w:t>Any of these events could prevent us from achieving or maintaining market acceptance of our drug candidates and could significantly harm our business, prospects, financial condition and results of operations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If the market opportunities for our drug candid</w:t>
      </w:r>
      <w:r>
        <w:rPr>
          <w:b/>
          <w:bCs/>
          <w:i/>
          <w:iCs/>
          <w:sz w:val="18"/>
          <w:szCs w:val="18"/>
        </w:rPr>
        <w:t>ates are smaller than we believe they are, even assuming approval of a drug candidate, our business may suffer. Because the patient populations in the market for our drug candidates may be small or difficult to assess, we must be able to successfully ident</w:t>
      </w:r>
      <w:r>
        <w:rPr>
          <w:b/>
          <w:bCs/>
          <w:i/>
          <w:iCs/>
          <w:sz w:val="18"/>
          <w:szCs w:val="18"/>
        </w:rPr>
        <w:t>ify patients and acquire a significant market share to achieve profitability and growth</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 xml:space="preserve">We focus our research and drug development on treatments for epilepsies, seizure-related disorders and rare neurological disorders. Given the small number of patients </w:t>
      </w:r>
      <w:r>
        <w:rPr>
          <w:sz w:val="18"/>
          <w:szCs w:val="18"/>
        </w:rPr>
        <w:t>who have the disorders that we are targeting, our eligible patient population and pricing estimates may differ significantly from the actual market addressable by our drug candidates. Our projections of both the number of people who have these disorders, a</w:t>
      </w:r>
      <w:r>
        <w:rPr>
          <w:sz w:val="18"/>
          <w:szCs w:val="18"/>
        </w:rPr>
        <w:t>s well as the subset of people with these disorders who have the potential to benefit from treatment with our drug candidates, are based on our beliefs and estimates. These estimates have been derived from a variety of sources, including the scientific lit</w:t>
      </w:r>
      <w:r>
        <w:rPr>
          <w:sz w:val="18"/>
          <w:szCs w:val="18"/>
        </w:rPr>
        <w:t>erature, patient foundations, or market research, and may prove to be incorrect. Further, new studies may change the estimated incidence or prevalence of these disorders. The number of patients may turn out to be lower than expected. Likewise, the potentia</w:t>
      </w:r>
      <w:r>
        <w:rPr>
          <w:sz w:val="18"/>
          <w:szCs w:val="18"/>
        </w:rPr>
        <w:t>lly addressable patient population for each of our drug candidates may be limited or may not be amenable to treatment with our drug candidates, and new patients may become increasingly difficult to identify or gain access to, which would adversely affect o</w:t>
      </w:r>
      <w:r>
        <w:rPr>
          <w:sz w:val="18"/>
          <w:szCs w:val="18"/>
        </w:rPr>
        <w:t>ur results of operations and our business</w:t>
      </w:r>
      <w:r>
        <w:rPr>
          <w:sz w:val="18"/>
          <w:szCs w:val="18"/>
        </w:rPr>
        <w:t>.</w:t>
      </w:r>
      <w:r>
        <w:rPr>
          <w:sz w:val="18"/>
          <w:szCs w:val="18"/>
        </w:rPr>
        <w:t xml:space="preserve"> </w:t>
      </w:r>
    </w:p>
    <w:p w:rsidR="00000000" w:rsidRDefault="00CF461A">
      <w:pPr>
        <w:pStyle w:val="a3"/>
        <w:spacing w:before="120" w:beforeAutospacing="0" w:after="0" w:afterAutospacing="0"/>
        <w:jc w:val="both"/>
        <w:rPr>
          <w:sz w:val="20"/>
          <w:szCs w:val="20"/>
        </w:rPr>
      </w:pPr>
      <w:r>
        <w:rPr>
          <w:b/>
          <w:bCs/>
          <w:i/>
          <w:iCs/>
          <w:sz w:val="18"/>
          <w:szCs w:val="18"/>
        </w:rPr>
        <w:t>We face substantial competition, which may result in others developing or commercializing drugs before or more successfully than us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development and commercialization of new drugs is highly competitive. We fa</w:t>
      </w:r>
      <w:r>
        <w:rPr>
          <w:sz w:val="18"/>
          <w:szCs w:val="18"/>
        </w:rPr>
        <w:t>ce competition with respect to our current drug candidates and will face competition with respect to any other drug candidates that we may seek to develop or commercialize in the future, from major pharmaceutical companies, specialty pharmaceutical compani</w:t>
      </w:r>
      <w:r>
        <w:rPr>
          <w:sz w:val="18"/>
          <w:szCs w:val="18"/>
        </w:rPr>
        <w:t>es and biotechnology companies worldwide. There are a number of large pharmaceutical and biotechnology companies that currently market and sell drugs or are pursuing the development of drug candidates for the treatment of the indications that we are pursui</w:t>
      </w:r>
      <w:r>
        <w:rPr>
          <w:sz w:val="18"/>
          <w:szCs w:val="18"/>
        </w:rPr>
        <w:t>ng. Potential competitors also include academic institutions, government agencies and other public and private research organizations that conduct research, seek patent protection and establish collaborative arrangements for research, development, manufact</w:t>
      </w:r>
      <w:r>
        <w:rPr>
          <w:sz w:val="18"/>
          <w:szCs w:val="18"/>
        </w:rPr>
        <w:t>uring and commercialization</w:t>
      </w:r>
      <w:r>
        <w:rPr>
          <w:sz w:val="18"/>
          <w:szCs w:val="18"/>
        </w:rPr>
        <w:t>.</w:t>
      </w:r>
    </w:p>
    <w:p w:rsidR="00000000" w:rsidRDefault="00CF461A">
      <w:pPr>
        <w:pStyle w:val="a3"/>
        <w:spacing w:before="240" w:beforeAutospacing="0" w:after="0" w:afterAutospacing="0"/>
        <w:jc w:val="center"/>
        <w:rPr>
          <w:sz w:val="20"/>
          <w:szCs w:val="20"/>
        </w:rPr>
      </w:pPr>
      <w:r>
        <w:rPr>
          <w:sz w:val="18"/>
          <w:szCs w:val="18"/>
        </w:rPr>
        <w:t>3</w:t>
      </w:r>
      <w:r>
        <w:rPr>
          <w:sz w:val="18"/>
          <w:szCs w:val="18"/>
        </w:rPr>
        <w:t>2</w:t>
      </w:r>
    </w:p>
    <w:p w:rsidR="00000000" w:rsidRDefault="00CF461A">
      <w:pPr>
        <w:rPr>
          <w:rFonts w:eastAsia="Times New Roman"/>
        </w:rPr>
      </w:pPr>
      <w:r>
        <w:rPr>
          <w:rFonts w:eastAsia="Times New Roman"/>
        </w:rPr>
        <w:pict>
          <v:rect id="_x0000_i1058"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ind w:firstLine="555"/>
        <w:jc w:val="both"/>
        <w:rPr>
          <w:sz w:val="20"/>
          <w:szCs w:val="20"/>
        </w:rPr>
      </w:pPr>
      <w:r>
        <w:rPr>
          <w:sz w:val="18"/>
          <w:szCs w:val="18"/>
        </w:rPr>
        <w:t>More established companies may have a competitive advantage over us due to their greater size, resources and institutional experience. In particular, these companies have greater experie</w:t>
      </w:r>
      <w:r>
        <w:rPr>
          <w:sz w:val="18"/>
          <w:szCs w:val="18"/>
        </w:rPr>
        <w:t>nce and expertise in securing reimbursement, government contracts, relationships with key opinion leaders, conducting testing and clinical trials, obtaining and maintaining regulatory approvals and distribution relationships to market products, and marketi</w:t>
      </w:r>
      <w:r>
        <w:rPr>
          <w:sz w:val="18"/>
          <w:szCs w:val="18"/>
        </w:rPr>
        <w:t>ng approved drugs. These companies also have significantly greater research and marketing capabilities than we do. If we are not able to compete effectively against existing and potential competitors, our business and financial condition may be harmed</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As </w:t>
      </w:r>
      <w:r>
        <w:rPr>
          <w:sz w:val="18"/>
          <w:szCs w:val="18"/>
        </w:rPr>
        <w:t>a result of these factors, our competitors may obtain regulatory approval of their drugs before we are able to, which may limit our ability to develop or commercialize our drug candidates. Our competitors may also develop therapies that are safer, more eff</w:t>
      </w:r>
      <w:r>
        <w:rPr>
          <w:sz w:val="18"/>
          <w:szCs w:val="18"/>
        </w:rPr>
        <w:t>ective, more widely accepted and cheaper than ours, and may also be more successful than us in manufacturing and marketing their drugs. These appreciable advantages could render our drug candidates obsolete or non-competitive before we can recover the expe</w:t>
      </w:r>
      <w:r>
        <w:rPr>
          <w:sz w:val="18"/>
          <w:szCs w:val="18"/>
        </w:rPr>
        <w:t>nses of such drug candidates’ development and commercialization</w:t>
      </w:r>
      <w:r>
        <w:rPr>
          <w:sz w:val="18"/>
          <w:szCs w:val="18"/>
        </w:rPr>
        <w:t>.</w:t>
      </w:r>
    </w:p>
    <w:p w:rsidR="00000000" w:rsidRDefault="00CF461A">
      <w:pPr>
        <w:pStyle w:val="a3"/>
        <w:spacing w:before="120" w:beforeAutospacing="0" w:after="0" w:afterAutospacing="0"/>
        <w:ind w:firstLine="555"/>
        <w:rPr>
          <w:sz w:val="20"/>
          <w:szCs w:val="20"/>
        </w:rPr>
      </w:pPr>
      <w:r>
        <w:rPr>
          <w:sz w:val="18"/>
          <w:szCs w:val="18"/>
        </w:rPr>
        <w:t>Mergers and acquisitions in the pharmaceutical and biotechnology industries may result in even more resources being concentrated among a smaller number of our competitors. Smaller and other e</w:t>
      </w:r>
      <w:r>
        <w:rPr>
          <w:sz w:val="18"/>
          <w:szCs w:val="18"/>
        </w:rPr>
        <w:t>arly-stage companies may also prove to be significant competitors, particularly through collaborative arrangements with large and established companies. These third parties compete with us in recruiting and retaining qualified scientific, management and co</w:t>
      </w:r>
      <w:r>
        <w:rPr>
          <w:sz w:val="18"/>
          <w:szCs w:val="18"/>
        </w:rPr>
        <w:t>mmercial personnel, establishing clinical trial sites and subject registration for clinical trials, as well as in acquiring technologies complementary to, or necessary for, our programs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Even if our current or future drug candidates receive marketing appro</w:t>
      </w:r>
      <w:r>
        <w:rPr>
          <w:b/>
          <w:bCs/>
          <w:i/>
          <w:iCs/>
          <w:sz w:val="18"/>
          <w:szCs w:val="18"/>
        </w:rPr>
        <w:t>val, they may fail to achieve market acceptance by physicians, patients, third-party payors or others in the medical community necessary for commercial success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Even if our current or future drug candidates receive marketing approval, they may fail to gain</w:t>
      </w:r>
      <w:r>
        <w:rPr>
          <w:sz w:val="18"/>
          <w:szCs w:val="18"/>
        </w:rPr>
        <w:t xml:space="preserve"> sufficient market acceptance by physicians, patients, third-party payors and others in the medical community. If they do not achieve an adequate level of acceptance, we may not generate significant drug revenue and may not become profitable. The degree of</w:t>
      </w:r>
      <w:r>
        <w:rPr>
          <w:sz w:val="18"/>
          <w:szCs w:val="18"/>
        </w:rPr>
        <w:t xml:space="preserve"> market acceptance of our current or future drug candidates, if approved for commercial sale, will depend on a number of factors, including but not limited to</w:t>
      </w:r>
      <w:r>
        <w:rPr>
          <w:sz w:val="18"/>
          <w:szCs w:val="18"/>
        </w:rPr>
        <w:t>:</w:t>
      </w:r>
    </w:p>
    <w:p w:rsidR="00000000" w:rsidRDefault="00CF461A">
      <w:pPr>
        <w:jc w:val="both"/>
        <w:divId w:val="2018192154"/>
        <w:rPr>
          <w:rFonts w:eastAsia="Times New Roman"/>
        </w:rPr>
      </w:pPr>
      <w:r>
        <w:rPr>
          <w:rFonts w:eastAsia="Times New Roman"/>
          <w:sz w:val="18"/>
          <w:szCs w:val="18"/>
        </w:rPr>
        <w:t>•</w:t>
      </w:r>
    </w:p>
    <w:p w:rsidR="00000000" w:rsidRDefault="00CF461A">
      <w:pPr>
        <w:jc w:val="both"/>
        <w:divId w:val="605305296"/>
        <w:rPr>
          <w:rFonts w:eastAsia="Times New Roman"/>
        </w:rPr>
      </w:pPr>
      <w:r>
        <w:rPr>
          <w:rFonts w:eastAsia="Times New Roman"/>
          <w:sz w:val="18"/>
          <w:szCs w:val="18"/>
        </w:rPr>
        <w:t>the efficacy and potential advantages compared to alternative treatments and therapies</w:t>
      </w:r>
      <w:r>
        <w:rPr>
          <w:rFonts w:eastAsia="Times New Roman"/>
          <w:sz w:val="18"/>
          <w:szCs w:val="18"/>
        </w:rPr>
        <w:t>;</w:t>
      </w:r>
    </w:p>
    <w:p w:rsidR="00000000" w:rsidRDefault="00CF461A">
      <w:pPr>
        <w:jc w:val="both"/>
        <w:divId w:val="530922341"/>
        <w:rPr>
          <w:rFonts w:eastAsia="Times New Roman"/>
        </w:rPr>
      </w:pPr>
      <w:r>
        <w:rPr>
          <w:rFonts w:eastAsia="Times New Roman"/>
          <w:sz w:val="18"/>
          <w:szCs w:val="18"/>
        </w:rPr>
        <w:t>•</w:t>
      </w:r>
    </w:p>
    <w:p w:rsidR="00000000" w:rsidRDefault="00CF461A">
      <w:pPr>
        <w:jc w:val="both"/>
        <w:divId w:val="247347158"/>
        <w:rPr>
          <w:rFonts w:eastAsia="Times New Roman"/>
        </w:rPr>
      </w:pPr>
      <w:r>
        <w:rPr>
          <w:rFonts w:eastAsia="Times New Roman"/>
          <w:sz w:val="18"/>
          <w:szCs w:val="18"/>
        </w:rPr>
        <w:t>the safety profile of our drug candidate compared to alternative treatments and therapies</w:t>
      </w:r>
      <w:r>
        <w:rPr>
          <w:rFonts w:eastAsia="Times New Roman"/>
          <w:sz w:val="18"/>
          <w:szCs w:val="18"/>
        </w:rPr>
        <w:t>;</w:t>
      </w:r>
    </w:p>
    <w:p w:rsidR="00000000" w:rsidRDefault="00CF461A">
      <w:pPr>
        <w:jc w:val="both"/>
        <w:divId w:val="736588492"/>
        <w:rPr>
          <w:rFonts w:eastAsia="Times New Roman"/>
        </w:rPr>
      </w:pPr>
      <w:r>
        <w:rPr>
          <w:rFonts w:eastAsia="Times New Roman"/>
          <w:sz w:val="18"/>
          <w:szCs w:val="18"/>
        </w:rPr>
        <w:t>•</w:t>
      </w:r>
    </w:p>
    <w:p w:rsidR="00000000" w:rsidRDefault="00CF461A">
      <w:pPr>
        <w:jc w:val="both"/>
        <w:divId w:val="876968626"/>
        <w:rPr>
          <w:rFonts w:eastAsia="Times New Roman"/>
        </w:rPr>
      </w:pPr>
      <w:r>
        <w:rPr>
          <w:rFonts w:eastAsia="Times New Roman"/>
          <w:sz w:val="18"/>
          <w:szCs w:val="18"/>
        </w:rPr>
        <w:t>effectiveness of sales and marketing efforts</w:t>
      </w:r>
      <w:r>
        <w:rPr>
          <w:rFonts w:eastAsia="Times New Roman"/>
          <w:sz w:val="18"/>
          <w:szCs w:val="18"/>
        </w:rPr>
        <w:t>;</w:t>
      </w:r>
    </w:p>
    <w:p w:rsidR="00000000" w:rsidRDefault="00CF461A">
      <w:pPr>
        <w:jc w:val="both"/>
        <w:divId w:val="1798059105"/>
        <w:rPr>
          <w:rFonts w:eastAsia="Times New Roman"/>
        </w:rPr>
      </w:pPr>
      <w:r>
        <w:rPr>
          <w:rFonts w:eastAsia="Times New Roman"/>
          <w:sz w:val="18"/>
          <w:szCs w:val="18"/>
        </w:rPr>
        <w:t>•</w:t>
      </w:r>
    </w:p>
    <w:p w:rsidR="00000000" w:rsidRDefault="00CF461A">
      <w:pPr>
        <w:jc w:val="both"/>
        <w:divId w:val="660080937"/>
        <w:rPr>
          <w:rFonts w:eastAsia="Times New Roman"/>
        </w:rPr>
      </w:pPr>
      <w:r>
        <w:rPr>
          <w:rFonts w:eastAsia="Times New Roman"/>
          <w:sz w:val="18"/>
          <w:szCs w:val="18"/>
        </w:rPr>
        <w:t>the strength of our relationships with patient communities</w:t>
      </w:r>
      <w:r>
        <w:rPr>
          <w:rFonts w:eastAsia="Times New Roman"/>
          <w:sz w:val="18"/>
          <w:szCs w:val="18"/>
        </w:rPr>
        <w:t>;</w:t>
      </w:r>
    </w:p>
    <w:p w:rsidR="00000000" w:rsidRDefault="00CF461A">
      <w:pPr>
        <w:jc w:val="both"/>
        <w:divId w:val="162360889"/>
        <w:rPr>
          <w:rFonts w:eastAsia="Times New Roman"/>
        </w:rPr>
      </w:pPr>
      <w:r>
        <w:rPr>
          <w:rFonts w:eastAsia="Times New Roman"/>
          <w:sz w:val="18"/>
          <w:szCs w:val="18"/>
        </w:rPr>
        <w:t>•</w:t>
      </w:r>
    </w:p>
    <w:p w:rsidR="00000000" w:rsidRDefault="00CF461A">
      <w:pPr>
        <w:jc w:val="both"/>
        <w:divId w:val="338429319"/>
        <w:rPr>
          <w:rFonts w:eastAsia="Times New Roman"/>
        </w:rPr>
      </w:pPr>
      <w:r>
        <w:rPr>
          <w:rFonts w:eastAsia="Times New Roman"/>
          <w:sz w:val="18"/>
          <w:szCs w:val="18"/>
        </w:rPr>
        <w:t>the cost of treatment in relation to alternative trea</w:t>
      </w:r>
      <w:r>
        <w:rPr>
          <w:rFonts w:eastAsia="Times New Roman"/>
          <w:sz w:val="18"/>
          <w:szCs w:val="18"/>
        </w:rPr>
        <w:t>tments and therapies, including any similar generic treatments</w:t>
      </w:r>
      <w:r>
        <w:rPr>
          <w:rFonts w:eastAsia="Times New Roman"/>
          <w:sz w:val="18"/>
          <w:szCs w:val="18"/>
        </w:rPr>
        <w:t>;</w:t>
      </w:r>
    </w:p>
    <w:p w:rsidR="00000000" w:rsidRDefault="00CF461A">
      <w:pPr>
        <w:jc w:val="both"/>
        <w:divId w:val="514350398"/>
        <w:rPr>
          <w:rFonts w:eastAsia="Times New Roman"/>
        </w:rPr>
      </w:pPr>
      <w:r>
        <w:rPr>
          <w:rFonts w:eastAsia="Times New Roman"/>
          <w:sz w:val="18"/>
          <w:szCs w:val="18"/>
        </w:rPr>
        <w:t>•</w:t>
      </w:r>
    </w:p>
    <w:p w:rsidR="00000000" w:rsidRDefault="00CF461A">
      <w:pPr>
        <w:jc w:val="both"/>
        <w:divId w:val="519902764"/>
        <w:rPr>
          <w:rFonts w:eastAsia="Times New Roman"/>
        </w:rPr>
      </w:pPr>
      <w:r>
        <w:rPr>
          <w:rFonts w:eastAsia="Times New Roman"/>
          <w:sz w:val="18"/>
          <w:szCs w:val="18"/>
        </w:rPr>
        <w:t>our ability to offer such drug for sale at competitive prices</w:t>
      </w:r>
      <w:r>
        <w:rPr>
          <w:rFonts w:eastAsia="Times New Roman"/>
          <w:sz w:val="18"/>
          <w:szCs w:val="18"/>
        </w:rPr>
        <w:t>;</w:t>
      </w:r>
    </w:p>
    <w:p w:rsidR="00000000" w:rsidRDefault="00CF461A">
      <w:pPr>
        <w:jc w:val="both"/>
        <w:divId w:val="2081051445"/>
        <w:rPr>
          <w:rFonts w:eastAsia="Times New Roman"/>
        </w:rPr>
      </w:pPr>
      <w:r>
        <w:rPr>
          <w:rFonts w:eastAsia="Times New Roman"/>
          <w:sz w:val="18"/>
          <w:szCs w:val="18"/>
        </w:rPr>
        <w:t>•</w:t>
      </w:r>
    </w:p>
    <w:p w:rsidR="00000000" w:rsidRDefault="00CF461A">
      <w:pPr>
        <w:jc w:val="both"/>
        <w:divId w:val="1215119187"/>
        <w:rPr>
          <w:rFonts w:eastAsia="Times New Roman"/>
        </w:rPr>
      </w:pPr>
      <w:r>
        <w:rPr>
          <w:rFonts w:eastAsia="Times New Roman"/>
          <w:sz w:val="18"/>
          <w:szCs w:val="18"/>
        </w:rPr>
        <w:t>the convenience and ease of administration compared to alternative treatments and therapies</w:t>
      </w:r>
      <w:r>
        <w:rPr>
          <w:rFonts w:eastAsia="Times New Roman"/>
          <w:sz w:val="18"/>
          <w:szCs w:val="18"/>
        </w:rPr>
        <w:t>;</w:t>
      </w:r>
    </w:p>
    <w:p w:rsidR="00000000" w:rsidRDefault="00CF461A">
      <w:pPr>
        <w:jc w:val="both"/>
        <w:divId w:val="124275317"/>
        <w:rPr>
          <w:rFonts w:eastAsia="Times New Roman"/>
        </w:rPr>
      </w:pPr>
      <w:r>
        <w:rPr>
          <w:rFonts w:eastAsia="Times New Roman"/>
          <w:sz w:val="18"/>
          <w:szCs w:val="18"/>
        </w:rPr>
        <w:t>•</w:t>
      </w:r>
    </w:p>
    <w:p w:rsidR="00000000" w:rsidRDefault="00CF461A">
      <w:pPr>
        <w:jc w:val="both"/>
        <w:divId w:val="866717797"/>
        <w:rPr>
          <w:rFonts w:eastAsia="Times New Roman"/>
        </w:rPr>
      </w:pPr>
      <w:r>
        <w:rPr>
          <w:rFonts w:eastAsia="Times New Roman"/>
          <w:sz w:val="18"/>
          <w:szCs w:val="18"/>
        </w:rPr>
        <w:t xml:space="preserve">the willingness of the target </w:t>
      </w:r>
      <w:r>
        <w:rPr>
          <w:rFonts w:eastAsia="Times New Roman"/>
          <w:sz w:val="18"/>
          <w:szCs w:val="18"/>
        </w:rPr>
        <w:t>patient population to try new therapies and of physicians to prescribe these therapies</w:t>
      </w:r>
      <w:r>
        <w:rPr>
          <w:rFonts w:eastAsia="Times New Roman"/>
          <w:sz w:val="18"/>
          <w:szCs w:val="18"/>
        </w:rPr>
        <w:t>;</w:t>
      </w:r>
    </w:p>
    <w:p w:rsidR="00000000" w:rsidRDefault="00CF461A">
      <w:pPr>
        <w:jc w:val="both"/>
        <w:divId w:val="24212481"/>
        <w:rPr>
          <w:rFonts w:eastAsia="Times New Roman"/>
        </w:rPr>
      </w:pPr>
      <w:r>
        <w:rPr>
          <w:rFonts w:eastAsia="Times New Roman"/>
          <w:sz w:val="18"/>
          <w:szCs w:val="18"/>
        </w:rPr>
        <w:t>•</w:t>
      </w:r>
    </w:p>
    <w:p w:rsidR="00000000" w:rsidRDefault="00CF461A">
      <w:pPr>
        <w:jc w:val="both"/>
        <w:divId w:val="2092121492"/>
        <w:rPr>
          <w:rFonts w:eastAsia="Times New Roman"/>
        </w:rPr>
      </w:pPr>
      <w:r>
        <w:rPr>
          <w:rFonts w:eastAsia="Times New Roman"/>
          <w:sz w:val="18"/>
          <w:szCs w:val="18"/>
        </w:rPr>
        <w:t>the strength of marketing and distribution support</w:t>
      </w:r>
      <w:r>
        <w:rPr>
          <w:rFonts w:eastAsia="Times New Roman"/>
          <w:sz w:val="18"/>
          <w:szCs w:val="18"/>
        </w:rPr>
        <w:t>;</w:t>
      </w:r>
    </w:p>
    <w:p w:rsidR="00000000" w:rsidRDefault="00CF461A">
      <w:pPr>
        <w:jc w:val="both"/>
        <w:divId w:val="1242060031"/>
        <w:rPr>
          <w:rFonts w:eastAsia="Times New Roman"/>
        </w:rPr>
      </w:pPr>
      <w:r>
        <w:rPr>
          <w:rFonts w:eastAsia="Times New Roman"/>
          <w:sz w:val="18"/>
          <w:szCs w:val="18"/>
        </w:rPr>
        <w:t>•</w:t>
      </w:r>
    </w:p>
    <w:p w:rsidR="00000000" w:rsidRDefault="00CF461A">
      <w:pPr>
        <w:jc w:val="both"/>
        <w:divId w:val="2056007141"/>
        <w:rPr>
          <w:rFonts w:eastAsia="Times New Roman"/>
        </w:rPr>
      </w:pPr>
      <w:r>
        <w:rPr>
          <w:rFonts w:eastAsia="Times New Roman"/>
          <w:sz w:val="18"/>
          <w:szCs w:val="18"/>
        </w:rPr>
        <w:t>the availability of third-party coverage and adequate reimbursement</w:t>
      </w:r>
      <w:r>
        <w:rPr>
          <w:rFonts w:eastAsia="Times New Roman"/>
          <w:sz w:val="18"/>
          <w:szCs w:val="18"/>
        </w:rPr>
        <w:t>;</w:t>
      </w:r>
    </w:p>
    <w:p w:rsidR="00000000" w:rsidRDefault="00CF461A">
      <w:pPr>
        <w:jc w:val="both"/>
        <w:divId w:val="146476054"/>
        <w:rPr>
          <w:rFonts w:eastAsia="Times New Roman"/>
        </w:rPr>
      </w:pPr>
      <w:r>
        <w:rPr>
          <w:rFonts w:eastAsia="Times New Roman"/>
          <w:sz w:val="18"/>
          <w:szCs w:val="18"/>
        </w:rPr>
        <w:t>•</w:t>
      </w:r>
    </w:p>
    <w:p w:rsidR="00000000" w:rsidRDefault="00CF461A">
      <w:pPr>
        <w:jc w:val="both"/>
        <w:divId w:val="1357854687"/>
        <w:rPr>
          <w:rFonts w:eastAsia="Times New Roman"/>
        </w:rPr>
      </w:pPr>
      <w:r>
        <w:rPr>
          <w:rFonts w:eastAsia="Times New Roman"/>
          <w:sz w:val="18"/>
          <w:szCs w:val="18"/>
        </w:rPr>
        <w:t>the prevalence and severity of any side effects; an</w:t>
      </w:r>
      <w:r>
        <w:rPr>
          <w:rFonts w:eastAsia="Times New Roman"/>
          <w:sz w:val="18"/>
          <w:szCs w:val="18"/>
        </w:rPr>
        <w:t>d</w:t>
      </w:r>
    </w:p>
    <w:p w:rsidR="00000000" w:rsidRDefault="00CF461A">
      <w:pPr>
        <w:jc w:val="both"/>
        <w:divId w:val="1756244019"/>
        <w:rPr>
          <w:rFonts w:eastAsia="Times New Roman"/>
        </w:rPr>
      </w:pPr>
      <w:r>
        <w:rPr>
          <w:rFonts w:eastAsia="Times New Roman"/>
          <w:sz w:val="18"/>
          <w:szCs w:val="18"/>
        </w:rPr>
        <w:t>•</w:t>
      </w:r>
    </w:p>
    <w:p w:rsidR="00000000" w:rsidRDefault="00CF461A">
      <w:pPr>
        <w:jc w:val="both"/>
        <w:divId w:val="1024743686"/>
        <w:rPr>
          <w:rFonts w:eastAsia="Times New Roman"/>
        </w:rPr>
      </w:pPr>
      <w:r>
        <w:rPr>
          <w:rFonts w:eastAsia="Times New Roman"/>
          <w:sz w:val="18"/>
          <w:szCs w:val="18"/>
        </w:rPr>
        <w:t>any restrictions on the use of the drug together with other medications</w:t>
      </w:r>
      <w:r>
        <w:rPr>
          <w:rFonts w:eastAsia="Times New Roman"/>
          <w:sz w:val="18"/>
          <w:szCs w:val="18"/>
        </w:rPr>
        <w:t>.</w:t>
      </w:r>
    </w:p>
    <w:p w:rsidR="00000000" w:rsidRDefault="00CF461A">
      <w:pPr>
        <w:pStyle w:val="a3"/>
        <w:spacing w:before="264" w:beforeAutospacing="0" w:after="0" w:afterAutospacing="0"/>
        <w:ind w:firstLine="599"/>
        <w:jc w:val="both"/>
        <w:rPr>
          <w:sz w:val="20"/>
          <w:szCs w:val="20"/>
        </w:rPr>
      </w:pPr>
      <w:r>
        <w:rPr>
          <w:sz w:val="18"/>
          <w:szCs w:val="18"/>
        </w:rPr>
        <w:t xml:space="preserve">Our efforts to educate physicians, patients, third-party </w:t>
      </w:r>
      <w:r>
        <w:rPr>
          <w:sz w:val="18"/>
          <w:szCs w:val="18"/>
        </w:rPr>
        <w:t>payors and others in the medical community on the benefits of our drug candidates may require significant resources and may never be successful. Such efforts may require more resources than are typically required due to the complexity and uniqueness of our</w:t>
      </w:r>
      <w:r>
        <w:rPr>
          <w:sz w:val="18"/>
          <w:szCs w:val="18"/>
        </w:rPr>
        <w:t xml:space="preserve"> drug candidates. Because we expect sales of our drug candidates, if approved, to generate substantially all of our drug revenues for the foreseeable future, the failure of our drugs to find market acceptance would harm our business and could require us to</w:t>
      </w:r>
      <w:r>
        <w:rPr>
          <w:sz w:val="18"/>
          <w:szCs w:val="18"/>
        </w:rPr>
        <w:t xml:space="preserve"> seek additional financing</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Even if we obtain and maintain approval for our current or future drug candidates from the FDA, we may never obtain approval for our current or future drug candidates outside of the United States, which would limit our market op</w:t>
      </w:r>
      <w:r>
        <w:rPr>
          <w:b/>
          <w:bCs/>
          <w:i/>
          <w:iCs/>
          <w:sz w:val="18"/>
          <w:szCs w:val="18"/>
        </w:rPr>
        <w:t>portunities and could harm our business</w:t>
      </w:r>
      <w:r>
        <w:rPr>
          <w:b/>
          <w:bCs/>
          <w:i/>
          <w:iCs/>
          <w:sz w:val="18"/>
          <w:szCs w:val="18"/>
        </w:rPr>
        <w:t>.</w:t>
      </w:r>
    </w:p>
    <w:p w:rsidR="00000000" w:rsidRDefault="00CF461A">
      <w:pPr>
        <w:pStyle w:val="a3"/>
        <w:spacing w:before="264" w:beforeAutospacing="0" w:after="0" w:afterAutospacing="0"/>
        <w:ind w:firstLine="599"/>
        <w:jc w:val="both"/>
        <w:rPr>
          <w:sz w:val="20"/>
          <w:szCs w:val="20"/>
        </w:rPr>
      </w:pPr>
      <w:r>
        <w:rPr>
          <w:sz w:val="18"/>
          <w:szCs w:val="18"/>
        </w:rPr>
        <w:t>Approval of a drug candidate in the United States by the FDA does not ensure approval of such drug candidate by regulatory authorities in other countries or jurisdictions, and approval by one foreign regulatory auth</w:t>
      </w:r>
      <w:r>
        <w:rPr>
          <w:sz w:val="18"/>
          <w:szCs w:val="18"/>
        </w:rPr>
        <w:t>ority does not ensure approval by regulatory authorities in other foreign countries or by the FDA. Sales of our current and future drug candidates outside of the United States will be subject to foreign regulatory requirements governing clinical trials and</w:t>
      </w:r>
      <w:r>
        <w:rPr>
          <w:sz w:val="18"/>
          <w:szCs w:val="18"/>
        </w:rPr>
        <w:t xml:space="preserve"> marketing approval. Even if the FDA grants marketing approval for a drug candidate, comparable regulatory authorities of foreign countries also must approve the manufacturing and marketing of the drug candidate in those countries. Approval procedures vary</w:t>
      </w:r>
      <w:r>
        <w:rPr>
          <w:sz w:val="18"/>
          <w:szCs w:val="18"/>
        </w:rPr>
        <w:t xml:space="preserve"> among jurisdictions and can involve requirements and administrative review periods different from, and more onerous than, those in the United States, which may require additional preclinical studies or clinical trials. In many countries outside the United</w:t>
      </w:r>
      <w:r>
        <w:rPr>
          <w:sz w:val="18"/>
          <w:szCs w:val="18"/>
        </w:rPr>
        <w:t xml:space="preserve"> States, a drug candidate must be approved for reimbursement before it can be approved for sale in that country. In some cases, the price that we intend to charge for any drug candidates, if approved, is also subject to approval. Obtaining approval for our</w:t>
      </w:r>
      <w:r>
        <w:rPr>
          <w:sz w:val="18"/>
          <w:szCs w:val="18"/>
        </w:rPr>
        <w:t xml:space="preserve"> current and future drug candidates in the European Union from the European Commission following the opinion of the European Medicines Agency, if we choose to submit a marketing authorization application there, would be a lengthy and expensive process. The</w:t>
      </w:r>
      <w:r>
        <w:rPr>
          <w:sz w:val="18"/>
          <w:szCs w:val="18"/>
        </w:rPr>
        <w:t xml:space="preserve"> FDA and comparable foreign regulatory authorities have the ability to limit the indications for which the drug may be marketed, require extensive warnings on the drug labeling or require expensive and time-consuming additional clinical trials or reporting</w:t>
      </w:r>
      <w:r>
        <w:rPr>
          <w:sz w:val="18"/>
          <w:szCs w:val="18"/>
        </w:rPr>
        <w:t xml:space="preserve"> as conditions of approval. Obtaining foreign regulatory approvals and compliance with foreign regulatory requirements could result in significant delays, difficulties and costs for us and could delay or prevent the introduction of our current and future d</w:t>
      </w:r>
      <w:r>
        <w:rPr>
          <w:sz w:val="18"/>
          <w:szCs w:val="18"/>
        </w:rPr>
        <w:t>rug candidates in certain countries. In certain cases, we are dependent on third parties to obtain such foreign regulatory approvals, and any delay or failure of performance of such third parties could delay or prevent our ability t</w:t>
      </w:r>
      <w:r>
        <w:rPr>
          <w:sz w:val="18"/>
          <w:szCs w:val="18"/>
        </w:rPr>
        <w:t>o</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3</w:t>
      </w:r>
      <w:r>
        <w:rPr>
          <w:sz w:val="18"/>
          <w:szCs w:val="18"/>
        </w:rPr>
        <w:t>3</w:t>
      </w:r>
    </w:p>
    <w:p w:rsidR="00000000" w:rsidRDefault="00CF461A">
      <w:pPr>
        <w:rPr>
          <w:rFonts w:eastAsia="Times New Roman"/>
        </w:rPr>
      </w:pPr>
      <w:r>
        <w:rPr>
          <w:rFonts w:eastAsia="Times New Roman"/>
        </w:rPr>
        <w:pict>
          <v:rect id="_x0000_i1059"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264" w:beforeAutospacing="0" w:after="0" w:afterAutospacing="0"/>
        <w:jc w:val="both"/>
        <w:rPr>
          <w:sz w:val="20"/>
          <w:szCs w:val="20"/>
        </w:rPr>
      </w:pPr>
      <w:r>
        <w:rPr>
          <w:sz w:val="18"/>
          <w:szCs w:val="18"/>
        </w:rPr>
        <w:t>commercialize our products in the affected countries. Due to the ongoing COVID-19 pandemic, it is possible that we could experience delays in the timing of our interactions with regulatory authorities due to absenteeis</w:t>
      </w:r>
      <w:r>
        <w:rPr>
          <w:sz w:val="18"/>
          <w:szCs w:val="18"/>
        </w:rPr>
        <w:t>m by governmental employees, inability to conduct planned physical inspections related to regulatory approval, or the diversion of regulatory authority efforts and attention to approval of other therapeutics or other activities related to COVID-19, which c</w:t>
      </w:r>
      <w:r>
        <w:rPr>
          <w:sz w:val="18"/>
          <w:szCs w:val="18"/>
        </w:rPr>
        <w:t>ould delay anticipated approval decisions and otherwise delay or limit our ability to make planned regulatory submissions or obtain new product approvals</w:t>
      </w:r>
      <w:r>
        <w:rPr>
          <w:sz w:val="18"/>
          <w:szCs w:val="18"/>
        </w:rPr>
        <w:t>.</w:t>
      </w:r>
    </w:p>
    <w:p w:rsidR="00000000" w:rsidRDefault="00CF461A">
      <w:pPr>
        <w:pStyle w:val="a3"/>
        <w:spacing w:before="264" w:beforeAutospacing="0" w:after="0" w:afterAutospacing="0"/>
        <w:ind w:firstLine="599"/>
        <w:jc w:val="both"/>
        <w:rPr>
          <w:sz w:val="20"/>
          <w:szCs w:val="20"/>
        </w:rPr>
      </w:pPr>
      <w:r>
        <w:rPr>
          <w:sz w:val="18"/>
          <w:szCs w:val="18"/>
        </w:rPr>
        <w:t>Further, clinical trials conducted in one country may not be accepted by regulatory authorities in ot</w:t>
      </w:r>
      <w:r>
        <w:rPr>
          <w:sz w:val="18"/>
          <w:szCs w:val="18"/>
        </w:rPr>
        <w:t xml:space="preserve">her countries. Also, regulatory approval for our drug candidates may be withdrawn. If we fail to comply with the regulatory requirements, our target market will be reduced and our ability to realize the full market potential of our current and future drug </w:t>
      </w:r>
      <w:r>
        <w:rPr>
          <w:sz w:val="18"/>
          <w:szCs w:val="18"/>
        </w:rPr>
        <w:t>candidates will be harmed and our business, financial condition, results of operations and prospects could be harmed</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If we seek approval to commercialize our current or future drug candidates outside of the United States, a variety of risks associated wit</w:t>
      </w:r>
      <w:r>
        <w:rPr>
          <w:b/>
          <w:bCs/>
          <w:i/>
          <w:iCs/>
          <w:sz w:val="18"/>
          <w:szCs w:val="18"/>
        </w:rPr>
        <w:t>h international operations could harm our business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If we seek approval of our current or future drug candidates outside of the United States, we expect that we will be subject to additional risks in commercialization including</w:t>
      </w:r>
      <w:r>
        <w:rPr>
          <w:sz w:val="18"/>
          <w:szCs w:val="18"/>
        </w:rPr>
        <w:t>:</w:t>
      </w:r>
    </w:p>
    <w:p w:rsidR="00000000" w:rsidRDefault="00CF461A">
      <w:pPr>
        <w:jc w:val="both"/>
        <w:divId w:val="585849565"/>
        <w:rPr>
          <w:rFonts w:eastAsia="Times New Roman"/>
        </w:rPr>
      </w:pPr>
      <w:r>
        <w:rPr>
          <w:rFonts w:eastAsia="Times New Roman"/>
          <w:sz w:val="18"/>
          <w:szCs w:val="18"/>
        </w:rPr>
        <w:t>•</w:t>
      </w:r>
    </w:p>
    <w:p w:rsidR="00000000" w:rsidRDefault="00CF461A">
      <w:pPr>
        <w:jc w:val="both"/>
        <w:divId w:val="872811351"/>
        <w:rPr>
          <w:rFonts w:eastAsia="Times New Roman"/>
        </w:rPr>
      </w:pPr>
      <w:r>
        <w:rPr>
          <w:rFonts w:eastAsia="Times New Roman"/>
          <w:sz w:val="18"/>
          <w:szCs w:val="18"/>
        </w:rPr>
        <w:t>different regulatory requ</w:t>
      </w:r>
      <w:r>
        <w:rPr>
          <w:rFonts w:eastAsia="Times New Roman"/>
          <w:sz w:val="18"/>
          <w:szCs w:val="18"/>
        </w:rPr>
        <w:t>irements for approval of therapies in foreign countries</w:t>
      </w:r>
      <w:r>
        <w:rPr>
          <w:rFonts w:eastAsia="Times New Roman"/>
          <w:sz w:val="18"/>
          <w:szCs w:val="18"/>
        </w:rPr>
        <w:t>;</w:t>
      </w:r>
    </w:p>
    <w:p w:rsidR="00000000" w:rsidRDefault="00CF461A">
      <w:pPr>
        <w:jc w:val="both"/>
        <w:divId w:val="370495813"/>
        <w:rPr>
          <w:rFonts w:eastAsia="Times New Roman"/>
        </w:rPr>
      </w:pPr>
      <w:r>
        <w:rPr>
          <w:rFonts w:eastAsia="Times New Roman"/>
          <w:sz w:val="18"/>
          <w:szCs w:val="18"/>
        </w:rPr>
        <w:t>•</w:t>
      </w:r>
    </w:p>
    <w:p w:rsidR="00000000" w:rsidRDefault="00CF461A">
      <w:pPr>
        <w:jc w:val="both"/>
        <w:divId w:val="1953004056"/>
        <w:rPr>
          <w:rFonts w:eastAsia="Times New Roman"/>
        </w:rPr>
      </w:pPr>
      <w:r>
        <w:rPr>
          <w:rFonts w:eastAsia="Times New Roman"/>
          <w:sz w:val="18"/>
          <w:szCs w:val="18"/>
        </w:rPr>
        <w:t>reduced protection for intellectual property rights</w:t>
      </w:r>
      <w:r>
        <w:rPr>
          <w:rFonts w:eastAsia="Times New Roman"/>
          <w:sz w:val="18"/>
          <w:szCs w:val="18"/>
        </w:rPr>
        <w:t>;</w:t>
      </w:r>
    </w:p>
    <w:p w:rsidR="00000000" w:rsidRDefault="00CF461A">
      <w:pPr>
        <w:jc w:val="both"/>
        <w:divId w:val="571503904"/>
        <w:rPr>
          <w:rFonts w:eastAsia="Times New Roman"/>
        </w:rPr>
      </w:pPr>
      <w:r>
        <w:rPr>
          <w:rFonts w:eastAsia="Times New Roman"/>
          <w:sz w:val="18"/>
          <w:szCs w:val="18"/>
        </w:rPr>
        <w:t>•</w:t>
      </w:r>
    </w:p>
    <w:p w:rsidR="00000000" w:rsidRDefault="00CF461A">
      <w:pPr>
        <w:jc w:val="both"/>
        <w:divId w:val="1608849444"/>
        <w:rPr>
          <w:rFonts w:eastAsia="Times New Roman"/>
        </w:rPr>
      </w:pPr>
      <w:r>
        <w:rPr>
          <w:rFonts w:eastAsia="Times New Roman"/>
          <w:sz w:val="18"/>
          <w:szCs w:val="18"/>
        </w:rPr>
        <w:t>the potential requirement of additional clinical studies in international jurisdictions</w:t>
      </w:r>
      <w:r>
        <w:rPr>
          <w:rFonts w:eastAsia="Times New Roman"/>
          <w:sz w:val="18"/>
          <w:szCs w:val="18"/>
        </w:rPr>
        <w:t>;</w:t>
      </w:r>
    </w:p>
    <w:p w:rsidR="00000000" w:rsidRDefault="00CF461A">
      <w:pPr>
        <w:jc w:val="both"/>
        <w:divId w:val="1542287351"/>
        <w:rPr>
          <w:rFonts w:eastAsia="Times New Roman"/>
        </w:rPr>
      </w:pPr>
      <w:r>
        <w:rPr>
          <w:rFonts w:eastAsia="Times New Roman"/>
          <w:sz w:val="18"/>
          <w:szCs w:val="18"/>
        </w:rPr>
        <w:t>•</w:t>
      </w:r>
    </w:p>
    <w:p w:rsidR="00000000" w:rsidRDefault="00CF461A">
      <w:pPr>
        <w:jc w:val="both"/>
        <w:divId w:val="2031442592"/>
        <w:rPr>
          <w:rFonts w:eastAsia="Times New Roman"/>
        </w:rPr>
      </w:pPr>
      <w:r>
        <w:rPr>
          <w:rFonts w:eastAsia="Times New Roman"/>
          <w:sz w:val="18"/>
          <w:szCs w:val="18"/>
        </w:rPr>
        <w:t>unexpected changes in tariffs, trade barriers and r</w:t>
      </w:r>
      <w:r>
        <w:rPr>
          <w:rFonts w:eastAsia="Times New Roman"/>
          <w:sz w:val="18"/>
          <w:szCs w:val="18"/>
        </w:rPr>
        <w:t>egulatory requirements</w:t>
      </w:r>
      <w:r>
        <w:rPr>
          <w:rFonts w:eastAsia="Times New Roman"/>
          <w:sz w:val="18"/>
          <w:szCs w:val="18"/>
        </w:rPr>
        <w:t>;</w:t>
      </w:r>
    </w:p>
    <w:p w:rsidR="00000000" w:rsidRDefault="00CF461A">
      <w:pPr>
        <w:jc w:val="both"/>
        <w:divId w:val="1281186647"/>
        <w:rPr>
          <w:rFonts w:eastAsia="Times New Roman"/>
        </w:rPr>
      </w:pPr>
      <w:r>
        <w:rPr>
          <w:rFonts w:eastAsia="Times New Roman"/>
          <w:sz w:val="18"/>
          <w:szCs w:val="18"/>
        </w:rPr>
        <w:t>•</w:t>
      </w:r>
    </w:p>
    <w:p w:rsidR="00000000" w:rsidRDefault="00CF461A">
      <w:pPr>
        <w:jc w:val="both"/>
        <w:divId w:val="2014799114"/>
        <w:rPr>
          <w:rFonts w:eastAsia="Times New Roman"/>
        </w:rPr>
      </w:pPr>
      <w:r>
        <w:rPr>
          <w:rFonts w:eastAsia="Times New Roman"/>
          <w:sz w:val="18"/>
          <w:szCs w:val="18"/>
        </w:rPr>
        <w:t>economic weakness, including inflation, or political instability in particular foreign economies and markets</w:t>
      </w:r>
      <w:r>
        <w:rPr>
          <w:rFonts w:eastAsia="Times New Roman"/>
          <w:sz w:val="18"/>
          <w:szCs w:val="18"/>
        </w:rPr>
        <w:t>;</w:t>
      </w:r>
    </w:p>
    <w:p w:rsidR="00000000" w:rsidRDefault="00CF461A">
      <w:pPr>
        <w:jc w:val="both"/>
        <w:divId w:val="755631659"/>
        <w:rPr>
          <w:rFonts w:eastAsia="Times New Roman"/>
        </w:rPr>
      </w:pPr>
      <w:r>
        <w:rPr>
          <w:rFonts w:eastAsia="Times New Roman"/>
          <w:sz w:val="18"/>
          <w:szCs w:val="18"/>
        </w:rPr>
        <w:t>•</w:t>
      </w:r>
    </w:p>
    <w:p w:rsidR="00000000" w:rsidRDefault="00CF461A">
      <w:pPr>
        <w:jc w:val="both"/>
        <w:divId w:val="1302610710"/>
        <w:rPr>
          <w:rFonts w:eastAsia="Times New Roman"/>
        </w:rPr>
      </w:pPr>
      <w:r>
        <w:rPr>
          <w:rFonts w:eastAsia="Times New Roman"/>
          <w:sz w:val="18"/>
          <w:szCs w:val="18"/>
        </w:rPr>
        <w:t>compliance with tax, employment, immigration and labor laws for employees living or traveling abroad</w:t>
      </w:r>
      <w:r>
        <w:rPr>
          <w:rFonts w:eastAsia="Times New Roman"/>
          <w:sz w:val="18"/>
          <w:szCs w:val="18"/>
        </w:rPr>
        <w:t>;</w:t>
      </w:r>
    </w:p>
    <w:p w:rsidR="00000000" w:rsidRDefault="00CF461A">
      <w:pPr>
        <w:jc w:val="both"/>
        <w:divId w:val="1310554036"/>
        <w:rPr>
          <w:rFonts w:eastAsia="Times New Roman"/>
        </w:rPr>
      </w:pPr>
      <w:r>
        <w:rPr>
          <w:rFonts w:eastAsia="Times New Roman"/>
          <w:sz w:val="18"/>
          <w:szCs w:val="18"/>
        </w:rPr>
        <w:t>•</w:t>
      </w:r>
    </w:p>
    <w:p w:rsidR="00000000" w:rsidRDefault="00CF461A">
      <w:pPr>
        <w:jc w:val="both"/>
        <w:divId w:val="526716020"/>
        <w:rPr>
          <w:rFonts w:eastAsia="Times New Roman"/>
        </w:rPr>
      </w:pPr>
      <w:r>
        <w:rPr>
          <w:rFonts w:eastAsia="Times New Roman"/>
          <w:sz w:val="18"/>
          <w:szCs w:val="18"/>
        </w:rPr>
        <w:t>foreign currency fluctuations, which could result in increased operating expenses and reduced revenues, and other obligations incident to doing business in another country</w:t>
      </w:r>
      <w:r>
        <w:rPr>
          <w:rFonts w:eastAsia="Times New Roman"/>
          <w:sz w:val="18"/>
          <w:szCs w:val="18"/>
        </w:rPr>
        <w:t>;</w:t>
      </w:r>
    </w:p>
    <w:p w:rsidR="00000000" w:rsidRDefault="00CF461A">
      <w:pPr>
        <w:jc w:val="both"/>
        <w:divId w:val="1902860641"/>
        <w:rPr>
          <w:rFonts w:eastAsia="Times New Roman"/>
        </w:rPr>
      </w:pPr>
      <w:r>
        <w:rPr>
          <w:rFonts w:eastAsia="Times New Roman"/>
          <w:sz w:val="18"/>
          <w:szCs w:val="18"/>
        </w:rPr>
        <w:t>•</w:t>
      </w:r>
    </w:p>
    <w:p w:rsidR="00000000" w:rsidRDefault="00CF461A">
      <w:pPr>
        <w:jc w:val="both"/>
        <w:divId w:val="1468358352"/>
        <w:rPr>
          <w:rFonts w:eastAsia="Times New Roman"/>
        </w:rPr>
      </w:pPr>
      <w:r>
        <w:rPr>
          <w:rFonts w:eastAsia="Times New Roman"/>
          <w:sz w:val="18"/>
          <w:szCs w:val="18"/>
        </w:rPr>
        <w:t>foreign reimbursement, pricing and insurance regimes</w:t>
      </w:r>
      <w:r>
        <w:rPr>
          <w:rFonts w:eastAsia="Times New Roman"/>
          <w:sz w:val="18"/>
          <w:szCs w:val="18"/>
        </w:rPr>
        <w:t>;</w:t>
      </w:r>
    </w:p>
    <w:p w:rsidR="00000000" w:rsidRDefault="00CF461A">
      <w:pPr>
        <w:jc w:val="both"/>
        <w:divId w:val="274295594"/>
        <w:rPr>
          <w:rFonts w:eastAsia="Times New Roman"/>
        </w:rPr>
      </w:pPr>
      <w:r>
        <w:rPr>
          <w:rFonts w:eastAsia="Times New Roman"/>
          <w:sz w:val="18"/>
          <w:szCs w:val="18"/>
        </w:rPr>
        <w:t>•</w:t>
      </w:r>
    </w:p>
    <w:p w:rsidR="00000000" w:rsidRDefault="00CF461A">
      <w:pPr>
        <w:jc w:val="both"/>
        <w:divId w:val="172765818"/>
        <w:rPr>
          <w:rFonts w:eastAsia="Times New Roman"/>
        </w:rPr>
      </w:pPr>
      <w:r>
        <w:rPr>
          <w:rFonts w:eastAsia="Times New Roman"/>
          <w:sz w:val="18"/>
          <w:szCs w:val="18"/>
        </w:rPr>
        <w:t xml:space="preserve">workforce uncertainty in </w:t>
      </w:r>
      <w:r>
        <w:rPr>
          <w:rFonts w:eastAsia="Times New Roman"/>
          <w:sz w:val="18"/>
          <w:szCs w:val="18"/>
        </w:rPr>
        <w:t>countries where labor unrest is more common than in the United States</w:t>
      </w:r>
      <w:r>
        <w:rPr>
          <w:rFonts w:eastAsia="Times New Roman"/>
          <w:sz w:val="18"/>
          <w:szCs w:val="18"/>
        </w:rPr>
        <w:t>;</w:t>
      </w:r>
    </w:p>
    <w:p w:rsidR="00000000" w:rsidRDefault="00CF461A">
      <w:pPr>
        <w:jc w:val="both"/>
        <w:divId w:val="1683388227"/>
        <w:rPr>
          <w:rFonts w:eastAsia="Times New Roman"/>
        </w:rPr>
      </w:pPr>
      <w:r>
        <w:rPr>
          <w:rFonts w:eastAsia="Times New Roman"/>
          <w:sz w:val="18"/>
          <w:szCs w:val="18"/>
        </w:rPr>
        <w:t>•</w:t>
      </w:r>
    </w:p>
    <w:p w:rsidR="00000000" w:rsidRDefault="00CF461A">
      <w:pPr>
        <w:jc w:val="both"/>
        <w:divId w:val="1500386738"/>
        <w:rPr>
          <w:rFonts w:eastAsia="Times New Roman"/>
        </w:rPr>
      </w:pPr>
      <w:r>
        <w:rPr>
          <w:rFonts w:eastAsia="Times New Roman"/>
          <w:sz w:val="18"/>
          <w:szCs w:val="18"/>
        </w:rPr>
        <w:t>production shortages resulting from any events affecting raw material supply or manufacturing capabilities abroad; an</w:t>
      </w:r>
      <w:r>
        <w:rPr>
          <w:rFonts w:eastAsia="Times New Roman"/>
          <w:sz w:val="18"/>
          <w:szCs w:val="18"/>
        </w:rPr>
        <w:t>d</w:t>
      </w:r>
    </w:p>
    <w:p w:rsidR="00000000" w:rsidRDefault="00CF461A">
      <w:pPr>
        <w:jc w:val="both"/>
        <w:divId w:val="1381173182"/>
        <w:rPr>
          <w:rFonts w:eastAsia="Times New Roman"/>
        </w:rPr>
      </w:pPr>
      <w:r>
        <w:rPr>
          <w:rFonts w:eastAsia="Times New Roman"/>
          <w:sz w:val="18"/>
          <w:szCs w:val="18"/>
        </w:rPr>
        <w:t>•</w:t>
      </w:r>
    </w:p>
    <w:p w:rsidR="00000000" w:rsidRDefault="00CF461A">
      <w:pPr>
        <w:jc w:val="both"/>
        <w:divId w:val="2045252465"/>
        <w:rPr>
          <w:rFonts w:eastAsia="Times New Roman"/>
        </w:rPr>
      </w:pPr>
      <w:r>
        <w:rPr>
          <w:rFonts w:eastAsia="Times New Roman"/>
          <w:sz w:val="18"/>
          <w:szCs w:val="18"/>
        </w:rPr>
        <w:t>business interruptions resulting from geopolitical actions, in</w:t>
      </w:r>
      <w:r>
        <w:rPr>
          <w:rFonts w:eastAsia="Times New Roman"/>
          <w:sz w:val="18"/>
          <w:szCs w:val="18"/>
        </w:rPr>
        <w:t>cluding war and terrorism, or natural disasters and public health pandemics, such as COVID-19</w:t>
      </w:r>
      <w:r>
        <w:rPr>
          <w:rFonts w:eastAsia="Times New Roman"/>
          <w:sz w:val="18"/>
          <w:szCs w:val="18"/>
        </w:rPr>
        <w:t>.</w:t>
      </w:r>
    </w:p>
    <w:p w:rsidR="00000000" w:rsidRDefault="00CF461A">
      <w:pPr>
        <w:pStyle w:val="a3"/>
        <w:spacing w:before="264" w:beforeAutospacing="0" w:after="0" w:afterAutospacing="0"/>
        <w:ind w:firstLine="555"/>
        <w:jc w:val="both"/>
        <w:rPr>
          <w:sz w:val="20"/>
          <w:szCs w:val="20"/>
        </w:rPr>
      </w:pPr>
      <w:r>
        <w:rPr>
          <w:sz w:val="18"/>
          <w:szCs w:val="18"/>
        </w:rPr>
        <w:t xml:space="preserve">We have no prior experience in these areas. In addition, there are complex regulatory, tax, labor and other legal requirements imposed by many of the individual </w:t>
      </w:r>
      <w:r>
        <w:rPr>
          <w:sz w:val="18"/>
          <w:szCs w:val="18"/>
        </w:rPr>
        <w:t>countries in and outside of Europe with which we will need to comply. Many biopharmaceutical companies have found the process of marketing their own products in foreign countries to be very challenging</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 xml:space="preserve">Product liability lawsuits against us could cause us </w:t>
      </w:r>
      <w:r>
        <w:rPr>
          <w:b/>
          <w:bCs/>
          <w:i/>
          <w:iCs/>
          <w:sz w:val="18"/>
          <w:szCs w:val="18"/>
        </w:rPr>
        <w:t>to incur substantial liabilities and could limit commercialization of any drug candidate that we may develop</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We face an inherent risk of product liability exposure related to the testing of our current and any future drug candidates in clinical trials and</w:t>
      </w:r>
      <w:r>
        <w:rPr>
          <w:sz w:val="18"/>
          <w:szCs w:val="18"/>
        </w:rPr>
        <w:t xml:space="preserve"> may face an even greater risk if we commercialize any drug candidate that we may develop. If we cannot successfully defend ourselves against claims that any such drug candidates caused injuries, we could incur substantial liabilities. Regardless of merit </w:t>
      </w:r>
      <w:r>
        <w:rPr>
          <w:sz w:val="18"/>
          <w:szCs w:val="18"/>
        </w:rPr>
        <w:t>or eventual outcome, liability claims may result in</w:t>
      </w:r>
      <w:r>
        <w:rPr>
          <w:sz w:val="18"/>
          <w:szCs w:val="18"/>
        </w:rPr>
        <w:t>:</w:t>
      </w:r>
    </w:p>
    <w:p w:rsidR="00000000" w:rsidRDefault="00CF461A">
      <w:pPr>
        <w:jc w:val="both"/>
        <w:divId w:val="1501850708"/>
        <w:rPr>
          <w:rFonts w:eastAsia="Times New Roman"/>
        </w:rPr>
      </w:pPr>
      <w:r>
        <w:rPr>
          <w:rFonts w:eastAsia="Times New Roman"/>
          <w:sz w:val="18"/>
          <w:szCs w:val="18"/>
        </w:rPr>
        <w:t>•</w:t>
      </w:r>
    </w:p>
    <w:p w:rsidR="00000000" w:rsidRDefault="00CF461A">
      <w:pPr>
        <w:jc w:val="both"/>
        <w:divId w:val="171377813"/>
        <w:rPr>
          <w:rFonts w:eastAsia="Times New Roman"/>
        </w:rPr>
      </w:pPr>
      <w:r>
        <w:rPr>
          <w:rFonts w:eastAsia="Times New Roman"/>
          <w:sz w:val="18"/>
          <w:szCs w:val="18"/>
        </w:rPr>
        <w:t>decreased demand for any drug candidate that we may develop</w:t>
      </w:r>
      <w:r>
        <w:rPr>
          <w:rFonts w:eastAsia="Times New Roman"/>
          <w:sz w:val="18"/>
          <w:szCs w:val="18"/>
        </w:rPr>
        <w:t>;</w:t>
      </w:r>
    </w:p>
    <w:p w:rsidR="00000000" w:rsidRDefault="00CF461A">
      <w:pPr>
        <w:jc w:val="both"/>
        <w:divId w:val="1501968195"/>
        <w:rPr>
          <w:rFonts w:eastAsia="Times New Roman"/>
        </w:rPr>
      </w:pPr>
      <w:r>
        <w:rPr>
          <w:rFonts w:eastAsia="Times New Roman"/>
          <w:sz w:val="18"/>
          <w:szCs w:val="18"/>
        </w:rPr>
        <w:t>•</w:t>
      </w:r>
    </w:p>
    <w:p w:rsidR="00000000" w:rsidRDefault="00CF461A">
      <w:pPr>
        <w:jc w:val="both"/>
        <w:divId w:val="1755277025"/>
        <w:rPr>
          <w:rFonts w:eastAsia="Times New Roman"/>
        </w:rPr>
      </w:pPr>
      <w:r>
        <w:rPr>
          <w:rFonts w:eastAsia="Times New Roman"/>
          <w:sz w:val="18"/>
          <w:szCs w:val="18"/>
        </w:rPr>
        <w:t>loss of revenue</w:t>
      </w:r>
      <w:r>
        <w:rPr>
          <w:rFonts w:eastAsia="Times New Roman"/>
          <w:sz w:val="18"/>
          <w:szCs w:val="18"/>
        </w:rPr>
        <w:t>;</w:t>
      </w:r>
    </w:p>
    <w:p w:rsidR="00000000" w:rsidRDefault="00CF461A">
      <w:pPr>
        <w:jc w:val="both"/>
        <w:divId w:val="165873550"/>
        <w:rPr>
          <w:rFonts w:eastAsia="Times New Roman"/>
        </w:rPr>
      </w:pPr>
      <w:r>
        <w:rPr>
          <w:rFonts w:eastAsia="Times New Roman"/>
          <w:sz w:val="18"/>
          <w:szCs w:val="18"/>
        </w:rPr>
        <w:t>•</w:t>
      </w:r>
    </w:p>
    <w:p w:rsidR="00000000" w:rsidRDefault="00CF461A">
      <w:pPr>
        <w:jc w:val="both"/>
        <w:divId w:val="585724876"/>
        <w:rPr>
          <w:rFonts w:eastAsia="Times New Roman"/>
        </w:rPr>
      </w:pPr>
      <w:r>
        <w:rPr>
          <w:rFonts w:eastAsia="Times New Roman"/>
          <w:sz w:val="18"/>
          <w:szCs w:val="18"/>
        </w:rPr>
        <w:t>substantial monetary awards to trial participants or patients</w:t>
      </w:r>
      <w:r>
        <w:rPr>
          <w:rFonts w:eastAsia="Times New Roman"/>
          <w:sz w:val="18"/>
          <w:szCs w:val="18"/>
        </w:rPr>
        <w:t>;</w:t>
      </w:r>
    </w:p>
    <w:p w:rsidR="00000000" w:rsidRDefault="00CF461A">
      <w:pPr>
        <w:jc w:val="both"/>
        <w:divId w:val="1621913817"/>
        <w:rPr>
          <w:rFonts w:eastAsia="Times New Roman"/>
        </w:rPr>
      </w:pPr>
      <w:r>
        <w:rPr>
          <w:rFonts w:eastAsia="Times New Roman"/>
          <w:sz w:val="18"/>
          <w:szCs w:val="18"/>
        </w:rPr>
        <w:t>•</w:t>
      </w:r>
    </w:p>
    <w:p w:rsidR="00000000" w:rsidRDefault="00CF461A">
      <w:pPr>
        <w:jc w:val="both"/>
        <w:divId w:val="1791362294"/>
        <w:rPr>
          <w:rFonts w:eastAsia="Times New Roman"/>
        </w:rPr>
      </w:pPr>
      <w:r>
        <w:rPr>
          <w:rFonts w:eastAsia="Times New Roman"/>
          <w:sz w:val="18"/>
          <w:szCs w:val="18"/>
        </w:rPr>
        <w:t>significant time and costs to defend the related litigation</w:t>
      </w:r>
      <w:r>
        <w:rPr>
          <w:rFonts w:eastAsia="Times New Roman"/>
          <w:sz w:val="18"/>
          <w:szCs w:val="18"/>
        </w:rPr>
        <w:t>;</w:t>
      </w:r>
    </w:p>
    <w:p w:rsidR="00000000" w:rsidRDefault="00CF461A">
      <w:pPr>
        <w:jc w:val="both"/>
        <w:divId w:val="1202136486"/>
        <w:rPr>
          <w:rFonts w:eastAsia="Times New Roman"/>
        </w:rPr>
      </w:pPr>
      <w:r>
        <w:rPr>
          <w:rFonts w:eastAsia="Times New Roman"/>
          <w:sz w:val="18"/>
          <w:szCs w:val="18"/>
        </w:rPr>
        <w:t>•</w:t>
      </w:r>
    </w:p>
    <w:p w:rsidR="00000000" w:rsidRDefault="00CF461A">
      <w:pPr>
        <w:jc w:val="both"/>
        <w:divId w:val="1856311783"/>
        <w:rPr>
          <w:rFonts w:eastAsia="Times New Roman"/>
        </w:rPr>
      </w:pPr>
      <w:r>
        <w:rPr>
          <w:rFonts w:eastAsia="Times New Roman"/>
          <w:sz w:val="18"/>
          <w:szCs w:val="18"/>
        </w:rPr>
        <w:t>withdrawal of clinical trial participants</w:t>
      </w:r>
      <w:r>
        <w:rPr>
          <w:rFonts w:eastAsia="Times New Roman"/>
          <w:sz w:val="18"/>
          <w:szCs w:val="18"/>
        </w:rPr>
        <w:t>;</w:t>
      </w:r>
    </w:p>
    <w:p w:rsidR="00000000" w:rsidRDefault="00CF461A">
      <w:pPr>
        <w:jc w:val="both"/>
        <w:divId w:val="1300569702"/>
        <w:rPr>
          <w:rFonts w:eastAsia="Times New Roman"/>
        </w:rPr>
      </w:pPr>
      <w:r>
        <w:rPr>
          <w:rFonts w:eastAsia="Times New Roman"/>
          <w:sz w:val="18"/>
          <w:szCs w:val="18"/>
        </w:rPr>
        <w:t>•</w:t>
      </w:r>
    </w:p>
    <w:p w:rsidR="00000000" w:rsidRDefault="00CF461A">
      <w:pPr>
        <w:jc w:val="both"/>
        <w:divId w:val="1496845248"/>
        <w:rPr>
          <w:rFonts w:eastAsia="Times New Roman"/>
        </w:rPr>
      </w:pPr>
      <w:r>
        <w:rPr>
          <w:rFonts w:eastAsia="Times New Roman"/>
          <w:sz w:val="18"/>
          <w:szCs w:val="18"/>
        </w:rPr>
        <w:t>the inability to commercialize any drug candidate that we may develop; an</w:t>
      </w:r>
      <w:r>
        <w:rPr>
          <w:rFonts w:eastAsia="Times New Roman"/>
          <w:sz w:val="18"/>
          <w:szCs w:val="18"/>
        </w:rPr>
        <w:t>d</w:t>
      </w:r>
    </w:p>
    <w:p w:rsidR="00000000" w:rsidRDefault="00CF461A">
      <w:pPr>
        <w:jc w:val="both"/>
        <w:divId w:val="1921476025"/>
        <w:rPr>
          <w:rFonts w:eastAsia="Times New Roman"/>
        </w:rPr>
      </w:pPr>
      <w:r>
        <w:rPr>
          <w:rFonts w:eastAsia="Times New Roman"/>
          <w:sz w:val="18"/>
          <w:szCs w:val="18"/>
        </w:rPr>
        <w:t>•</w:t>
      </w:r>
    </w:p>
    <w:p w:rsidR="00000000" w:rsidRDefault="00CF461A">
      <w:pPr>
        <w:jc w:val="both"/>
        <w:divId w:val="927809613"/>
        <w:rPr>
          <w:rFonts w:eastAsia="Times New Roman"/>
        </w:rPr>
      </w:pPr>
      <w:r>
        <w:rPr>
          <w:rFonts w:eastAsia="Times New Roman"/>
          <w:sz w:val="18"/>
          <w:szCs w:val="18"/>
        </w:rPr>
        <w:t>injury to our reputation and significant negative media attention</w:t>
      </w:r>
      <w:r>
        <w:rPr>
          <w:rFonts w:eastAsia="Times New Roman"/>
          <w:sz w:val="18"/>
          <w:szCs w:val="18"/>
        </w:rPr>
        <w:t>.</w:t>
      </w:r>
    </w:p>
    <w:p w:rsidR="00000000" w:rsidRDefault="00CF461A">
      <w:pPr>
        <w:pStyle w:val="a3"/>
        <w:spacing w:before="264" w:beforeAutospacing="0" w:after="0" w:afterAutospacing="0"/>
        <w:ind w:firstLine="599"/>
        <w:jc w:val="both"/>
        <w:rPr>
          <w:sz w:val="20"/>
          <w:szCs w:val="20"/>
        </w:rPr>
      </w:pPr>
      <w:r>
        <w:rPr>
          <w:sz w:val="18"/>
          <w:szCs w:val="18"/>
        </w:rPr>
        <w:t>Although we maintain product liability insurance coverage, such insurance may not be adequate to cover all liabilities that we may incur. We anticipate that we will need to increase our ins</w:t>
      </w:r>
      <w:r>
        <w:rPr>
          <w:sz w:val="18"/>
          <w:szCs w:val="18"/>
        </w:rPr>
        <w:t>urance coverage each time we commence a clinical trial and if we successfully commercialize any drug candidate. Insurance coverage is increasingly expensive. We may not be able to maintain insurance coverage at a reasonable cost or in an amount adequate to</w:t>
      </w:r>
      <w:r>
        <w:rPr>
          <w:sz w:val="18"/>
          <w:szCs w:val="18"/>
        </w:rPr>
        <w:t xml:space="preserve"> satisfy any liability that may arise</w:t>
      </w:r>
      <w:r>
        <w:rPr>
          <w:sz w:val="18"/>
          <w:szCs w:val="18"/>
        </w:rPr>
        <w:t>.</w:t>
      </w:r>
    </w:p>
    <w:p w:rsidR="00000000" w:rsidRDefault="00CF461A">
      <w:pPr>
        <w:pStyle w:val="a3"/>
        <w:spacing w:before="120" w:beforeAutospacing="0" w:after="0" w:afterAutospacing="0"/>
        <w:jc w:val="both"/>
        <w:rPr>
          <w:sz w:val="20"/>
          <w:szCs w:val="20"/>
        </w:rPr>
      </w:pPr>
      <w:r>
        <w:rPr>
          <w:b/>
          <w:bCs/>
          <w:sz w:val="18"/>
          <w:szCs w:val="18"/>
        </w:rPr>
        <w:t>Risks Related to Licensing and Collaboration Arrangement</w:t>
      </w:r>
      <w:r>
        <w:rPr>
          <w:b/>
          <w:bCs/>
          <w:sz w:val="18"/>
          <w:szCs w:val="18"/>
        </w:rPr>
        <w:t>s</w:t>
      </w:r>
    </w:p>
    <w:p w:rsidR="00000000" w:rsidRDefault="00CF461A">
      <w:pPr>
        <w:pStyle w:val="a3"/>
        <w:spacing w:before="240" w:beforeAutospacing="0" w:after="0" w:afterAutospacing="0"/>
        <w:jc w:val="center"/>
        <w:rPr>
          <w:sz w:val="20"/>
          <w:szCs w:val="20"/>
        </w:rPr>
      </w:pPr>
      <w:r>
        <w:rPr>
          <w:sz w:val="18"/>
          <w:szCs w:val="18"/>
        </w:rPr>
        <w:t>3</w:t>
      </w:r>
      <w:r>
        <w:rPr>
          <w:sz w:val="18"/>
          <w:szCs w:val="18"/>
        </w:rPr>
        <w:t>4</w:t>
      </w:r>
    </w:p>
    <w:p w:rsidR="00000000" w:rsidRDefault="00CF461A">
      <w:pPr>
        <w:rPr>
          <w:rFonts w:eastAsia="Times New Roman"/>
        </w:rPr>
      </w:pPr>
      <w:r>
        <w:rPr>
          <w:rFonts w:eastAsia="Times New Roman"/>
        </w:rPr>
        <w:pict>
          <v:rect id="_x0000_i1060"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200" w:beforeAutospacing="0" w:after="0" w:afterAutospacing="0"/>
        <w:jc w:val="both"/>
        <w:rPr>
          <w:sz w:val="20"/>
          <w:szCs w:val="20"/>
        </w:rPr>
      </w:pPr>
      <w:r>
        <w:rPr>
          <w:b/>
          <w:bCs/>
          <w:i/>
          <w:iCs/>
          <w:sz w:val="18"/>
          <w:szCs w:val="18"/>
        </w:rPr>
        <w:t>Under the Takeda License and Termination Agreement, we are entitled to receive royalty and milestone payments in conne</w:t>
      </w:r>
      <w:r>
        <w:rPr>
          <w:b/>
          <w:bCs/>
          <w:i/>
          <w:iCs/>
          <w:sz w:val="18"/>
          <w:szCs w:val="18"/>
        </w:rPr>
        <w:t>ction with the development and commercialization of soticlestat. If Takeda fails to progress or discontinues the development of soticlestat, we may not receive some or all of such payments, which would materially harm our business</w:t>
      </w:r>
      <w:r>
        <w:rPr>
          <w:b/>
          <w:bCs/>
          <w:i/>
          <w:iCs/>
          <w:sz w:val="18"/>
          <w:szCs w:val="18"/>
        </w:rPr>
        <w:t>.</w:t>
      </w:r>
    </w:p>
    <w:p w:rsidR="00000000" w:rsidRDefault="00CF461A">
      <w:pPr>
        <w:pStyle w:val="a3"/>
        <w:spacing w:before="120" w:beforeAutospacing="0" w:after="0" w:afterAutospacing="0"/>
        <w:jc w:val="both"/>
        <w:rPr>
          <w:sz w:val="20"/>
          <w:szCs w:val="20"/>
        </w:rPr>
      </w:pPr>
      <w:r>
        <w:rPr>
          <w:sz w:val="18"/>
          <w:szCs w:val="18"/>
        </w:rPr>
        <w:t>In March 2021, we entere</w:t>
      </w:r>
      <w:r>
        <w:rPr>
          <w:sz w:val="18"/>
          <w:szCs w:val="18"/>
        </w:rPr>
        <w:t>d into the Takeda License and Termination Agreement, pursuant to which Takeda secured rights to our 50% global share in soticlestat, which we had originally licensed from Takeda, and we granted to Takeda an exclusive worldwide license under our relevant in</w:t>
      </w:r>
      <w:r>
        <w:rPr>
          <w:sz w:val="18"/>
          <w:szCs w:val="18"/>
        </w:rPr>
        <w:t>tellectual property rights to develop and commercialize the investigational medicine soticlestat for the treatment of developmental and epileptic encephalopathies, including Dravet syndrome and Lennox-Gastaut syndrome. All rights in soticlestat are now own</w:t>
      </w:r>
      <w:r>
        <w:rPr>
          <w:sz w:val="18"/>
          <w:szCs w:val="18"/>
        </w:rPr>
        <w:t>ed by Takeda or exclusively licensed to Takeda by us. Following the closing date of the Takeda License and Termination Agreement, Takeda assumed all responsibility for, and costs of, both development and commercialization of soticlestat, and we will no lon</w:t>
      </w:r>
      <w:r>
        <w:rPr>
          <w:sz w:val="18"/>
          <w:szCs w:val="18"/>
        </w:rPr>
        <w:t>ger have any financial obligation to Takeda under the original collaboration agreement, including for milestone payments or any future development and commercialization costs. Upon closing of the Takeda License and Termination Agreement, we received a one-</w:t>
      </w:r>
      <w:r>
        <w:rPr>
          <w:sz w:val="18"/>
          <w:szCs w:val="18"/>
        </w:rPr>
        <w:t>time, upfront payment of $196.0 million and, if soticlestat is successfully developed, we will be eligible to receive up to an additional $660.0 million upon Takeda achieving specified regulatory and sales milestones. In addition, if soticlestat achieves r</w:t>
      </w:r>
      <w:r>
        <w:rPr>
          <w:sz w:val="18"/>
          <w:szCs w:val="18"/>
        </w:rPr>
        <w:t>egulatory approval, we will be entitled to receive tiered royalties at percentages ranging from the low double-digits, up to 20% on sales of soticlestat. Royalties will be payable on a country-by-country and product-by-product basis during the period begin</w:t>
      </w:r>
      <w:r>
        <w:rPr>
          <w:sz w:val="18"/>
          <w:szCs w:val="18"/>
        </w:rPr>
        <w:t>ning on the date of the first commercial sale of such product in such country and ending on the later to occur of the expiration of patent rights covering the product in such country and a specified anniversary of such first commercial sale</w:t>
      </w:r>
      <w:r>
        <w:rPr>
          <w:sz w:val="18"/>
          <w:szCs w:val="18"/>
        </w:rPr>
        <w:t>.</w:t>
      </w:r>
    </w:p>
    <w:p w:rsidR="00000000" w:rsidRDefault="00CF461A">
      <w:pPr>
        <w:pStyle w:val="a3"/>
        <w:spacing w:before="120" w:beforeAutospacing="0" w:after="0" w:afterAutospacing="0"/>
        <w:ind w:firstLine="612"/>
        <w:jc w:val="both"/>
        <w:rPr>
          <w:sz w:val="20"/>
          <w:szCs w:val="20"/>
        </w:rPr>
      </w:pPr>
      <w:r>
        <w:rPr>
          <w:sz w:val="18"/>
          <w:szCs w:val="18"/>
        </w:rPr>
        <w:t>Under the term</w:t>
      </w:r>
      <w:r>
        <w:rPr>
          <w:sz w:val="18"/>
          <w:szCs w:val="18"/>
        </w:rPr>
        <w:t>s of the Takeda License and Termination Agreement, Takeda now has sole discretion over the conduct of the development and commercialization of soticlestat. If for any reason, Takeda fails to progress, or elects to terminate the development of soticlestat a</w:t>
      </w:r>
      <w:r>
        <w:rPr>
          <w:sz w:val="18"/>
          <w:szCs w:val="18"/>
        </w:rPr>
        <w:t>s contemplated by the Takeda License and Termination Agreement, or if the development or commercialization of soticlestat is delayed or deprioritized by Takeda, we may not receive some or all of the royalty and milestone payments under such agreement. We a</w:t>
      </w:r>
      <w:r>
        <w:rPr>
          <w:sz w:val="18"/>
          <w:szCs w:val="18"/>
        </w:rPr>
        <w:t>re dependent upon Takeda’s progression of such development and the resulting payments to fund the regulatory development of our current and future drug candidates. If we are unable to find alternative sources of revenue, our inability to receive royalty or</w:t>
      </w:r>
      <w:r>
        <w:rPr>
          <w:sz w:val="18"/>
          <w:szCs w:val="18"/>
        </w:rPr>
        <w:t xml:space="preserve"> milestone payments under the Takeda License and Termination Agreement would negatively impact our business and results of operations</w:t>
      </w:r>
      <w:r>
        <w:rPr>
          <w:sz w:val="18"/>
          <w:szCs w:val="18"/>
        </w:rPr>
        <w:t>.</w:t>
      </w:r>
    </w:p>
    <w:p w:rsidR="00000000" w:rsidRDefault="00CF461A">
      <w:pPr>
        <w:pStyle w:val="a3"/>
        <w:spacing w:before="0" w:beforeAutospacing="0" w:after="0" w:afterAutospacing="0"/>
        <w:jc w:val="both"/>
        <w:rPr>
          <w:sz w:val="20"/>
          <w:szCs w:val="20"/>
        </w:rPr>
      </w:pPr>
      <w:r>
        <w:rPr>
          <w:sz w:val="18"/>
          <w:szCs w:val="18"/>
        </w:rPr>
        <w:t> </w:t>
      </w:r>
    </w:p>
    <w:p w:rsidR="00000000" w:rsidRDefault="00CF461A">
      <w:pPr>
        <w:pStyle w:val="a3"/>
        <w:spacing w:before="0" w:beforeAutospacing="0" w:after="0" w:afterAutospacing="0"/>
        <w:jc w:val="both"/>
        <w:rPr>
          <w:sz w:val="20"/>
          <w:szCs w:val="20"/>
        </w:rPr>
      </w:pPr>
      <w:r>
        <w:rPr>
          <w:b/>
          <w:bCs/>
          <w:i/>
          <w:iCs/>
          <w:sz w:val="18"/>
          <w:szCs w:val="18"/>
        </w:rPr>
        <w:t>Risks associated with the in-licensing or acquisition of drug candidates could cause substantial delays in the preclini</w:t>
      </w:r>
      <w:r>
        <w:rPr>
          <w:b/>
          <w:bCs/>
          <w:i/>
          <w:iCs/>
          <w:sz w:val="18"/>
          <w:szCs w:val="18"/>
        </w:rPr>
        <w:t>cal and clinical development of our drug candidates</w:t>
      </w:r>
      <w:r>
        <w:rPr>
          <w:b/>
          <w:bCs/>
          <w:i/>
          <w:iCs/>
          <w:sz w:val="18"/>
          <w:szCs w:val="18"/>
        </w:rPr>
        <w:t>.</w:t>
      </w:r>
    </w:p>
    <w:p w:rsidR="00000000" w:rsidRDefault="00CF461A">
      <w:pPr>
        <w:pStyle w:val="a3"/>
        <w:spacing w:before="120" w:beforeAutospacing="0" w:after="0" w:afterAutospacing="0"/>
        <w:ind w:firstLine="612"/>
        <w:jc w:val="both"/>
        <w:rPr>
          <w:sz w:val="20"/>
          <w:szCs w:val="20"/>
        </w:rPr>
      </w:pPr>
      <w:r>
        <w:rPr>
          <w:sz w:val="18"/>
          <w:szCs w:val="18"/>
        </w:rPr>
        <w:t>We have previously acquired and we may acquire or in-license drug candidates for preclinical or clinical development in the future as we continue to build our pipeline. Such arrangements with third parti</w:t>
      </w:r>
      <w:r>
        <w:rPr>
          <w:sz w:val="18"/>
          <w:szCs w:val="18"/>
        </w:rPr>
        <w:t>es may impose, diligence, development and commercialization obligations, milestone payments, royalty payments, indemnification and other obligations on us. Our obligations to pay milestone, royalty and other payments to our licensors may be substantial, an</w:t>
      </w:r>
      <w:r>
        <w:rPr>
          <w:sz w:val="18"/>
          <w:szCs w:val="18"/>
        </w:rPr>
        <w:t>d the amount and timing of such payments may impact our ability to progress the development and commercialization of our drug candidates. Our rights to use any licensed intellectual property may be subject to the continuation of and our compliance with the</w:t>
      </w:r>
      <w:r>
        <w:rPr>
          <w:sz w:val="18"/>
          <w:szCs w:val="18"/>
        </w:rPr>
        <w:t xml:space="preserve"> terms of any such agreements. Additionally, disputes may arise regarding our rights to intellectual property licensed to us or acquired by us from a third party, including but not limited to</w:t>
      </w:r>
      <w:r>
        <w:rPr>
          <w:sz w:val="18"/>
          <w:szCs w:val="18"/>
        </w:rPr>
        <w:t>:</w:t>
      </w:r>
    </w:p>
    <w:p w:rsidR="00000000" w:rsidRDefault="00CF461A">
      <w:pPr>
        <w:jc w:val="both"/>
        <w:divId w:val="1344086473"/>
        <w:rPr>
          <w:rFonts w:eastAsia="Times New Roman"/>
        </w:rPr>
      </w:pPr>
      <w:r>
        <w:rPr>
          <w:rFonts w:eastAsia="Times New Roman"/>
          <w:sz w:val="18"/>
          <w:szCs w:val="18"/>
        </w:rPr>
        <w:t>•</w:t>
      </w:r>
    </w:p>
    <w:p w:rsidR="00000000" w:rsidRDefault="00CF461A">
      <w:pPr>
        <w:jc w:val="both"/>
        <w:divId w:val="187374926"/>
        <w:rPr>
          <w:rFonts w:eastAsia="Times New Roman"/>
        </w:rPr>
      </w:pPr>
      <w:r>
        <w:rPr>
          <w:rFonts w:eastAsia="Times New Roman"/>
          <w:sz w:val="18"/>
          <w:szCs w:val="18"/>
        </w:rPr>
        <w:t>the scope of intellectual property rights included in, and ri</w:t>
      </w:r>
      <w:r>
        <w:rPr>
          <w:rFonts w:eastAsia="Times New Roman"/>
          <w:sz w:val="18"/>
          <w:szCs w:val="18"/>
        </w:rPr>
        <w:t>ghts granted under, any license or other agreement</w:t>
      </w:r>
      <w:r>
        <w:rPr>
          <w:rFonts w:eastAsia="Times New Roman"/>
          <w:sz w:val="18"/>
          <w:szCs w:val="18"/>
        </w:rPr>
        <w:t>;</w:t>
      </w:r>
    </w:p>
    <w:p w:rsidR="00000000" w:rsidRDefault="00CF461A">
      <w:pPr>
        <w:jc w:val="both"/>
        <w:divId w:val="1191530951"/>
        <w:rPr>
          <w:rFonts w:eastAsia="Times New Roman"/>
        </w:rPr>
      </w:pPr>
      <w:r>
        <w:rPr>
          <w:rFonts w:eastAsia="Times New Roman"/>
          <w:sz w:val="18"/>
          <w:szCs w:val="18"/>
        </w:rPr>
        <w:t>•</w:t>
      </w:r>
    </w:p>
    <w:p w:rsidR="00000000" w:rsidRDefault="00CF461A">
      <w:pPr>
        <w:jc w:val="both"/>
        <w:divId w:val="758529040"/>
        <w:rPr>
          <w:rFonts w:eastAsia="Times New Roman"/>
        </w:rPr>
      </w:pPr>
      <w:r>
        <w:rPr>
          <w:rFonts w:eastAsia="Times New Roman"/>
          <w:sz w:val="18"/>
          <w:szCs w:val="18"/>
        </w:rPr>
        <w:t>the sublicensing of patent and other rights under such agreements</w:t>
      </w:r>
      <w:r>
        <w:rPr>
          <w:rFonts w:eastAsia="Times New Roman"/>
          <w:sz w:val="18"/>
          <w:szCs w:val="18"/>
        </w:rPr>
        <w:t>;</w:t>
      </w:r>
    </w:p>
    <w:p w:rsidR="00000000" w:rsidRDefault="00CF461A">
      <w:pPr>
        <w:jc w:val="both"/>
        <w:divId w:val="965236004"/>
        <w:rPr>
          <w:rFonts w:eastAsia="Times New Roman"/>
        </w:rPr>
      </w:pPr>
      <w:r>
        <w:rPr>
          <w:rFonts w:eastAsia="Times New Roman"/>
          <w:sz w:val="18"/>
          <w:szCs w:val="18"/>
        </w:rPr>
        <w:t>•</w:t>
      </w:r>
    </w:p>
    <w:p w:rsidR="00000000" w:rsidRDefault="00CF461A">
      <w:pPr>
        <w:jc w:val="both"/>
        <w:divId w:val="1822189510"/>
        <w:rPr>
          <w:rFonts w:eastAsia="Times New Roman"/>
        </w:rPr>
      </w:pPr>
      <w:r>
        <w:rPr>
          <w:rFonts w:eastAsia="Times New Roman"/>
          <w:sz w:val="18"/>
          <w:szCs w:val="18"/>
        </w:rPr>
        <w:t>our compliance with our diligence obligations under any license agreement</w:t>
      </w:r>
      <w:r>
        <w:rPr>
          <w:rFonts w:eastAsia="Times New Roman"/>
          <w:sz w:val="18"/>
          <w:szCs w:val="18"/>
        </w:rPr>
        <w:t>;</w:t>
      </w:r>
    </w:p>
    <w:p w:rsidR="00000000" w:rsidRDefault="00CF461A">
      <w:pPr>
        <w:jc w:val="both"/>
        <w:divId w:val="784153932"/>
        <w:rPr>
          <w:rFonts w:eastAsia="Times New Roman"/>
        </w:rPr>
      </w:pPr>
      <w:r>
        <w:rPr>
          <w:rFonts w:eastAsia="Times New Roman"/>
          <w:sz w:val="18"/>
          <w:szCs w:val="18"/>
        </w:rPr>
        <w:t>•</w:t>
      </w:r>
    </w:p>
    <w:p w:rsidR="00000000" w:rsidRDefault="00CF461A">
      <w:pPr>
        <w:jc w:val="both"/>
        <w:divId w:val="2053261355"/>
        <w:rPr>
          <w:rFonts w:eastAsia="Times New Roman"/>
        </w:rPr>
      </w:pPr>
      <w:r>
        <w:rPr>
          <w:rFonts w:eastAsia="Times New Roman"/>
          <w:sz w:val="18"/>
          <w:szCs w:val="18"/>
        </w:rPr>
        <w:t>the ownership of inventions and know-how resulting from the creation or use of intellectual property by us, alone or with our licensors and collaborators</w:t>
      </w:r>
      <w:r>
        <w:rPr>
          <w:rFonts w:eastAsia="Times New Roman"/>
          <w:sz w:val="18"/>
          <w:szCs w:val="18"/>
        </w:rPr>
        <w:t>;</w:t>
      </w:r>
    </w:p>
    <w:p w:rsidR="00000000" w:rsidRDefault="00CF461A">
      <w:pPr>
        <w:jc w:val="both"/>
        <w:divId w:val="1630280090"/>
        <w:rPr>
          <w:rFonts w:eastAsia="Times New Roman"/>
        </w:rPr>
      </w:pPr>
      <w:r>
        <w:rPr>
          <w:rFonts w:eastAsia="Times New Roman"/>
          <w:sz w:val="18"/>
          <w:szCs w:val="18"/>
        </w:rPr>
        <w:t>•</w:t>
      </w:r>
    </w:p>
    <w:p w:rsidR="00000000" w:rsidRDefault="00CF461A">
      <w:pPr>
        <w:jc w:val="both"/>
        <w:divId w:val="503594271"/>
        <w:rPr>
          <w:rFonts w:eastAsia="Times New Roman"/>
        </w:rPr>
      </w:pPr>
      <w:r>
        <w:rPr>
          <w:rFonts w:eastAsia="Times New Roman"/>
          <w:sz w:val="18"/>
          <w:szCs w:val="18"/>
        </w:rPr>
        <w:t>the scope and duration</w:t>
      </w:r>
      <w:r>
        <w:rPr>
          <w:rFonts w:eastAsia="Times New Roman"/>
          <w:sz w:val="18"/>
          <w:szCs w:val="18"/>
        </w:rPr>
        <w:t xml:space="preserve"> of our payment obligations, and our ability to make such payments when they are owed</w:t>
      </w:r>
      <w:r>
        <w:rPr>
          <w:rFonts w:eastAsia="Times New Roman"/>
          <w:sz w:val="18"/>
          <w:szCs w:val="18"/>
        </w:rPr>
        <w:t>;</w:t>
      </w:r>
    </w:p>
    <w:p w:rsidR="00000000" w:rsidRDefault="00CF461A">
      <w:pPr>
        <w:jc w:val="both"/>
        <w:divId w:val="1316912058"/>
        <w:rPr>
          <w:rFonts w:eastAsia="Times New Roman"/>
        </w:rPr>
      </w:pPr>
      <w:r>
        <w:rPr>
          <w:rFonts w:eastAsia="Times New Roman"/>
          <w:sz w:val="18"/>
          <w:szCs w:val="18"/>
        </w:rPr>
        <w:t>•</w:t>
      </w:r>
    </w:p>
    <w:p w:rsidR="00000000" w:rsidRDefault="00CF461A">
      <w:pPr>
        <w:jc w:val="both"/>
        <w:divId w:val="958612700"/>
        <w:rPr>
          <w:rFonts w:eastAsia="Times New Roman"/>
        </w:rPr>
      </w:pPr>
      <w:r>
        <w:rPr>
          <w:rFonts w:eastAsia="Times New Roman"/>
          <w:sz w:val="18"/>
          <w:szCs w:val="18"/>
        </w:rPr>
        <w:t>our need to acquire additional intellectual property rights from third parties that may impact payments due under such agreements</w:t>
      </w:r>
      <w:r>
        <w:rPr>
          <w:rFonts w:eastAsia="Times New Roman"/>
          <w:sz w:val="18"/>
          <w:szCs w:val="18"/>
        </w:rPr>
        <w:t>;</w:t>
      </w:r>
    </w:p>
    <w:p w:rsidR="00000000" w:rsidRDefault="00CF461A">
      <w:pPr>
        <w:jc w:val="both"/>
        <w:divId w:val="1532106258"/>
        <w:rPr>
          <w:rFonts w:eastAsia="Times New Roman"/>
        </w:rPr>
      </w:pPr>
      <w:r>
        <w:rPr>
          <w:rFonts w:eastAsia="Times New Roman"/>
          <w:sz w:val="18"/>
          <w:szCs w:val="18"/>
        </w:rPr>
        <w:t>•</w:t>
      </w:r>
    </w:p>
    <w:p w:rsidR="00000000" w:rsidRDefault="00CF461A">
      <w:pPr>
        <w:jc w:val="both"/>
        <w:divId w:val="1169128399"/>
        <w:rPr>
          <w:rFonts w:eastAsia="Times New Roman"/>
        </w:rPr>
      </w:pPr>
      <w:r>
        <w:rPr>
          <w:rFonts w:eastAsia="Times New Roman"/>
          <w:sz w:val="18"/>
          <w:szCs w:val="18"/>
        </w:rPr>
        <w:t>the rights of our licensors to ter</w:t>
      </w:r>
      <w:r>
        <w:rPr>
          <w:rFonts w:eastAsia="Times New Roman"/>
          <w:sz w:val="18"/>
          <w:szCs w:val="18"/>
        </w:rPr>
        <w:t>minate any such agreement</w:t>
      </w:r>
      <w:r>
        <w:rPr>
          <w:rFonts w:eastAsia="Times New Roman"/>
          <w:sz w:val="18"/>
          <w:szCs w:val="18"/>
        </w:rPr>
        <w:t>;</w:t>
      </w:r>
    </w:p>
    <w:p w:rsidR="00000000" w:rsidRDefault="00CF461A">
      <w:pPr>
        <w:jc w:val="both"/>
        <w:divId w:val="929704996"/>
        <w:rPr>
          <w:rFonts w:eastAsia="Times New Roman"/>
        </w:rPr>
      </w:pPr>
      <w:r>
        <w:rPr>
          <w:rFonts w:eastAsia="Times New Roman"/>
          <w:sz w:val="18"/>
          <w:szCs w:val="18"/>
        </w:rPr>
        <w:t>•</w:t>
      </w:r>
    </w:p>
    <w:p w:rsidR="00000000" w:rsidRDefault="00CF461A">
      <w:pPr>
        <w:jc w:val="both"/>
        <w:divId w:val="1346860388"/>
        <w:rPr>
          <w:rFonts w:eastAsia="Times New Roman"/>
        </w:rPr>
      </w:pPr>
      <w:r>
        <w:rPr>
          <w:rFonts w:eastAsia="Times New Roman"/>
          <w:sz w:val="18"/>
          <w:szCs w:val="18"/>
        </w:rPr>
        <w:t>our rights and obligations upon termination of such agreement; an</w:t>
      </w:r>
      <w:r>
        <w:rPr>
          <w:rFonts w:eastAsia="Times New Roman"/>
          <w:sz w:val="18"/>
          <w:szCs w:val="18"/>
        </w:rPr>
        <w:t>d</w:t>
      </w:r>
    </w:p>
    <w:p w:rsidR="00000000" w:rsidRDefault="00CF461A">
      <w:pPr>
        <w:jc w:val="both"/>
        <w:divId w:val="1933585204"/>
        <w:rPr>
          <w:rFonts w:eastAsia="Times New Roman"/>
        </w:rPr>
      </w:pPr>
      <w:r>
        <w:rPr>
          <w:rFonts w:eastAsia="Times New Roman"/>
          <w:sz w:val="18"/>
          <w:szCs w:val="18"/>
        </w:rPr>
        <w:t>•</w:t>
      </w:r>
    </w:p>
    <w:p w:rsidR="00000000" w:rsidRDefault="00CF461A">
      <w:pPr>
        <w:jc w:val="both"/>
        <w:divId w:val="21518775"/>
        <w:rPr>
          <w:rFonts w:eastAsia="Times New Roman"/>
        </w:rPr>
      </w:pPr>
      <w:r>
        <w:rPr>
          <w:rFonts w:eastAsia="Times New Roman"/>
          <w:sz w:val="18"/>
          <w:szCs w:val="18"/>
        </w:rPr>
        <w:t>the scope and duration of exclusivity obligations of each party to the agreement</w:t>
      </w:r>
      <w:r>
        <w:rPr>
          <w:rFonts w:eastAsia="Times New Roman"/>
          <w:sz w:val="18"/>
          <w:szCs w:val="18"/>
        </w:rPr>
        <w:t>.</w:t>
      </w:r>
    </w:p>
    <w:p w:rsidR="00000000" w:rsidRDefault="00CF461A">
      <w:pPr>
        <w:pStyle w:val="a3"/>
        <w:spacing w:before="0" w:beforeAutospacing="0" w:after="0" w:afterAutospacing="0"/>
        <w:ind w:firstLine="612"/>
        <w:jc w:val="both"/>
        <w:rPr>
          <w:sz w:val="20"/>
          <w:szCs w:val="20"/>
        </w:rPr>
      </w:pPr>
      <w:r>
        <w:rPr>
          <w:sz w:val="18"/>
          <w:szCs w:val="18"/>
        </w:rPr>
        <w:t> </w:t>
      </w:r>
    </w:p>
    <w:p w:rsidR="00000000" w:rsidRDefault="00CF461A">
      <w:pPr>
        <w:pStyle w:val="a3"/>
        <w:spacing w:before="0" w:beforeAutospacing="0" w:after="0" w:afterAutospacing="0"/>
        <w:ind w:firstLine="612"/>
        <w:jc w:val="both"/>
        <w:rPr>
          <w:sz w:val="20"/>
          <w:szCs w:val="20"/>
        </w:rPr>
      </w:pPr>
      <w:r>
        <w:rPr>
          <w:sz w:val="18"/>
          <w:szCs w:val="18"/>
        </w:rPr>
        <w:t xml:space="preserve">Disputes over intellectual property and other rights that we have licensed or acquired, or may license or acquire in the future, from third parties could prevent or impair our ability to maintain any such arrangements on acceptable terms, result in delays </w:t>
      </w:r>
      <w:r>
        <w:rPr>
          <w:sz w:val="18"/>
          <w:szCs w:val="18"/>
        </w:rPr>
        <w:t>in the commencement or completion of our preclinical studies and clinical trials and impact our ability to successfully develop and commercialize the affected drug candidates. If we fail to comply with our obligations under any future licensing agreements,</w:t>
      </w:r>
      <w:r>
        <w:rPr>
          <w:sz w:val="18"/>
          <w:szCs w:val="18"/>
        </w:rPr>
        <w:t xml:space="preserve"> these agreements may be terminated or the scope of our rights under them may be reduced and we might be unable to develop, manufacture or market any product that is licensed under these agreements</w:t>
      </w:r>
      <w:r>
        <w:rPr>
          <w:sz w:val="18"/>
          <w:szCs w:val="18"/>
        </w:rPr>
        <w:t>.</w: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3</w:t>
      </w:r>
      <w:r>
        <w:rPr>
          <w:sz w:val="18"/>
          <w:szCs w:val="18"/>
        </w:rPr>
        <w:t>5</w:t>
      </w:r>
    </w:p>
    <w:p w:rsidR="00000000" w:rsidRDefault="00CF461A">
      <w:pPr>
        <w:rPr>
          <w:rFonts w:eastAsia="Times New Roman"/>
        </w:rPr>
      </w:pPr>
      <w:r>
        <w:rPr>
          <w:rFonts w:eastAsia="Times New Roman"/>
        </w:rPr>
        <w:pict>
          <v:rect id="_x0000_i1061"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200" w:beforeAutospacing="0" w:after="0" w:afterAutospacing="0"/>
        <w:jc w:val="both"/>
        <w:rPr>
          <w:sz w:val="20"/>
          <w:szCs w:val="20"/>
        </w:rPr>
      </w:pPr>
      <w:r>
        <w:rPr>
          <w:b/>
          <w:bCs/>
          <w:i/>
          <w:iCs/>
          <w:sz w:val="18"/>
          <w:szCs w:val="18"/>
        </w:rPr>
        <w:t>We may be requ</w:t>
      </w:r>
      <w:r>
        <w:rPr>
          <w:b/>
          <w:bCs/>
          <w:i/>
          <w:iCs/>
          <w:sz w:val="18"/>
          <w:szCs w:val="18"/>
        </w:rPr>
        <w:t>ired to relinquish important rights to and control over the development and commercialization of our drug candidates to any future collaborators</w:t>
      </w:r>
      <w:r>
        <w:rPr>
          <w:b/>
          <w:bCs/>
          <w:i/>
          <w:iCs/>
          <w:sz w:val="18"/>
          <w:szCs w:val="18"/>
        </w:rPr>
        <w:t>.</w:t>
      </w:r>
    </w:p>
    <w:p w:rsidR="00000000" w:rsidRDefault="00CF461A">
      <w:pPr>
        <w:pStyle w:val="a3"/>
        <w:spacing w:before="120" w:beforeAutospacing="0" w:after="0" w:afterAutospacing="0"/>
        <w:ind w:firstLine="679"/>
        <w:jc w:val="both"/>
        <w:rPr>
          <w:sz w:val="20"/>
          <w:szCs w:val="20"/>
        </w:rPr>
      </w:pPr>
      <w:r>
        <w:rPr>
          <w:sz w:val="18"/>
          <w:szCs w:val="18"/>
        </w:rPr>
        <w:t>Our current and future collaborations could subject us to a number of risks, including</w:t>
      </w:r>
      <w:r>
        <w:rPr>
          <w:sz w:val="18"/>
          <w:szCs w:val="18"/>
        </w:rPr>
        <w:t>:</w:t>
      </w:r>
    </w:p>
    <w:p w:rsidR="00000000" w:rsidRDefault="00CF461A">
      <w:pPr>
        <w:jc w:val="both"/>
        <w:divId w:val="1418861625"/>
        <w:rPr>
          <w:rFonts w:eastAsia="Times New Roman"/>
        </w:rPr>
      </w:pPr>
      <w:r>
        <w:rPr>
          <w:rFonts w:eastAsia="Times New Roman"/>
          <w:sz w:val="18"/>
          <w:szCs w:val="18"/>
        </w:rPr>
        <w:t>•</w:t>
      </w:r>
    </w:p>
    <w:p w:rsidR="00000000" w:rsidRDefault="00CF461A">
      <w:pPr>
        <w:jc w:val="both"/>
        <w:divId w:val="1843428476"/>
        <w:rPr>
          <w:rFonts w:eastAsia="Times New Roman"/>
        </w:rPr>
      </w:pPr>
      <w:r>
        <w:rPr>
          <w:rFonts w:eastAsia="Times New Roman"/>
          <w:sz w:val="18"/>
          <w:szCs w:val="18"/>
        </w:rPr>
        <w:t>we may be required to undertake the expenditure of substantial operational, financial and management resources</w:t>
      </w:r>
      <w:r>
        <w:rPr>
          <w:rFonts w:eastAsia="Times New Roman"/>
          <w:sz w:val="18"/>
          <w:szCs w:val="18"/>
        </w:rPr>
        <w:t>;</w:t>
      </w:r>
    </w:p>
    <w:p w:rsidR="00000000" w:rsidRDefault="00CF461A">
      <w:pPr>
        <w:jc w:val="both"/>
        <w:divId w:val="1551116842"/>
        <w:rPr>
          <w:rFonts w:eastAsia="Times New Roman"/>
        </w:rPr>
      </w:pPr>
      <w:r>
        <w:rPr>
          <w:rFonts w:eastAsia="Times New Roman"/>
          <w:sz w:val="18"/>
          <w:szCs w:val="18"/>
        </w:rPr>
        <w:t>•</w:t>
      </w:r>
    </w:p>
    <w:p w:rsidR="00000000" w:rsidRDefault="00CF461A">
      <w:pPr>
        <w:jc w:val="both"/>
        <w:divId w:val="1363096358"/>
        <w:rPr>
          <w:rFonts w:eastAsia="Times New Roman"/>
        </w:rPr>
      </w:pPr>
      <w:r>
        <w:rPr>
          <w:rFonts w:eastAsia="Times New Roman"/>
          <w:sz w:val="18"/>
          <w:szCs w:val="18"/>
        </w:rPr>
        <w:t>we may be required to issue equity securities that would dilute our stockholders’ percentage of ownership</w:t>
      </w:r>
      <w:r>
        <w:rPr>
          <w:rFonts w:eastAsia="Times New Roman"/>
          <w:sz w:val="18"/>
          <w:szCs w:val="18"/>
        </w:rPr>
        <w:t>;</w:t>
      </w:r>
    </w:p>
    <w:p w:rsidR="00000000" w:rsidRDefault="00CF461A">
      <w:pPr>
        <w:jc w:val="both"/>
        <w:divId w:val="1021392679"/>
        <w:rPr>
          <w:rFonts w:eastAsia="Times New Roman"/>
        </w:rPr>
      </w:pPr>
      <w:r>
        <w:rPr>
          <w:rFonts w:eastAsia="Times New Roman"/>
          <w:sz w:val="18"/>
          <w:szCs w:val="18"/>
        </w:rPr>
        <w:t>•</w:t>
      </w:r>
    </w:p>
    <w:p w:rsidR="00000000" w:rsidRDefault="00CF461A">
      <w:pPr>
        <w:jc w:val="both"/>
        <w:divId w:val="450365402"/>
        <w:rPr>
          <w:rFonts w:eastAsia="Times New Roman"/>
        </w:rPr>
      </w:pPr>
      <w:r>
        <w:rPr>
          <w:rFonts w:eastAsia="Times New Roman"/>
          <w:sz w:val="18"/>
          <w:szCs w:val="18"/>
        </w:rPr>
        <w:t>we may be required to assume subs</w:t>
      </w:r>
      <w:r>
        <w:rPr>
          <w:rFonts w:eastAsia="Times New Roman"/>
          <w:sz w:val="18"/>
          <w:szCs w:val="18"/>
        </w:rPr>
        <w:t>tantial actual or contingent liabilities</w:t>
      </w:r>
      <w:r>
        <w:rPr>
          <w:rFonts w:eastAsia="Times New Roman"/>
          <w:sz w:val="18"/>
          <w:szCs w:val="18"/>
        </w:rPr>
        <w:t>;</w:t>
      </w:r>
    </w:p>
    <w:p w:rsidR="00000000" w:rsidRDefault="00CF461A">
      <w:pPr>
        <w:jc w:val="both"/>
        <w:divId w:val="1769425961"/>
        <w:rPr>
          <w:rFonts w:eastAsia="Times New Roman"/>
        </w:rPr>
      </w:pPr>
      <w:r>
        <w:rPr>
          <w:rFonts w:eastAsia="Times New Roman"/>
          <w:sz w:val="18"/>
          <w:szCs w:val="18"/>
        </w:rPr>
        <w:t>•</w:t>
      </w:r>
    </w:p>
    <w:p w:rsidR="00000000" w:rsidRDefault="00CF461A">
      <w:pPr>
        <w:jc w:val="both"/>
        <w:divId w:val="1997955719"/>
        <w:rPr>
          <w:rFonts w:eastAsia="Times New Roman"/>
        </w:rPr>
      </w:pPr>
      <w:r>
        <w:rPr>
          <w:rFonts w:eastAsia="Times New Roman"/>
          <w:sz w:val="18"/>
          <w:szCs w:val="18"/>
        </w:rPr>
        <w:t>we may not be able to control the amount and timing of resources that our strategic collaborators devote to the development or commercialization of our drug candidates</w:t>
      </w:r>
      <w:r>
        <w:rPr>
          <w:rFonts w:eastAsia="Times New Roman"/>
          <w:sz w:val="18"/>
          <w:szCs w:val="18"/>
        </w:rPr>
        <w:t>;</w:t>
      </w:r>
    </w:p>
    <w:p w:rsidR="00000000" w:rsidRDefault="00CF461A">
      <w:pPr>
        <w:jc w:val="both"/>
        <w:divId w:val="874199588"/>
        <w:rPr>
          <w:rFonts w:eastAsia="Times New Roman"/>
        </w:rPr>
      </w:pPr>
      <w:r>
        <w:rPr>
          <w:rFonts w:eastAsia="Times New Roman"/>
          <w:sz w:val="18"/>
          <w:szCs w:val="18"/>
        </w:rPr>
        <w:t>•</w:t>
      </w:r>
    </w:p>
    <w:p w:rsidR="00000000" w:rsidRDefault="00CF461A">
      <w:pPr>
        <w:jc w:val="both"/>
        <w:divId w:val="1483237298"/>
        <w:rPr>
          <w:rFonts w:eastAsia="Times New Roman"/>
        </w:rPr>
      </w:pPr>
      <w:r>
        <w:rPr>
          <w:rFonts w:eastAsia="Times New Roman"/>
          <w:sz w:val="18"/>
          <w:szCs w:val="18"/>
        </w:rPr>
        <w:t>strategic collaborators may delay clinica</w:t>
      </w:r>
      <w:r>
        <w:rPr>
          <w:rFonts w:eastAsia="Times New Roman"/>
          <w:sz w:val="18"/>
          <w:szCs w:val="18"/>
        </w:rPr>
        <w:t>l trials, provide insufficient funding, terminate a clinical trial or abandon a drug candidate, repeat or conduct new clinical trials or require a new version of a drug candidate for clinical testing</w:t>
      </w:r>
      <w:r>
        <w:rPr>
          <w:rFonts w:eastAsia="Times New Roman"/>
          <w:sz w:val="18"/>
          <w:szCs w:val="18"/>
        </w:rPr>
        <w:t>;</w:t>
      </w:r>
    </w:p>
    <w:p w:rsidR="00000000" w:rsidRDefault="00CF461A">
      <w:pPr>
        <w:jc w:val="both"/>
        <w:divId w:val="276084"/>
        <w:rPr>
          <w:rFonts w:eastAsia="Times New Roman"/>
        </w:rPr>
      </w:pPr>
      <w:r>
        <w:rPr>
          <w:rFonts w:eastAsia="Times New Roman"/>
          <w:sz w:val="18"/>
          <w:szCs w:val="18"/>
        </w:rPr>
        <w:t>•</w:t>
      </w:r>
    </w:p>
    <w:p w:rsidR="00000000" w:rsidRDefault="00CF461A">
      <w:pPr>
        <w:jc w:val="both"/>
        <w:divId w:val="485168056"/>
        <w:rPr>
          <w:rFonts w:eastAsia="Times New Roman"/>
        </w:rPr>
      </w:pPr>
      <w:r>
        <w:rPr>
          <w:rFonts w:eastAsia="Times New Roman"/>
          <w:sz w:val="18"/>
          <w:szCs w:val="18"/>
        </w:rPr>
        <w:t>strategic collaborators may not pursue further develo</w:t>
      </w:r>
      <w:r>
        <w:rPr>
          <w:rFonts w:eastAsia="Times New Roman"/>
          <w:sz w:val="18"/>
          <w:szCs w:val="18"/>
        </w:rPr>
        <w:t>pment and commercialization of products resulting from the strategic collaboration arrangement or may elect to discontinue research and development programs</w:t>
      </w:r>
      <w:r>
        <w:rPr>
          <w:rFonts w:eastAsia="Times New Roman"/>
          <w:sz w:val="18"/>
          <w:szCs w:val="18"/>
        </w:rPr>
        <w:t>;</w:t>
      </w:r>
    </w:p>
    <w:p w:rsidR="00000000" w:rsidRDefault="00CF461A">
      <w:pPr>
        <w:jc w:val="both"/>
        <w:divId w:val="1120414924"/>
        <w:rPr>
          <w:rFonts w:eastAsia="Times New Roman"/>
        </w:rPr>
      </w:pPr>
      <w:r>
        <w:rPr>
          <w:rFonts w:eastAsia="Times New Roman"/>
          <w:sz w:val="18"/>
          <w:szCs w:val="18"/>
        </w:rPr>
        <w:t>•</w:t>
      </w:r>
    </w:p>
    <w:p w:rsidR="00000000" w:rsidRDefault="00CF461A">
      <w:pPr>
        <w:jc w:val="both"/>
        <w:divId w:val="276134705"/>
        <w:rPr>
          <w:rFonts w:eastAsia="Times New Roman"/>
        </w:rPr>
      </w:pPr>
      <w:r>
        <w:rPr>
          <w:rFonts w:eastAsia="Times New Roman"/>
          <w:sz w:val="18"/>
          <w:szCs w:val="18"/>
        </w:rPr>
        <w:t>strategic collaborators may not commit adequate resources to the marketing and distribution of o</w:t>
      </w:r>
      <w:r>
        <w:rPr>
          <w:rFonts w:eastAsia="Times New Roman"/>
          <w:sz w:val="18"/>
          <w:szCs w:val="18"/>
        </w:rPr>
        <w:t>ur drug candidates, limiting our potential revenues from these products</w:t>
      </w:r>
      <w:r>
        <w:rPr>
          <w:rFonts w:eastAsia="Times New Roman"/>
          <w:sz w:val="18"/>
          <w:szCs w:val="18"/>
        </w:rPr>
        <w:t>;</w:t>
      </w:r>
    </w:p>
    <w:p w:rsidR="00000000" w:rsidRDefault="00CF461A">
      <w:pPr>
        <w:jc w:val="both"/>
        <w:divId w:val="342324076"/>
        <w:rPr>
          <w:rFonts w:eastAsia="Times New Roman"/>
        </w:rPr>
      </w:pPr>
      <w:r>
        <w:rPr>
          <w:rFonts w:eastAsia="Times New Roman"/>
          <w:sz w:val="18"/>
          <w:szCs w:val="18"/>
        </w:rPr>
        <w:t>•</w:t>
      </w:r>
    </w:p>
    <w:p w:rsidR="00000000" w:rsidRDefault="00CF461A">
      <w:pPr>
        <w:jc w:val="both"/>
        <w:divId w:val="496961667"/>
        <w:rPr>
          <w:rFonts w:eastAsia="Times New Roman"/>
        </w:rPr>
      </w:pPr>
      <w:r>
        <w:rPr>
          <w:rFonts w:eastAsia="Times New Roman"/>
          <w:sz w:val="18"/>
          <w:szCs w:val="18"/>
        </w:rPr>
        <w:t>we rely on our current collaborators to manufacture drug substance and drug product and may do so with respect to future collaborators, which could result in disputes or delays</w:t>
      </w:r>
      <w:r>
        <w:rPr>
          <w:rFonts w:eastAsia="Times New Roman"/>
          <w:sz w:val="18"/>
          <w:szCs w:val="18"/>
        </w:rPr>
        <w:t>;</w:t>
      </w:r>
    </w:p>
    <w:p w:rsidR="00000000" w:rsidRDefault="00CF461A">
      <w:pPr>
        <w:jc w:val="both"/>
        <w:divId w:val="972980206"/>
        <w:rPr>
          <w:rFonts w:eastAsia="Times New Roman"/>
        </w:rPr>
      </w:pPr>
      <w:r>
        <w:rPr>
          <w:rFonts w:eastAsia="Times New Roman"/>
          <w:sz w:val="18"/>
          <w:szCs w:val="18"/>
        </w:rPr>
        <w:t>•</w:t>
      </w:r>
    </w:p>
    <w:p w:rsidR="00000000" w:rsidRDefault="00CF461A">
      <w:pPr>
        <w:jc w:val="both"/>
        <w:divId w:val="796921822"/>
        <w:rPr>
          <w:rFonts w:eastAsia="Times New Roman"/>
        </w:rPr>
      </w:pPr>
      <w:r>
        <w:rPr>
          <w:rFonts w:eastAsia="Times New Roman"/>
          <w:sz w:val="18"/>
          <w:szCs w:val="18"/>
        </w:rPr>
        <w:t>d</w:t>
      </w:r>
      <w:r>
        <w:rPr>
          <w:rFonts w:eastAsia="Times New Roman"/>
          <w:sz w:val="18"/>
          <w:szCs w:val="18"/>
        </w:rPr>
        <w:t>isputes may arise between us and our strategic collaborators that result in the delay or termination of the research, development or commercialization of our drug candidates or that result in costly litigation or arbitration that diverts management’s atten</w:t>
      </w:r>
      <w:r>
        <w:rPr>
          <w:rFonts w:eastAsia="Times New Roman"/>
          <w:sz w:val="18"/>
          <w:szCs w:val="18"/>
        </w:rPr>
        <w:t>tion and consumes resources</w:t>
      </w:r>
      <w:r>
        <w:rPr>
          <w:rFonts w:eastAsia="Times New Roman"/>
          <w:sz w:val="18"/>
          <w:szCs w:val="18"/>
        </w:rPr>
        <w:t>;</w:t>
      </w:r>
    </w:p>
    <w:p w:rsidR="00000000" w:rsidRDefault="00CF461A">
      <w:pPr>
        <w:jc w:val="both"/>
        <w:divId w:val="2053074121"/>
        <w:rPr>
          <w:rFonts w:eastAsia="Times New Roman"/>
        </w:rPr>
      </w:pPr>
      <w:r>
        <w:rPr>
          <w:rFonts w:eastAsia="Times New Roman"/>
          <w:sz w:val="18"/>
          <w:szCs w:val="18"/>
        </w:rPr>
        <w:t>•</w:t>
      </w:r>
    </w:p>
    <w:p w:rsidR="00000000" w:rsidRDefault="00CF461A">
      <w:pPr>
        <w:jc w:val="both"/>
        <w:divId w:val="1905410005"/>
        <w:rPr>
          <w:rFonts w:eastAsia="Times New Roman"/>
        </w:rPr>
      </w:pPr>
      <w:r>
        <w:rPr>
          <w:rFonts w:eastAsia="Times New Roman"/>
          <w:sz w:val="18"/>
          <w:szCs w:val="18"/>
        </w:rPr>
        <w:t>disputes may arise between us and our current or future collaborators regarding any termination of any collaboration, license, or other business development arrangement in which we may enter</w:t>
      </w:r>
      <w:r>
        <w:rPr>
          <w:rFonts w:eastAsia="Times New Roman"/>
          <w:sz w:val="18"/>
          <w:szCs w:val="18"/>
        </w:rPr>
        <w:t>;</w:t>
      </w:r>
    </w:p>
    <w:p w:rsidR="00000000" w:rsidRDefault="00CF461A">
      <w:pPr>
        <w:jc w:val="both"/>
        <w:divId w:val="1404598315"/>
        <w:rPr>
          <w:rFonts w:eastAsia="Times New Roman"/>
        </w:rPr>
      </w:pPr>
      <w:r>
        <w:rPr>
          <w:rFonts w:eastAsia="Times New Roman"/>
          <w:sz w:val="18"/>
          <w:szCs w:val="18"/>
        </w:rPr>
        <w:t>•</w:t>
      </w:r>
    </w:p>
    <w:p w:rsidR="00000000" w:rsidRDefault="00CF461A">
      <w:pPr>
        <w:jc w:val="both"/>
        <w:divId w:val="120922970"/>
        <w:rPr>
          <w:rFonts w:eastAsia="Times New Roman"/>
        </w:rPr>
      </w:pPr>
      <w:r>
        <w:rPr>
          <w:rFonts w:eastAsia="Times New Roman"/>
          <w:sz w:val="18"/>
          <w:szCs w:val="18"/>
        </w:rPr>
        <w:t>strategic collaborators may exp</w:t>
      </w:r>
      <w:r>
        <w:rPr>
          <w:rFonts w:eastAsia="Times New Roman"/>
          <w:sz w:val="18"/>
          <w:szCs w:val="18"/>
        </w:rPr>
        <w:t>erience financial difficulties</w:t>
      </w:r>
      <w:r>
        <w:rPr>
          <w:rFonts w:eastAsia="Times New Roman"/>
          <w:sz w:val="18"/>
          <w:szCs w:val="18"/>
        </w:rPr>
        <w:t>;</w:t>
      </w:r>
    </w:p>
    <w:p w:rsidR="00000000" w:rsidRDefault="00CF461A">
      <w:pPr>
        <w:jc w:val="both"/>
        <w:divId w:val="1402756820"/>
        <w:rPr>
          <w:rFonts w:eastAsia="Times New Roman"/>
        </w:rPr>
      </w:pPr>
      <w:r>
        <w:rPr>
          <w:rFonts w:eastAsia="Times New Roman"/>
          <w:sz w:val="18"/>
          <w:szCs w:val="18"/>
        </w:rPr>
        <w:t>•</w:t>
      </w:r>
    </w:p>
    <w:p w:rsidR="00000000" w:rsidRDefault="00CF461A">
      <w:pPr>
        <w:jc w:val="both"/>
        <w:divId w:val="588739147"/>
        <w:rPr>
          <w:rFonts w:eastAsia="Times New Roman"/>
        </w:rPr>
      </w:pPr>
      <w:r>
        <w:rPr>
          <w:rFonts w:eastAsia="Times New Roman"/>
          <w:sz w:val="18"/>
          <w:szCs w:val="18"/>
        </w:rPr>
        <w:t>strategic collaborators may not properly maintain or defend our intellectual property rights or may use our proprietary information in a manner that could jeopardize or invalidate our proprietary information or expose us t</w:t>
      </w:r>
      <w:r>
        <w:rPr>
          <w:rFonts w:eastAsia="Times New Roman"/>
          <w:sz w:val="18"/>
          <w:szCs w:val="18"/>
        </w:rPr>
        <w:t>o potential litigation</w:t>
      </w:r>
      <w:r>
        <w:rPr>
          <w:rFonts w:eastAsia="Times New Roman"/>
          <w:sz w:val="18"/>
          <w:szCs w:val="18"/>
        </w:rPr>
        <w:t>;</w:t>
      </w:r>
    </w:p>
    <w:p w:rsidR="00000000" w:rsidRDefault="00CF461A">
      <w:pPr>
        <w:jc w:val="both"/>
        <w:divId w:val="1341083605"/>
        <w:rPr>
          <w:rFonts w:eastAsia="Times New Roman"/>
        </w:rPr>
      </w:pPr>
      <w:r>
        <w:rPr>
          <w:rFonts w:eastAsia="Times New Roman"/>
          <w:sz w:val="18"/>
          <w:szCs w:val="18"/>
        </w:rPr>
        <w:t>•</w:t>
      </w:r>
    </w:p>
    <w:p w:rsidR="00000000" w:rsidRDefault="00CF461A">
      <w:pPr>
        <w:jc w:val="both"/>
        <w:divId w:val="52238396"/>
        <w:rPr>
          <w:rFonts w:eastAsia="Times New Roman"/>
        </w:rPr>
      </w:pPr>
      <w:r>
        <w:rPr>
          <w:rFonts w:eastAsia="Times New Roman"/>
          <w:sz w:val="18"/>
          <w:szCs w:val="18"/>
        </w:rPr>
        <w:t>business combinations or significant changes in a strategic collaborator’s business strategy may also adversely affect a strategic collaborator’s willingness or ability to complete its obligations under any arrangement</w:t>
      </w:r>
      <w:r>
        <w:rPr>
          <w:rFonts w:eastAsia="Times New Roman"/>
          <w:sz w:val="18"/>
          <w:szCs w:val="18"/>
        </w:rPr>
        <w:t>;</w:t>
      </w:r>
    </w:p>
    <w:p w:rsidR="00000000" w:rsidRDefault="00CF461A">
      <w:pPr>
        <w:jc w:val="both"/>
        <w:divId w:val="741683319"/>
        <w:rPr>
          <w:rFonts w:eastAsia="Times New Roman"/>
        </w:rPr>
      </w:pPr>
      <w:r>
        <w:rPr>
          <w:rFonts w:eastAsia="Times New Roman"/>
          <w:sz w:val="18"/>
          <w:szCs w:val="18"/>
        </w:rPr>
        <w:t>•</w:t>
      </w:r>
    </w:p>
    <w:p w:rsidR="00000000" w:rsidRDefault="00CF461A">
      <w:pPr>
        <w:jc w:val="both"/>
        <w:divId w:val="1129514105"/>
        <w:rPr>
          <w:rFonts w:eastAsia="Times New Roman"/>
        </w:rPr>
      </w:pPr>
      <w:r>
        <w:rPr>
          <w:rFonts w:eastAsia="Times New Roman"/>
          <w:sz w:val="18"/>
          <w:szCs w:val="18"/>
        </w:rPr>
        <w:t>strategic collaborators could decide to move forward with a competing drug candidate developed either independently or in collaboration with others, including our competitors; an</w:t>
      </w:r>
      <w:r>
        <w:rPr>
          <w:rFonts w:eastAsia="Times New Roman"/>
          <w:sz w:val="18"/>
          <w:szCs w:val="18"/>
        </w:rPr>
        <w:t>d</w:t>
      </w:r>
    </w:p>
    <w:p w:rsidR="00000000" w:rsidRDefault="00CF461A">
      <w:pPr>
        <w:jc w:val="both"/>
        <w:divId w:val="2142990515"/>
        <w:rPr>
          <w:rFonts w:eastAsia="Times New Roman"/>
        </w:rPr>
      </w:pPr>
      <w:r>
        <w:rPr>
          <w:rFonts w:eastAsia="Times New Roman"/>
          <w:sz w:val="18"/>
          <w:szCs w:val="18"/>
        </w:rPr>
        <w:t>•</w:t>
      </w:r>
    </w:p>
    <w:p w:rsidR="00000000" w:rsidRDefault="00CF461A">
      <w:pPr>
        <w:jc w:val="both"/>
        <w:divId w:val="1328442929"/>
        <w:rPr>
          <w:rFonts w:eastAsia="Times New Roman"/>
        </w:rPr>
      </w:pPr>
      <w:r>
        <w:rPr>
          <w:rFonts w:eastAsia="Times New Roman"/>
          <w:sz w:val="18"/>
          <w:szCs w:val="18"/>
        </w:rPr>
        <w:t>strategic collaborators could terminate the arrangement or allow it to exp</w:t>
      </w:r>
      <w:r>
        <w:rPr>
          <w:rFonts w:eastAsia="Times New Roman"/>
          <w:sz w:val="18"/>
          <w:szCs w:val="18"/>
        </w:rPr>
        <w:t>ire, which would delay the development and may increase the cost of developing our drug candidates</w:t>
      </w:r>
      <w:r>
        <w:rPr>
          <w:rFonts w:eastAsia="Times New Roman"/>
          <w:sz w:val="18"/>
          <w:szCs w:val="18"/>
        </w:rPr>
        <w:t>.</w:t>
      </w:r>
    </w:p>
    <w:p w:rsidR="00000000" w:rsidRDefault="00CF461A">
      <w:pPr>
        <w:pStyle w:val="a3"/>
        <w:spacing w:before="120" w:beforeAutospacing="0" w:after="0" w:afterAutospacing="0"/>
        <w:jc w:val="both"/>
        <w:rPr>
          <w:sz w:val="20"/>
          <w:szCs w:val="20"/>
        </w:rPr>
      </w:pPr>
      <w:r>
        <w:rPr>
          <w:b/>
          <w:bCs/>
          <w:i/>
          <w:iCs/>
          <w:sz w:val="18"/>
          <w:szCs w:val="18"/>
        </w:rPr>
        <w:t>We may explore additional strategic collaborations that may never materialize or may fail</w:t>
      </w:r>
      <w:r>
        <w:rPr>
          <w:b/>
          <w:bCs/>
          <w:i/>
          <w:iCs/>
          <w:sz w:val="18"/>
          <w:szCs w:val="18"/>
        </w:rPr>
        <w:t>.</w:t>
      </w:r>
    </w:p>
    <w:p w:rsidR="00000000" w:rsidRDefault="00CF461A">
      <w:pPr>
        <w:pStyle w:val="a3"/>
        <w:spacing w:before="120" w:beforeAutospacing="0" w:after="0" w:afterAutospacing="0"/>
        <w:ind w:firstLine="679"/>
        <w:jc w:val="both"/>
        <w:rPr>
          <w:sz w:val="20"/>
          <w:szCs w:val="20"/>
        </w:rPr>
      </w:pPr>
      <w:r>
        <w:rPr>
          <w:sz w:val="18"/>
          <w:szCs w:val="18"/>
        </w:rPr>
        <w:t>Our business strategy is based on acquiring or in-licensing compo</w:t>
      </w:r>
      <w:r>
        <w:rPr>
          <w:sz w:val="18"/>
          <w:szCs w:val="18"/>
        </w:rPr>
        <w:t>unds directed at epilepsies, seizure-related disorders, and rare neurological disorders. As a result, we intend to periodically explore a variety of possible additional strategic collaborations in an effort to gain access to additional drug candidates or r</w:t>
      </w:r>
      <w:r>
        <w:rPr>
          <w:sz w:val="18"/>
          <w:szCs w:val="18"/>
        </w:rPr>
        <w:t>esources. At the current time, we cannot predict what form such a strategic collaboration might take. We are likely to face significant competition in seeking appropriate strategic collaborators, and strategic collaborations can be complicated and time con</w:t>
      </w:r>
      <w:r>
        <w:rPr>
          <w:sz w:val="18"/>
          <w:szCs w:val="18"/>
        </w:rPr>
        <w:t xml:space="preserve">suming to negotiate and document. We may not be able to negotiate strategic collaborations on acceptable terms, or at all. We are unable to predict when, if ever, we will enter into any additional strategic collaborations because of the numerous risks and </w:t>
      </w:r>
      <w:r>
        <w:rPr>
          <w:sz w:val="18"/>
          <w:szCs w:val="18"/>
        </w:rPr>
        <w:t>uncertainties associated with establishing them. Further, our business development activities and research activities may present attractive opportunities outside of epilepsies and seizure related disorders and we may choose to pursue drug candidates in ot</w:t>
      </w:r>
      <w:r>
        <w:rPr>
          <w:sz w:val="18"/>
          <w:szCs w:val="18"/>
        </w:rPr>
        <w:t xml:space="preserve">her areas of interest including other disorders and diseases that we believe would be in the best interest of the Company and our stockholders. We plan to continuously review our strategies and modify as necessary based on attractive areas of interest and </w:t>
      </w:r>
      <w:r>
        <w:rPr>
          <w:sz w:val="18"/>
          <w:szCs w:val="18"/>
        </w:rPr>
        <w:t>assets that we choose to pursue</w:t>
      </w:r>
      <w:r>
        <w:rPr>
          <w:sz w:val="18"/>
          <w:szCs w:val="18"/>
        </w:rPr>
        <w:t>.</w:t>
      </w:r>
    </w:p>
    <w:p w:rsidR="00000000" w:rsidRDefault="00CF461A">
      <w:pPr>
        <w:pStyle w:val="a3"/>
        <w:spacing w:before="200" w:beforeAutospacing="0" w:after="0" w:afterAutospacing="0"/>
        <w:jc w:val="both"/>
        <w:rPr>
          <w:sz w:val="20"/>
          <w:szCs w:val="20"/>
        </w:rPr>
      </w:pPr>
      <w:r>
        <w:rPr>
          <w:b/>
          <w:bCs/>
          <w:sz w:val="18"/>
          <w:szCs w:val="18"/>
        </w:rPr>
        <w:t>Risks Related to Regulatory Complianc</w:t>
      </w:r>
      <w:r>
        <w:rPr>
          <w:b/>
          <w:bCs/>
          <w:sz w:val="18"/>
          <w:szCs w:val="18"/>
        </w:rPr>
        <w:t>e</w:t>
      </w:r>
    </w:p>
    <w:p w:rsidR="00000000" w:rsidRDefault="00CF461A">
      <w:pPr>
        <w:pStyle w:val="a3"/>
        <w:spacing w:before="132" w:beforeAutospacing="0" w:after="0" w:afterAutospacing="0"/>
        <w:jc w:val="both"/>
        <w:rPr>
          <w:sz w:val="20"/>
          <w:szCs w:val="20"/>
        </w:rPr>
      </w:pPr>
      <w:r>
        <w:rPr>
          <w:b/>
          <w:bCs/>
          <w:i/>
          <w:iCs/>
          <w:sz w:val="18"/>
          <w:szCs w:val="18"/>
        </w:rPr>
        <w:t>Our relationships with customers, physicians, and third-party payors may be subject, directly or indirectly, to federal and state healthcare fraud and abuse laws, false claims laws, he</w:t>
      </w:r>
      <w:r>
        <w:rPr>
          <w:b/>
          <w:bCs/>
          <w:i/>
          <w:iCs/>
          <w:sz w:val="18"/>
          <w:szCs w:val="18"/>
        </w:rPr>
        <w:t>alth information privacy and security laws, and other healthcare laws and regulations. If we are unable to comply, or have not fully complied, with such laws, we could face substantial penalties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Healthcare providers and third-party payors in the United St</w:t>
      </w:r>
      <w:r>
        <w:rPr>
          <w:sz w:val="18"/>
          <w:szCs w:val="18"/>
        </w:rPr>
        <w:t>ates and elsewhere will play a primary role in the recommendation and prescription of any drug candidates for which we obtain marketing approval. Our current and future arrangements with healthcare professionals, principal investigators, consultants, custo</w:t>
      </w:r>
      <w:r>
        <w:rPr>
          <w:sz w:val="18"/>
          <w:szCs w:val="18"/>
        </w:rPr>
        <w:t xml:space="preserve">mers and third-party payors may subject us to various federal and state fraud and abuse laws and other healthcare laws, including, without limitation, the federal Anti-Kickback Statute, the federal civil and criminal false claims laws and the law commonly </w:t>
      </w:r>
      <w:r>
        <w:rPr>
          <w:sz w:val="18"/>
          <w:szCs w:val="18"/>
        </w:rPr>
        <w:t>referred to as the Physician Payments Sunshine Act and regulations. These laws will impact, among other things, our clinical research, proposed sales, marketing and educational programs. In addition, we may be subject to patient privacy laws by both the fe</w:t>
      </w:r>
      <w:r>
        <w:rPr>
          <w:sz w:val="18"/>
          <w:szCs w:val="18"/>
        </w:rPr>
        <w:t>deral government and the states in which we conduct or may conduct our business. The laws that will affect our operations include, but are not limited to</w:t>
      </w:r>
      <w:r>
        <w:rPr>
          <w:sz w:val="18"/>
          <w:szCs w:val="18"/>
        </w:rPr>
        <w:t>:</w:t>
      </w:r>
    </w:p>
    <w:p w:rsidR="00000000" w:rsidRDefault="00CF461A">
      <w:pPr>
        <w:pStyle w:val="a3"/>
        <w:spacing w:before="240" w:beforeAutospacing="0" w:after="0" w:afterAutospacing="0"/>
        <w:jc w:val="center"/>
        <w:rPr>
          <w:sz w:val="20"/>
          <w:szCs w:val="20"/>
        </w:rPr>
      </w:pPr>
      <w:r>
        <w:rPr>
          <w:sz w:val="18"/>
          <w:szCs w:val="18"/>
        </w:rPr>
        <w:t>3</w:t>
      </w:r>
      <w:r>
        <w:rPr>
          <w:sz w:val="18"/>
          <w:szCs w:val="18"/>
        </w:rPr>
        <w:t>6</w:t>
      </w:r>
    </w:p>
    <w:p w:rsidR="00000000" w:rsidRDefault="00CF461A">
      <w:pPr>
        <w:rPr>
          <w:rFonts w:eastAsia="Times New Roman"/>
        </w:rPr>
      </w:pPr>
      <w:r>
        <w:rPr>
          <w:rFonts w:eastAsia="Times New Roman"/>
        </w:rPr>
        <w:pict>
          <v:rect id="_x0000_i1062"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jc w:val="both"/>
        <w:divId w:val="1429303852"/>
        <w:rPr>
          <w:rFonts w:eastAsia="Times New Roman"/>
        </w:rPr>
      </w:pPr>
      <w:r>
        <w:rPr>
          <w:rFonts w:eastAsia="Times New Roman"/>
          <w:sz w:val="18"/>
          <w:szCs w:val="18"/>
        </w:rPr>
        <w:t>•</w:t>
      </w:r>
    </w:p>
    <w:p w:rsidR="00000000" w:rsidRDefault="00CF461A">
      <w:pPr>
        <w:jc w:val="both"/>
        <w:divId w:val="792137101"/>
        <w:rPr>
          <w:rFonts w:eastAsia="Times New Roman"/>
        </w:rPr>
      </w:pPr>
      <w:r>
        <w:rPr>
          <w:rFonts w:eastAsia="Times New Roman"/>
          <w:sz w:val="18"/>
          <w:szCs w:val="18"/>
        </w:rPr>
        <w:t>the federal Anti-Kickback Statute, which prohibits, among other things, persons or entities from knowingly and willfully soliciting, receiving, offering or paying any remuneration (including any kickback, bribe or re</w:t>
      </w:r>
      <w:r>
        <w:rPr>
          <w:rFonts w:eastAsia="Times New Roman"/>
          <w:sz w:val="18"/>
          <w:szCs w:val="18"/>
        </w:rPr>
        <w:t>bate), directly or indirectly, overtly or covertly, in cash or in kind, in return for the purchase, recommendation, leasing or furnishing of an item or service reimbursable under a federal healthcare program, such as the Medicare and Medicaid programs. Thi</w:t>
      </w:r>
      <w:r>
        <w:rPr>
          <w:rFonts w:eastAsia="Times New Roman"/>
          <w:sz w:val="18"/>
          <w:szCs w:val="18"/>
        </w:rPr>
        <w:t>s statute has been interpreted to apply to arrangements between pharmaceutical manufacturers on the one hand, and prescribers, purchasers and formulary managers on the other. The Patient Protection and Affordable Care Act, as amended by the Health Care and</w:t>
      </w:r>
      <w:r>
        <w:rPr>
          <w:rFonts w:eastAsia="Times New Roman"/>
          <w:sz w:val="18"/>
          <w:szCs w:val="18"/>
        </w:rPr>
        <w:t xml:space="preserve"> Education Reconciliation Act (collectively, the “PPACA”), amended the intent requirement of the federal Anti-Kickback Statute. A person or entity no longer needs to have actual knowledge of this statute or specific intent to violate it in order to have co</w:t>
      </w:r>
      <w:r>
        <w:rPr>
          <w:rFonts w:eastAsia="Times New Roman"/>
          <w:sz w:val="18"/>
          <w:szCs w:val="18"/>
        </w:rPr>
        <w:t>mmitted a violation</w:t>
      </w:r>
      <w:r>
        <w:rPr>
          <w:rFonts w:eastAsia="Times New Roman"/>
          <w:sz w:val="18"/>
          <w:szCs w:val="18"/>
        </w:rPr>
        <w:t>;</w:t>
      </w:r>
    </w:p>
    <w:p w:rsidR="00000000" w:rsidRDefault="00CF461A">
      <w:pPr>
        <w:jc w:val="both"/>
        <w:divId w:val="516579857"/>
        <w:rPr>
          <w:rFonts w:eastAsia="Times New Roman"/>
        </w:rPr>
      </w:pPr>
      <w:r>
        <w:rPr>
          <w:rFonts w:eastAsia="Times New Roman"/>
          <w:sz w:val="18"/>
          <w:szCs w:val="18"/>
        </w:rPr>
        <w:t>•</w:t>
      </w:r>
    </w:p>
    <w:p w:rsidR="00000000" w:rsidRDefault="00CF461A">
      <w:pPr>
        <w:jc w:val="both"/>
        <w:divId w:val="469905385"/>
        <w:rPr>
          <w:rFonts w:eastAsia="Times New Roman"/>
        </w:rPr>
      </w:pPr>
      <w:r>
        <w:rPr>
          <w:rFonts w:eastAsia="Times New Roman"/>
          <w:sz w:val="18"/>
          <w:szCs w:val="18"/>
        </w:rPr>
        <w:t>federal civil and criminal false claims laws, including, without limitation, the False Claims Act, and civil monetary penalty laws which prohibit, among other things, individuals or entities from knowingly presenting, or causing to b</w:t>
      </w:r>
      <w:r>
        <w:rPr>
          <w:rFonts w:eastAsia="Times New Roman"/>
          <w:sz w:val="18"/>
          <w:szCs w:val="18"/>
        </w:rPr>
        <w:t xml:space="preserve">e presented, claims for payment or approval from Medicare, Medicaid or other government payors that are false or fraudulent or making a false statement to avoid, decrease or conceal an obligation to pay money to the federal government. The PPACA provides, </w:t>
      </w:r>
      <w:r>
        <w:rPr>
          <w:rFonts w:eastAsia="Times New Roman"/>
          <w:sz w:val="18"/>
          <w:szCs w:val="18"/>
        </w:rPr>
        <w:t>and recent government cases against pharmaceutical and medical device manufacturers support, the view that federal Anti-Kickback Statute violations and certain marketing practices, including off-label promotion, may implicate the False Claims Act</w:t>
      </w:r>
      <w:r>
        <w:rPr>
          <w:rFonts w:eastAsia="Times New Roman"/>
          <w:sz w:val="18"/>
          <w:szCs w:val="18"/>
        </w:rPr>
        <w:t>;</w:t>
      </w:r>
    </w:p>
    <w:p w:rsidR="00000000" w:rsidRDefault="00CF461A">
      <w:pPr>
        <w:jc w:val="both"/>
        <w:divId w:val="1604921267"/>
        <w:rPr>
          <w:rFonts w:eastAsia="Times New Roman"/>
        </w:rPr>
      </w:pPr>
      <w:r>
        <w:rPr>
          <w:rFonts w:eastAsia="Times New Roman"/>
          <w:sz w:val="18"/>
          <w:szCs w:val="18"/>
        </w:rPr>
        <w:t>•</w:t>
      </w:r>
    </w:p>
    <w:p w:rsidR="00000000" w:rsidRDefault="00CF461A">
      <w:pPr>
        <w:jc w:val="both"/>
        <w:divId w:val="1378698824"/>
        <w:rPr>
          <w:rFonts w:eastAsia="Times New Roman"/>
        </w:rPr>
      </w:pPr>
      <w:r>
        <w:rPr>
          <w:rFonts w:eastAsia="Times New Roman"/>
          <w:sz w:val="18"/>
          <w:szCs w:val="18"/>
        </w:rPr>
        <w:t>the fe</w:t>
      </w:r>
      <w:r>
        <w:rPr>
          <w:rFonts w:eastAsia="Times New Roman"/>
          <w:sz w:val="18"/>
          <w:szCs w:val="18"/>
        </w:rPr>
        <w:t>deral Health Insurance Portability and Accountability Act of 1996 (“HIPAA”), which created additional federal criminal statutes that prohibit a person from knowingly and willfully executing a scheme or making false or fraudulent statements to defraud any h</w:t>
      </w:r>
      <w:r>
        <w:rPr>
          <w:rFonts w:eastAsia="Times New Roman"/>
          <w:sz w:val="18"/>
          <w:szCs w:val="18"/>
        </w:rPr>
        <w:t>ealthcare benefit program, regardless of the payor (e.g., public or private)</w:t>
      </w:r>
      <w:r>
        <w:rPr>
          <w:rFonts w:eastAsia="Times New Roman"/>
          <w:sz w:val="18"/>
          <w:szCs w:val="18"/>
        </w:rPr>
        <w:t>;</w:t>
      </w:r>
    </w:p>
    <w:p w:rsidR="00000000" w:rsidRDefault="00CF461A">
      <w:pPr>
        <w:jc w:val="both"/>
        <w:divId w:val="1893732264"/>
        <w:rPr>
          <w:rFonts w:eastAsia="Times New Roman"/>
        </w:rPr>
      </w:pPr>
      <w:r>
        <w:rPr>
          <w:rFonts w:eastAsia="Times New Roman"/>
          <w:sz w:val="18"/>
          <w:szCs w:val="18"/>
        </w:rPr>
        <w:t>•</w:t>
      </w:r>
    </w:p>
    <w:p w:rsidR="00000000" w:rsidRDefault="00CF461A">
      <w:pPr>
        <w:jc w:val="both"/>
        <w:divId w:val="307367479"/>
        <w:rPr>
          <w:rFonts w:eastAsia="Times New Roman"/>
        </w:rPr>
      </w:pPr>
      <w:r>
        <w:rPr>
          <w:rFonts w:eastAsia="Times New Roman"/>
          <w:sz w:val="18"/>
          <w:szCs w:val="18"/>
        </w:rPr>
        <w:t>HIPAA, as amended by the Health Information Technology for Economic and Clinical Health Act (“HITECH”), and their implementing regulations, and as amended again by the final HIPAA omnibus rule, Modifications to the HIPAA Privacy, Security, Enforcement, and</w:t>
      </w:r>
      <w:r>
        <w:rPr>
          <w:rFonts w:eastAsia="Times New Roman"/>
          <w:sz w:val="18"/>
          <w:szCs w:val="18"/>
        </w:rPr>
        <w:t xml:space="preserve"> Breach Notification Rules Under HITECH and the Genetic Information Nondiscrimination Act; Other Modifications to HIPAA, published in January 2013, which imposes certain requirements relating to the privacy, security and transmission of individually identi</w:t>
      </w:r>
      <w:r>
        <w:rPr>
          <w:rFonts w:eastAsia="Times New Roman"/>
          <w:sz w:val="18"/>
          <w:szCs w:val="18"/>
        </w:rPr>
        <w:t xml:space="preserve">fiable health information without appropriate authorization by entities subject to the rule, such as health plans, healthcare clearinghouses and certain healthcare providers, known as covered entities, and their respective business associates, individuals </w:t>
      </w:r>
      <w:r>
        <w:rPr>
          <w:rFonts w:eastAsia="Times New Roman"/>
          <w:sz w:val="18"/>
          <w:szCs w:val="18"/>
        </w:rPr>
        <w:t>or entities that perform certain services on behalf of a covered entity that involves the use or disclosure of individually identifiable health information and their subcontractors that use, disclose or otherwise process individually identifiable health in</w:t>
      </w:r>
      <w:r>
        <w:rPr>
          <w:rFonts w:eastAsia="Times New Roman"/>
          <w:sz w:val="18"/>
          <w:szCs w:val="18"/>
        </w:rPr>
        <w:t>formation</w:t>
      </w:r>
      <w:r>
        <w:rPr>
          <w:rFonts w:eastAsia="Times New Roman"/>
          <w:sz w:val="18"/>
          <w:szCs w:val="18"/>
        </w:rPr>
        <w:t>;</w:t>
      </w:r>
    </w:p>
    <w:p w:rsidR="00000000" w:rsidRDefault="00CF461A">
      <w:pPr>
        <w:jc w:val="both"/>
        <w:divId w:val="1814129844"/>
        <w:rPr>
          <w:rFonts w:eastAsia="Times New Roman"/>
        </w:rPr>
      </w:pPr>
      <w:r>
        <w:rPr>
          <w:rFonts w:eastAsia="Times New Roman"/>
          <w:sz w:val="18"/>
          <w:szCs w:val="18"/>
        </w:rPr>
        <w:t>•</w:t>
      </w:r>
    </w:p>
    <w:p w:rsidR="00000000" w:rsidRDefault="00CF461A">
      <w:pPr>
        <w:jc w:val="both"/>
        <w:divId w:val="517013824"/>
        <w:rPr>
          <w:rFonts w:eastAsia="Times New Roman"/>
        </w:rPr>
      </w:pPr>
      <w:r>
        <w:rPr>
          <w:rFonts w:eastAsia="Times New Roman"/>
          <w:sz w:val="18"/>
          <w:szCs w:val="18"/>
        </w:rPr>
        <w:t>Physician Payments Sunshine Act, which is part of the PPACA, that require certain manufacturers of drugs, devices, biologics and medical supplies for which payment is available under Medicare, Medicaid or the Children’s Health Insurance Progra</w:t>
      </w:r>
      <w:r>
        <w:rPr>
          <w:rFonts w:eastAsia="Times New Roman"/>
          <w:sz w:val="18"/>
          <w:szCs w:val="18"/>
        </w:rPr>
        <w:t xml:space="preserve">m, with specific exceptions, to report annually to the Centers for Medicare &amp; Medicaid Services (“CMS”), information related to: (i) payments or other “transfers of value” made to physicians (defined to include doctors, dentists, optometrists, podiatrists </w:t>
      </w:r>
      <w:r>
        <w:rPr>
          <w:rFonts w:eastAsia="Times New Roman"/>
          <w:sz w:val="18"/>
          <w:szCs w:val="18"/>
        </w:rPr>
        <w:t>and chiropractors), certain other healthcare professionals (such as physician assistants and nurse practitioners), and teaching hospitals; and (ii) ownership and investment interests held by physicians and their immediate family members</w:t>
      </w:r>
      <w:r>
        <w:rPr>
          <w:rFonts w:eastAsia="Times New Roman"/>
          <w:sz w:val="18"/>
          <w:szCs w:val="18"/>
        </w:rPr>
        <w:t>;</w:t>
      </w:r>
    </w:p>
    <w:p w:rsidR="00000000" w:rsidRDefault="00CF461A">
      <w:pPr>
        <w:jc w:val="both"/>
        <w:divId w:val="466702882"/>
        <w:rPr>
          <w:rFonts w:eastAsia="Times New Roman"/>
        </w:rPr>
      </w:pPr>
      <w:r>
        <w:rPr>
          <w:rFonts w:eastAsia="Times New Roman"/>
          <w:sz w:val="18"/>
          <w:szCs w:val="18"/>
        </w:rPr>
        <w:t>•</w:t>
      </w:r>
    </w:p>
    <w:p w:rsidR="00000000" w:rsidRDefault="00CF461A">
      <w:pPr>
        <w:jc w:val="both"/>
        <w:divId w:val="1265962863"/>
        <w:rPr>
          <w:rFonts w:eastAsia="Times New Roman"/>
        </w:rPr>
      </w:pPr>
      <w:r>
        <w:rPr>
          <w:rFonts w:eastAsia="Times New Roman"/>
          <w:sz w:val="18"/>
          <w:szCs w:val="18"/>
        </w:rPr>
        <w:t>state and foreig</w:t>
      </w:r>
      <w:r>
        <w:rPr>
          <w:rFonts w:eastAsia="Times New Roman"/>
          <w:sz w:val="18"/>
          <w:szCs w:val="18"/>
        </w:rPr>
        <w:t>n law equivalents of each of the above federal laws, state laws that require manufacturers to report information related to payments and other transfers of value to physicians and other healthcare providers or marketing expenditures and/or information rega</w:t>
      </w:r>
      <w:r>
        <w:rPr>
          <w:rFonts w:eastAsia="Times New Roman"/>
          <w:sz w:val="18"/>
          <w:szCs w:val="18"/>
        </w:rPr>
        <w:t xml:space="preserve">rding drug pricing, state laws that require pharmaceutical companies to comply with the pharmaceutical industry’s voluntary compliance guidelines and the relevant compliance guidance promulgated by the federal government or to adopt compliance programs as </w:t>
      </w:r>
      <w:r>
        <w:rPr>
          <w:rFonts w:eastAsia="Times New Roman"/>
          <w:sz w:val="18"/>
          <w:szCs w:val="18"/>
        </w:rPr>
        <w:t>prescribed by state laws and regulations, or that otherwise restrict payments that may be made to healthcare providers, state laws and regulations that require drug manufacturers to file reports relating to drug pricing and marketing information, and state</w:t>
      </w:r>
      <w:r>
        <w:rPr>
          <w:rFonts w:eastAsia="Times New Roman"/>
          <w:sz w:val="18"/>
          <w:szCs w:val="18"/>
        </w:rPr>
        <w:t xml:space="preserve"> and local laws that require the registration of pharmaceutical sales representatives; an</w:t>
      </w:r>
      <w:r>
        <w:rPr>
          <w:rFonts w:eastAsia="Times New Roman"/>
          <w:sz w:val="18"/>
          <w:szCs w:val="18"/>
        </w:rPr>
        <w:t>d</w:t>
      </w:r>
    </w:p>
    <w:p w:rsidR="00000000" w:rsidRDefault="00CF461A">
      <w:pPr>
        <w:jc w:val="both"/>
        <w:divId w:val="593051770"/>
        <w:rPr>
          <w:rFonts w:eastAsia="Times New Roman"/>
        </w:rPr>
      </w:pPr>
      <w:r>
        <w:rPr>
          <w:rFonts w:eastAsia="Times New Roman"/>
          <w:sz w:val="18"/>
          <w:szCs w:val="18"/>
        </w:rPr>
        <w:t>•</w:t>
      </w:r>
    </w:p>
    <w:p w:rsidR="00000000" w:rsidRDefault="00CF461A">
      <w:pPr>
        <w:jc w:val="both"/>
        <w:divId w:val="55782357"/>
        <w:rPr>
          <w:rFonts w:eastAsia="Times New Roman"/>
        </w:rPr>
      </w:pPr>
      <w:r>
        <w:rPr>
          <w:rFonts w:eastAsia="Times New Roman"/>
          <w:sz w:val="18"/>
          <w:szCs w:val="18"/>
        </w:rPr>
        <w:t>state and foreign laws that govern the privacy and security of health information in some circumstances, many of which differ from each other in significant ways a</w:t>
      </w:r>
      <w:r>
        <w:rPr>
          <w:rFonts w:eastAsia="Times New Roman"/>
          <w:sz w:val="18"/>
          <w:szCs w:val="18"/>
        </w:rPr>
        <w:t>nd often are not preempted by HIPAA, thus complicating compliance efforts</w:t>
      </w:r>
      <w:r>
        <w:rPr>
          <w:rFonts w:eastAsia="Times New Roman"/>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Because of the breadth of these laws and the narrowness of the statutory exceptions and regulatory safe harbors available, it is possible that some of our business activities could </w:t>
      </w:r>
      <w:r>
        <w:rPr>
          <w:sz w:val="18"/>
          <w:szCs w:val="18"/>
        </w:rPr>
        <w:t>be subject to challenge under one or more of such laws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It is possible that governmental authorities will conclude that our business practices may not comply with current or future statutes, regulations or case law involving applicable fraud and abuse or o</w:t>
      </w:r>
      <w:r>
        <w:rPr>
          <w:sz w:val="18"/>
          <w:szCs w:val="18"/>
        </w:rPr>
        <w:t>ther healthcare laws and regulations. If our operations are found to be in violation of any of these laws or any other governmental regulations that may apply to us, we may be subject to significant civil, criminal and administrative penalties, damages, fi</w:t>
      </w:r>
      <w:r>
        <w:rPr>
          <w:sz w:val="18"/>
          <w:szCs w:val="18"/>
        </w:rPr>
        <w:t>nes, disgorgement, imprisonment, exclusion from participation in government funded healthcare programs, such as Medicare and Medicaid, additional reporting requirements and oversight if we become subject to a corporate integrity agreement or similar agreem</w:t>
      </w:r>
      <w:r>
        <w:rPr>
          <w:sz w:val="18"/>
          <w:szCs w:val="18"/>
        </w:rPr>
        <w:t>ent to resolve allegations of non-compliance with these laws and the curtailment or restructuring of our operations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risk of our being found in violation of these laws is increased by the fact that many of them have not been fully interpreted by the re</w:t>
      </w:r>
      <w:r>
        <w:rPr>
          <w:sz w:val="18"/>
          <w:szCs w:val="18"/>
        </w:rPr>
        <w:t>gulatory authorities or the courts, and their provisions are open to a variety of interpretations. Efforts to ensure that our business arrangements with third parties will comply with applicable healthcare laws and regulations will involve substantial cost</w:t>
      </w:r>
      <w:r>
        <w:rPr>
          <w:sz w:val="18"/>
          <w:szCs w:val="18"/>
        </w:rPr>
        <w:t>s. Any action against us for violation of these laws, even if we successfully defend against it, could cause us to incur significant legal expenses and divert our management’s attention from the operation of our business. The shifting compliance environmen</w:t>
      </w:r>
      <w:r>
        <w:rPr>
          <w:sz w:val="18"/>
          <w:szCs w:val="18"/>
        </w:rPr>
        <w:t>t and the need to build and maintain robust and expandable systems to comply with multiple jurisdictions with different compliance and/or reporting requirements increases the possibility that a healthcare company may run afoul of one or more of the require</w:t>
      </w:r>
      <w:r>
        <w:rPr>
          <w:sz w:val="18"/>
          <w:szCs w:val="18"/>
        </w:rPr>
        <w:t>ments</w:t>
      </w:r>
      <w:r>
        <w:rPr>
          <w:sz w:val="18"/>
          <w:szCs w:val="18"/>
        </w:rPr>
        <w:t>.</w: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3</w:t>
      </w:r>
      <w:r>
        <w:rPr>
          <w:sz w:val="18"/>
          <w:szCs w:val="18"/>
        </w:rPr>
        <w:t>7</w:t>
      </w:r>
    </w:p>
    <w:p w:rsidR="00000000" w:rsidRDefault="00CF461A">
      <w:pPr>
        <w:rPr>
          <w:rFonts w:eastAsia="Times New Roman"/>
        </w:rPr>
      </w:pPr>
      <w:r>
        <w:rPr>
          <w:rFonts w:eastAsia="Times New Roman"/>
        </w:rPr>
        <w:pict>
          <v:rect id="_x0000_i1063"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jc w:val="both"/>
        <w:rPr>
          <w:sz w:val="20"/>
          <w:szCs w:val="20"/>
        </w:rPr>
      </w:pPr>
      <w:r>
        <w:rPr>
          <w:b/>
          <w:bCs/>
          <w:i/>
          <w:iCs/>
          <w:sz w:val="18"/>
          <w:szCs w:val="18"/>
        </w:rPr>
        <w:t>Coverage and adequate reimbursement may not be available for our current or any future drug candidates, which could make it difficult for us to sell profitably, if approved</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Market acceptance and sales of a</w:t>
      </w:r>
      <w:r>
        <w:rPr>
          <w:sz w:val="18"/>
          <w:szCs w:val="18"/>
        </w:rPr>
        <w:t>ny drug candidates that we commercialize, if approved, will depend in part on the extent to which coverage and adequate reimbursement for these drugs and related treatments will be available from third-party payors, including government health administrati</w:t>
      </w:r>
      <w:r>
        <w:rPr>
          <w:sz w:val="18"/>
          <w:szCs w:val="18"/>
        </w:rPr>
        <w:t>on authorities, managed care organizations and other private health insurers. Third-party payors decide which therapies they will pay for and establish reimbursement levels. Third-party payors often rely upon Medicare coverage policy and payment limitation</w:t>
      </w:r>
      <w:r>
        <w:rPr>
          <w:sz w:val="18"/>
          <w:szCs w:val="18"/>
        </w:rPr>
        <w:t>s in setting their own coverage and reimbursement policies. However, decisions regarding the extent of coverage and amount of reimbursement to be provided for any drug candidates that we develop will be made on a payor-by-payor basis. One third-party payor</w:t>
      </w:r>
      <w:r>
        <w:rPr>
          <w:sz w:val="18"/>
          <w:szCs w:val="18"/>
        </w:rPr>
        <w:t>’s determination to provide coverage for a drug does not assure that other payors will also provide coverage, and adequate reimbursement, for the drug. Additionally, a third-party payor’s decision to provide coverage for a therapy does not imply that an ad</w:t>
      </w:r>
      <w:r>
        <w:rPr>
          <w:sz w:val="18"/>
          <w:szCs w:val="18"/>
        </w:rPr>
        <w:t>equate reimbursement rate will be approved. Each third-party payor determines whether or not it will provide coverage for a therapy, what amount it will pay the manufacturer for the therapy, and on what tier of its formulary it will be placed. The position</w:t>
      </w:r>
      <w:r>
        <w:rPr>
          <w:sz w:val="18"/>
          <w:szCs w:val="18"/>
        </w:rPr>
        <w:t xml:space="preserve"> on a third-party payor’s list of covered drugs, or formulary, generally determines the co-payment that a patient will need to make to obtain the therapy and can strongly influence the adoption of such therapy by patients and physicians. Patients who are p</w:t>
      </w:r>
      <w:r>
        <w:rPr>
          <w:sz w:val="18"/>
          <w:szCs w:val="18"/>
        </w:rPr>
        <w:t>rescribed treatments for their conditions and providers prescribing such services generally rely on third-party payors to reimburse all or part of the associated healthcare costs. Patients are unlikely to use our drugs unless coverage is provided and reimb</w:t>
      </w:r>
      <w:r>
        <w:rPr>
          <w:sz w:val="18"/>
          <w:szCs w:val="18"/>
        </w:rPr>
        <w:t>ursement is adequate to cover a significant portion of the cost of our drugs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 primary trend in the U.S. healthcare industry and elsewhere is cost containment. Third-party payors have attempted to control costs by limiting coverage and the amount of reimb</w:t>
      </w:r>
      <w:r>
        <w:rPr>
          <w:sz w:val="18"/>
          <w:szCs w:val="18"/>
        </w:rPr>
        <w:t>ursement for particular medications. We cannot be sure that coverage and reimbursement will be available for any drug that we commercialize and, if reimbursement is available, what the level of reimbursement will be. Inadequate coverage and reimbursement m</w:t>
      </w:r>
      <w:r>
        <w:rPr>
          <w:sz w:val="18"/>
          <w:szCs w:val="18"/>
        </w:rPr>
        <w:t xml:space="preserve">ay impact the demand for, or the price of, any drug for which we obtain marketing approval. If coverage and adequate reimbursement are not available, or are available only to limited levels, we may not be able to successfully commercialize our current and </w:t>
      </w:r>
      <w:r>
        <w:rPr>
          <w:sz w:val="18"/>
          <w:szCs w:val="18"/>
        </w:rPr>
        <w:t>any future drug candidates that we develop. Further, coverage policies and third-party payor reimbursement rates may change at any time. Even if favorable coverage and reimbursement status is attained, less favorable coverage policies and reimbursement rat</w:t>
      </w:r>
      <w:r>
        <w:rPr>
          <w:sz w:val="18"/>
          <w:szCs w:val="18"/>
        </w:rPr>
        <w:t>es may be implemented in the future</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Healthcare legislative reform measures may have a negative impact on our business and results of operations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In the United States and some foreign jurisdictions, there have been, and continue to be, several legislative </w:t>
      </w:r>
      <w:r>
        <w:rPr>
          <w:sz w:val="18"/>
          <w:szCs w:val="18"/>
        </w:rPr>
        <w:t xml:space="preserve">and regulatory changes and proposed changes regarding the healthcare system that could prevent or delay marketing approval of drug candidates, restrict or regulate post-approval activities, and affect our ability to profitably sell any drug candidates for </w:t>
      </w:r>
      <w:r>
        <w:rPr>
          <w:sz w:val="18"/>
          <w:szCs w:val="18"/>
        </w:rPr>
        <w:t>which we obtain marketing approval</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Among policy makers and payors in the United States and elsewhere, there is significant interest in promoting changes in healthcare systems with the stated goals of containing healthcare costs, improving quality and/or e</w:t>
      </w:r>
      <w:r>
        <w:rPr>
          <w:sz w:val="18"/>
          <w:szCs w:val="18"/>
        </w:rPr>
        <w:t>xpanding access. In the United States, the pharmaceutical industry has been a particular focus of these efforts and has been significantly affected by major legislative initiatives. In March 2010, the PPACA was passed, which substantially changed the way h</w:t>
      </w:r>
      <w:r>
        <w:rPr>
          <w:sz w:val="18"/>
          <w:szCs w:val="18"/>
        </w:rPr>
        <w:t>ealthcare is financed by both the government and private insurers, and significantly impacts the U.S. pharmaceutical industry</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There have been executive, judicial, Congressional and executive branch challenges to certain aspects of the PPACA. For example, </w:t>
      </w:r>
      <w:r>
        <w:rPr>
          <w:sz w:val="18"/>
          <w:szCs w:val="18"/>
        </w:rPr>
        <w:t>President Trump signed Executive Orders and other directives designed to delay the implementation of certain provisions of the PPACA or otherwise circumvent some of the requirements for health insurance mandated by the PPACA. Concurrently, Congress conside</w:t>
      </w:r>
      <w:r>
        <w:rPr>
          <w:sz w:val="18"/>
          <w:szCs w:val="18"/>
        </w:rPr>
        <w:t>red legislation to repeal or repeal and replace all or part of the PPACA. While Congress has not passed comprehensive repeal legislation, it has enacted laws that modify certain provisions of the PPACA such as removing penalties, effective January 1, 2019,</w:t>
      </w:r>
      <w:r>
        <w:rPr>
          <w:sz w:val="18"/>
          <w:szCs w:val="18"/>
        </w:rPr>
        <w:t xml:space="preserve"> for not complying with the PPACA’s individual mandate to carry health insurance, delaying the implementation of certain PPACA-mandated fees, and increasing the point-of-sale discount that is owed by pharmaceutical manufacturers who participate in Medicare</w:t>
      </w:r>
      <w:r>
        <w:rPr>
          <w:sz w:val="18"/>
          <w:szCs w:val="18"/>
        </w:rPr>
        <w:t xml:space="preserve"> Part D. On June 17, 2021 the U.S. Supreme Court dismissed a challenge on procedural grounds that argued the PPACA is unconstitutional in its entirety because the “individual mandate” was repealed by Congress. Thus, the PPACA will remain in effect in its c</w:t>
      </w:r>
      <w:r>
        <w:rPr>
          <w:sz w:val="18"/>
          <w:szCs w:val="18"/>
        </w:rPr>
        <w:t>urrent form. Further, prior to the U.S. Supreme Court ruling, on January 28, 2021, President Biden issued an executive order that initiated a special enrollment period for purposes of obtaining health insurance coverage through the PPACA marketplace. The e</w:t>
      </w:r>
      <w:r>
        <w:rPr>
          <w:sz w:val="18"/>
          <w:szCs w:val="18"/>
        </w:rPr>
        <w:t>xecutive order also instructed certain governmental agencies to review and reconsider their existing policies and rules that limit access to healthcare, including among others, reexamining Medicaid demonstration projects and waiver programs that include wo</w:t>
      </w:r>
      <w:r>
        <w:rPr>
          <w:sz w:val="18"/>
          <w:szCs w:val="18"/>
        </w:rPr>
        <w:t>rk requirements, and policies that create barriers to obtaining access to health insurance coverage through Medicaid or the PPACA. It is possible that the PPACA will be subject to judicial or Congressional challenges in the future. It is unclear how any su</w:t>
      </w:r>
      <w:r>
        <w:rPr>
          <w:sz w:val="18"/>
          <w:szCs w:val="18"/>
        </w:rPr>
        <w:t>ch challenges and the healthcare reform measures of the Biden administration will impact the PPACA and our business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Other legislative changes have been proposed and adopted since the PPACA was enacted. These changes include aggregate reductions to Medicar</w:t>
      </w:r>
      <w:r>
        <w:rPr>
          <w:sz w:val="18"/>
          <w:szCs w:val="18"/>
        </w:rPr>
        <w:t>e payments to providers of up to 2% per fiscal year pursuant to the Budget Control Act of 2011, which began in 2013, and due to subsequent legislative amendments to the statute, including the BBA, will remain in effect through 2031 unless additional Congre</w:t>
      </w:r>
      <w:r>
        <w:rPr>
          <w:sz w:val="18"/>
          <w:szCs w:val="18"/>
        </w:rPr>
        <w:t>ssional action is taken. However, COVID-19 relief legislation suspended the 2% Medicare sequester from May 1, 2020 through March 31, 2022. Under current legislation, the actual reduction in Medicare payments will vary from 1% in 2022 to up to 3% in the fin</w:t>
      </w:r>
      <w:r>
        <w:rPr>
          <w:sz w:val="18"/>
          <w:szCs w:val="18"/>
        </w:rPr>
        <w:t>al fiscal year of this sequester. The American Taxpayer Relief Act of 2012, among other things, further reduced Medicare payments to several providers, including hospitals and cancer treatment centers, and increased the statute of limitations period for th</w:t>
      </w:r>
      <w:r>
        <w:rPr>
          <w:sz w:val="18"/>
          <w:szCs w:val="18"/>
        </w:rPr>
        <w:t>e government to recover overpayments to providers from three to five years. Congress is also considering additional health reform measures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Additional changes that may affect our business include the expansion of new programs such as Medicare payment for p</w:t>
      </w:r>
      <w:r>
        <w:rPr>
          <w:sz w:val="18"/>
          <w:szCs w:val="18"/>
        </w:rPr>
        <w:t>erformance initiatives for physicians under the Medicare Access and CHIP Reauthorization Act of 2015 (“MACRA”), which ended the use of the statutory formula and established a quality payment program, also referred to as the Quality Payment Program. In Nove</w:t>
      </w:r>
      <w:r>
        <w:rPr>
          <w:sz w:val="18"/>
          <w:szCs w:val="18"/>
        </w:rPr>
        <w:t>mber 2019, CMS issued a final rule finalizing the changes to the Quality Payment Program. At this time, the full impact to overall physician reimbursement as a result of the introduction of the Quality Payment Program remains unclear</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Also, there has been heightened governmental scrutiny recently over the manner in which drug manufacturers set prices for their marketed products, which have resulted in several Presidential executive orders, Congressional inquiries and proposed and enacte</w:t>
      </w:r>
      <w:r>
        <w:rPr>
          <w:sz w:val="18"/>
          <w:szCs w:val="18"/>
        </w:rPr>
        <w:t>d federal and state legislation designed to, among other things, bring more transparency to product pricing, review the relationship between pricing and manufacturer patien</w:t>
      </w:r>
      <w:r>
        <w:rPr>
          <w:sz w:val="18"/>
          <w:szCs w:val="18"/>
        </w:rPr>
        <w:t>t</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3</w:t>
      </w:r>
      <w:r>
        <w:rPr>
          <w:sz w:val="18"/>
          <w:szCs w:val="18"/>
        </w:rPr>
        <w:t>8</w:t>
      </w:r>
    </w:p>
    <w:p w:rsidR="00000000" w:rsidRDefault="00CF461A">
      <w:pPr>
        <w:rPr>
          <w:rFonts w:eastAsia="Times New Roman"/>
        </w:rPr>
      </w:pPr>
      <w:r>
        <w:rPr>
          <w:rFonts w:eastAsia="Times New Roman"/>
        </w:rPr>
        <w:pict>
          <v:rect id="_x0000_i1064"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jc w:val="both"/>
        <w:rPr>
          <w:sz w:val="20"/>
          <w:szCs w:val="20"/>
        </w:rPr>
      </w:pPr>
      <w:r>
        <w:rPr>
          <w:sz w:val="18"/>
          <w:szCs w:val="18"/>
        </w:rPr>
        <w:t xml:space="preserve">programs, and reform government program </w:t>
      </w:r>
      <w:r>
        <w:rPr>
          <w:sz w:val="18"/>
          <w:szCs w:val="18"/>
        </w:rPr>
        <w:t xml:space="preserve">reimbursement methodologies for drug products. At the federal level, the Trump administration used several means to propose or implement drug pricing reform, including through federal budget proposals, executive orders and policy initiatives. For example, </w:t>
      </w:r>
      <w:r>
        <w:rPr>
          <w:sz w:val="18"/>
          <w:szCs w:val="18"/>
        </w:rPr>
        <w:t>on July 24, 2020 and September 13, 2020, the Trump administration announced several executive orders related to prescription drug pricing that attempt to implement several of the administration’s proposals. Additionally, in July 2021, the Biden administrat</w:t>
      </w:r>
      <w:r>
        <w:rPr>
          <w:sz w:val="18"/>
          <w:szCs w:val="18"/>
        </w:rPr>
        <w:t xml:space="preserve">ion released an executive order, “Promoting Competition in the American Economy,” with multiple provisions aimed at prescription drugs. In response to Biden’s executive order, on September 9, 2021, the U.S. Department of Health and Human Services, or HHS, </w:t>
      </w:r>
      <w:r>
        <w:rPr>
          <w:sz w:val="18"/>
          <w:szCs w:val="18"/>
        </w:rPr>
        <w:t>released a Comprehensive Plan for Addressing High Drug Prices that outlines principles for drug pricing reform and sets out a variety of potential legislative policies that Congress could pursue as well as potential administrative actions HHS can take to a</w:t>
      </w:r>
      <w:r>
        <w:rPr>
          <w:sz w:val="18"/>
          <w:szCs w:val="18"/>
        </w:rPr>
        <w:t>dvance these principles. No legislation or administrative actions have been finalized to implement these principles. At the state level, legislatures have increasingly passed and implemented regulations designed to control pharmaceutical and biological pro</w:t>
      </w:r>
      <w:r>
        <w:rPr>
          <w:sz w:val="18"/>
          <w:szCs w:val="18"/>
        </w:rPr>
        <w:t>duct pricing, including pricing, including price or patient reimbursement constraints, discounts, restrictions on certain product access and marketing cost disclosure and transparency measures, and, in some cases, designed to encourage importation from oth</w:t>
      </w:r>
      <w:r>
        <w:rPr>
          <w:sz w:val="18"/>
          <w:szCs w:val="18"/>
        </w:rPr>
        <w:t>er countries and bulk purchasing. We expect that these and other healthcare reform measures that may be adopted in the future, may result in more rigorous coverage criteria and in additional downward pressure on the price that we receive for any approved d</w:t>
      </w:r>
      <w:r>
        <w:rPr>
          <w:sz w:val="18"/>
          <w:szCs w:val="18"/>
        </w:rPr>
        <w:t>rug. For example, based on a recent executive order, the Biden administration expressed its intent to pursue certain policy initiatives to reduce drug prices. Any reduction in reimbursement from Medicare or other government programs may result in a similar</w:t>
      </w:r>
      <w:r>
        <w:rPr>
          <w:sz w:val="18"/>
          <w:szCs w:val="18"/>
        </w:rPr>
        <w:t xml:space="preserve"> reduction in payments from private payors. The implementation of cost containment measures or other healthcare reforms may prevent us from being able to generate revenue, attain profitability, or commercialize our drugs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It is possible that additional gov</w:t>
      </w:r>
      <w:r>
        <w:rPr>
          <w:sz w:val="18"/>
          <w:szCs w:val="18"/>
        </w:rPr>
        <w:t>ernmental action is taken in response to the ongoing COVID-19 pandemic</w:t>
      </w:r>
      <w:r>
        <w:rPr>
          <w:sz w:val="18"/>
          <w:szCs w:val="18"/>
        </w:rPr>
        <w:t>.</w:t>
      </w:r>
      <w:r>
        <w:rPr>
          <w:sz w:val="18"/>
          <w:szCs w:val="18"/>
        </w:rPr>
        <w:t xml:space="preserve"> </w:t>
      </w:r>
    </w:p>
    <w:p w:rsidR="00000000" w:rsidRDefault="00CF461A">
      <w:pPr>
        <w:pStyle w:val="a3"/>
        <w:spacing w:before="120" w:beforeAutospacing="0" w:after="0" w:afterAutospacing="0"/>
        <w:jc w:val="both"/>
        <w:rPr>
          <w:sz w:val="20"/>
          <w:szCs w:val="20"/>
        </w:rPr>
      </w:pPr>
      <w:r>
        <w:rPr>
          <w:b/>
          <w:bCs/>
          <w:i/>
          <w:iCs/>
          <w:sz w:val="18"/>
          <w:szCs w:val="18"/>
        </w:rPr>
        <w:t>We may not be able to obtain or maintain orphan drug designations or exclusivity for our drug candidates, which could limit the potential profitability of our drug candidates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Regulat</w:t>
      </w:r>
      <w:r>
        <w:rPr>
          <w:sz w:val="18"/>
          <w:szCs w:val="18"/>
        </w:rPr>
        <w:t xml:space="preserve">ory authorities in some jurisdictions, including the United States, may designate drugs for relatively small patient populations as orphan drugs. Under the Orphan Drug Act of 1983, the FDA may designate a drug as an orphan drug if it is a drug intended to </w:t>
      </w:r>
      <w:r>
        <w:rPr>
          <w:sz w:val="18"/>
          <w:szCs w:val="18"/>
        </w:rPr>
        <w:t>treat a rare disease or condition, which is generally defined as a patient population of fewer than 200,000 individuals in the United States. Generally, if a drug with an orphan drug designation subsequently receives the first marketing approval for an ind</w:t>
      </w:r>
      <w:r>
        <w:rPr>
          <w:sz w:val="18"/>
          <w:szCs w:val="18"/>
        </w:rPr>
        <w:t xml:space="preserve">ication for which it receives the designation, then the drug is entitled to a period of marketing exclusivity that precludes the applicable regulatory authority from approving another marketing application for the same drug for the same indication for the </w:t>
      </w:r>
      <w:r>
        <w:rPr>
          <w:sz w:val="18"/>
          <w:szCs w:val="18"/>
        </w:rPr>
        <w:t>exclusivity period except in limited situations. For purposes of small molecule drugs, the FDA defines “same drug” as a drug that contains the same active moiety and is intended for the same use as the drug in question. A designated orphan drug may not rec</w:t>
      </w:r>
      <w:r>
        <w:rPr>
          <w:sz w:val="18"/>
          <w:szCs w:val="18"/>
        </w:rPr>
        <w:t>eive orphan drug exclusivity if it is approved for a use that is broader than the indication for which it received orphan designation</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Obtaining orphan drug designations is important to our business strategy; however, obtaining an orphan drug designation can be difficult and we may not be successful in doing so. Even if we were to obtain orphan drug designation for a drug candidate, we ma</w:t>
      </w:r>
      <w:r>
        <w:rPr>
          <w:sz w:val="18"/>
          <w:szCs w:val="18"/>
        </w:rPr>
        <w:t>y not obtain orphan exclusivity and that exclusivity may not effectively protect the drug from the competition of different drugs for the same condition, which could be approved during the exclusivity period. Additionally, after an orphan drug is approved,</w:t>
      </w:r>
      <w:r>
        <w:rPr>
          <w:sz w:val="18"/>
          <w:szCs w:val="18"/>
        </w:rPr>
        <w:t xml:space="preserve"> the FDA could subsequently approve another application for the same drug for the same indication if the FDA concludes that the later drug is shown to be safer, more effective or makes a major contribution to patient care. Orphan drug exclusive marketing r</w:t>
      </w:r>
      <w:r>
        <w:rPr>
          <w:sz w:val="18"/>
          <w:szCs w:val="18"/>
        </w:rPr>
        <w:t>ights in the United States also may be lost if the FDA later determines that the request for designation was materially defective or if the manufacturer is unable to assure sufficient quantity of the drug to meet the needs of patients with the rare disease</w:t>
      </w:r>
      <w:r>
        <w:rPr>
          <w:sz w:val="18"/>
          <w:szCs w:val="18"/>
        </w:rPr>
        <w:t xml:space="preserve"> or condition. The failure to obtain an orphan drug designation for any drug candidates we may develop, the inability to maintain that designation for the duration of the applicable period, or the inability to obtain or maintain orphan drug exclusivity cou</w:t>
      </w:r>
      <w:r>
        <w:rPr>
          <w:sz w:val="18"/>
          <w:szCs w:val="18"/>
        </w:rPr>
        <w:t>ld reduce our ability to make sufficient sales of the applicable drug candidate to balance our expenses incurred to develop it, which would have a negative impact on our operational results and financial condition</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Even if we obtain regulatory approval for</w:t>
      </w:r>
      <w:r>
        <w:rPr>
          <w:b/>
          <w:bCs/>
          <w:i/>
          <w:iCs/>
          <w:sz w:val="18"/>
          <w:szCs w:val="18"/>
        </w:rPr>
        <w:t xml:space="preserve"> our current or future drug candidates, they will remain subject to ongoing regulatory oversight</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Even if we obtain any regulatory approval for our current or future drug candidates, such approvals will be subject to ongoing regulatory requirements for man</w:t>
      </w:r>
      <w:r>
        <w:rPr>
          <w:sz w:val="18"/>
          <w:szCs w:val="18"/>
        </w:rPr>
        <w:t>ufacturing, labeling, packaging, storage, advertising, promotion, sampling, record-keeping and submission of safety and other post-market information. Any regulatory approvals that we receive for our current or future drug candidates may also be subject to</w:t>
      </w:r>
      <w:r>
        <w:rPr>
          <w:sz w:val="18"/>
          <w:szCs w:val="18"/>
        </w:rPr>
        <w:t xml:space="preserve"> a REMS, limitations on the approved indicated uses for which the drug may be marketed or to the conditions of approval, or contain requirements for potentially costly post-marketing testing, including Phase 4 trials, and surveillance to monitor the qualit</w:t>
      </w:r>
      <w:r>
        <w:rPr>
          <w:sz w:val="18"/>
          <w:szCs w:val="18"/>
        </w:rPr>
        <w:t>y, safety and efficacy of the drug</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In addition, drug manufacturers and their facilities are subject to payment of user fees and continual review and periodic inspections by the FDA and other regulatory authorities for compliance with cGMP requirements and</w:t>
      </w:r>
      <w:r>
        <w:rPr>
          <w:sz w:val="18"/>
          <w:szCs w:val="18"/>
        </w:rPr>
        <w:t xml:space="preserve"> adherence to commitments made in the NDA, BLA or foreign marketing application. If we, or a regulatory authority, discover previously unknown problems with a drug, such as adverse events of unanticipated severity or frequency, or problems with the facilit</w:t>
      </w:r>
      <w:r>
        <w:rPr>
          <w:sz w:val="18"/>
          <w:szCs w:val="18"/>
        </w:rPr>
        <w:t>y where the drug is manufactured or if a regulatory authority disagrees with the promotion, marketing or labeling of that drug, a regulatory authority may impose restrictions relative to that drug, the manufacturing facility or us, including requesting a r</w:t>
      </w:r>
      <w:r>
        <w:rPr>
          <w:sz w:val="18"/>
          <w:szCs w:val="18"/>
        </w:rPr>
        <w:t>ecall or requiring withdrawal of the drug from the market or suspension of manufacturing</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If we fail to comply with applicable regulatory requirements following approval of our current or future drug candidates, a regulatory authority may</w:t>
      </w:r>
      <w:r>
        <w:rPr>
          <w:sz w:val="18"/>
          <w:szCs w:val="18"/>
        </w:rPr>
        <w:t>:</w:t>
      </w:r>
    </w:p>
    <w:p w:rsidR="00000000" w:rsidRDefault="00CF461A">
      <w:pPr>
        <w:pStyle w:val="a3"/>
        <w:spacing w:before="240" w:beforeAutospacing="0" w:after="0" w:afterAutospacing="0"/>
        <w:jc w:val="center"/>
        <w:rPr>
          <w:sz w:val="20"/>
          <w:szCs w:val="20"/>
        </w:rPr>
      </w:pPr>
      <w:r>
        <w:rPr>
          <w:sz w:val="18"/>
          <w:szCs w:val="18"/>
        </w:rPr>
        <w:t>3</w:t>
      </w:r>
      <w:r>
        <w:rPr>
          <w:sz w:val="18"/>
          <w:szCs w:val="18"/>
        </w:rPr>
        <w:t>9</w:t>
      </w:r>
    </w:p>
    <w:p w:rsidR="00000000" w:rsidRDefault="00CF461A">
      <w:pPr>
        <w:rPr>
          <w:rFonts w:eastAsia="Times New Roman"/>
        </w:rPr>
      </w:pPr>
      <w:r>
        <w:rPr>
          <w:rFonts w:eastAsia="Times New Roman"/>
        </w:rPr>
        <w:pict>
          <v:rect id="_x0000_i1065"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jc w:val="both"/>
        <w:divId w:val="1194417580"/>
        <w:rPr>
          <w:rFonts w:eastAsia="Times New Roman"/>
        </w:rPr>
      </w:pPr>
      <w:r>
        <w:rPr>
          <w:rFonts w:eastAsia="Times New Roman"/>
          <w:sz w:val="18"/>
          <w:szCs w:val="18"/>
        </w:rPr>
        <w:t>•</w:t>
      </w:r>
    </w:p>
    <w:p w:rsidR="00000000" w:rsidRDefault="00CF461A">
      <w:pPr>
        <w:jc w:val="both"/>
        <w:divId w:val="399837797"/>
        <w:rPr>
          <w:rFonts w:eastAsia="Times New Roman"/>
        </w:rPr>
      </w:pPr>
      <w:r>
        <w:rPr>
          <w:rFonts w:eastAsia="Times New Roman"/>
          <w:sz w:val="18"/>
          <w:szCs w:val="18"/>
        </w:rPr>
        <w:t>issue an untitled letter or warning letter asserting that we are in violation of the law</w:t>
      </w:r>
      <w:r>
        <w:rPr>
          <w:rFonts w:eastAsia="Times New Roman"/>
          <w:sz w:val="18"/>
          <w:szCs w:val="18"/>
        </w:rPr>
        <w:t>;</w:t>
      </w:r>
    </w:p>
    <w:p w:rsidR="00000000" w:rsidRDefault="00CF461A">
      <w:pPr>
        <w:jc w:val="both"/>
        <w:divId w:val="57242402"/>
        <w:rPr>
          <w:rFonts w:eastAsia="Times New Roman"/>
        </w:rPr>
      </w:pPr>
      <w:r>
        <w:rPr>
          <w:rFonts w:eastAsia="Times New Roman"/>
          <w:sz w:val="18"/>
          <w:szCs w:val="18"/>
        </w:rPr>
        <w:t>•</w:t>
      </w:r>
    </w:p>
    <w:p w:rsidR="00000000" w:rsidRDefault="00CF461A">
      <w:pPr>
        <w:jc w:val="both"/>
        <w:divId w:val="592511767"/>
        <w:rPr>
          <w:rFonts w:eastAsia="Times New Roman"/>
        </w:rPr>
      </w:pPr>
      <w:r>
        <w:rPr>
          <w:rFonts w:eastAsia="Times New Roman"/>
          <w:sz w:val="18"/>
          <w:szCs w:val="18"/>
        </w:rPr>
        <w:t>seek an injunction or impose administrative, civil or criminal penalties or monetary fines</w:t>
      </w:r>
      <w:r>
        <w:rPr>
          <w:rFonts w:eastAsia="Times New Roman"/>
          <w:sz w:val="18"/>
          <w:szCs w:val="18"/>
        </w:rPr>
        <w:t>;</w:t>
      </w:r>
    </w:p>
    <w:p w:rsidR="00000000" w:rsidRDefault="00CF461A">
      <w:pPr>
        <w:jc w:val="both"/>
        <w:divId w:val="1691878419"/>
        <w:rPr>
          <w:rFonts w:eastAsia="Times New Roman"/>
        </w:rPr>
      </w:pPr>
      <w:r>
        <w:rPr>
          <w:rFonts w:eastAsia="Times New Roman"/>
          <w:sz w:val="18"/>
          <w:szCs w:val="18"/>
        </w:rPr>
        <w:t>•</w:t>
      </w:r>
    </w:p>
    <w:p w:rsidR="00000000" w:rsidRDefault="00CF461A">
      <w:pPr>
        <w:jc w:val="both"/>
        <w:divId w:val="2132747469"/>
        <w:rPr>
          <w:rFonts w:eastAsia="Times New Roman"/>
        </w:rPr>
      </w:pPr>
      <w:r>
        <w:rPr>
          <w:rFonts w:eastAsia="Times New Roman"/>
          <w:sz w:val="18"/>
          <w:szCs w:val="18"/>
        </w:rPr>
        <w:t>suspend or withdraw regulatory approval</w:t>
      </w:r>
      <w:r>
        <w:rPr>
          <w:rFonts w:eastAsia="Times New Roman"/>
          <w:sz w:val="18"/>
          <w:szCs w:val="18"/>
        </w:rPr>
        <w:t>;</w:t>
      </w:r>
    </w:p>
    <w:p w:rsidR="00000000" w:rsidRDefault="00CF461A">
      <w:pPr>
        <w:jc w:val="both"/>
        <w:divId w:val="141701593"/>
        <w:rPr>
          <w:rFonts w:eastAsia="Times New Roman"/>
        </w:rPr>
      </w:pPr>
      <w:r>
        <w:rPr>
          <w:rFonts w:eastAsia="Times New Roman"/>
          <w:sz w:val="18"/>
          <w:szCs w:val="18"/>
        </w:rPr>
        <w:t>•</w:t>
      </w:r>
    </w:p>
    <w:p w:rsidR="00000000" w:rsidRDefault="00CF461A">
      <w:pPr>
        <w:jc w:val="both"/>
        <w:divId w:val="1545288191"/>
        <w:rPr>
          <w:rFonts w:eastAsia="Times New Roman"/>
        </w:rPr>
      </w:pPr>
      <w:r>
        <w:rPr>
          <w:rFonts w:eastAsia="Times New Roman"/>
          <w:sz w:val="18"/>
          <w:szCs w:val="18"/>
        </w:rPr>
        <w:t>suspend any ongoing clinical trials</w:t>
      </w:r>
      <w:r>
        <w:rPr>
          <w:rFonts w:eastAsia="Times New Roman"/>
          <w:sz w:val="18"/>
          <w:szCs w:val="18"/>
        </w:rPr>
        <w:t>;</w:t>
      </w:r>
    </w:p>
    <w:p w:rsidR="00000000" w:rsidRDefault="00CF461A">
      <w:pPr>
        <w:jc w:val="both"/>
        <w:divId w:val="613365527"/>
        <w:rPr>
          <w:rFonts w:eastAsia="Times New Roman"/>
        </w:rPr>
      </w:pPr>
      <w:r>
        <w:rPr>
          <w:rFonts w:eastAsia="Times New Roman"/>
          <w:sz w:val="18"/>
          <w:szCs w:val="18"/>
        </w:rPr>
        <w:t>•</w:t>
      </w:r>
    </w:p>
    <w:p w:rsidR="00000000" w:rsidRDefault="00CF461A">
      <w:pPr>
        <w:jc w:val="both"/>
        <w:divId w:val="1680617907"/>
        <w:rPr>
          <w:rFonts w:eastAsia="Times New Roman"/>
        </w:rPr>
      </w:pPr>
      <w:r>
        <w:rPr>
          <w:rFonts w:eastAsia="Times New Roman"/>
          <w:sz w:val="18"/>
          <w:szCs w:val="18"/>
        </w:rPr>
        <w:t>refuse to approve a pending NDA or comparable foreign marketing application (or any supplements thereto) submitted by us or our strategic partners</w:t>
      </w:r>
      <w:r>
        <w:rPr>
          <w:rFonts w:eastAsia="Times New Roman"/>
          <w:sz w:val="18"/>
          <w:szCs w:val="18"/>
        </w:rPr>
        <w:t>;</w:t>
      </w:r>
    </w:p>
    <w:p w:rsidR="00000000" w:rsidRDefault="00CF461A">
      <w:pPr>
        <w:jc w:val="both"/>
        <w:divId w:val="330328223"/>
        <w:rPr>
          <w:rFonts w:eastAsia="Times New Roman"/>
        </w:rPr>
      </w:pPr>
      <w:r>
        <w:rPr>
          <w:rFonts w:eastAsia="Times New Roman"/>
          <w:sz w:val="18"/>
          <w:szCs w:val="18"/>
        </w:rPr>
        <w:t>•</w:t>
      </w:r>
    </w:p>
    <w:p w:rsidR="00000000" w:rsidRDefault="00CF461A">
      <w:pPr>
        <w:jc w:val="both"/>
        <w:divId w:val="335420825"/>
        <w:rPr>
          <w:rFonts w:eastAsia="Times New Roman"/>
        </w:rPr>
      </w:pPr>
      <w:r>
        <w:rPr>
          <w:rFonts w:eastAsia="Times New Roman"/>
          <w:sz w:val="18"/>
          <w:szCs w:val="18"/>
        </w:rPr>
        <w:t>restrict the marketing or manufacturing of the drug</w:t>
      </w:r>
      <w:r>
        <w:rPr>
          <w:rFonts w:eastAsia="Times New Roman"/>
          <w:sz w:val="18"/>
          <w:szCs w:val="18"/>
        </w:rPr>
        <w:t>;</w:t>
      </w:r>
    </w:p>
    <w:p w:rsidR="00000000" w:rsidRDefault="00CF461A">
      <w:pPr>
        <w:jc w:val="both"/>
        <w:divId w:val="1324704308"/>
        <w:rPr>
          <w:rFonts w:eastAsia="Times New Roman"/>
        </w:rPr>
      </w:pPr>
      <w:r>
        <w:rPr>
          <w:rFonts w:eastAsia="Times New Roman"/>
          <w:sz w:val="18"/>
          <w:szCs w:val="18"/>
        </w:rPr>
        <w:t>•</w:t>
      </w:r>
    </w:p>
    <w:p w:rsidR="00000000" w:rsidRDefault="00CF461A">
      <w:pPr>
        <w:jc w:val="both"/>
        <w:divId w:val="1203321735"/>
        <w:rPr>
          <w:rFonts w:eastAsia="Times New Roman"/>
        </w:rPr>
      </w:pPr>
      <w:r>
        <w:rPr>
          <w:rFonts w:eastAsia="Times New Roman"/>
          <w:sz w:val="18"/>
          <w:szCs w:val="18"/>
        </w:rPr>
        <w:t>seize or detain the drug or otherwise require the w</w:t>
      </w:r>
      <w:r>
        <w:rPr>
          <w:rFonts w:eastAsia="Times New Roman"/>
          <w:sz w:val="18"/>
          <w:szCs w:val="18"/>
        </w:rPr>
        <w:t>ithdrawal of the drug from the market</w:t>
      </w:r>
      <w:r>
        <w:rPr>
          <w:rFonts w:eastAsia="Times New Roman"/>
          <w:sz w:val="18"/>
          <w:szCs w:val="18"/>
        </w:rPr>
        <w:t>;</w:t>
      </w:r>
    </w:p>
    <w:p w:rsidR="00000000" w:rsidRDefault="00CF461A">
      <w:pPr>
        <w:jc w:val="both"/>
        <w:divId w:val="442699220"/>
        <w:rPr>
          <w:rFonts w:eastAsia="Times New Roman"/>
        </w:rPr>
      </w:pPr>
      <w:r>
        <w:rPr>
          <w:rFonts w:eastAsia="Times New Roman"/>
          <w:sz w:val="18"/>
          <w:szCs w:val="18"/>
        </w:rPr>
        <w:t>•</w:t>
      </w:r>
    </w:p>
    <w:p w:rsidR="00000000" w:rsidRDefault="00CF461A">
      <w:pPr>
        <w:jc w:val="both"/>
        <w:divId w:val="229736167"/>
        <w:rPr>
          <w:rFonts w:eastAsia="Times New Roman"/>
        </w:rPr>
      </w:pPr>
      <w:r>
        <w:rPr>
          <w:rFonts w:eastAsia="Times New Roman"/>
          <w:sz w:val="18"/>
          <w:szCs w:val="18"/>
        </w:rPr>
        <w:t>refuse to permit the import or export of drug candidates; o</w:t>
      </w:r>
      <w:r>
        <w:rPr>
          <w:rFonts w:eastAsia="Times New Roman"/>
          <w:sz w:val="18"/>
          <w:szCs w:val="18"/>
        </w:rPr>
        <w:t>r</w:t>
      </w:r>
    </w:p>
    <w:p w:rsidR="00000000" w:rsidRDefault="00CF461A">
      <w:pPr>
        <w:jc w:val="both"/>
        <w:divId w:val="765467727"/>
        <w:rPr>
          <w:rFonts w:eastAsia="Times New Roman"/>
        </w:rPr>
      </w:pPr>
      <w:r>
        <w:rPr>
          <w:rFonts w:eastAsia="Times New Roman"/>
          <w:sz w:val="18"/>
          <w:szCs w:val="18"/>
        </w:rPr>
        <w:t>•</w:t>
      </w:r>
    </w:p>
    <w:p w:rsidR="00000000" w:rsidRDefault="00CF461A">
      <w:pPr>
        <w:jc w:val="both"/>
        <w:divId w:val="372846720"/>
        <w:rPr>
          <w:rFonts w:eastAsia="Times New Roman"/>
        </w:rPr>
      </w:pPr>
      <w:r>
        <w:rPr>
          <w:rFonts w:eastAsia="Times New Roman"/>
          <w:sz w:val="18"/>
          <w:szCs w:val="18"/>
        </w:rPr>
        <w:t>refuse to allow us to enter into supply contracts, including government contracts</w:t>
      </w:r>
      <w:r>
        <w:rPr>
          <w:rFonts w:eastAsia="Times New Roman"/>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Moreover, the FDA strictly regulates the promotional claims that may </w:t>
      </w:r>
      <w:r>
        <w:rPr>
          <w:sz w:val="18"/>
          <w:szCs w:val="18"/>
        </w:rPr>
        <w:t>be made about drug products. In particular, a product may not be promoted for uses that are not approved by the FDA as reflected in the product’s approved labeling. The FDA and other agencies actively enforce the laws and regulations prohibiting the promot</w:t>
      </w:r>
      <w:r>
        <w:rPr>
          <w:sz w:val="18"/>
          <w:szCs w:val="18"/>
        </w:rPr>
        <w:t>ion of off-label uses, and a company that is found to have improperly promoted off-label uses may be subject to significant civil, criminal and administrative penalties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Any government investigation of alleged violations of law could require us to expend s</w:t>
      </w:r>
      <w:r>
        <w:rPr>
          <w:sz w:val="18"/>
          <w:szCs w:val="18"/>
        </w:rPr>
        <w:t>ignificant time and resources in response and could generate negative publicity. The occurrence of any event or penalty described above may inhibit our ability to commercialize our current or future drug candidates and harm our business, financial conditio</w:t>
      </w:r>
      <w:r>
        <w:rPr>
          <w:sz w:val="18"/>
          <w:szCs w:val="18"/>
        </w:rPr>
        <w:t>n, results of operations and prospects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In addition, the FDA’s policies, and those of equivalent foreign regulatory agencies, may change and additional government regulations may be enacted that could cause changes to or delays in the drug review process, </w:t>
      </w:r>
      <w:r>
        <w:rPr>
          <w:sz w:val="18"/>
          <w:szCs w:val="18"/>
        </w:rPr>
        <w:t>or suspend or restrict regulatory approval of our drug candidates. We cannot predict the likelihood, nature or extent of government regulation that may arise from future legislation or administrative action, either in the United States or abroad. If we are</w:t>
      </w:r>
      <w:r>
        <w:rPr>
          <w:sz w:val="18"/>
          <w:szCs w:val="18"/>
        </w:rPr>
        <w:t xml:space="preserve"> slow or unable to adapt to changes in existing requirements or the adoption of new requirements or policies, or if we are not able to maintain regulatory compliance, we may lose any marketing approval that we may have obtained and we may not achieve or su</w:t>
      </w:r>
      <w:r>
        <w:rPr>
          <w:sz w:val="18"/>
          <w:szCs w:val="18"/>
        </w:rPr>
        <w:t>stain profitability, which would harm our business, financial condition, results of operations and prospects</w:t>
      </w:r>
      <w:r>
        <w:rPr>
          <w:sz w:val="18"/>
          <w:szCs w:val="18"/>
        </w:rPr>
        <w:t>.</w:t>
      </w:r>
      <w:r>
        <w:rPr>
          <w:sz w:val="18"/>
          <w:szCs w:val="18"/>
        </w:rPr>
        <w:t xml:space="preserve"> </w:t>
      </w:r>
    </w:p>
    <w:p w:rsidR="00000000" w:rsidRDefault="00CF461A">
      <w:pPr>
        <w:pStyle w:val="a3"/>
        <w:spacing w:before="264" w:beforeAutospacing="0" w:after="0" w:afterAutospacing="0"/>
        <w:jc w:val="both"/>
        <w:rPr>
          <w:sz w:val="20"/>
          <w:szCs w:val="20"/>
        </w:rPr>
      </w:pPr>
      <w:r>
        <w:rPr>
          <w:b/>
          <w:bCs/>
          <w:sz w:val="18"/>
          <w:szCs w:val="18"/>
        </w:rPr>
        <w:t>Risks Related to Our Intellectual Propert</w:t>
      </w:r>
      <w:r>
        <w:rPr>
          <w:b/>
          <w:bCs/>
          <w:sz w:val="18"/>
          <w:szCs w:val="18"/>
        </w:rPr>
        <w:t>y</w:t>
      </w:r>
    </w:p>
    <w:p w:rsidR="00000000" w:rsidRDefault="00CF461A">
      <w:pPr>
        <w:pStyle w:val="a3"/>
        <w:spacing w:before="132" w:beforeAutospacing="0" w:after="0" w:afterAutospacing="0"/>
        <w:jc w:val="both"/>
        <w:rPr>
          <w:sz w:val="20"/>
          <w:szCs w:val="20"/>
        </w:rPr>
      </w:pPr>
      <w:r>
        <w:rPr>
          <w:b/>
          <w:bCs/>
          <w:i/>
          <w:iCs/>
          <w:sz w:val="18"/>
          <w:szCs w:val="18"/>
        </w:rPr>
        <w:t>If we are unable to obtain and maintain patent protection for our current or any future drug candidate</w:t>
      </w:r>
      <w:r>
        <w:rPr>
          <w:b/>
          <w:bCs/>
          <w:i/>
          <w:iCs/>
          <w:sz w:val="18"/>
          <w:szCs w:val="18"/>
        </w:rPr>
        <w:t>s, or if the scope of the patent protection obtained is not sufficiently broad, we may not be able to compete effectively in our markets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rely upon a combination of patents, trade secret protection and confidentiality agreements to protect the intellect</w:t>
      </w:r>
      <w:r>
        <w:rPr>
          <w:sz w:val="18"/>
          <w:szCs w:val="18"/>
        </w:rPr>
        <w:t>ual property related to our development programs and drug candidates. Our success depends in large part on our ability to obtain and maintain patent protection in the United States and other countries with respect to our current and any future drug candida</w:t>
      </w:r>
      <w:r>
        <w:rPr>
          <w:sz w:val="18"/>
          <w:szCs w:val="18"/>
        </w:rPr>
        <w:t>tes. We seek to protect our proprietary position by filing patent applications in the United States and abroad related to our current and future development programs and drug candidates. The patent prosecution process is expensive and time-consuming, and w</w:t>
      </w:r>
      <w:r>
        <w:rPr>
          <w:sz w:val="18"/>
          <w:szCs w:val="18"/>
        </w:rPr>
        <w:t>e may not be able to file and prosecute all necessary or desirable patent applications at a reasonable cost or in a timely manner</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It is also possible that we will fail to identify patentable aspects of our research and development output before it is too </w:t>
      </w:r>
      <w:r>
        <w:rPr>
          <w:sz w:val="18"/>
          <w:szCs w:val="18"/>
        </w:rPr>
        <w:t>late to obtain patent protection. The patent applications that we own or in-license may fail to result in issued patents with claims that cover our current or any future drug candidates in the United States or in other foreign countries. There is no assura</w:t>
      </w:r>
      <w:r>
        <w:rPr>
          <w:sz w:val="18"/>
          <w:szCs w:val="18"/>
        </w:rPr>
        <w:t>nce that all of the potentially relevant prior art relating to our patents and patent applications has been found, which can invalidate a patent or prevent a patent from issuing from a pending patent application. Even if patents do successfully issue and e</w:t>
      </w:r>
      <w:r>
        <w:rPr>
          <w:sz w:val="18"/>
          <w:szCs w:val="18"/>
        </w:rPr>
        <w:t>ven if such patents cover our current or any future drug candidates, third parties may challenge their validity, enforceability or scope, which may result in such patents being narrowed, invalidated, or held unenforceable. Any successful opposition to thes</w:t>
      </w:r>
      <w:r>
        <w:rPr>
          <w:sz w:val="18"/>
          <w:szCs w:val="18"/>
        </w:rPr>
        <w:t>e patents or any other patents owned by or licensed to us could deprive us of rights necessary for the successful commercialization of any drug candidates or companion diagnostic that we may develop. Further, if we encounter delays in regulatory approvals,</w:t>
      </w:r>
      <w:r>
        <w:rPr>
          <w:sz w:val="18"/>
          <w:szCs w:val="18"/>
        </w:rPr>
        <w:t xml:space="preserve"> the period of time during which we could market a drug candidate and companion diagnostic under patent protection could be reduced</w:t>
      </w:r>
      <w:r>
        <w:rPr>
          <w:sz w:val="18"/>
          <w:szCs w:val="18"/>
        </w:rPr>
        <w:t>.</w:t>
      </w:r>
      <w:r>
        <w:rPr>
          <w:sz w:val="18"/>
          <w:szCs w:val="18"/>
        </w:rPr>
        <w:t xml:space="preserve"> </w:t>
      </w:r>
    </w:p>
    <w:p w:rsidR="00000000" w:rsidRDefault="00CF461A">
      <w:pPr>
        <w:pStyle w:val="a3"/>
        <w:spacing w:before="120" w:beforeAutospacing="0" w:after="0" w:afterAutospacing="0"/>
        <w:ind w:firstLine="555"/>
        <w:jc w:val="both"/>
        <w:rPr>
          <w:sz w:val="20"/>
          <w:szCs w:val="20"/>
        </w:rPr>
      </w:pPr>
      <w:r>
        <w:rPr>
          <w:sz w:val="18"/>
          <w:szCs w:val="18"/>
        </w:rPr>
        <w:t>If the patent applications we hold or have in-licensed with respect to our development programs and drug candidates fail t</w:t>
      </w:r>
      <w:r>
        <w:rPr>
          <w:sz w:val="18"/>
          <w:szCs w:val="18"/>
        </w:rPr>
        <w:t>o issue, if their breadth or strength of protection is threatened, or if they fail to provide meaningful exclusivity for our current or any future drug candidates, it could dissuade companies from collaborating with us to develop drug candidates, and threa</w:t>
      </w:r>
      <w:r>
        <w:rPr>
          <w:sz w:val="18"/>
          <w:szCs w:val="18"/>
        </w:rPr>
        <w:t>ten our ability to commercialize, future drugs. Any such outcome could have a negative effect on our business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patent position of biotechnology and pharmaceutical companies generally is highly uncertain, involves complex legal and factual questions and</w:t>
      </w:r>
      <w:r>
        <w:rPr>
          <w:sz w:val="18"/>
          <w:szCs w:val="18"/>
        </w:rPr>
        <w:t xml:space="preserve"> has in recent years been the subject of much litigation. In addition, the laws of foreign countries may not protect our rights to the same extent as the laws of the United States. For example, European patent law restricts the patentability of methods of </w:t>
      </w:r>
      <w:r>
        <w:rPr>
          <w:sz w:val="18"/>
          <w:szCs w:val="18"/>
        </w:rPr>
        <w:t>treatment of the human body more than United States law does. Publications of discoveries in scientific literature often lag behind the actual discoveries, and patent applications in the United States and other jurisdictions are typically not published unt</w:t>
      </w:r>
      <w:r>
        <w:rPr>
          <w:sz w:val="18"/>
          <w:szCs w:val="18"/>
        </w:rPr>
        <w:t>il 18 months after filing, or in some cases not at all. Therefore, we cannot know with certainty whether we were the first to make the inventions claimed in our owned or licensed patents or pending patent applications, or that we were the first to file for</w:t>
      </w:r>
      <w:r>
        <w:rPr>
          <w:sz w:val="18"/>
          <w:szCs w:val="18"/>
        </w:rPr>
        <w:t xml:space="preserve"> patent protection of such inventions. As a result, the issuance, scope, validity, enforceability and commercial value of our patent rights are highly uncertain. Our pending and future patent applications may not result in patents being issued which protec</w:t>
      </w:r>
      <w:r>
        <w:rPr>
          <w:sz w:val="18"/>
          <w:szCs w:val="18"/>
        </w:rPr>
        <w:t>t our technology or drugs, in whole or in part, or which effectively prevent others from commercializing competitive technologies and drugs. Changes in either the patent laws or interpretation of the patent laws in the United States and other countries may</w:t>
      </w:r>
      <w:r>
        <w:rPr>
          <w:sz w:val="18"/>
          <w:szCs w:val="18"/>
        </w:rPr>
        <w:t xml:space="preserve"> diminish the value of our patents or narrow the scope of our patent protection</w:t>
      </w:r>
      <w:r>
        <w:rPr>
          <w:sz w:val="18"/>
          <w:szCs w:val="18"/>
        </w:rPr>
        <w:t>.</w:t>
      </w:r>
    </w:p>
    <w:p w:rsidR="00000000" w:rsidRDefault="00CF461A">
      <w:pPr>
        <w:pStyle w:val="a3"/>
        <w:spacing w:before="240" w:beforeAutospacing="0" w:after="0" w:afterAutospacing="0"/>
        <w:jc w:val="center"/>
        <w:rPr>
          <w:sz w:val="20"/>
          <w:szCs w:val="20"/>
        </w:rPr>
      </w:pPr>
      <w:r>
        <w:rPr>
          <w:sz w:val="18"/>
          <w:szCs w:val="18"/>
        </w:rPr>
        <w:t>4</w:t>
      </w:r>
      <w:r>
        <w:rPr>
          <w:sz w:val="18"/>
          <w:szCs w:val="18"/>
        </w:rPr>
        <w:t>0</w:t>
      </w:r>
    </w:p>
    <w:p w:rsidR="00000000" w:rsidRDefault="00CF461A">
      <w:pPr>
        <w:rPr>
          <w:rFonts w:eastAsia="Times New Roman"/>
        </w:rPr>
      </w:pPr>
      <w:r>
        <w:rPr>
          <w:rFonts w:eastAsia="Times New Roman"/>
        </w:rPr>
        <w:pict>
          <v:rect id="_x0000_i1066"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ind w:firstLine="555"/>
        <w:jc w:val="both"/>
        <w:rPr>
          <w:sz w:val="20"/>
          <w:szCs w:val="20"/>
        </w:rPr>
      </w:pPr>
      <w:r>
        <w:rPr>
          <w:sz w:val="18"/>
          <w:szCs w:val="18"/>
        </w:rPr>
        <w:t>Recent patent reform legislation could increase the uncertainties and costs surrounding the prosecution of our patent applications and the enforcement or defense of our issued patents. On December 16, 2011, the Leahy-Smith America Invents Act (the “Leahy-S</w:t>
      </w:r>
      <w:r>
        <w:rPr>
          <w:sz w:val="18"/>
          <w:szCs w:val="18"/>
        </w:rPr>
        <w:t>mith Act”) was signed into law. The Leahy-Smith Act includes a number of significant changes to United States patent law. These include provisions that affect the way patent applications are prosecuted and may also affect patent litigation. The United Stat</w:t>
      </w:r>
      <w:r>
        <w:rPr>
          <w:sz w:val="18"/>
          <w:szCs w:val="18"/>
        </w:rPr>
        <w:t>es Patent Office recently developed new regulations and procedures to govern administration of the Leahy-Smith Act, and many of the substantive changes to patent law associated with the Leahy-Smith Act, and in particular, the first to file provisions, only</w:t>
      </w:r>
      <w:r>
        <w:rPr>
          <w:sz w:val="18"/>
          <w:szCs w:val="18"/>
        </w:rPr>
        <w:t xml:space="preserve"> became effective on March 16, 2013. Accordingly, it is not clear what, if any, impact the Leahy-Smith Act will have on the operation of our business. However, the Leahy-Smith Act and its implementation could increase the uncertainties and costs surroundin</w:t>
      </w:r>
      <w:r>
        <w:rPr>
          <w:sz w:val="18"/>
          <w:szCs w:val="18"/>
        </w:rPr>
        <w:t>g the prosecution of our patent applications and the enforcement or defense of our issued patents, all of which could harm our business and financial condition</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Moreover, we may be subject to a third-party pre-issuance submission of prior art to the U.S. P</w:t>
      </w:r>
      <w:r>
        <w:rPr>
          <w:sz w:val="18"/>
          <w:szCs w:val="18"/>
        </w:rPr>
        <w:t xml:space="preserve">atent and Trademark Office (the “USPTO”) or become involved in opposition, derivation, reexamination, inter partes review, post-grant review or interference proceedings challenging our patent rights or the patent rights of others. An adverse determination </w:t>
      </w:r>
      <w:r>
        <w:rPr>
          <w:sz w:val="18"/>
          <w:szCs w:val="18"/>
        </w:rPr>
        <w:t>in any such submission, proceeding or litigation could reduce the scope of, or invalidate, our patent rights, allow third parties to commercialize our technology or drugs and compete directly with us, without payment to us, or result in our inability to ma</w:t>
      </w:r>
      <w:r>
        <w:rPr>
          <w:sz w:val="18"/>
          <w:szCs w:val="18"/>
        </w:rPr>
        <w:t>nufacture or commercialize drugs without infringing third-party patent rights. In addition, if the breadth or strength of protection provided by our patents and patent applications is threatened, it could dissuade companies from collaborating with us to li</w:t>
      </w:r>
      <w:r>
        <w:rPr>
          <w:sz w:val="18"/>
          <w:szCs w:val="18"/>
        </w:rPr>
        <w:t>cense, develop or commercialize current or future drug candidates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issuance of a patent is not conclusive as to its inventorship, scope, validity or enforceability, and our owned and licensed patents may be challenged in the courts or patent offices in the United States and abroad. An adverse determination in any such</w:t>
      </w:r>
      <w:r>
        <w:rPr>
          <w:sz w:val="18"/>
          <w:szCs w:val="18"/>
        </w:rPr>
        <w:t xml:space="preserve"> challenges may result in loss of exclusivity or in patent claims being narrowed, invalidated or held unenforceable, in whole or in part, which could limit our ability to stop others from using or commercializing similar or identical technology and drugs, </w:t>
      </w:r>
      <w:r>
        <w:rPr>
          <w:sz w:val="18"/>
          <w:szCs w:val="18"/>
        </w:rPr>
        <w:t xml:space="preserve">or limit the duration of the patent protection of our technology and drugs. Moreover, patents have a limited lifespan. In the United States, the natural expiration of a patent is generally 20 years from the earliest filing date of a non-provisional patent </w:t>
      </w:r>
      <w:r>
        <w:rPr>
          <w:sz w:val="18"/>
          <w:szCs w:val="18"/>
        </w:rPr>
        <w:t>application. Various extensions may be available; however, the life of a patent, and the protection it affords, is limited. Without patent protection for our current or future drug candidates, we may be open to competition from generic versions of such dru</w:t>
      </w:r>
      <w:r>
        <w:rPr>
          <w:sz w:val="18"/>
          <w:szCs w:val="18"/>
        </w:rPr>
        <w:t>gs. Given the amount of time required for the development, testing and regulatory review of new drug candidates, patents protecting such candidates might expire before or shortly after such candidates are commercialized. As a result, our owned and licensed</w:t>
      </w:r>
      <w:r>
        <w:rPr>
          <w:sz w:val="18"/>
          <w:szCs w:val="18"/>
        </w:rPr>
        <w:t xml:space="preserve"> patent portfolio may not provide us with sufficient rights to exclude others from commercializing drugs similar or identical to ours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Obtaining and maintaining our patent protection depends on compliance with various procedural, document submission, fee p</w:t>
      </w:r>
      <w:r>
        <w:rPr>
          <w:b/>
          <w:bCs/>
          <w:i/>
          <w:iCs/>
          <w:sz w:val="18"/>
          <w:szCs w:val="18"/>
        </w:rPr>
        <w:t>ayment and other requirements imposed by government patent agencies, and our patent protection could be reduced or eliminated for non-compliance with these requirements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Periodic maintenance fees, renewal fees, annuity fees and various other government fee</w:t>
      </w:r>
      <w:r>
        <w:rPr>
          <w:sz w:val="18"/>
          <w:szCs w:val="18"/>
        </w:rPr>
        <w:t xml:space="preserve">s on patents and/or applications will be due to be paid to the USPTO and various government patent agencies outside of the United States over the lifetime of our owned and licensed patents and/or applications and any patent rights we may own or license in </w:t>
      </w:r>
      <w:r>
        <w:rPr>
          <w:sz w:val="18"/>
          <w:szCs w:val="18"/>
        </w:rPr>
        <w:t>the future. We rely on our outside counsel or our licensing partners to pay these fees due to non-U.S. patent agencies. The USPTO and various non-U.S. government patent agencies require compliance with several procedural, documentary, fee payment and other</w:t>
      </w:r>
      <w:r>
        <w:rPr>
          <w:sz w:val="18"/>
          <w:szCs w:val="18"/>
        </w:rPr>
        <w:t xml:space="preserve"> similar provisions during the patent application process. We employ reputable law firms and other professionals to help us comply and we are also dependent on our licensors to take the necessary action to comply with these requirements with respect to our</w:t>
      </w:r>
      <w:r>
        <w:rPr>
          <w:sz w:val="18"/>
          <w:szCs w:val="18"/>
        </w:rPr>
        <w:t xml:space="preserve"> licensed intellectual property. In many cases, an inadvertent lapse can be cured by payment of a late fee or by other means in accordance with the applicable rules. There are situations, however, in which non-compliance can result in abandonment or lapse </w:t>
      </w:r>
      <w:r>
        <w:rPr>
          <w:sz w:val="18"/>
          <w:szCs w:val="18"/>
        </w:rPr>
        <w:t>of the patent or patent application, resulting in partial or complete loss of patent rights in the relevant jurisdiction. In such an event, potential competitors might be able to enter the market and this circumstance could harm our business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 xml:space="preserve">Patent terms </w:t>
      </w:r>
      <w:r>
        <w:rPr>
          <w:b/>
          <w:bCs/>
          <w:i/>
          <w:iCs/>
          <w:sz w:val="18"/>
          <w:szCs w:val="18"/>
        </w:rPr>
        <w:t>may be inadequate to protect our competitive position on our drug candidates for an adequate amount of time</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Given the amount of time required for the development, testing and regulatory review of new drug candidates, patents protecting such candidates mig</w:t>
      </w:r>
      <w:r>
        <w:rPr>
          <w:sz w:val="18"/>
          <w:szCs w:val="18"/>
        </w:rPr>
        <w:t>ht expire before or shortly after such candidates are commercialized. We expect to seek extensions of patent terms in the United States and, if available, in other countries where we are prosecuting patents. In the United States, the Drug Price Competition</w:t>
      </w:r>
      <w:r>
        <w:rPr>
          <w:sz w:val="18"/>
          <w:szCs w:val="18"/>
        </w:rPr>
        <w:t xml:space="preserve"> and Patent Term Restoration Act of 1984 permits a patent term extension of up to five years beyond the normal expiration of the patent, which is limited to the approved indication (or any additional indications approved during the period of extension). Ho</w:t>
      </w:r>
      <w:r>
        <w:rPr>
          <w:sz w:val="18"/>
          <w:szCs w:val="18"/>
        </w:rPr>
        <w:t>wever, the applicable authorities, including the FDA and the USPTO in the United States, and any equivalent regulatory authority in other countries, may not agree with our assessment of whether such extensions are available, and may refuse to grant extensi</w:t>
      </w:r>
      <w:r>
        <w:rPr>
          <w:sz w:val="18"/>
          <w:szCs w:val="18"/>
        </w:rPr>
        <w:t>ons to our patents, or may grant more limited extensions than we request. If this occurs, our competitors may be able to take advantage of our investment in development and clinical trials by referencing our clinical and preclinical data and launch their d</w:t>
      </w:r>
      <w:r>
        <w:rPr>
          <w:sz w:val="18"/>
          <w:szCs w:val="18"/>
        </w:rPr>
        <w:t>rug earlier than might otherwise be the case</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Intellectual property rights do not necessarily address all potential threats to our business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The degree of future protection afforded by our intellectual property rights is uncertain because intellectual prop</w:t>
      </w:r>
      <w:r>
        <w:rPr>
          <w:sz w:val="18"/>
          <w:szCs w:val="18"/>
        </w:rPr>
        <w:t>erty rights have limitations, and may not adequately protect our business. The following examples are illustrative</w:t>
      </w:r>
      <w:r>
        <w:rPr>
          <w:sz w:val="18"/>
          <w:szCs w:val="18"/>
        </w:rPr>
        <w:t>:</w:t>
      </w:r>
    </w:p>
    <w:p w:rsidR="00000000" w:rsidRDefault="00CF461A">
      <w:pPr>
        <w:jc w:val="both"/>
        <w:divId w:val="1987201385"/>
        <w:rPr>
          <w:rFonts w:eastAsia="Times New Roman"/>
        </w:rPr>
      </w:pPr>
      <w:r>
        <w:rPr>
          <w:rFonts w:eastAsia="Times New Roman"/>
          <w:sz w:val="18"/>
          <w:szCs w:val="18"/>
        </w:rPr>
        <w:t>•</w:t>
      </w:r>
    </w:p>
    <w:p w:rsidR="00000000" w:rsidRDefault="00CF461A">
      <w:pPr>
        <w:jc w:val="both"/>
        <w:divId w:val="419300062"/>
        <w:rPr>
          <w:rFonts w:eastAsia="Times New Roman"/>
        </w:rPr>
      </w:pPr>
      <w:r>
        <w:rPr>
          <w:rFonts w:eastAsia="Times New Roman"/>
          <w:sz w:val="18"/>
          <w:szCs w:val="18"/>
        </w:rPr>
        <w:t>others may be able to make compounds or formulations that are similar to our drug candidates but that are not covered by the claims of any</w:t>
      </w:r>
      <w:r>
        <w:rPr>
          <w:rFonts w:eastAsia="Times New Roman"/>
          <w:sz w:val="18"/>
          <w:szCs w:val="18"/>
        </w:rPr>
        <w:t xml:space="preserve"> patents, should they issue, that we own or control</w:t>
      </w:r>
      <w:r>
        <w:rPr>
          <w:rFonts w:eastAsia="Times New Roman"/>
          <w:sz w:val="18"/>
          <w:szCs w:val="18"/>
        </w:rPr>
        <w:t>;</w:t>
      </w:r>
    </w:p>
    <w:p w:rsidR="00000000" w:rsidRDefault="00CF461A">
      <w:pPr>
        <w:jc w:val="both"/>
        <w:divId w:val="156308642"/>
        <w:rPr>
          <w:rFonts w:eastAsia="Times New Roman"/>
        </w:rPr>
      </w:pPr>
      <w:r>
        <w:rPr>
          <w:rFonts w:eastAsia="Times New Roman"/>
          <w:sz w:val="18"/>
          <w:szCs w:val="18"/>
        </w:rPr>
        <w:t>•</w:t>
      </w:r>
    </w:p>
    <w:p w:rsidR="00000000" w:rsidRDefault="00CF461A">
      <w:pPr>
        <w:jc w:val="both"/>
        <w:divId w:val="1832210971"/>
        <w:rPr>
          <w:rFonts w:eastAsia="Times New Roman"/>
        </w:rPr>
      </w:pPr>
      <w:r>
        <w:rPr>
          <w:rFonts w:eastAsia="Times New Roman"/>
          <w:sz w:val="18"/>
          <w:szCs w:val="18"/>
        </w:rPr>
        <w:t>we or any strategic partners might not have been the first to make the inventions covered by the issued patents or pending patent applications that we own or control</w:t>
      </w:r>
      <w:r>
        <w:rPr>
          <w:rFonts w:eastAsia="Times New Roman"/>
          <w:sz w:val="18"/>
          <w:szCs w:val="18"/>
        </w:rPr>
        <w:t>;</w:t>
      </w:r>
    </w:p>
    <w:p w:rsidR="00000000" w:rsidRDefault="00CF461A">
      <w:pPr>
        <w:jc w:val="both"/>
        <w:divId w:val="951858789"/>
        <w:rPr>
          <w:rFonts w:eastAsia="Times New Roman"/>
        </w:rPr>
      </w:pPr>
      <w:r>
        <w:rPr>
          <w:rFonts w:eastAsia="Times New Roman"/>
          <w:sz w:val="18"/>
          <w:szCs w:val="18"/>
        </w:rPr>
        <w:t>•</w:t>
      </w:r>
    </w:p>
    <w:p w:rsidR="00000000" w:rsidRDefault="00CF461A">
      <w:pPr>
        <w:jc w:val="both"/>
        <w:divId w:val="561478482"/>
        <w:rPr>
          <w:rFonts w:eastAsia="Times New Roman"/>
        </w:rPr>
      </w:pPr>
      <w:r>
        <w:rPr>
          <w:rFonts w:eastAsia="Times New Roman"/>
          <w:sz w:val="18"/>
          <w:szCs w:val="18"/>
        </w:rPr>
        <w:t>we might not have been the first</w:t>
      </w:r>
      <w:r>
        <w:rPr>
          <w:rFonts w:eastAsia="Times New Roman"/>
          <w:sz w:val="18"/>
          <w:szCs w:val="18"/>
        </w:rPr>
        <w:t xml:space="preserve"> to file patent applications covering certain of our inventions</w:t>
      </w:r>
      <w:r>
        <w:rPr>
          <w:rFonts w:eastAsia="Times New Roman"/>
          <w:sz w:val="18"/>
          <w:szCs w:val="18"/>
        </w:rPr>
        <w:t>;</w:t>
      </w:r>
    </w:p>
    <w:p w:rsidR="00000000" w:rsidRDefault="00CF461A">
      <w:pPr>
        <w:jc w:val="both"/>
        <w:divId w:val="163084149"/>
        <w:rPr>
          <w:rFonts w:eastAsia="Times New Roman"/>
        </w:rPr>
      </w:pPr>
      <w:r>
        <w:rPr>
          <w:rFonts w:eastAsia="Times New Roman"/>
          <w:sz w:val="18"/>
          <w:szCs w:val="18"/>
        </w:rPr>
        <w:t>•</w:t>
      </w:r>
    </w:p>
    <w:p w:rsidR="00000000" w:rsidRDefault="00CF461A">
      <w:pPr>
        <w:jc w:val="both"/>
        <w:divId w:val="1249853274"/>
        <w:rPr>
          <w:rFonts w:eastAsia="Times New Roman"/>
        </w:rPr>
      </w:pPr>
      <w:r>
        <w:rPr>
          <w:rFonts w:eastAsia="Times New Roman"/>
          <w:sz w:val="18"/>
          <w:szCs w:val="18"/>
        </w:rPr>
        <w:t>others may independently develop similar or alternative technologies or duplicate any of our technologies without infringing our intellectual property rights</w:t>
      </w:r>
      <w:r>
        <w:rPr>
          <w:rFonts w:eastAsia="Times New Roman"/>
          <w:sz w:val="18"/>
          <w:szCs w:val="18"/>
        </w:rPr>
        <w:t>;</w:t>
      </w:r>
    </w:p>
    <w:p w:rsidR="00000000" w:rsidRDefault="00CF461A">
      <w:pPr>
        <w:pStyle w:val="a3"/>
        <w:spacing w:before="240" w:beforeAutospacing="0" w:after="0" w:afterAutospacing="0"/>
        <w:jc w:val="center"/>
        <w:rPr>
          <w:sz w:val="20"/>
          <w:szCs w:val="20"/>
        </w:rPr>
      </w:pPr>
      <w:r>
        <w:rPr>
          <w:sz w:val="18"/>
          <w:szCs w:val="18"/>
        </w:rPr>
        <w:t>4</w:t>
      </w:r>
      <w:r>
        <w:rPr>
          <w:sz w:val="18"/>
          <w:szCs w:val="18"/>
        </w:rPr>
        <w:t>1</w:t>
      </w:r>
    </w:p>
    <w:p w:rsidR="00000000" w:rsidRDefault="00CF461A">
      <w:pPr>
        <w:rPr>
          <w:rFonts w:eastAsia="Times New Roman"/>
        </w:rPr>
      </w:pPr>
      <w:r>
        <w:rPr>
          <w:rFonts w:eastAsia="Times New Roman"/>
        </w:rPr>
        <w:pict>
          <v:rect id="_x0000_i1067"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jc w:val="both"/>
        <w:divId w:val="2101291179"/>
        <w:rPr>
          <w:rFonts w:eastAsia="Times New Roman"/>
        </w:rPr>
      </w:pPr>
      <w:r>
        <w:rPr>
          <w:rFonts w:eastAsia="Times New Roman"/>
          <w:sz w:val="18"/>
          <w:szCs w:val="18"/>
        </w:rPr>
        <w:t>•</w:t>
      </w:r>
    </w:p>
    <w:p w:rsidR="00000000" w:rsidRDefault="00CF461A">
      <w:pPr>
        <w:jc w:val="both"/>
        <w:divId w:val="1935437114"/>
        <w:rPr>
          <w:rFonts w:eastAsia="Times New Roman"/>
        </w:rPr>
      </w:pPr>
      <w:r>
        <w:rPr>
          <w:rFonts w:eastAsia="Times New Roman"/>
          <w:sz w:val="18"/>
          <w:szCs w:val="18"/>
        </w:rPr>
        <w:t>it is possible that our pending patent applications will not lead to issued patents</w:t>
      </w:r>
      <w:r>
        <w:rPr>
          <w:rFonts w:eastAsia="Times New Roman"/>
          <w:sz w:val="18"/>
          <w:szCs w:val="18"/>
        </w:rPr>
        <w:t>;</w:t>
      </w:r>
    </w:p>
    <w:p w:rsidR="00000000" w:rsidRDefault="00CF461A">
      <w:pPr>
        <w:jc w:val="both"/>
        <w:divId w:val="54664490"/>
        <w:rPr>
          <w:rFonts w:eastAsia="Times New Roman"/>
        </w:rPr>
      </w:pPr>
      <w:r>
        <w:rPr>
          <w:rFonts w:eastAsia="Times New Roman"/>
          <w:sz w:val="18"/>
          <w:szCs w:val="18"/>
        </w:rPr>
        <w:t>•</w:t>
      </w:r>
    </w:p>
    <w:p w:rsidR="00000000" w:rsidRDefault="00CF461A">
      <w:pPr>
        <w:jc w:val="both"/>
        <w:divId w:val="830096792"/>
        <w:rPr>
          <w:rFonts w:eastAsia="Times New Roman"/>
        </w:rPr>
      </w:pPr>
      <w:r>
        <w:rPr>
          <w:rFonts w:eastAsia="Times New Roman"/>
          <w:sz w:val="18"/>
          <w:szCs w:val="18"/>
        </w:rPr>
        <w:t>issued patents that we own or control may not provide us with any competitive advantages, or may be held invalid or unenforceable because of legal challenges</w:t>
      </w:r>
      <w:r>
        <w:rPr>
          <w:rFonts w:eastAsia="Times New Roman"/>
          <w:sz w:val="18"/>
          <w:szCs w:val="18"/>
        </w:rPr>
        <w:t>;</w:t>
      </w:r>
    </w:p>
    <w:p w:rsidR="00000000" w:rsidRDefault="00CF461A">
      <w:pPr>
        <w:jc w:val="both"/>
        <w:divId w:val="1253197664"/>
        <w:rPr>
          <w:rFonts w:eastAsia="Times New Roman"/>
        </w:rPr>
      </w:pPr>
      <w:r>
        <w:rPr>
          <w:rFonts w:eastAsia="Times New Roman"/>
          <w:sz w:val="18"/>
          <w:szCs w:val="18"/>
        </w:rPr>
        <w:t>•</w:t>
      </w:r>
    </w:p>
    <w:p w:rsidR="00000000" w:rsidRDefault="00CF461A">
      <w:pPr>
        <w:jc w:val="both"/>
        <w:divId w:val="1573274891"/>
        <w:rPr>
          <w:rFonts w:eastAsia="Times New Roman"/>
        </w:rPr>
      </w:pPr>
      <w:r>
        <w:rPr>
          <w:rFonts w:eastAsia="Times New Roman"/>
          <w:sz w:val="18"/>
          <w:szCs w:val="18"/>
        </w:rPr>
        <w:t>our competitors might conduct research and development activities in the United States and othe</w:t>
      </w:r>
      <w:r>
        <w:rPr>
          <w:rFonts w:eastAsia="Times New Roman"/>
          <w:sz w:val="18"/>
          <w:szCs w:val="18"/>
        </w:rPr>
        <w:t>r countries that provide a safe harbor from patent infringement claims for certain research and development activities, as well as in countries where we do not have patent rights and then use the information learned from such activities to develop competit</w:t>
      </w:r>
      <w:r>
        <w:rPr>
          <w:rFonts w:eastAsia="Times New Roman"/>
          <w:sz w:val="18"/>
          <w:szCs w:val="18"/>
        </w:rPr>
        <w:t>ive drugs for sale in our major commercial markets</w:t>
      </w:r>
      <w:r>
        <w:rPr>
          <w:rFonts w:eastAsia="Times New Roman"/>
          <w:sz w:val="18"/>
          <w:szCs w:val="18"/>
        </w:rPr>
        <w:t>;</w:t>
      </w:r>
    </w:p>
    <w:p w:rsidR="00000000" w:rsidRDefault="00CF461A">
      <w:pPr>
        <w:jc w:val="both"/>
        <w:divId w:val="1168517574"/>
        <w:rPr>
          <w:rFonts w:eastAsia="Times New Roman"/>
        </w:rPr>
      </w:pPr>
      <w:r>
        <w:rPr>
          <w:rFonts w:eastAsia="Times New Roman"/>
          <w:sz w:val="18"/>
          <w:szCs w:val="18"/>
        </w:rPr>
        <w:t>•</w:t>
      </w:r>
    </w:p>
    <w:p w:rsidR="00000000" w:rsidRDefault="00CF461A">
      <w:pPr>
        <w:jc w:val="both"/>
        <w:divId w:val="1208445267"/>
        <w:rPr>
          <w:rFonts w:eastAsia="Times New Roman"/>
        </w:rPr>
      </w:pPr>
      <w:r>
        <w:rPr>
          <w:rFonts w:eastAsia="Times New Roman"/>
          <w:sz w:val="18"/>
          <w:szCs w:val="18"/>
        </w:rPr>
        <w:t>we may not develop additional proprietary technologies that are patentable; an</w:t>
      </w:r>
      <w:r>
        <w:rPr>
          <w:rFonts w:eastAsia="Times New Roman"/>
          <w:sz w:val="18"/>
          <w:szCs w:val="18"/>
        </w:rPr>
        <w:t>d</w:t>
      </w:r>
    </w:p>
    <w:p w:rsidR="00000000" w:rsidRDefault="00CF461A">
      <w:pPr>
        <w:jc w:val="both"/>
        <w:divId w:val="479885855"/>
        <w:rPr>
          <w:rFonts w:eastAsia="Times New Roman"/>
        </w:rPr>
      </w:pPr>
      <w:r>
        <w:rPr>
          <w:rFonts w:eastAsia="Times New Roman"/>
          <w:sz w:val="18"/>
          <w:szCs w:val="18"/>
        </w:rPr>
        <w:t>•</w:t>
      </w:r>
    </w:p>
    <w:p w:rsidR="00000000" w:rsidRDefault="00CF461A">
      <w:pPr>
        <w:jc w:val="both"/>
        <w:divId w:val="383918340"/>
        <w:rPr>
          <w:rFonts w:eastAsia="Times New Roman"/>
        </w:rPr>
      </w:pPr>
      <w:r>
        <w:rPr>
          <w:rFonts w:eastAsia="Times New Roman"/>
          <w:sz w:val="18"/>
          <w:szCs w:val="18"/>
        </w:rPr>
        <w:t>the patents of others may have an adverse effect on our business</w:t>
      </w:r>
      <w:r>
        <w:rPr>
          <w:rFonts w:eastAsia="Times New Roman"/>
          <w:sz w:val="18"/>
          <w:szCs w:val="18"/>
        </w:rPr>
        <w:t>.</w:t>
      </w:r>
    </w:p>
    <w:p w:rsidR="00000000" w:rsidRDefault="00CF461A">
      <w:pPr>
        <w:pStyle w:val="a3"/>
        <w:spacing w:before="264" w:beforeAutospacing="0" w:after="0" w:afterAutospacing="0"/>
        <w:ind w:firstLine="555"/>
        <w:jc w:val="both"/>
        <w:rPr>
          <w:sz w:val="20"/>
          <w:szCs w:val="20"/>
        </w:rPr>
      </w:pPr>
      <w:r>
        <w:rPr>
          <w:sz w:val="18"/>
          <w:szCs w:val="18"/>
        </w:rPr>
        <w:t>The proprietary map of disease-relevant biological pat</w:t>
      </w:r>
      <w:r>
        <w:rPr>
          <w:sz w:val="18"/>
          <w:szCs w:val="18"/>
        </w:rPr>
        <w:t>hways underlying orphan disorders of the brain that we developed would not be appropriate for patent protection and, as a result, we rely on trade secrets to protect this aspect of our business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Third parties may initiate legal proceedings alleging that we</w:t>
      </w:r>
      <w:r>
        <w:rPr>
          <w:b/>
          <w:bCs/>
          <w:i/>
          <w:iCs/>
          <w:sz w:val="18"/>
          <w:szCs w:val="18"/>
        </w:rPr>
        <w:t xml:space="preserve"> are infringing their intellectual property rights, the outcome of which would be uncertain and could have a negative impact on the success of our business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 xml:space="preserve">Our commercial success depends, in part, upon our ability and the ability of our current or future </w:t>
      </w:r>
      <w:r>
        <w:rPr>
          <w:sz w:val="18"/>
          <w:szCs w:val="18"/>
        </w:rPr>
        <w:t>collaborators to develop, manufacture, market and sell our current and any future drug candidates and use our proprietary technologies without infringing the proprietary rights and intellectual property of third parties. The biotechnology and pharmaceutica</w:t>
      </w:r>
      <w:r>
        <w:rPr>
          <w:sz w:val="18"/>
          <w:szCs w:val="18"/>
        </w:rPr>
        <w:t xml:space="preserve">l industries are characterized by extensive and complex litigation regarding patents and other intellectual property rights. We may in the future become party to, or be threatened with, adversarial proceedings or litigation regarding intellectual property </w:t>
      </w:r>
      <w:r>
        <w:rPr>
          <w:sz w:val="18"/>
          <w:szCs w:val="18"/>
        </w:rPr>
        <w:t>rights with respect to our current and any future drug candidates and technology, including interference proceedings, post grant review and inter partes review before the USPTO. Third parties may assert infringement claims against us based on existing pate</w:t>
      </w:r>
      <w:r>
        <w:rPr>
          <w:sz w:val="18"/>
          <w:szCs w:val="18"/>
        </w:rPr>
        <w:t xml:space="preserve">nts or patents that may be granted in the future, regardless of their merit. There is a risk that third parties may choose to engage in litigation with us to enforce or to otherwise assert their patent rights against us. Even if we believe such claims are </w:t>
      </w:r>
      <w:r>
        <w:rPr>
          <w:sz w:val="18"/>
          <w:szCs w:val="18"/>
        </w:rPr>
        <w:t>without merit, a court of competent jurisdiction could hold that these third-party patents are valid, enforceable and infringed, which could have a negative impact on our ability to commercialize our current and any future drug candidates. In order to succ</w:t>
      </w:r>
      <w:r>
        <w:rPr>
          <w:sz w:val="18"/>
          <w:szCs w:val="18"/>
        </w:rPr>
        <w:t>essfully challenge the validity of any such U.S. patent in federal court, we would need to overcome a presumption of validity. As this burden is a high one requiring us to present clear and convincing evidence as to the invalidity of any such U.S. patent c</w:t>
      </w:r>
      <w:r>
        <w:rPr>
          <w:sz w:val="18"/>
          <w:szCs w:val="18"/>
        </w:rPr>
        <w:t>laim, there is no assurance that a court of competent jurisdiction would invalidate the claims of any such U.S. patent. If we are found to infringe a third party’s valid and enforceable intellectual property rights, we could be required to obtain a license</w:t>
      </w:r>
      <w:r>
        <w:rPr>
          <w:sz w:val="18"/>
          <w:szCs w:val="18"/>
        </w:rPr>
        <w:t xml:space="preserve"> from such third party to continue developing, manufacturing and marketing our drug candidate(s) and technology. However, we may not be able to obtain any required license on commercially reasonable terms or at all. Even if we were able to obtain a license</w:t>
      </w:r>
      <w:r>
        <w:rPr>
          <w:sz w:val="18"/>
          <w:szCs w:val="18"/>
        </w:rPr>
        <w:t>, it could be non-exclusive, thereby giving our competitors and other third parties access to the same technologies licensed to us, and it could require us to make substantial licensing and royalty payments. We could be forced, including by court order, to</w:t>
      </w:r>
      <w:r>
        <w:rPr>
          <w:sz w:val="18"/>
          <w:szCs w:val="18"/>
        </w:rPr>
        <w:t xml:space="preserve"> cease developing, manufacturing and commercializing the infringing technology or drug candidate. In addition, we could be found liable for monetary damages, including treble damages and attorneys’ fees, if we are found to have willfully infringed a patent</w:t>
      </w:r>
      <w:r>
        <w:rPr>
          <w:sz w:val="18"/>
          <w:szCs w:val="18"/>
        </w:rPr>
        <w:t xml:space="preserve"> or other intellectual property right. A finding of infringement could prevent us from manufacturing and commercializing our current or any future drug candidates or force us to cease some or all of our business operations, which could materially harm our </w:t>
      </w:r>
      <w:r>
        <w:rPr>
          <w:sz w:val="18"/>
          <w:szCs w:val="18"/>
        </w:rPr>
        <w:t>business. Claims that we have misappropriated the confidential information or trade secrets of third parties could have a similar negative impact on our business, financial condition, results of operations and prospects. See the section herein titled “Lega</w:t>
      </w:r>
      <w:r>
        <w:rPr>
          <w:sz w:val="18"/>
          <w:szCs w:val="18"/>
        </w:rPr>
        <w:t>l Proceedings” for additional information</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 xml:space="preserve">We may be subject to claims asserting that our employees, consultants or advisors have wrongfully used or disclosed alleged trade secrets of their current or former employers or claims asserting ownership of what </w:t>
      </w:r>
      <w:r>
        <w:rPr>
          <w:b/>
          <w:bCs/>
          <w:i/>
          <w:iCs/>
          <w:sz w:val="18"/>
          <w:szCs w:val="18"/>
        </w:rPr>
        <w:t>we regard as our own intellectual property</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Certain of our employees, consultants or advisors are currently, or were previously, employed at universities or other biotechnology or pharmaceutical companies, including our competitors or potential competitors</w:t>
      </w:r>
      <w:r>
        <w:rPr>
          <w:sz w:val="18"/>
          <w:szCs w:val="18"/>
        </w:rPr>
        <w:t>. Although we try to ensure that our employees, consultants and advisors do not use the proprietary information or know-how of others in their work for us, we may be subject to claims that these individuals or we have used or disclosed intellectual propert</w:t>
      </w:r>
      <w:r>
        <w:rPr>
          <w:sz w:val="18"/>
          <w:szCs w:val="18"/>
        </w:rPr>
        <w:t>y, including trade secrets or other proprietary information, of any such individual’s current or former employer. Litigation may be necessary to defend against these claims. If we fail in defending any such claims, in addition to paying monetary damages, w</w:t>
      </w:r>
      <w:r>
        <w:rPr>
          <w:sz w:val="18"/>
          <w:szCs w:val="18"/>
        </w:rPr>
        <w:t>e may lose valuable intellectual property rights or personnel. Even if we are successful in defending against such claims, litigation could result in substantial costs and be a distraction to management</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In addition, while it is our policy to require our e</w:t>
      </w:r>
      <w:r>
        <w:rPr>
          <w:sz w:val="18"/>
          <w:szCs w:val="18"/>
        </w:rPr>
        <w:t>mployees and contractors who may be involved in the conception or development of intellectual property to execute agreements assigning such intellectual property to us, we may be unsuccessful in executing such an agreement with each party who, in fact, con</w:t>
      </w:r>
      <w:r>
        <w:rPr>
          <w:sz w:val="18"/>
          <w:szCs w:val="18"/>
        </w:rPr>
        <w:t>ceives or develops intellectual property that we regard as our own. The assignment of intellectual property rights may not be self-executing or the assignment agreements may be breached, and we may be forced to bring claims against third parties, or defend</w:t>
      </w:r>
      <w:r>
        <w:rPr>
          <w:sz w:val="18"/>
          <w:szCs w:val="18"/>
        </w:rPr>
        <w:t xml:space="preserve"> claims that they may bring against us, to determine the ownership of what we regard as our intellectual property</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We may be involved in lawsuits to protect or enforce our patents, the patents of our licensors or our other intellectual property rights, whi</w:t>
      </w:r>
      <w:r>
        <w:rPr>
          <w:b/>
          <w:bCs/>
          <w:i/>
          <w:iCs/>
          <w:sz w:val="18"/>
          <w:szCs w:val="18"/>
        </w:rPr>
        <w:t>ch could be expensive, time consuming and unsuccessful</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Competitors may infringe or otherwise violate our patents, the patents of our licensors or our other intellectual property rights. To counter infringement or unauthorized use, we may be required to fi</w:t>
      </w:r>
      <w:r>
        <w:rPr>
          <w:sz w:val="18"/>
          <w:szCs w:val="18"/>
        </w:rPr>
        <w:t>le legal claims, which can be expensive and time-consuming. In addition, in an infringement proceeding, a court may decide that a patent of ours or our licensors is not valid or is unenforceable, or may refuse to stop the other party from using the technol</w:t>
      </w:r>
      <w:r>
        <w:rPr>
          <w:sz w:val="18"/>
          <w:szCs w:val="18"/>
        </w:rPr>
        <w:t>ogy at issue on the grounds that our patents do not cover the technology in question. An adverse result in any litigation or defense proceedings could put one or more of our patents at risk of being invalidated or interpreted narrowly and could put our pat</w:t>
      </w:r>
      <w:r>
        <w:rPr>
          <w:sz w:val="18"/>
          <w:szCs w:val="18"/>
        </w:rPr>
        <w:t>ent applications at risk of not issuing. The initiation of a claim against a third party may also cause the third party to bring counter claims against us such as claims asserting that our patents are invalid or unenforceable. In patent litigation in the U</w:t>
      </w:r>
      <w:r>
        <w:rPr>
          <w:sz w:val="18"/>
          <w:szCs w:val="18"/>
        </w:rPr>
        <w:t>nited States, defendant counterclaims alleging invalidity or unenforceability are commonplace. Grounds for a validity challenge could be an alleged failure to meet any of several statutory requirements, including lack of novelty, obviousness</w:t>
      </w:r>
      <w:r>
        <w:rPr>
          <w:sz w:val="18"/>
          <w:szCs w:val="18"/>
        </w:rPr>
        <w:t>,</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4</w:t>
      </w:r>
      <w:r>
        <w:rPr>
          <w:sz w:val="18"/>
          <w:szCs w:val="18"/>
        </w:rPr>
        <w:t>2</w:t>
      </w:r>
    </w:p>
    <w:p w:rsidR="00000000" w:rsidRDefault="00CF461A">
      <w:pPr>
        <w:rPr>
          <w:rFonts w:eastAsia="Times New Roman"/>
        </w:rPr>
      </w:pPr>
      <w:r>
        <w:rPr>
          <w:rFonts w:eastAsia="Times New Roman"/>
        </w:rPr>
        <w:pict>
          <v:rect id="_x0000_i1068"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jc w:val="both"/>
        <w:rPr>
          <w:sz w:val="20"/>
          <w:szCs w:val="20"/>
        </w:rPr>
      </w:pPr>
      <w:r>
        <w:rPr>
          <w:sz w:val="18"/>
          <w:szCs w:val="18"/>
        </w:rPr>
        <w:t>non-enablement or lack of statutory subject matter. Grounds for an unenforceability assertion could be an allegation that someone connected with prosecution of the patent withheld relevant material information from the</w:t>
      </w:r>
      <w:r>
        <w:rPr>
          <w:sz w:val="18"/>
          <w:szCs w:val="18"/>
        </w:rPr>
        <w:t xml:space="preserve"> USPTO, or made a materially misleading statement, during prosecution. Third parties may also raise similar validity claims before the USPTO in post-grant proceedings such as ex parte reexaminations, inter partes review, or post-grant review, or opposition</w:t>
      </w:r>
      <w:r>
        <w:rPr>
          <w:sz w:val="18"/>
          <w:szCs w:val="18"/>
        </w:rPr>
        <w:t>s or similar proceedings outside the United States, in parallel with litigation or even outside the context of litigation. The outcome following legal assertions of invalidity and unenforceability is unpredictable. We cannot be certain that there is no inv</w:t>
      </w:r>
      <w:r>
        <w:rPr>
          <w:sz w:val="18"/>
          <w:szCs w:val="18"/>
        </w:rPr>
        <w:t>alidating prior art, of which we and the patent examiner were unaware during prosecution. For the patents and patent applications that we have licensed, we may have limited or no right to participate in the defense of any licensed patents against challenge</w:t>
      </w:r>
      <w:r>
        <w:rPr>
          <w:sz w:val="18"/>
          <w:szCs w:val="18"/>
        </w:rPr>
        <w:t xml:space="preserve"> by a third party. If a defendant were to prevail on a legal assertion of invalidity or unenforceability, we would lose at least part, and perhaps all, of any future patent protection on our current or future drug candidates. Such a loss of patent protecti</w:t>
      </w:r>
      <w:r>
        <w:rPr>
          <w:sz w:val="18"/>
          <w:szCs w:val="18"/>
        </w:rPr>
        <w:t>on could harm our business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may not be able to prevent, alone or with our licensors, misappropriation of our intellectual property rights, particularly in countries where the laws may not protect those rights as fully as in the United States. Our busine</w:t>
      </w:r>
      <w:r>
        <w:rPr>
          <w:sz w:val="18"/>
          <w:szCs w:val="18"/>
        </w:rPr>
        <w:t>ss could be harmed if in litigation the prevailing party does not offer us a license on commercially reasonable terms. Any litigation or other proceedings to enforce our intellectual property rights may fail, and even if successful, may result in substanti</w:t>
      </w:r>
      <w:r>
        <w:rPr>
          <w:sz w:val="18"/>
          <w:szCs w:val="18"/>
        </w:rPr>
        <w:t>al costs and distract our management and other employees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Furthermore, because of the substantial amount of discovery required in connection with intellectual property litigation, there is a risk that some of our confidential information could be compromis</w:t>
      </w:r>
      <w:r>
        <w:rPr>
          <w:sz w:val="18"/>
          <w:szCs w:val="18"/>
        </w:rPr>
        <w:t xml:space="preserve">ed by disclosure during this type of litigation. There could also be public announcements of the results of hearings, motions or other interim proceedings or developments. If securities analysts or investors perceive these results to be negative, it could </w:t>
      </w:r>
      <w:r>
        <w:rPr>
          <w:sz w:val="18"/>
          <w:szCs w:val="18"/>
        </w:rPr>
        <w:t>have an adverse effect on the price of our common stock</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Changes in U.S. patent law or the patent law of other countries or jurisdictions could diminish the value of patents in general, thereby impairing our ability to protect our current and any future drug candidates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The United States has recently enacted and</w:t>
      </w:r>
      <w:r>
        <w:rPr>
          <w:sz w:val="18"/>
          <w:szCs w:val="18"/>
        </w:rPr>
        <w:t xml:space="preserve"> implemented wide-ranging patent reform legislation. The U.S. Supreme Court has ruled on several patent cases in recent years, either narrowing the scope of patent protection available in certain circumstances or weakening the rights of patent owners in ce</w:t>
      </w:r>
      <w:r>
        <w:rPr>
          <w:sz w:val="18"/>
          <w:szCs w:val="18"/>
        </w:rPr>
        <w:t>rtain situations. In addition to increasing uncertainty with regard to our ability to obtain patents in the future, this combination of events has created uncertainty with respect to the value of patents, once obtained. Depending on actions by the U.S. Con</w:t>
      </w:r>
      <w:r>
        <w:rPr>
          <w:sz w:val="18"/>
          <w:szCs w:val="18"/>
        </w:rPr>
        <w:t>gress, the federal courts, and the USPTO, the laws and regulations governing patents could change in unpredictable ways that would weaken our ability to obtain new patents or to enforce patents that we have licensed or that we might obtain in the future. S</w:t>
      </w:r>
      <w:r>
        <w:rPr>
          <w:sz w:val="18"/>
          <w:szCs w:val="18"/>
        </w:rPr>
        <w:t xml:space="preserve">imilarly, changes in patent law and regulations in other countries or jurisdictions or changes in the governmental bodies that enforce them or changes in how the relevant governmental authority enforces patent laws or regulations may weaken our ability to </w:t>
      </w:r>
      <w:r>
        <w:rPr>
          <w:sz w:val="18"/>
          <w:szCs w:val="18"/>
        </w:rPr>
        <w:t>obtain new patents or to enforce patents that we have licensed or that we may obtain in the future</w:t>
      </w:r>
      <w:r>
        <w:rPr>
          <w:sz w:val="18"/>
          <w:szCs w:val="18"/>
        </w:rPr>
        <w:t>.</w:t>
      </w:r>
      <w:r>
        <w:rPr>
          <w:sz w:val="18"/>
          <w:szCs w:val="18"/>
        </w:rPr>
        <w:t xml:space="preserve"> </w:t>
      </w:r>
    </w:p>
    <w:p w:rsidR="00000000" w:rsidRDefault="00CF461A">
      <w:pPr>
        <w:pStyle w:val="a3"/>
        <w:spacing w:before="120" w:beforeAutospacing="0" w:after="0" w:afterAutospacing="0"/>
        <w:jc w:val="both"/>
        <w:rPr>
          <w:sz w:val="20"/>
          <w:szCs w:val="20"/>
        </w:rPr>
      </w:pPr>
      <w:r>
        <w:rPr>
          <w:b/>
          <w:bCs/>
          <w:i/>
          <w:iCs/>
          <w:sz w:val="18"/>
          <w:szCs w:val="18"/>
        </w:rPr>
        <w:t>We may not be able to protect our intellectual property rights throughout the world, which could negatively impact our business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Filing, prosecuting and de</w:t>
      </w:r>
      <w:r>
        <w:rPr>
          <w:sz w:val="18"/>
          <w:szCs w:val="18"/>
        </w:rPr>
        <w:t>fending patents covering our current and any future drug candidates throughout the world would be prohibitively expensive. Competitors may use our technologies in jurisdictions where we have not obtained patent protection to develop their own drugs and, fu</w:t>
      </w:r>
      <w:r>
        <w:rPr>
          <w:sz w:val="18"/>
          <w:szCs w:val="18"/>
        </w:rPr>
        <w:t xml:space="preserve">rther, may export otherwise infringing drugs to territories where we may obtain patent protection, but where patent enforcement is not as strong as that in the United States. These drugs may compete with our drugs in jurisdictions where we do not have any </w:t>
      </w:r>
      <w:r>
        <w:rPr>
          <w:sz w:val="18"/>
          <w:szCs w:val="18"/>
        </w:rPr>
        <w:t>issued or licensed patents and any future patent claims or other intellectual property rights may not be effective or sufficient to prevent them from so competing</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Reliance on third parties requires us to share our trade secrets, which increases the possib</w:t>
      </w:r>
      <w:r>
        <w:rPr>
          <w:b/>
          <w:bCs/>
          <w:i/>
          <w:iCs/>
          <w:sz w:val="18"/>
          <w:szCs w:val="18"/>
        </w:rPr>
        <w:t>ility that a competitor will discover them or that our trade secrets will be misappropriated or disclosed</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If we rely on third parties to manufacture or commercialize our current or any future drug candidates, or if we collaborate with additional third par</w:t>
      </w:r>
      <w:r>
        <w:rPr>
          <w:sz w:val="18"/>
          <w:szCs w:val="18"/>
        </w:rPr>
        <w:t xml:space="preserve">ties for the development of our current or any future drug candidates, we must, at times, share trade secrets with them. We may also conduct joint research and development programs that may require us to share trade secrets under the terms of our research </w:t>
      </w:r>
      <w:r>
        <w:rPr>
          <w:sz w:val="18"/>
          <w:szCs w:val="18"/>
        </w:rPr>
        <w:t>and development partnerships or similar agreements. We seek to protect our proprietary technology in part by entering into confidentiality agreements and, if applicable, material transfer agreements, consulting agreements or other similar agreements with o</w:t>
      </w:r>
      <w:r>
        <w:rPr>
          <w:sz w:val="18"/>
          <w:szCs w:val="18"/>
        </w:rPr>
        <w:t>ur advisors, employees, third-party contractors and consultants prior to beginning research or disclosing proprietary information. These agreements typically limit the rights of the third parties to use or disclose our confidential information, including o</w:t>
      </w:r>
      <w:r>
        <w:rPr>
          <w:sz w:val="18"/>
          <w:szCs w:val="18"/>
        </w:rPr>
        <w:t xml:space="preserve">ur trade secrets. Despite the contractual provisions employed when working with third parties, the need to share trade secrets and other confidential information increases the risk that such trade secrets become known by our competitors, are inadvertently </w:t>
      </w:r>
      <w:r>
        <w:rPr>
          <w:sz w:val="18"/>
          <w:szCs w:val="18"/>
        </w:rPr>
        <w:t>incorporated into the technology of others, or are disclosed or used in violation of these agreements. Given that our proprietary position is based, in part, on our know-how and trade secrets, a competitor’s discovery of our trade secrets or other unauthor</w:t>
      </w:r>
      <w:r>
        <w:rPr>
          <w:sz w:val="18"/>
          <w:szCs w:val="18"/>
        </w:rPr>
        <w:t>ized use or disclosure could have an adverse effect on our business and results of operations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In addition, these agreements typically restrict the ability of our advisors, employees, third-party contractors and consultants to publish data potentially rela</w:t>
      </w:r>
      <w:r>
        <w:rPr>
          <w:sz w:val="18"/>
          <w:szCs w:val="18"/>
        </w:rPr>
        <w:t>ting to our trade secrets. Despite our efforts to protect our trade secrets, our competitors may discover our trade secrets, either through breach of our agreements with third parties, independent development or publication of information by any third-part</w:t>
      </w:r>
      <w:r>
        <w:rPr>
          <w:sz w:val="18"/>
          <w:szCs w:val="18"/>
        </w:rPr>
        <w:t>y collaborators. A competitor’s discovery of our trade secrets would harm our business</w:t>
      </w:r>
      <w:r>
        <w:rPr>
          <w:sz w:val="18"/>
          <w:szCs w:val="18"/>
        </w:rPr>
        <w:t>.</w:t>
      </w:r>
    </w:p>
    <w:p w:rsidR="00000000" w:rsidRDefault="00CF461A">
      <w:pPr>
        <w:pStyle w:val="a3"/>
        <w:spacing w:before="120" w:beforeAutospacing="0" w:after="0" w:afterAutospacing="0"/>
        <w:jc w:val="both"/>
        <w:rPr>
          <w:sz w:val="20"/>
          <w:szCs w:val="20"/>
        </w:rPr>
      </w:pPr>
      <w:r>
        <w:rPr>
          <w:b/>
          <w:bCs/>
          <w:sz w:val="18"/>
          <w:szCs w:val="18"/>
        </w:rPr>
        <w:t>Risks Related to Our Dependence on Third Partie</w:t>
      </w:r>
      <w:r>
        <w:rPr>
          <w:b/>
          <w:bCs/>
          <w:sz w:val="18"/>
          <w:szCs w:val="18"/>
        </w:rPr>
        <w:t>s</w:t>
      </w:r>
    </w:p>
    <w:p w:rsidR="00000000" w:rsidRDefault="00CF461A">
      <w:pPr>
        <w:pStyle w:val="a3"/>
        <w:spacing w:before="132" w:beforeAutospacing="0" w:after="0" w:afterAutospacing="0"/>
        <w:jc w:val="both"/>
        <w:rPr>
          <w:sz w:val="20"/>
          <w:szCs w:val="20"/>
        </w:rPr>
      </w:pPr>
      <w:r>
        <w:rPr>
          <w:b/>
          <w:bCs/>
          <w:i/>
          <w:iCs/>
          <w:sz w:val="18"/>
          <w:szCs w:val="18"/>
        </w:rPr>
        <w:t>We do not have our own manufacturing capabilities and will rely on third parties to produce clinical and commercial sup</w:t>
      </w:r>
      <w:r>
        <w:rPr>
          <w:b/>
          <w:bCs/>
          <w:i/>
          <w:iCs/>
          <w:sz w:val="18"/>
          <w:szCs w:val="18"/>
        </w:rPr>
        <w:t>plies of our current and any future drug candidates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 xml:space="preserve">We do not own or operate, and we do not expect to own or operate, facilities for drug manufacturing, storage and distribution, or testing. We have been in the past, and will continue to be, dependent on </w:t>
      </w:r>
      <w:r>
        <w:rPr>
          <w:sz w:val="18"/>
          <w:szCs w:val="18"/>
        </w:rPr>
        <w:t>third parties to manufacture the clinical supplies of our drug candidates</w:t>
      </w:r>
      <w:r>
        <w:rPr>
          <w:sz w:val="18"/>
          <w:szCs w:val="18"/>
        </w:rPr>
        <w:t>.</w:t>
      </w:r>
      <w:r>
        <w:rPr>
          <w:sz w:val="18"/>
          <w:szCs w:val="18"/>
        </w:rPr>
        <w:t xml:space="preserve"> </w:t>
      </w:r>
    </w:p>
    <w:p w:rsidR="00000000" w:rsidRDefault="00CF461A">
      <w:pPr>
        <w:pStyle w:val="a3"/>
        <w:spacing w:before="132" w:beforeAutospacing="0" w:after="0" w:afterAutospacing="0"/>
        <w:ind w:firstLine="599"/>
        <w:jc w:val="both"/>
        <w:rPr>
          <w:sz w:val="20"/>
          <w:szCs w:val="20"/>
        </w:rPr>
      </w:pPr>
      <w:r>
        <w:rPr>
          <w:sz w:val="18"/>
          <w:szCs w:val="18"/>
        </w:rPr>
        <w:t>Further, we also will rely on third-party manufacturers to supply us with sufficient quantities of our drug candidates to be used, if approved, for commercialization. Any significa</w:t>
      </w:r>
      <w:r>
        <w:rPr>
          <w:sz w:val="18"/>
          <w:szCs w:val="18"/>
        </w:rPr>
        <w:t>nt delay in the supply of a drug candidate, or the raw material components thereof, for an ongoing clinical trial due t</w:t>
      </w:r>
      <w:r>
        <w:rPr>
          <w:sz w:val="18"/>
          <w:szCs w:val="18"/>
        </w:rPr>
        <w:t>o</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4</w:t>
      </w:r>
      <w:r>
        <w:rPr>
          <w:sz w:val="18"/>
          <w:szCs w:val="18"/>
        </w:rPr>
        <w:t>3</w:t>
      </w:r>
    </w:p>
    <w:p w:rsidR="00000000" w:rsidRDefault="00CF461A">
      <w:pPr>
        <w:rPr>
          <w:rFonts w:eastAsia="Times New Roman"/>
        </w:rPr>
      </w:pPr>
      <w:r>
        <w:rPr>
          <w:rFonts w:eastAsia="Times New Roman"/>
        </w:rPr>
        <w:pict>
          <v:rect id="_x0000_i1069"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32" w:beforeAutospacing="0" w:after="0" w:afterAutospacing="0"/>
        <w:jc w:val="both"/>
        <w:rPr>
          <w:sz w:val="20"/>
          <w:szCs w:val="20"/>
        </w:rPr>
      </w:pPr>
      <w:r>
        <w:rPr>
          <w:sz w:val="18"/>
          <w:szCs w:val="18"/>
        </w:rPr>
        <w:t>the need to replace a third-party manufacturer could considerably delay completion of our cl</w:t>
      </w:r>
      <w:r>
        <w:rPr>
          <w:sz w:val="18"/>
          <w:szCs w:val="18"/>
        </w:rPr>
        <w:t>inical trials, product testing and potential regulatory approval of our drug candidates</w:t>
      </w:r>
      <w:r>
        <w:rPr>
          <w:sz w:val="18"/>
          <w:szCs w:val="18"/>
        </w:rPr>
        <w:t>.</w:t>
      </w:r>
    </w:p>
    <w:p w:rsidR="00000000" w:rsidRDefault="00CF461A">
      <w:pPr>
        <w:pStyle w:val="a3"/>
        <w:spacing w:before="264" w:beforeAutospacing="0" w:after="0" w:afterAutospacing="0"/>
        <w:ind w:firstLine="599"/>
        <w:jc w:val="both"/>
        <w:rPr>
          <w:sz w:val="20"/>
          <w:szCs w:val="20"/>
        </w:rPr>
      </w:pPr>
      <w:r>
        <w:rPr>
          <w:sz w:val="18"/>
          <w:szCs w:val="18"/>
        </w:rPr>
        <w:t>Further, our reliance on third-party manufacturers entails risks to which we would not be subject if we manufactured drug candidates ourselves including</w:t>
      </w:r>
      <w:r>
        <w:rPr>
          <w:sz w:val="18"/>
          <w:szCs w:val="18"/>
        </w:rPr>
        <w:t>:</w:t>
      </w:r>
    </w:p>
    <w:p w:rsidR="00000000" w:rsidRDefault="00CF461A">
      <w:pPr>
        <w:jc w:val="both"/>
        <w:divId w:val="1663192621"/>
        <w:rPr>
          <w:rFonts w:eastAsia="Times New Roman"/>
        </w:rPr>
      </w:pPr>
      <w:r>
        <w:rPr>
          <w:rFonts w:eastAsia="Times New Roman"/>
          <w:sz w:val="18"/>
          <w:szCs w:val="18"/>
        </w:rPr>
        <w:t>•</w:t>
      </w:r>
    </w:p>
    <w:p w:rsidR="00000000" w:rsidRDefault="00CF461A">
      <w:pPr>
        <w:jc w:val="both"/>
        <w:divId w:val="557206265"/>
        <w:rPr>
          <w:rFonts w:eastAsia="Times New Roman"/>
        </w:rPr>
      </w:pPr>
      <w:r>
        <w:rPr>
          <w:rFonts w:eastAsia="Times New Roman"/>
          <w:sz w:val="18"/>
          <w:szCs w:val="18"/>
        </w:rPr>
        <w:t>inability to meet our drug specifications and quality requirements consistently</w:t>
      </w:r>
      <w:r>
        <w:rPr>
          <w:rFonts w:eastAsia="Times New Roman"/>
          <w:sz w:val="18"/>
          <w:szCs w:val="18"/>
        </w:rPr>
        <w:t>;</w:t>
      </w:r>
    </w:p>
    <w:p w:rsidR="00000000" w:rsidRDefault="00CF461A">
      <w:pPr>
        <w:jc w:val="both"/>
        <w:divId w:val="1390416361"/>
        <w:rPr>
          <w:rFonts w:eastAsia="Times New Roman"/>
        </w:rPr>
      </w:pPr>
      <w:r>
        <w:rPr>
          <w:rFonts w:eastAsia="Times New Roman"/>
          <w:sz w:val="18"/>
          <w:szCs w:val="18"/>
        </w:rPr>
        <w:t>•</w:t>
      </w:r>
    </w:p>
    <w:p w:rsidR="00000000" w:rsidRDefault="00CF461A">
      <w:pPr>
        <w:jc w:val="both"/>
        <w:divId w:val="1128740009"/>
        <w:rPr>
          <w:rFonts w:eastAsia="Times New Roman"/>
        </w:rPr>
      </w:pPr>
      <w:r>
        <w:rPr>
          <w:rFonts w:eastAsia="Times New Roman"/>
          <w:sz w:val="18"/>
          <w:szCs w:val="18"/>
        </w:rPr>
        <w:t>delay or inabilit</w:t>
      </w:r>
      <w:r>
        <w:rPr>
          <w:rFonts w:eastAsia="Times New Roman"/>
          <w:sz w:val="18"/>
          <w:szCs w:val="18"/>
        </w:rPr>
        <w:t>y to procure or expand sufficient manufacturing capacity</w:t>
      </w:r>
      <w:r>
        <w:rPr>
          <w:rFonts w:eastAsia="Times New Roman"/>
          <w:sz w:val="18"/>
          <w:szCs w:val="18"/>
        </w:rPr>
        <w:t>;</w:t>
      </w:r>
    </w:p>
    <w:p w:rsidR="00000000" w:rsidRDefault="00CF461A">
      <w:pPr>
        <w:jc w:val="both"/>
        <w:divId w:val="1718892525"/>
        <w:rPr>
          <w:rFonts w:eastAsia="Times New Roman"/>
        </w:rPr>
      </w:pPr>
      <w:r>
        <w:rPr>
          <w:rFonts w:eastAsia="Times New Roman"/>
          <w:sz w:val="18"/>
          <w:szCs w:val="18"/>
        </w:rPr>
        <w:t>•</w:t>
      </w:r>
    </w:p>
    <w:p w:rsidR="00000000" w:rsidRDefault="00CF461A">
      <w:pPr>
        <w:jc w:val="both"/>
        <w:divId w:val="620065933"/>
        <w:rPr>
          <w:rFonts w:eastAsia="Times New Roman"/>
        </w:rPr>
      </w:pPr>
      <w:r>
        <w:rPr>
          <w:rFonts w:eastAsia="Times New Roman"/>
          <w:sz w:val="18"/>
          <w:szCs w:val="18"/>
        </w:rPr>
        <w:t>issues related to scale-up of manufacturing</w:t>
      </w:r>
      <w:r>
        <w:rPr>
          <w:rFonts w:eastAsia="Times New Roman"/>
          <w:sz w:val="18"/>
          <w:szCs w:val="18"/>
        </w:rPr>
        <w:t>;</w:t>
      </w:r>
    </w:p>
    <w:p w:rsidR="00000000" w:rsidRDefault="00CF461A">
      <w:pPr>
        <w:jc w:val="both"/>
        <w:divId w:val="2014991011"/>
        <w:rPr>
          <w:rFonts w:eastAsia="Times New Roman"/>
        </w:rPr>
      </w:pPr>
      <w:r>
        <w:rPr>
          <w:rFonts w:eastAsia="Times New Roman"/>
          <w:sz w:val="18"/>
          <w:szCs w:val="18"/>
        </w:rPr>
        <w:t>•</w:t>
      </w:r>
    </w:p>
    <w:p w:rsidR="00000000" w:rsidRDefault="00CF461A">
      <w:pPr>
        <w:jc w:val="both"/>
        <w:divId w:val="246424915"/>
        <w:rPr>
          <w:rFonts w:eastAsia="Times New Roman"/>
        </w:rPr>
      </w:pPr>
      <w:r>
        <w:rPr>
          <w:rFonts w:eastAsia="Times New Roman"/>
          <w:sz w:val="18"/>
          <w:szCs w:val="18"/>
        </w:rPr>
        <w:t>costs and validation of new equipment and facilities required for scale-up</w:t>
      </w:r>
      <w:r>
        <w:rPr>
          <w:rFonts w:eastAsia="Times New Roman"/>
          <w:sz w:val="18"/>
          <w:szCs w:val="18"/>
        </w:rPr>
        <w:t>;</w:t>
      </w:r>
    </w:p>
    <w:p w:rsidR="00000000" w:rsidRDefault="00CF461A">
      <w:pPr>
        <w:jc w:val="both"/>
        <w:divId w:val="234977894"/>
        <w:rPr>
          <w:rFonts w:eastAsia="Times New Roman"/>
        </w:rPr>
      </w:pPr>
      <w:r>
        <w:rPr>
          <w:rFonts w:eastAsia="Times New Roman"/>
          <w:sz w:val="18"/>
          <w:szCs w:val="18"/>
        </w:rPr>
        <w:t>•</w:t>
      </w:r>
    </w:p>
    <w:p w:rsidR="00000000" w:rsidRDefault="00CF461A">
      <w:pPr>
        <w:jc w:val="both"/>
        <w:divId w:val="1487673169"/>
        <w:rPr>
          <w:rFonts w:eastAsia="Times New Roman"/>
        </w:rPr>
      </w:pPr>
      <w:r>
        <w:rPr>
          <w:rFonts w:eastAsia="Times New Roman"/>
          <w:sz w:val="18"/>
          <w:szCs w:val="18"/>
        </w:rPr>
        <w:t>failure to comply with cGMP and similar foreign standards</w:t>
      </w:r>
      <w:r>
        <w:rPr>
          <w:rFonts w:eastAsia="Times New Roman"/>
          <w:sz w:val="18"/>
          <w:szCs w:val="18"/>
        </w:rPr>
        <w:t>;</w:t>
      </w:r>
    </w:p>
    <w:p w:rsidR="00000000" w:rsidRDefault="00CF461A">
      <w:pPr>
        <w:jc w:val="both"/>
        <w:divId w:val="2118015280"/>
        <w:rPr>
          <w:rFonts w:eastAsia="Times New Roman"/>
        </w:rPr>
      </w:pPr>
      <w:r>
        <w:rPr>
          <w:rFonts w:eastAsia="Times New Roman"/>
          <w:sz w:val="18"/>
          <w:szCs w:val="18"/>
        </w:rPr>
        <w:t>•</w:t>
      </w:r>
    </w:p>
    <w:p w:rsidR="00000000" w:rsidRDefault="00CF461A">
      <w:pPr>
        <w:jc w:val="both"/>
        <w:divId w:val="1253323209"/>
        <w:rPr>
          <w:rFonts w:eastAsia="Times New Roman"/>
        </w:rPr>
      </w:pPr>
      <w:r>
        <w:rPr>
          <w:rFonts w:eastAsia="Times New Roman"/>
          <w:sz w:val="18"/>
          <w:szCs w:val="18"/>
        </w:rPr>
        <w:t xml:space="preserve">inability </w:t>
      </w:r>
      <w:r>
        <w:rPr>
          <w:rFonts w:eastAsia="Times New Roman"/>
          <w:sz w:val="18"/>
          <w:szCs w:val="18"/>
        </w:rPr>
        <w:t>to negotiate manufacturing agreements with third parties under commercially reasonable terms, if at all</w:t>
      </w:r>
      <w:r>
        <w:rPr>
          <w:rFonts w:eastAsia="Times New Roman"/>
          <w:sz w:val="18"/>
          <w:szCs w:val="18"/>
        </w:rPr>
        <w:t>;</w:t>
      </w:r>
    </w:p>
    <w:p w:rsidR="00000000" w:rsidRDefault="00CF461A">
      <w:pPr>
        <w:jc w:val="both"/>
        <w:divId w:val="681246900"/>
        <w:rPr>
          <w:rFonts w:eastAsia="Times New Roman"/>
        </w:rPr>
      </w:pPr>
      <w:r>
        <w:rPr>
          <w:rFonts w:eastAsia="Times New Roman"/>
          <w:sz w:val="18"/>
          <w:szCs w:val="18"/>
        </w:rPr>
        <w:t>•</w:t>
      </w:r>
    </w:p>
    <w:p w:rsidR="00000000" w:rsidRDefault="00CF461A">
      <w:pPr>
        <w:jc w:val="both"/>
        <w:divId w:val="841817321"/>
        <w:rPr>
          <w:rFonts w:eastAsia="Times New Roman"/>
        </w:rPr>
      </w:pPr>
      <w:r>
        <w:rPr>
          <w:rFonts w:eastAsia="Times New Roman"/>
          <w:sz w:val="18"/>
          <w:szCs w:val="18"/>
        </w:rPr>
        <w:t>termination or nonrenewal of manufacturing agreements with third parties in a manner or at a time that is costly or damaging to us</w:t>
      </w:r>
      <w:r>
        <w:rPr>
          <w:rFonts w:eastAsia="Times New Roman"/>
          <w:sz w:val="18"/>
          <w:szCs w:val="18"/>
        </w:rPr>
        <w:t>;</w:t>
      </w:r>
    </w:p>
    <w:p w:rsidR="00000000" w:rsidRDefault="00CF461A">
      <w:pPr>
        <w:jc w:val="both"/>
        <w:divId w:val="1204715244"/>
        <w:rPr>
          <w:rFonts w:eastAsia="Times New Roman"/>
        </w:rPr>
      </w:pPr>
      <w:r>
        <w:rPr>
          <w:rFonts w:eastAsia="Times New Roman"/>
          <w:sz w:val="18"/>
          <w:szCs w:val="18"/>
        </w:rPr>
        <w:t>•</w:t>
      </w:r>
    </w:p>
    <w:p w:rsidR="00000000" w:rsidRDefault="00CF461A">
      <w:pPr>
        <w:jc w:val="both"/>
        <w:divId w:val="287443423"/>
        <w:rPr>
          <w:rFonts w:eastAsia="Times New Roman"/>
        </w:rPr>
      </w:pPr>
      <w:r>
        <w:rPr>
          <w:rFonts w:eastAsia="Times New Roman"/>
          <w:sz w:val="18"/>
          <w:szCs w:val="18"/>
        </w:rPr>
        <w:t>reliance on sin</w:t>
      </w:r>
      <w:r>
        <w:rPr>
          <w:rFonts w:eastAsia="Times New Roman"/>
          <w:sz w:val="18"/>
          <w:szCs w:val="18"/>
        </w:rPr>
        <w:t>gle sources for drug components</w:t>
      </w:r>
      <w:r>
        <w:rPr>
          <w:rFonts w:eastAsia="Times New Roman"/>
          <w:sz w:val="18"/>
          <w:szCs w:val="18"/>
        </w:rPr>
        <w:t>;</w:t>
      </w:r>
    </w:p>
    <w:p w:rsidR="00000000" w:rsidRDefault="00CF461A">
      <w:pPr>
        <w:jc w:val="both"/>
        <w:divId w:val="1304039065"/>
        <w:rPr>
          <w:rFonts w:eastAsia="Times New Roman"/>
        </w:rPr>
      </w:pPr>
      <w:r>
        <w:rPr>
          <w:rFonts w:eastAsia="Times New Roman"/>
          <w:sz w:val="18"/>
          <w:szCs w:val="18"/>
        </w:rPr>
        <w:t>•</w:t>
      </w:r>
    </w:p>
    <w:p w:rsidR="00000000" w:rsidRDefault="00CF461A">
      <w:pPr>
        <w:jc w:val="both"/>
        <w:divId w:val="1564557569"/>
        <w:rPr>
          <w:rFonts w:eastAsia="Times New Roman"/>
        </w:rPr>
      </w:pPr>
      <w:r>
        <w:rPr>
          <w:rFonts w:eastAsia="Times New Roman"/>
          <w:sz w:val="18"/>
          <w:szCs w:val="18"/>
        </w:rPr>
        <w:t>lack of qualified backup suppliers for those components that are currently purchased from a sole or single source supplier</w:t>
      </w:r>
      <w:r>
        <w:rPr>
          <w:rFonts w:eastAsia="Times New Roman"/>
          <w:sz w:val="18"/>
          <w:szCs w:val="18"/>
        </w:rPr>
        <w:t>;</w:t>
      </w:r>
    </w:p>
    <w:p w:rsidR="00000000" w:rsidRDefault="00CF461A">
      <w:pPr>
        <w:jc w:val="both"/>
        <w:divId w:val="1891458499"/>
        <w:rPr>
          <w:rFonts w:eastAsia="Times New Roman"/>
        </w:rPr>
      </w:pPr>
      <w:r>
        <w:rPr>
          <w:rFonts w:eastAsia="Times New Roman"/>
          <w:sz w:val="18"/>
          <w:szCs w:val="18"/>
        </w:rPr>
        <w:t>•</w:t>
      </w:r>
    </w:p>
    <w:p w:rsidR="00000000" w:rsidRDefault="00CF461A">
      <w:pPr>
        <w:jc w:val="both"/>
        <w:divId w:val="176816134"/>
        <w:rPr>
          <w:rFonts w:eastAsia="Times New Roman"/>
        </w:rPr>
      </w:pPr>
      <w:r>
        <w:rPr>
          <w:rFonts w:eastAsia="Times New Roman"/>
          <w:sz w:val="18"/>
          <w:szCs w:val="18"/>
        </w:rPr>
        <w:t>operations of our third-party manufacturers or suppliers could be disrupted by conditions unrel</w:t>
      </w:r>
      <w:r>
        <w:rPr>
          <w:rFonts w:eastAsia="Times New Roman"/>
          <w:sz w:val="18"/>
          <w:szCs w:val="18"/>
        </w:rPr>
        <w:t>ated to our business or operations, including the bankruptcy of the manufacturer or supplier; an</w:t>
      </w:r>
      <w:r>
        <w:rPr>
          <w:rFonts w:eastAsia="Times New Roman"/>
          <w:sz w:val="18"/>
          <w:szCs w:val="18"/>
        </w:rPr>
        <w:t>d</w:t>
      </w:r>
    </w:p>
    <w:p w:rsidR="00000000" w:rsidRDefault="00CF461A">
      <w:pPr>
        <w:jc w:val="both"/>
        <w:divId w:val="973098468"/>
        <w:rPr>
          <w:rFonts w:eastAsia="Times New Roman"/>
        </w:rPr>
      </w:pPr>
      <w:r>
        <w:rPr>
          <w:rFonts w:eastAsia="Times New Roman"/>
          <w:sz w:val="18"/>
          <w:szCs w:val="18"/>
        </w:rPr>
        <w:t>•</w:t>
      </w:r>
    </w:p>
    <w:p w:rsidR="00000000" w:rsidRDefault="00CF461A">
      <w:pPr>
        <w:jc w:val="both"/>
        <w:divId w:val="490100920"/>
        <w:rPr>
          <w:rFonts w:eastAsia="Times New Roman"/>
        </w:rPr>
      </w:pPr>
      <w:r>
        <w:rPr>
          <w:rFonts w:eastAsia="Times New Roman"/>
          <w:sz w:val="18"/>
          <w:szCs w:val="18"/>
        </w:rPr>
        <w:t>carrier disruptions or increased costs that are beyond our control</w:t>
      </w:r>
      <w:r>
        <w:rPr>
          <w:rFonts w:eastAsia="Times New Roman"/>
          <w:sz w:val="18"/>
          <w:szCs w:val="18"/>
        </w:rPr>
        <w:t>.</w:t>
      </w:r>
    </w:p>
    <w:p w:rsidR="00000000" w:rsidRDefault="00CF461A">
      <w:pPr>
        <w:pStyle w:val="a3"/>
        <w:spacing w:before="264" w:beforeAutospacing="0" w:after="0" w:afterAutospacing="0"/>
        <w:ind w:firstLine="555"/>
        <w:jc w:val="both"/>
        <w:rPr>
          <w:sz w:val="20"/>
          <w:szCs w:val="20"/>
        </w:rPr>
      </w:pPr>
      <w:r>
        <w:rPr>
          <w:sz w:val="18"/>
          <w:szCs w:val="18"/>
        </w:rPr>
        <w:t>Any of these events could lead to clinical trial delays, failure to obtain regulatory ap</w:t>
      </w:r>
      <w:r>
        <w:rPr>
          <w:sz w:val="18"/>
          <w:szCs w:val="18"/>
        </w:rPr>
        <w:t>proval or impact our ability to successfully commercialize our current or any future drug candidates once approved. Some of these events could be the basis for FDA action, including injunction, request for recall, seizure, or total or partial suspension of</w:t>
      </w:r>
      <w:r>
        <w:rPr>
          <w:sz w:val="18"/>
          <w:szCs w:val="18"/>
        </w:rPr>
        <w:t xml:space="preserve"> production</w:t>
      </w:r>
      <w:r>
        <w:rPr>
          <w:sz w:val="18"/>
          <w:szCs w:val="18"/>
        </w:rPr>
        <w:t>.</w:t>
      </w:r>
    </w:p>
    <w:p w:rsidR="00000000" w:rsidRDefault="00CF461A">
      <w:pPr>
        <w:pStyle w:val="a3"/>
        <w:spacing w:before="200" w:beforeAutospacing="0" w:after="0" w:afterAutospacing="0"/>
        <w:jc w:val="both"/>
        <w:rPr>
          <w:sz w:val="20"/>
          <w:szCs w:val="20"/>
        </w:rPr>
      </w:pPr>
      <w:r>
        <w:rPr>
          <w:b/>
          <w:bCs/>
          <w:i/>
          <w:iCs/>
          <w:sz w:val="18"/>
          <w:szCs w:val="18"/>
        </w:rPr>
        <w:t>We intend to rely on third parties to conduct, supervise and monitor our preclinical studies and clinical trials, and if those third parties perform in an unsatisfactory manner, it may harm our business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do not currently have the ability to independentl</w:t>
      </w:r>
      <w:r>
        <w:rPr>
          <w:sz w:val="18"/>
          <w:szCs w:val="18"/>
        </w:rPr>
        <w:t>y conduct any preclinical studies or clinical trials. We intend to rely on CROs and clinical trial sites to ensure the proper and timely conduct of our preclinical studies and clinical trials, and we expect to have limited influence over their actual perfo</w:t>
      </w:r>
      <w:r>
        <w:rPr>
          <w:sz w:val="18"/>
          <w:szCs w:val="18"/>
        </w:rPr>
        <w:t>rmance. We intend to rely upon CROs to monitor and manage data for our clinical programs, as well as the execution of future preclinical studies. We expect to control only certain aspects of our CROs’ activities. Nevertheless, we will be responsible for en</w:t>
      </w:r>
      <w:r>
        <w:rPr>
          <w:sz w:val="18"/>
          <w:szCs w:val="18"/>
        </w:rPr>
        <w:t>suring that each of our preclinical studies or clinical trials are conducted in accordance with the applicable protocol, legal, regulatory and scientific standards and our reliance on the CROs does not relieve us of our regulatory responsibilities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We and our CROs will be required to comply with good laboratory practices (“GLPs”) and GCPs, which are regulations and guidelines enforced by the FDA and are also required by the Competent Authorities of the Member States of the European Economic Area and </w:t>
      </w:r>
      <w:r>
        <w:rPr>
          <w:sz w:val="18"/>
          <w:szCs w:val="18"/>
        </w:rPr>
        <w:t>comparable foreign regulatory authorities in the form of International Council for Harmonization guidelines for any of our drug candidates that are in preclinical and clinical development. The regulatory authorities enforce GCPs through periodic inspection</w:t>
      </w:r>
      <w:r>
        <w:rPr>
          <w:sz w:val="18"/>
          <w:szCs w:val="18"/>
        </w:rPr>
        <w:t>s of trial sponsors, principal investigators and clinical trial sites. Although we will rely on CROs to conduct GCP-compliant clinical trials, we remain responsible for ensuring that each of our GLP preclinical studies and clinical trials is conducted in a</w:t>
      </w:r>
      <w:r>
        <w:rPr>
          <w:sz w:val="18"/>
          <w:szCs w:val="18"/>
        </w:rPr>
        <w:t>ccordance with its investigational plan and protocol and applicable laws and regulations, and our reliance on the CROs does not relieve us of our regulatory responsibilities. If we or our CROs fail to comply with GCPs, the clinical data generated in our cl</w:t>
      </w:r>
      <w:r>
        <w:rPr>
          <w:sz w:val="18"/>
          <w:szCs w:val="18"/>
        </w:rPr>
        <w:t>inical trials may be deemed unreliable and the FDA or comparable foreign regulatory authorities may require us to perform additional clinical trials before approving our marketing applications. Accordingly, if our CROs fail to comply with these regulations</w:t>
      </w:r>
      <w:r>
        <w:rPr>
          <w:sz w:val="18"/>
          <w:szCs w:val="18"/>
        </w:rPr>
        <w:t xml:space="preserve"> or fail to recruit a sufficient number of subjects, we may be required to repeat clinical trials, which would delay the regulatory approval process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While we will have agreements governing their activities, our CROs will not be our employees, and we will </w:t>
      </w:r>
      <w:r>
        <w:rPr>
          <w:sz w:val="18"/>
          <w:szCs w:val="18"/>
        </w:rPr>
        <w:t>not control whether or not they devote sufficient time and resources to our future clinical and preclinical programs. These CROs may also have relationships with other commercial entities, including our competitors, for whom they may also be conducting cli</w:t>
      </w:r>
      <w:r>
        <w:rPr>
          <w:sz w:val="18"/>
          <w:szCs w:val="18"/>
        </w:rPr>
        <w:t>nical trials, or other drug development activities which could harm our business. We face the risk of potential unauthorized disclosure or misappropriation of our intellectual property by CROs, which may reduce our trade secret protection and allow our pot</w:t>
      </w:r>
      <w:r>
        <w:rPr>
          <w:sz w:val="18"/>
          <w:szCs w:val="18"/>
        </w:rPr>
        <w:t>ential competitors to access and exploit our proprietary technology. If our CROs do not successfully carry out their contractual duties or obligations, fail to meet expected deadlines, or if the quality or accuracy of the clinical data they obtain is compr</w:t>
      </w:r>
      <w:r>
        <w:rPr>
          <w:sz w:val="18"/>
          <w:szCs w:val="18"/>
        </w:rPr>
        <w:t>omised due to the failure to adhere to our clinical protocols or regulatory requirements or for any other reasons, our clinical trials may be extended, delayed or terminated, and we may not be able to obtain regulatory approval for, or successfully commerc</w:t>
      </w:r>
      <w:r>
        <w:rPr>
          <w:sz w:val="18"/>
          <w:szCs w:val="18"/>
        </w:rPr>
        <w:t>ialize any drug candidate that we develop. As a result, our financial results and the commercial prospects for any drug candidate that we develop would be harmed, our costs could increase, and our ability to generate revenue could be delayed</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In addition, </w:t>
      </w:r>
      <w:r>
        <w:rPr>
          <w:sz w:val="18"/>
          <w:szCs w:val="18"/>
        </w:rPr>
        <w:t>principal investigators for our clinical trials may serve as scientific advisors or consultants to us from time to time and receive compensation in connection with such services. Under certain circumstances, we may be required to report some of these relat</w:t>
      </w:r>
      <w:r>
        <w:rPr>
          <w:sz w:val="18"/>
          <w:szCs w:val="18"/>
        </w:rPr>
        <w:t>ionships to the FDA. The FDA may conclude that a financial relationship between us and a principal investigator has created a conflict of interest or otherwise affected interpretation of the trial. The FDA may therefore question the integrity of the data g</w:t>
      </w:r>
      <w:r>
        <w:rPr>
          <w:sz w:val="18"/>
          <w:szCs w:val="18"/>
        </w:rPr>
        <w:t>enerated at the applicable clinical trial site and the utility of the clinical trial itself may be jeopardized. This could result in a delay in approval, or rejection, of our marketing applications by the FDA and may ultimately lead to the denial of market</w:t>
      </w:r>
      <w:r>
        <w:rPr>
          <w:sz w:val="18"/>
          <w:szCs w:val="18"/>
        </w:rPr>
        <w:t>ing approval of our current and future drug candidates</w:t>
      </w:r>
      <w:r>
        <w:rPr>
          <w:sz w:val="18"/>
          <w:szCs w:val="18"/>
        </w:rPr>
        <w:t>.</w:t>
      </w:r>
    </w:p>
    <w:p w:rsidR="00000000" w:rsidRDefault="00CF461A">
      <w:pPr>
        <w:pStyle w:val="a3"/>
        <w:spacing w:before="240" w:beforeAutospacing="0" w:after="0" w:afterAutospacing="0"/>
        <w:jc w:val="center"/>
        <w:rPr>
          <w:sz w:val="20"/>
          <w:szCs w:val="20"/>
        </w:rPr>
      </w:pPr>
      <w:r>
        <w:rPr>
          <w:sz w:val="18"/>
          <w:szCs w:val="18"/>
        </w:rPr>
        <w:t>4</w:t>
      </w:r>
      <w:r>
        <w:rPr>
          <w:sz w:val="18"/>
          <w:szCs w:val="18"/>
        </w:rPr>
        <w:t>4</w:t>
      </w:r>
    </w:p>
    <w:p w:rsidR="00000000" w:rsidRDefault="00CF461A">
      <w:pPr>
        <w:rPr>
          <w:rFonts w:eastAsia="Times New Roman"/>
        </w:rPr>
      </w:pPr>
      <w:r>
        <w:rPr>
          <w:rFonts w:eastAsia="Times New Roman"/>
        </w:rPr>
        <w:pict>
          <v:rect id="_x0000_i1070"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ind w:firstLine="555"/>
        <w:jc w:val="both"/>
        <w:rPr>
          <w:sz w:val="20"/>
          <w:szCs w:val="20"/>
        </w:rPr>
      </w:pPr>
      <w:r>
        <w:rPr>
          <w:sz w:val="18"/>
          <w:szCs w:val="18"/>
        </w:rPr>
        <w:t>If our relationship with these CROs terminates, we may not be able to enter into arrangements with alternative CROs or do so on commercially reasonable terms.</w:t>
      </w:r>
      <w:r>
        <w:rPr>
          <w:sz w:val="18"/>
          <w:szCs w:val="18"/>
        </w:rPr>
        <w:t xml:space="preserve"> Switching or adding additional CROs involves substantial cost and requires management time and focus. In addition, there is a natural transition period when a new CRO commences work. As a result, delays occur, which can negatively impact our ability to me</w:t>
      </w:r>
      <w:r>
        <w:rPr>
          <w:sz w:val="18"/>
          <w:szCs w:val="18"/>
        </w:rPr>
        <w:t xml:space="preserve">et our desired clinical development timelines. Though we intend to carefully manage our relationships with our CROs, there can be no assurance that we will not encounter challenges or delays in the future or that these delays or challenges will not have a </w:t>
      </w:r>
      <w:r>
        <w:rPr>
          <w:sz w:val="18"/>
          <w:szCs w:val="18"/>
        </w:rPr>
        <w:t>negative impact on our business, financial condition and prospects</w:t>
      </w:r>
      <w:r>
        <w:rPr>
          <w:sz w:val="18"/>
          <w:szCs w:val="18"/>
        </w:rPr>
        <w:t>.</w:t>
      </w:r>
    </w:p>
    <w:p w:rsidR="00000000" w:rsidRDefault="00CF461A">
      <w:pPr>
        <w:pStyle w:val="a3"/>
        <w:spacing w:before="120" w:beforeAutospacing="0" w:after="0" w:afterAutospacing="0"/>
        <w:jc w:val="both"/>
        <w:rPr>
          <w:sz w:val="20"/>
          <w:szCs w:val="20"/>
        </w:rPr>
      </w:pPr>
      <w:r>
        <w:rPr>
          <w:b/>
          <w:bCs/>
          <w:sz w:val="18"/>
          <w:szCs w:val="18"/>
        </w:rPr>
        <w:t>Risks Related to Our Business Operations, Employee Matters and Managing Growt</w:t>
      </w:r>
      <w:r>
        <w:rPr>
          <w:b/>
          <w:bCs/>
          <w:sz w:val="18"/>
          <w:szCs w:val="18"/>
        </w:rPr>
        <w:t>h</w:t>
      </w:r>
    </w:p>
    <w:p w:rsidR="00000000" w:rsidRDefault="00CF461A">
      <w:pPr>
        <w:pStyle w:val="a3"/>
        <w:spacing w:before="120" w:beforeAutospacing="0" w:after="0" w:afterAutospacing="0"/>
        <w:jc w:val="both"/>
        <w:rPr>
          <w:sz w:val="20"/>
          <w:szCs w:val="20"/>
        </w:rPr>
      </w:pPr>
      <w:r>
        <w:rPr>
          <w:b/>
          <w:bCs/>
          <w:i/>
          <w:iCs/>
          <w:sz w:val="18"/>
          <w:szCs w:val="18"/>
        </w:rPr>
        <w:t>COVID-19 could adversely impact our business, including our preclinical studies, clinical trials and access t</w:t>
      </w:r>
      <w:r>
        <w:rPr>
          <w:b/>
          <w:bCs/>
          <w:i/>
          <w:iCs/>
          <w:sz w:val="18"/>
          <w:szCs w:val="18"/>
        </w:rPr>
        <w:t>o capital</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ongoing COVID-19 pandemic has resulted in travel and other restrictions in order to reduce the spread of the disease. In response to initial state and local orders across the country directing individuals to shelter at their places of reside</w:t>
      </w:r>
      <w:r>
        <w:rPr>
          <w:sz w:val="18"/>
          <w:szCs w:val="18"/>
        </w:rPr>
        <w:t xml:space="preserve">nce, directing businesses and governmental agencies to cease non-essential operations at physical locations, prohibiting certain non-essential gatherings, and ordering cessation of non-essential travel, in March 2020 we implemented work-from-home policies </w:t>
      </w:r>
      <w:r>
        <w:rPr>
          <w:sz w:val="18"/>
          <w:szCs w:val="18"/>
        </w:rPr>
        <w:t xml:space="preserve">for all employees. Our current plans to return to the office remain fluid as the pandemic persists and federal, state and local guidelines, rules and regulations regarding the conduct of in-person business operations continue to evolve. The effects of our </w:t>
      </w:r>
      <w:r>
        <w:rPr>
          <w:sz w:val="18"/>
          <w:szCs w:val="18"/>
        </w:rPr>
        <w:t xml:space="preserve">work-from-home policies may negatively impact productivity, disrupt our business and delay our clinical programs and timelines, the magnitude of which will depend, in part, on the length and severity of any applicable restrictions and other limitations on </w:t>
      </w:r>
      <w:r>
        <w:rPr>
          <w:sz w:val="18"/>
          <w:szCs w:val="18"/>
        </w:rPr>
        <w:t>our ability to conduct our business in the ordinary course. These and similar, and perhaps more severe, disruptions in our operations could negatively impact our business, operating results and financial condition</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Any new imposition of quarantines, shelte</w:t>
      </w:r>
      <w:r>
        <w:rPr>
          <w:sz w:val="18"/>
          <w:szCs w:val="18"/>
        </w:rPr>
        <w:t>r-in-place and similar government orders related to COVID-19 may adversely impact our business operations and the business operations of our CROs conducting our preclinical studies and clinical trials and our third-party manufacturing facilities in the Uni</w:t>
      </w:r>
      <w:r>
        <w:rPr>
          <w:sz w:val="18"/>
          <w:szCs w:val="18"/>
        </w:rPr>
        <w:t>ted States and other countries. In particular, some of our third-party manufacturers which we use for the supply of materials for drug candidates or other materials necessary to manufacture product to conduct preclinical studies and clinical trials are loc</w:t>
      </w:r>
      <w:r>
        <w:rPr>
          <w:sz w:val="18"/>
          <w:szCs w:val="18"/>
        </w:rPr>
        <w:t>ated in countries affected by COVID-19, and should they experience disruptions, such as temporary closures or suspension of services, we would likely experience delays in advancing these tests and trials. Currently, we expect no material impact on the clin</w:t>
      </w:r>
      <w:r>
        <w:rPr>
          <w:sz w:val="18"/>
          <w:szCs w:val="18"/>
        </w:rPr>
        <w:t>ical supply of any of our drug candidates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In addition, our previous clinical trials were, and our future clinical trials may be, affected by the COVID-19 pandemic. Clinical site initiation and patient enrollment may be delayed due to prioritization of hos</w:t>
      </w:r>
      <w:r>
        <w:rPr>
          <w:sz w:val="18"/>
          <w:szCs w:val="18"/>
        </w:rPr>
        <w:t>pital resources toward the COVID-19 pandemic. Some patients may not be willing or able to comply with clinical trial protocols if quarantines impede patient movement or interrupt healthcare services. Similarly, our ability to recruit and retain patients an</w:t>
      </w:r>
      <w:r>
        <w:rPr>
          <w:sz w:val="18"/>
          <w:szCs w:val="18"/>
        </w:rPr>
        <w:t>d principal investigators and site staff who, as healthcare providers, may have heightened exposure to COVID-19 and adversely impact our clinical trial operations. As a result of the COVID-19 pandemic, we have faced and may continue to face delays in meeti</w:t>
      </w:r>
      <w:r>
        <w:rPr>
          <w:sz w:val="18"/>
          <w:szCs w:val="18"/>
        </w:rPr>
        <w:t>ng our anticipated timelines for our previous and planned clinical trials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spread of COVID-19, which has caused a broad impact globally, may materially affect us economically. While the potential economic impact brought by, and the duration of, COVID-1</w:t>
      </w:r>
      <w:r>
        <w:rPr>
          <w:sz w:val="18"/>
          <w:szCs w:val="18"/>
        </w:rPr>
        <w:t xml:space="preserve">9 may be difficult to assess or predict, a sustained, widespread pandemic could result in significant disruption of global financial markets, reducing our ability to access capital, which could in the future negatively affect our liquidity. In addition, a </w:t>
      </w:r>
      <w:r>
        <w:rPr>
          <w:sz w:val="18"/>
          <w:szCs w:val="18"/>
        </w:rPr>
        <w:t>recession or market correction resulting from the spread of COVID-19 could materially affect our business and the value of our common stock</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COVID-19 pandemic continues to evolve. The extent to which the COVID-19 pandemic impacts our business, our clin</w:t>
      </w:r>
      <w:r>
        <w:rPr>
          <w:sz w:val="18"/>
          <w:szCs w:val="18"/>
        </w:rPr>
        <w:t>ical development and regulatory efforts will depend on future developments that are highly uncertain and cannot be predicted with confidence, such as the ultimate duration of the outbreak, the extent of sustained or new travel restrictions, social distanci</w:t>
      </w:r>
      <w:r>
        <w:rPr>
          <w:sz w:val="18"/>
          <w:szCs w:val="18"/>
        </w:rPr>
        <w:t>ng requirements and business closures in the United States, Europe and other countries, and the effectiveness of actions taken in the United States, Europe and other countries to contain and treat the disease, including vaccination efforts. Accordingly, we</w:t>
      </w:r>
      <w:r>
        <w:rPr>
          <w:sz w:val="18"/>
          <w:szCs w:val="18"/>
        </w:rPr>
        <w:t xml:space="preserve"> do not yet know the full extent of potential delays or impacts on our business, our clinical and regulatory activities, healthcare systems or the global economy as a whole. However, these impacts could adversely affect our business, financial condition, r</w:t>
      </w:r>
      <w:r>
        <w:rPr>
          <w:sz w:val="18"/>
          <w:szCs w:val="18"/>
        </w:rPr>
        <w:t>esults of operations and growth prospects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In addition, to the extent the ongoing COVID-19 pandemic adversely affects our business and results of operations, it may also have the effect of heightening many of the other risks and uncertainties described in </w:t>
      </w:r>
      <w:r>
        <w:rPr>
          <w:sz w:val="18"/>
          <w:szCs w:val="18"/>
        </w:rPr>
        <w:t>this ‘‘Risk Factors’’ section</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We are highly dependent on the services of our senior management team, including our Chairman and Chief Executive Officer, Dr. Jeremy Levin, and if we are not able to retain these members of our management team or recruit and</w:t>
      </w:r>
      <w:r>
        <w:rPr>
          <w:b/>
          <w:bCs/>
          <w:i/>
          <w:iCs/>
          <w:sz w:val="18"/>
          <w:szCs w:val="18"/>
        </w:rPr>
        <w:t xml:space="preserve"> retain additional management, clinical and scientific personnel, our business will be harmed</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are highly dependent on our senior management team, including our Chairman and Chief Executive Officer, Dr. Levin. The employment agreements we have with thes</w:t>
      </w:r>
      <w:r>
        <w:rPr>
          <w:sz w:val="18"/>
          <w:szCs w:val="18"/>
        </w:rPr>
        <w:t>e officers do not prevent such persons from terminating their employment with us at any time. The loss of the services of any of these persons could impede the achievement of our research, development, operational, financial and commercialization objective</w:t>
      </w:r>
      <w:r>
        <w:rPr>
          <w:sz w:val="18"/>
          <w:szCs w:val="18"/>
        </w:rPr>
        <w:t>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In addition, we are dependent on our continued ability to attract, retain and motivate highly qualified additional management, clinical and scientific personnel. If we are not able to retain our management and to attract, on acceptable terms, additional</w:t>
      </w:r>
      <w:r>
        <w:rPr>
          <w:sz w:val="18"/>
          <w:szCs w:val="18"/>
        </w:rPr>
        <w:t xml:space="preserve"> qualified personnel necessary for the continued development of our business, we may not be able to sustain our operations or grow. This risk may be further amplified given the particularly competitive hiring market in New York City, the location of our co</w:t>
      </w:r>
      <w:r>
        <w:rPr>
          <w:sz w:val="18"/>
          <w:szCs w:val="18"/>
        </w:rPr>
        <w:t>rporate headquarters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may not be able to attract or retain qualified personnel in the future due to the intense competition for qualified personnel among biotechnology, pharmaceutical and other businesses. Many of the other pharmaceutical companies that we compete against fo</w:t>
      </w:r>
      <w:r>
        <w:rPr>
          <w:sz w:val="18"/>
          <w:szCs w:val="18"/>
        </w:rPr>
        <w:t>r qualified personnel and consultants have greater financial and other resources, different risk profiles and a longer history in the industry than we do. They also may provide more diverse opportunities and better chances for career advancement. Some of t</w:t>
      </w:r>
      <w:r>
        <w:rPr>
          <w:sz w:val="18"/>
          <w:szCs w:val="18"/>
        </w:rPr>
        <w:t>hese characteristics may be more appealing to high-quality candidates and consultants than what we have to offer. If we are unable to continue to attract, retain and motivate high-quality personnel and consultants to accomplish our business objectives, the</w:t>
      </w:r>
      <w:r>
        <w:rPr>
          <w:sz w:val="18"/>
          <w:szCs w:val="18"/>
        </w:rPr>
        <w:t xml:space="preserve"> rate and success at which we can discover and develop drug candidates and our business will be limited and we may experience constraints on our development objectives</w:t>
      </w:r>
      <w:r>
        <w:rPr>
          <w:sz w:val="18"/>
          <w:szCs w:val="18"/>
        </w:rPr>
        <w:t>.</w:t>
      </w:r>
    </w:p>
    <w:p w:rsidR="00000000" w:rsidRDefault="00CF461A">
      <w:pPr>
        <w:pStyle w:val="a3"/>
        <w:spacing w:before="240" w:beforeAutospacing="0" w:after="0" w:afterAutospacing="0"/>
        <w:jc w:val="center"/>
        <w:rPr>
          <w:sz w:val="20"/>
          <w:szCs w:val="20"/>
        </w:rPr>
      </w:pPr>
      <w:r>
        <w:rPr>
          <w:sz w:val="18"/>
          <w:szCs w:val="18"/>
        </w:rPr>
        <w:t>4</w:t>
      </w:r>
      <w:r>
        <w:rPr>
          <w:sz w:val="18"/>
          <w:szCs w:val="18"/>
        </w:rPr>
        <w:t>5</w:t>
      </w:r>
    </w:p>
    <w:p w:rsidR="00000000" w:rsidRDefault="00CF461A">
      <w:pPr>
        <w:rPr>
          <w:rFonts w:eastAsia="Times New Roman"/>
        </w:rPr>
      </w:pPr>
      <w:r>
        <w:rPr>
          <w:rFonts w:eastAsia="Times New Roman"/>
        </w:rPr>
        <w:pict>
          <v:rect id="_x0000_i1071"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ind w:firstLine="555"/>
        <w:jc w:val="both"/>
        <w:rPr>
          <w:sz w:val="20"/>
          <w:szCs w:val="20"/>
        </w:rPr>
      </w:pPr>
      <w:r>
        <w:rPr>
          <w:sz w:val="18"/>
          <w:szCs w:val="18"/>
        </w:rPr>
        <w:t>Our future performance will also depend, in pa</w:t>
      </w:r>
      <w:r>
        <w:rPr>
          <w:sz w:val="18"/>
          <w:szCs w:val="18"/>
        </w:rPr>
        <w:t>rt, on our ability to successfully integrate newly hired executive officers into our management team and our ability to develop an effective working relationship among senior management. Our failure to integrate these individuals and create effective worki</w:t>
      </w:r>
      <w:r>
        <w:rPr>
          <w:sz w:val="18"/>
          <w:szCs w:val="18"/>
        </w:rPr>
        <w:t>ng relationships among them and other members of management could result in inefficiencies in the development and commercialization of our drug candidates, harming future regulatory approvals, sales of our drug candidates and our results of operations. Add</w:t>
      </w:r>
      <w:r>
        <w:rPr>
          <w:sz w:val="18"/>
          <w:szCs w:val="18"/>
        </w:rPr>
        <w:t>itionally, we do not currently maintain “key person” life insurance on the lives of our executives or any of our employees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We may need to expand our organization, and we may experience difficulties in managing this growth, which could disrupt our operatio</w:t>
      </w:r>
      <w:r>
        <w:rPr>
          <w:b/>
          <w:bCs/>
          <w:i/>
          <w:iCs/>
          <w:sz w:val="18"/>
          <w:szCs w:val="18"/>
        </w:rPr>
        <w:t>ns</w:t>
      </w:r>
      <w:r>
        <w:rPr>
          <w:b/>
          <w:bCs/>
          <w:i/>
          <w:iCs/>
          <w:sz w:val="18"/>
          <w:szCs w:val="18"/>
        </w:rPr>
        <w:t>.</w:t>
      </w:r>
    </w:p>
    <w:p w:rsidR="00000000" w:rsidRDefault="00CF461A">
      <w:pPr>
        <w:pStyle w:val="a3"/>
        <w:spacing w:before="120" w:beforeAutospacing="0" w:after="0" w:afterAutospacing="0"/>
        <w:ind w:firstLine="604"/>
        <w:jc w:val="both"/>
        <w:rPr>
          <w:sz w:val="20"/>
          <w:szCs w:val="20"/>
        </w:rPr>
      </w:pPr>
      <w:r>
        <w:rPr>
          <w:sz w:val="18"/>
          <w:szCs w:val="18"/>
        </w:rPr>
        <w:t>As of March 31, 2022, we had 49 full-time employees, which reflects a significant decrease in the size of our employee base following our decision to discontinue the clinical study of OV101 in Angelman syndrome and Fragile X syndrome and the terminatio</w:t>
      </w:r>
      <w:r>
        <w:rPr>
          <w:sz w:val="18"/>
          <w:szCs w:val="18"/>
        </w:rPr>
        <w:t>n of the Takeda collaboration agreement for OV935. As our development and commercialization plans and strategies for our current pipeline of product candidates develop, we expect to need additional managerial, operational, sales, marketing, financial, lega</w:t>
      </w:r>
      <w:r>
        <w:rPr>
          <w:sz w:val="18"/>
          <w:szCs w:val="18"/>
        </w:rPr>
        <w:t>l and other resources. Our management may need to divert a disproportionate amount of its attention away from our day-to-day operations and devote a substantial amount of time to managing these growth activities. We may not be able to effectively manage th</w:t>
      </w:r>
      <w:r>
        <w:rPr>
          <w:sz w:val="18"/>
          <w:szCs w:val="18"/>
        </w:rPr>
        <w:t>e expansion of our operations, which may result in weaknesses in our infrastructure, operational inefficiencies, loss of business opportunities, loss of employees and reduced productivity among remaining employees. Our expected growth could require signifi</w:t>
      </w:r>
      <w:r>
        <w:rPr>
          <w:sz w:val="18"/>
          <w:szCs w:val="18"/>
        </w:rPr>
        <w:t>cant capital expenditures and may divert financial resources from other projects, such as the development of our current and potential future drug candidates. If our management is unable to effectively manage our growth, our expenses may increase more than</w:t>
      </w:r>
      <w:r>
        <w:rPr>
          <w:sz w:val="18"/>
          <w:szCs w:val="18"/>
        </w:rPr>
        <w:t xml:space="preserve"> expected, our ability to generate and grow revenue could be reduced and we may not be able to implement our business strategy. Our future financial performance, our ability to commercialize drug candidates, develop a scalable infrastructure and compete ef</w:t>
      </w:r>
      <w:r>
        <w:rPr>
          <w:sz w:val="18"/>
          <w:szCs w:val="18"/>
        </w:rPr>
        <w:t>fectively will depend, in part, on our ability to effectively manage any future growth</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Our employees, principal investigators, consultants and commercial partners may engage in misconduct or other improper activities, including non-compliance with regulat</w:t>
      </w:r>
      <w:r>
        <w:rPr>
          <w:b/>
          <w:bCs/>
          <w:i/>
          <w:iCs/>
          <w:sz w:val="18"/>
          <w:szCs w:val="18"/>
        </w:rPr>
        <w:t>ory standards and requirements and insider trading</w:t>
      </w:r>
      <w:r>
        <w:rPr>
          <w:b/>
          <w:bCs/>
          <w:i/>
          <w:iCs/>
          <w:sz w:val="18"/>
          <w:szCs w:val="18"/>
        </w:rPr>
        <w:t>.</w:t>
      </w:r>
    </w:p>
    <w:p w:rsidR="00000000" w:rsidRDefault="00CF461A">
      <w:pPr>
        <w:pStyle w:val="a3"/>
        <w:spacing w:before="120" w:beforeAutospacing="0" w:after="0" w:afterAutospacing="0"/>
        <w:ind w:firstLine="669"/>
        <w:jc w:val="both"/>
        <w:rPr>
          <w:sz w:val="20"/>
          <w:szCs w:val="20"/>
        </w:rPr>
      </w:pPr>
      <w:r>
        <w:rPr>
          <w:sz w:val="18"/>
          <w:szCs w:val="18"/>
        </w:rPr>
        <w:t>We are exposed to the risk that our employees, consultants, distributors, and collaborators may engage in fraudulent or illegal activity. Misconduct by these parties could include intentional, reckless or</w:t>
      </w:r>
      <w:r>
        <w:rPr>
          <w:sz w:val="18"/>
          <w:szCs w:val="18"/>
        </w:rPr>
        <w:t xml:space="preserve"> negligent conduct or disclosure of unauthorized activities to us that violates the regulations of the FDA and non-U.S. regulators, including those laws requiring the reporting of true, complete and accurate information to such regulators, manufacturing st</w:t>
      </w:r>
      <w:r>
        <w:rPr>
          <w:sz w:val="18"/>
          <w:szCs w:val="18"/>
        </w:rPr>
        <w:t>andards, healthcare fraud and abuse laws and regulations in the United States and abroad or laws that require the true, complete and accurate reporting of financial information or data. In particular, sales, marketing and business arrangements in the healt</w:t>
      </w:r>
      <w:r>
        <w:rPr>
          <w:sz w:val="18"/>
          <w:szCs w:val="18"/>
        </w:rPr>
        <w:t>hcare industry, including the sale of pharmaceuticals, are subject to extensive laws and regulations intended to prevent fraud, misconduct, kickbacks, self-dealing and other abusive practices. These laws and regulations may restrict or prohibit a wide rang</w:t>
      </w:r>
      <w:r>
        <w:rPr>
          <w:sz w:val="18"/>
          <w:szCs w:val="18"/>
        </w:rPr>
        <w:t>e of pricing, discounting, marketing and promotion, sales commission, customer incentive programs and other business arrangements. It is not always possible to identify and deter misconduct by our employees and other third parties, and the precautions we t</w:t>
      </w:r>
      <w:r>
        <w:rPr>
          <w:sz w:val="18"/>
          <w:szCs w:val="18"/>
        </w:rPr>
        <w:t>ake to detect and prevent this activity may not be effective in controlling unknown or unmanaged risks or losses or in protecting us from governmental investigations or other actions or lawsuits stemming from a failure to comply with these laws or regulati</w:t>
      </w:r>
      <w:r>
        <w:rPr>
          <w:sz w:val="18"/>
          <w:szCs w:val="18"/>
        </w:rPr>
        <w:t>ons. Further, because of the work from home policies we implemented due to COVID-19, information that is normally protected, including company confidential information, may be less secure. If actions are instituted against us and we are not successful in d</w:t>
      </w:r>
      <w:r>
        <w:rPr>
          <w:sz w:val="18"/>
          <w:szCs w:val="18"/>
        </w:rPr>
        <w:t>efending ourselves or asserting our rights, those actions could result in the imposition of significant fines or other sanctions, including the imposition of civil, criminal and administrative penalties, damages, monetary fines, imprisonment, possible excl</w:t>
      </w:r>
      <w:r>
        <w:rPr>
          <w:sz w:val="18"/>
          <w:szCs w:val="18"/>
        </w:rPr>
        <w:t>usion from participation in Medicare, Medicaid and other federal healthcare programs, additional reporting obligations and oversight if we become subject to a corporate integrity agreement or other agreement to resolve allegations of non-compliance with th</w:t>
      </w:r>
      <w:r>
        <w:rPr>
          <w:sz w:val="18"/>
          <w:szCs w:val="18"/>
        </w:rPr>
        <w:t xml:space="preserve">ese laws, contractual damages, reputational harm, diminished profits and future earnings and curtailment of operations, any of which could adversely affect our ability to operate our business and our results of operations. Whether or not we are successful </w:t>
      </w:r>
      <w:r>
        <w:rPr>
          <w:sz w:val="18"/>
          <w:szCs w:val="18"/>
        </w:rPr>
        <w:t>in defending against such actions or investigations, we could incur substantial costs, including legal fees, and divert the attention of management in defending ourselves against any of these claims or investigations</w:t>
      </w:r>
      <w:r>
        <w:rPr>
          <w:sz w:val="18"/>
          <w:szCs w:val="18"/>
        </w:rPr>
        <w:t>.</w:t>
      </w:r>
    </w:p>
    <w:p w:rsidR="00000000" w:rsidRDefault="00CF461A">
      <w:pPr>
        <w:pStyle w:val="a3"/>
        <w:spacing w:before="120" w:beforeAutospacing="0" w:after="0" w:afterAutospacing="0"/>
        <w:rPr>
          <w:sz w:val="20"/>
          <w:szCs w:val="20"/>
        </w:rPr>
      </w:pPr>
      <w:r>
        <w:rPr>
          <w:b/>
          <w:bCs/>
          <w:i/>
          <w:iCs/>
          <w:sz w:val="18"/>
          <w:szCs w:val="18"/>
        </w:rPr>
        <w:t>Significant disruptions of our informa</w:t>
      </w:r>
      <w:r>
        <w:rPr>
          <w:b/>
          <w:bCs/>
          <w:i/>
          <w:iCs/>
          <w:sz w:val="18"/>
          <w:szCs w:val="18"/>
        </w:rPr>
        <w:t>tion technology systems or data security incidents could result in significant financial, legal, regulatory, business and reputational harm to us</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are increasingly dependent on information technology systems and infrastructure, including mobile technolo</w:t>
      </w:r>
      <w:r>
        <w:rPr>
          <w:sz w:val="18"/>
          <w:szCs w:val="18"/>
        </w:rPr>
        <w:t>gies, to operate our business. In the ordinary course of our business, we collect, store, process and transmit large amounts of sensitive information, including intellectual property, proprietary business information, personal information and other confide</w:t>
      </w:r>
      <w:r>
        <w:rPr>
          <w:sz w:val="18"/>
          <w:szCs w:val="18"/>
        </w:rPr>
        <w:t>ntial information. It is critical that we do so in a secure manner to maintain the confidentiality, integrity and availability of such sensitive information. We have also outsourced elements of our operations (including elements of our information technolo</w:t>
      </w:r>
      <w:r>
        <w:rPr>
          <w:sz w:val="18"/>
          <w:szCs w:val="18"/>
        </w:rPr>
        <w:t>gy infrastructure) to third parties, and as a result, we manage a number of third-party vendors who may or could have access to our computer networks or our confidential information. In addition, many of those third parties in turn subcontract or outsource</w:t>
      </w:r>
      <w:r>
        <w:rPr>
          <w:sz w:val="18"/>
          <w:szCs w:val="18"/>
        </w:rPr>
        <w:t xml:space="preserve"> some of their responsibilities to third parties. While all information technology operations are inherently vulnerable to inadvertent or intentional security breaches, incidents, attacks and exposures, the accessibility and distributed nature of our infor</w:t>
      </w:r>
      <w:r>
        <w:rPr>
          <w:sz w:val="18"/>
          <w:szCs w:val="18"/>
        </w:rPr>
        <w:t xml:space="preserve">mation technology systems, and the sensitive information stored on those systems, make such systems potentially vulnerable to unintentional or malicious, internal and external attacks on our technology environment. In addition, due to the ongoing COVID-19 </w:t>
      </w:r>
      <w:r>
        <w:rPr>
          <w:sz w:val="18"/>
          <w:szCs w:val="18"/>
        </w:rPr>
        <w:t>pandemic, we have enabled all of our employees to work remotely, which may make us more vulnerable to cyberattacks. Potential vulnerabilities can be exploited from inadvertent or intentional actions of our employees, third-party vendors, business partners,</w:t>
      </w:r>
      <w:r>
        <w:rPr>
          <w:sz w:val="18"/>
          <w:szCs w:val="18"/>
        </w:rPr>
        <w:t xml:space="preserve"> or by malicious third parties. Attacks of this nature are increasing in their frequency, levels of persistence, sophistication and intensity, and are being conducted by sophisticated and organized groups and individuals with a wide range of motives (inclu</w:t>
      </w:r>
      <w:r>
        <w:rPr>
          <w:sz w:val="18"/>
          <w:szCs w:val="18"/>
        </w:rPr>
        <w:t>ding, but not limited to, industrial espionage) and expertise, including organized criminal groups, “hacktivists,” nation states and others. In addition to the extraction of sensitive information, such attacks could include the deployment of harmful malwar</w:t>
      </w:r>
      <w:r>
        <w:rPr>
          <w:sz w:val="18"/>
          <w:szCs w:val="18"/>
        </w:rPr>
        <w:t>e, ransomware, denial-of-service attacks, social engineering and other means to affect service reliability and threaten the confidentiality, integrity and availability of information. In addition, the prevalent use of mobile devices increases the risk of d</w:t>
      </w:r>
      <w:r>
        <w:rPr>
          <w:sz w:val="18"/>
          <w:szCs w:val="18"/>
        </w:rPr>
        <w:t>ata security incidents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Significant disruptions of our, our third-party vendors’ and/or business partners’ information technology systems or other similar data security incidents could adversely affect our business operations and/or result in the loss, mis</w:t>
      </w:r>
      <w:r>
        <w:rPr>
          <w:sz w:val="18"/>
          <w:szCs w:val="18"/>
        </w:rPr>
        <w:t>appropriation, and/or unauthorized access, use or disclosure of, or the prevention of access to, sensitive information, which could result in financial, legal, regulatory, business and reputational harm to us. In addition, information technology system dis</w:t>
      </w:r>
      <w:r>
        <w:rPr>
          <w:sz w:val="18"/>
          <w:szCs w:val="18"/>
        </w:rPr>
        <w:t>ruptions, whether from attacks on our technology environment or from computer viruses, natural disasters, terrorism</w:t>
      </w:r>
      <w:r>
        <w:rPr>
          <w:sz w:val="18"/>
          <w:szCs w:val="18"/>
        </w:rPr>
        <w:t>,</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4</w:t>
      </w:r>
      <w:r>
        <w:rPr>
          <w:sz w:val="18"/>
          <w:szCs w:val="18"/>
        </w:rPr>
        <w:t>6</w:t>
      </w:r>
    </w:p>
    <w:p w:rsidR="00000000" w:rsidRDefault="00CF461A">
      <w:pPr>
        <w:rPr>
          <w:rFonts w:eastAsia="Times New Roman"/>
        </w:rPr>
      </w:pPr>
      <w:r>
        <w:rPr>
          <w:rFonts w:eastAsia="Times New Roman"/>
        </w:rPr>
        <w:pict>
          <v:rect id="_x0000_i1072"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jc w:val="both"/>
        <w:rPr>
          <w:sz w:val="20"/>
          <w:szCs w:val="20"/>
        </w:rPr>
      </w:pPr>
      <w:r>
        <w:rPr>
          <w:sz w:val="18"/>
          <w:szCs w:val="18"/>
        </w:rPr>
        <w:t xml:space="preserve">war and telecommunication and electrical failures, could result in a material disruption of our </w:t>
      </w:r>
      <w:r>
        <w:rPr>
          <w:sz w:val="18"/>
          <w:szCs w:val="18"/>
        </w:rPr>
        <w:t>development programs and our business operations. For example, the loss of clinical trial data from completed or future clinical trials could result in delays in our regulatory approval efforts and significantly increase our costs to recover or reproduce t</w:t>
      </w:r>
      <w:r>
        <w:rPr>
          <w:sz w:val="18"/>
          <w:szCs w:val="18"/>
        </w:rPr>
        <w:t>he data</w:t>
      </w:r>
      <w:r>
        <w:rPr>
          <w:sz w:val="18"/>
          <w:szCs w:val="18"/>
        </w:rPr>
        <w:t>.</w:t>
      </w:r>
    </w:p>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240" w:beforeAutospacing="0" w:after="0" w:afterAutospacing="0"/>
        <w:jc w:val="center"/>
        <w:rPr>
          <w:sz w:val="20"/>
          <w:szCs w:val="20"/>
        </w:rPr>
      </w:pPr>
      <w:r>
        <w:rPr>
          <w:sz w:val="18"/>
          <w:szCs w:val="18"/>
        </w:rPr>
        <w:t>4</w:t>
      </w:r>
      <w:r>
        <w:rPr>
          <w:sz w:val="18"/>
          <w:szCs w:val="18"/>
        </w:rPr>
        <w:t>7</w:t>
      </w:r>
    </w:p>
    <w:p w:rsidR="00000000" w:rsidRDefault="00CF461A">
      <w:pPr>
        <w:rPr>
          <w:rFonts w:eastAsia="Times New Roman"/>
        </w:rPr>
      </w:pPr>
      <w:r>
        <w:rPr>
          <w:rFonts w:eastAsia="Times New Roman"/>
        </w:rPr>
        <w:pict>
          <v:rect id="_x0000_i1073"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ind w:firstLine="555"/>
        <w:jc w:val="both"/>
        <w:rPr>
          <w:sz w:val="20"/>
          <w:szCs w:val="20"/>
        </w:rPr>
      </w:pPr>
      <w:r>
        <w:rPr>
          <w:sz w:val="18"/>
          <w:szCs w:val="18"/>
        </w:rPr>
        <w:t>There is no way of knowing with certainty whether we have experienced any data security incidents that have not been discovered. While we have no reason to believe this to be the case, attackers have become very sophis</w:t>
      </w:r>
      <w:r>
        <w:rPr>
          <w:sz w:val="18"/>
          <w:szCs w:val="18"/>
        </w:rPr>
        <w:t>ticated in the way they conceal access to systems, and many companies that have been attacked are not aware that they have been attacked. Any event that leads to unauthorized access, use or disclosure of personal information, including but not limited to p</w:t>
      </w:r>
      <w:r>
        <w:rPr>
          <w:sz w:val="18"/>
          <w:szCs w:val="18"/>
        </w:rPr>
        <w:t>ersonal information regarding our patients or employees, could disrupt our business, harm our reputation, compel us to comply with applicable federal and/or state breach notification laws and foreign law equivalents, subject us to time consuming, distracti</w:t>
      </w:r>
      <w:r>
        <w:rPr>
          <w:sz w:val="18"/>
          <w:szCs w:val="18"/>
        </w:rPr>
        <w:t>ng and expensive litigation, regulatory investigation and oversight, mandatory corrective action, require us to verify the correctness of database contents, or otherwise subject us to liability under laws, regulations and contractual obligations, including</w:t>
      </w:r>
      <w:r>
        <w:rPr>
          <w:sz w:val="18"/>
          <w:szCs w:val="18"/>
        </w:rPr>
        <w:t xml:space="preserve"> those that protect the privacy and security of personal information. This could result in increased costs to us, and result in significant legal and financial exposure and/or reputational harm. In addition, any failure or perceived failure by us or our ve</w:t>
      </w:r>
      <w:r>
        <w:rPr>
          <w:sz w:val="18"/>
          <w:szCs w:val="18"/>
        </w:rPr>
        <w:t>ndors or business partners to comply with our privacy, confidentiality or data security-related legal or other obligations to third parties, or any further security incidents or other inappropriate access events that result in the unauthorized access, rele</w:t>
      </w:r>
      <w:r>
        <w:rPr>
          <w:sz w:val="18"/>
          <w:szCs w:val="18"/>
        </w:rPr>
        <w:t>ase or transfer of sensitive information, which could include personally identifiable information, may result in governmental investigations, enforcement actions, regulatory fines, litigation, or public statements against us by advocacy groups or others, a</w:t>
      </w:r>
      <w:r>
        <w:rPr>
          <w:sz w:val="18"/>
          <w:szCs w:val="18"/>
        </w:rPr>
        <w:t>nd could cause third parties, including clinical sites, regulators or current and potential partners, to lose trust in us or we could be subject to claims by third parties that we have breached our privacy- or confidentiality-related obligations, which cou</w:t>
      </w:r>
      <w:r>
        <w:rPr>
          <w:sz w:val="18"/>
          <w:szCs w:val="18"/>
        </w:rPr>
        <w:t>ld materially and adversely affect our business and prospects. Moreover, data security incidents and other inappropriate access can be difficult to detect, and any delay in identifying them may lead to increased harm of the type described above. While we h</w:t>
      </w:r>
      <w:r>
        <w:rPr>
          <w:sz w:val="18"/>
          <w:szCs w:val="18"/>
        </w:rPr>
        <w:t>ave implemented security measures intended to protect our information technology systems and infrastructure, there can be no assurance that such measures will successfully prevent service interruptions or security incidents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We may be subject to numerous a</w:t>
      </w:r>
      <w:r>
        <w:rPr>
          <w:b/>
          <w:bCs/>
          <w:i/>
          <w:iCs/>
          <w:sz w:val="18"/>
          <w:szCs w:val="18"/>
        </w:rPr>
        <w:t>nd varying privacy and security laws, and our failure to comply could result in penalties and reputational damage</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We are subject to laws and regulations covering data privacy and the protection of personal information including health information. The legislative and regulatory landscape for privacy and data protection continues to evolve, and there has been an increa</w:t>
      </w:r>
      <w:r>
        <w:rPr>
          <w:sz w:val="18"/>
          <w:szCs w:val="18"/>
        </w:rPr>
        <w:t>sing focus on privacy and data protection issues which may affect our business. In the U.S., we may be subject to state security breach notification laws, state health information privacy laws and federal and state consumer protections laws which impose re</w:t>
      </w:r>
      <w:r>
        <w:rPr>
          <w:sz w:val="18"/>
          <w:szCs w:val="18"/>
        </w:rPr>
        <w:t>quirements for the collection, use, disclosure and transmission of personal information. Each of these laws is subject to varying interpretations by courts and government agencies, creating complex compliance issues for us. If we fail to comply with applic</w:t>
      </w:r>
      <w:r>
        <w:rPr>
          <w:sz w:val="18"/>
          <w:szCs w:val="18"/>
        </w:rPr>
        <w:t xml:space="preserve">able laws and regulations we could be subject to penalties or sanctions, including criminal penalties if we knowingly obtain individually identifiable health information from a covered entity in a manner that is not authorized or permitted by HIPAA or for </w:t>
      </w:r>
      <w:r>
        <w:rPr>
          <w:sz w:val="18"/>
          <w:szCs w:val="18"/>
        </w:rPr>
        <w:t>aiding and abetting the violation of HIPAA</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Numerous other countries have, or are developing, laws governing the collection, use and transmission of personal information as well. EU member states and other jurisdictions have adopted data protection laws an</w:t>
      </w:r>
      <w:r>
        <w:rPr>
          <w:sz w:val="18"/>
          <w:szCs w:val="18"/>
        </w:rPr>
        <w:t>d regulations, which impose significant compliance obligations. For example, in May 2016, the EU formally adopted the General Data Protection Regulation, or GDPR, which applies to all EU member states as of May 25, 2018 and replaces the former EU Data Prot</w:t>
      </w:r>
      <w:r>
        <w:rPr>
          <w:sz w:val="18"/>
          <w:szCs w:val="18"/>
        </w:rPr>
        <w:t>ection Directive. The regulation introduces new data protection requirements in the EU and imposes substantial fines for breaches of the data protection rules. The GDPR must be implemented into national laws by the EU member states imposes strict obligatio</w:t>
      </w:r>
      <w:r>
        <w:rPr>
          <w:sz w:val="18"/>
          <w:szCs w:val="18"/>
        </w:rPr>
        <w:t>ns and restrictions on the ability to collect, analyze, and transfer personal data, including health data from clinical trials and adverse event reporting. Data protection authorities from different EU member states have interpreted the privacy laws differ</w:t>
      </w:r>
      <w:r>
        <w:rPr>
          <w:sz w:val="18"/>
          <w:szCs w:val="18"/>
        </w:rPr>
        <w:t xml:space="preserve">ently, which adds to the complexity of processing personal data in the EU, and guidance on implementation and compliance practices are often updated or otherwise revised. Any failure to comply with the rules arising from the GDPR and related national laws </w:t>
      </w:r>
      <w:r>
        <w:rPr>
          <w:sz w:val="18"/>
          <w:szCs w:val="18"/>
        </w:rPr>
        <w:t>of EU member states could lead to government enforcement actions and significant penalties against us, and adversely impact our operating results. The GDPR will increase our responsibility and liability in relation to personal data that we process and we m</w:t>
      </w:r>
      <w:r>
        <w:rPr>
          <w:sz w:val="18"/>
          <w:szCs w:val="18"/>
        </w:rPr>
        <w:t>ay be required to put in place additional mechanisms ensuring compliance with EU data protection rules</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Additionally, California enacted the California Consumer Privacy Act (the “CCPA”) legislation that has been dubbed the first “GDPR-like” law in the Unit</w:t>
      </w:r>
      <w:r>
        <w:rPr>
          <w:sz w:val="18"/>
          <w:szCs w:val="18"/>
        </w:rPr>
        <w:t>ed States. The CCPA gives California residents expanded rights to access and delete their personal information, opt out of certain personal information sharing and receive detailed information about how their personal information is used by requiring cover</w:t>
      </w:r>
      <w:r>
        <w:rPr>
          <w:sz w:val="18"/>
          <w:szCs w:val="18"/>
        </w:rPr>
        <w:t>ed companies to provide new disclosures to California consumers (as that term is broadly defined) and provide such consumers new ways to opt-out of certain sales of personal information. The CCPA provides for civil penalties for violations, as well as a pr</w:t>
      </w:r>
      <w:r>
        <w:rPr>
          <w:sz w:val="18"/>
          <w:szCs w:val="18"/>
        </w:rPr>
        <w:t>ivate right of action for data breaches that is expected to increase data breach litigation. The CCPA may increase our compliance costs and potential liability</w:t>
      </w:r>
      <w:r>
        <w:rPr>
          <w:sz w:val="18"/>
          <w:szCs w:val="18"/>
        </w:rPr>
        <w:t>.</w:t>
      </w:r>
      <w:r>
        <w:rPr>
          <w:sz w:val="18"/>
          <w:szCs w:val="18"/>
        </w:rPr>
        <w:t xml:space="preserve"> </w:t>
      </w:r>
    </w:p>
    <w:p w:rsidR="00000000" w:rsidRDefault="00CF461A">
      <w:pPr>
        <w:pStyle w:val="a3"/>
        <w:spacing w:before="120" w:beforeAutospacing="0" w:after="0" w:afterAutospacing="0"/>
        <w:jc w:val="both"/>
        <w:rPr>
          <w:sz w:val="20"/>
          <w:szCs w:val="20"/>
        </w:rPr>
      </w:pPr>
      <w:r>
        <w:rPr>
          <w:b/>
          <w:bCs/>
          <w:sz w:val="18"/>
          <w:szCs w:val="18"/>
        </w:rPr>
        <w:t>Risks Related to Being a Public Compan</w:t>
      </w:r>
      <w:r>
        <w:rPr>
          <w:b/>
          <w:bCs/>
          <w:sz w:val="18"/>
          <w:szCs w:val="18"/>
        </w:rPr>
        <w:t>y</w:t>
      </w:r>
    </w:p>
    <w:p w:rsidR="00000000" w:rsidRDefault="00CF461A">
      <w:pPr>
        <w:pStyle w:val="a3"/>
        <w:spacing w:before="120" w:beforeAutospacing="0" w:after="0" w:afterAutospacing="0"/>
        <w:jc w:val="both"/>
        <w:rPr>
          <w:sz w:val="20"/>
          <w:szCs w:val="20"/>
        </w:rPr>
      </w:pPr>
      <w:r>
        <w:rPr>
          <w:b/>
          <w:bCs/>
          <w:i/>
          <w:iCs/>
          <w:sz w:val="18"/>
          <w:szCs w:val="18"/>
        </w:rPr>
        <w:t>We are an “emerging growth company” and a “smaller rep</w:t>
      </w:r>
      <w:r>
        <w:rPr>
          <w:b/>
          <w:bCs/>
          <w:i/>
          <w:iCs/>
          <w:sz w:val="18"/>
          <w:szCs w:val="18"/>
        </w:rPr>
        <w:t>orting company” and the reduced disclosure requirements applicable to such companies may make our common stock less attractive to investors</w:t>
      </w:r>
      <w:r>
        <w:rPr>
          <w:b/>
          <w:bCs/>
          <w:i/>
          <w:iCs/>
          <w:sz w:val="18"/>
          <w:szCs w:val="18"/>
        </w:rPr>
        <w:t>.</w:t>
      </w:r>
    </w:p>
    <w:p w:rsidR="00000000" w:rsidRDefault="00CF461A">
      <w:pPr>
        <w:pStyle w:val="a3"/>
        <w:spacing w:before="120" w:beforeAutospacing="0" w:after="0" w:afterAutospacing="0"/>
        <w:ind w:firstLine="339"/>
        <w:jc w:val="both"/>
        <w:rPr>
          <w:sz w:val="20"/>
          <w:szCs w:val="20"/>
        </w:rPr>
      </w:pPr>
      <w:r>
        <w:rPr>
          <w:sz w:val="18"/>
          <w:szCs w:val="18"/>
        </w:rPr>
        <w:t>We are an emerging growth company (“EGC”), as defined in the Jumpstart Our Business Startups Act of 2012 (the “JOBS</w:t>
      </w:r>
      <w:r>
        <w:rPr>
          <w:sz w:val="18"/>
          <w:szCs w:val="18"/>
        </w:rPr>
        <w:t xml:space="preserve"> Act”). We will remain an EGC until the earlier of: (i) the last day of the fiscal year in which we have total annual gross revenues of $1.07 billion or more; (ii) December 31, 2022, the last day of the fiscal year following the fifth anniversary of the da</w:t>
      </w:r>
      <w:r>
        <w:rPr>
          <w:sz w:val="18"/>
          <w:szCs w:val="18"/>
        </w:rPr>
        <w:t>te of the completion of our IPO; (iii) the date on which we have issued more than $1.0 billion in nonconvertible debt during the previous three years; or (iv) the date on which we are deemed to be a large accelerated filer under the rules of the Securities</w:t>
      </w:r>
      <w:r>
        <w:rPr>
          <w:sz w:val="18"/>
          <w:szCs w:val="18"/>
        </w:rPr>
        <w:t xml:space="preserve"> and Exchange Commission (“SEC”). For so long as we remain an EGC, we are permitted and intend to rely on exemptions from certain disclosure requirements that are applicable to other public companies that are not emerging growth companies. These exemptions</w:t>
      </w:r>
      <w:r>
        <w:rPr>
          <w:sz w:val="18"/>
          <w:szCs w:val="18"/>
        </w:rPr>
        <w:t xml:space="preserve"> include</w:t>
      </w:r>
      <w:r>
        <w:rPr>
          <w:sz w:val="18"/>
          <w:szCs w:val="18"/>
        </w:rPr>
        <w:t>:</w:t>
      </w:r>
    </w:p>
    <w:p w:rsidR="00000000" w:rsidRDefault="00CF461A">
      <w:pPr>
        <w:pStyle w:val="a3"/>
        <w:spacing w:before="240" w:beforeAutospacing="0" w:after="0" w:afterAutospacing="0"/>
        <w:jc w:val="center"/>
        <w:rPr>
          <w:sz w:val="20"/>
          <w:szCs w:val="20"/>
        </w:rPr>
      </w:pPr>
      <w:r>
        <w:rPr>
          <w:sz w:val="18"/>
          <w:szCs w:val="18"/>
        </w:rPr>
        <w:t>4</w:t>
      </w:r>
      <w:r>
        <w:rPr>
          <w:sz w:val="18"/>
          <w:szCs w:val="18"/>
        </w:rPr>
        <w:t>8</w:t>
      </w:r>
    </w:p>
    <w:p w:rsidR="00000000" w:rsidRDefault="00CF461A">
      <w:pPr>
        <w:rPr>
          <w:rFonts w:eastAsia="Times New Roman"/>
        </w:rPr>
      </w:pPr>
      <w:r>
        <w:rPr>
          <w:rFonts w:eastAsia="Times New Roman"/>
        </w:rPr>
        <w:pict>
          <v:rect id="_x0000_i1074"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jc w:val="both"/>
        <w:divId w:val="1842504167"/>
        <w:rPr>
          <w:rFonts w:eastAsia="Times New Roman"/>
        </w:rPr>
      </w:pPr>
      <w:r>
        <w:rPr>
          <w:rFonts w:eastAsia="Times New Roman"/>
          <w:sz w:val="18"/>
          <w:szCs w:val="18"/>
        </w:rPr>
        <w:t>•</w:t>
      </w:r>
    </w:p>
    <w:p w:rsidR="00000000" w:rsidRDefault="00CF461A">
      <w:pPr>
        <w:jc w:val="both"/>
        <w:divId w:val="1014654259"/>
        <w:rPr>
          <w:rFonts w:eastAsia="Times New Roman"/>
        </w:rPr>
      </w:pPr>
      <w:r>
        <w:rPr>
          <w:rFonts w:eastAsia="Times New Roman"/>
          <w:sz w:val="18"/>
          <w:szCs w:val="18"/>
        </w:rPr>
        <w:t>not being required to comply with the auditor attestation requirements of Section 404 of the Sarbanes-Oxley Act of 2002 (“Section 404”)</w:t>
      </w:r>
      <w:r>
        <w:rPr>
          <w:rFonts w:eastAsia="Times New Roman"/>
          <w:sz w:val="18"/>
          <w:szCs w:val="18"/>
        </w:rPr>
        <w:t>;</w:t>
      </w:r>
    </w:p>
    <w:p w:rsidR="00000000" w:rsidRDefault="00CF461A">
      <w:pPr>
        <w:jc w:val="both"/>
        <w:divId w:val="1746108277"/>
        <w:rPr>
          <w:rFonts w:eastAsia="Times New Roman"/>
        </w:rPr>
      </w:pPr>
      <w:r>
        <w:rPr>
          <w:rFonts w:eastAsia="Times New Roman"/>
          <w:sz w:val="18"/>
          <w:szCs w:val="18"/>
        </w:rPr>
        <w:t>•</w:t>
      </w:r>
    </w:p>
    <w:p w:rsidR="00000000" w:rsidRDefault="00CF461A">
      <w:pPr>
        <w:jc w:val="both"/>
        <w:divId w:val="318005087"/>
        <w:rPr>
          <w:rFonts w:eastAsia="Times New Roman"/>
        </w:rPr>
      </w:pPr>
      <w:r>
        <w:rPr>
          <w:rFonts w:eastAsia="Times New Roman"/>
          <w:sz w:val="18"/>
          <w:szCs w:val="18"/>
        </w:rPr>
        <w:t>not being required to comply with any requirement that may be a</w:t>
      </w:r>
      <w:r>
        <w:rPr>
          <w:rFonts w:eastAsia="Times New Roman"/>
          <w:sz w:val="18"/>
          <w:szCs w:val="18"/>
        </w:rPr>
        <w:t>dopted by the Public Company Accounting Oversight Board regarding mandatory audit firm rotation or a supplement to the auditor’s report providing additional information about the audit and the financial statements</w:t>
      </w:r>
      <w:r>
        <w:rPr>
          <w:rFonts w:eastAsia="Times New Roman"/>
          <w:sz w:val="18"/>
          <w:szCs w:val="18"/>
        </w:rPr>
        <w:t>;</w:t>
      </w:r>
    </w:p>
    <w:p w:rsidR="00000000" w:rsidRDefault="00CF461A">
      <w:pPr>
        <w:jc w:val="both"/>
        <w:divId w:val="1076900526"/>
        <w:rPr>
          <w:rFonts w:eastAsia="Times New Roman"/>
        </w:rPr>
      </w:pPr>
      <w:r>
        <w:rPr>
          <w:rFonts w:eastAsia="Times New Roman"/>
          <w:sz w:val="18"/>
          <w:szCs w:val="18"/>
        </w:rPr>
        <w:t>•</w:t>
      </w:r>
    </w:p>
    <w:p w:rsidR="00000000" w:rsidRDefault="00CF461A">
      <w:pPr>
        <w:jc w:val="both"/>
        <w:divId w:val="1574897953"/>
        <w:rPr>
          <w:rFonts w:eastAsia="Times New Roman"/>
        </w:rPr>
      </w:pPr>
      <w:r>
        <w:rPr>
          <w:rFonts w:eastAsia="Times New Roman"/>
          <w:sz w:val="18"/>
          <w:szCs w:val="18"/>
        </w:rPr>
        <w:t>being permitted to provide only two yea</w:t>
      </w:r>
      <w:r>
        <w:rPr>
          <w:rFonts w:eastAsia="Times New Roman"/>
          <w:sz w:val="18"/>
          <w:szCs w:val="18"/>
        </w:rPr>
        <w:t>rs of audited financial statements, in addition to any required unaudited interim financial statements, with correspondingly reduced “Management’s Discussion and Analysis of Financial Condition and Results of Operations” disclosure</w:t>
      </w:r>
      <w:r>
        <w:rPr>
          <w:rFonts w:eastAsia="Times New Roman"/>
          <w:sz w:val="18"/>
          <w:szCs w:val="18"/>
        </w:rPr>
        <w:t>;</w:t>
      </w:r>
    </w:p>
    <w:p w:rsidR="00000000" w:rsidRDefault="00CF461A">
      <w:pPr>
        <w:jc w:val="both"/>
        <w:divId w:val="2050909328"/>
        <w:rPr>
          <w:rFonts w:eastAsia="Times New Roman"/>
        </w:rPr>
      </w:pPr>
      <w:r>
        <w:rPr>
          <w:rFonts w:eastAsia="Times New Roman"/>
          <w:sz w:val="18"/>
          <w:szCs w:val="18"/>
        </w:rPr>
        <w:t>•</w:t>
      </w:r>
    </w:p>
    <w:p w:rsidR="00000000" w:rsidRDefault="00CF461A">
      <w:pPr>
        <w:jc w:val="both"/>
        <w:divId w:val="1363747725"/>
        <w:rPr>
          <w:rFonts w:eastAsia="Times New Roman"/>
        </w:rPr>
      </w:pPr>
      <w:r>
        <w:rPr>
          <w:rFonts w:eastAsia="Times New Roman"/>
          <w:sz w:val="18"/>
          <w:szCs w:val="18"/>
        </w:rPr>
        <w:t>reduced disclosure ob</w:t>
      </w:r>
      <w:r>
        <w:rPr>
          <w:rFonts w:eastAsia="Times New Roman"/>
          <w:sz w:val="18"/>
          <w:szCs w:val="18"/>
        </w:rPr>
        <w:t>ligations regarding executive compensation arrangements; an</w:t>
      </w:r>
      <w:r>
        <w:rPr>
          <w:rFonts w:eastAsia="Times New Roman"/>
          <w:sz w:val="18"/>
          <w:szCs w:val="18"/>
        </w:rPr>
        <w:t>d</w:t>
      </w:r>
    </w:p>
    <w:p w:rsidR="00000000" w:rsidRDefault="00CF461A">
      <w:pPr>
        <w:jc w:val="both"/>
        <w:divId w:val="1055084617"/>
        <w:rPr>
          <w:rFonts w:eastAsia="Times New Roman"/>
        </w:rPr>
      </w:pPr>
      <w:r>
        <w:rPr>
          <w:rFonts w:eastAsia="Times New Roman"/>
          <w:sz w:val="18"/>
          <w:szCs w:val="18"/>
        </w:rPr>
        <w:t>•</w:t>
      </w:r>
    </w:p>
    <w:p w:rsidR="00000000" w:rsidRDefault="00CF461A">
      <w:pPr>
        <w:jc w:val="both"/>
        <w:divId w:val="80958571"/>
        <w:rPr>
          <w:rFonts w:eastAsia="Times New Roman"/>
        </w:rPr>
      </w:pPr>
      <w:r>
        <w:rPr>
          <w:rFonts w:eastAsia="Times New Roman"/>
          <w:sz w:val="18"/>
          <w:szCs w:val="18"/>
        </w:rPr>
        <w:t>exemptions from the requirements of holding a nonbinding advisory vote on executive compensation and stockholder approval of any golden parachute payments not previously approved</w:t>
      </w:r>
      <w:r>
        <w:rPr>
          <w:rFonts w:eastAsia="Times New Roman"/>
          <w:sz w:val="18"/>
          <w:szCs w:val="18"/>
        </w:rPr>
        <w:t>.</w:t>
      </w:r>
    </w:p>
    <w:p w:rsidR="00000000" w:rsidRDefault="00CF461A">
      <w:pPr>
        <w:pStyle w:val="a3"/>
        <w:spacing w:before="120" w:beforeAutospacing="0" w:after="0" w:afterAutospacing="0"/>
        <w:ind w:firstLine="555"/>
        <w:jc w:val="both"/>
        <w:rPr>
          <w:sz w:val="20"/>
          <w:szCs w:val="20"/>
        </w:rPr>
      </w:pPr>
      <w:r>
        <w:rPr>
          <w:sz w:val="18"/>
          <w:szCs w:val="18"/>
        </w:rPr>
        <w:t xml:space="preserve">We currently take advantage of some, but not all, of the reduced regulatory </w:t>
      </w:r>
      <w:r>
        <w:rPr>
          <w:sz w:val="18"/>
          <w:szCs w:val="18"/>
        </w:rPr>
        <w:t xml:space="preserve">and reporting requirements that are available to us so long as we qualify as an EGC. We cannot predict if investors will find our common stock less attractive because we may rely on these exemptions. If some investors find our common stock less attractive </w:t>
      </w:r>
      <w:r>
        <w:rPr>
          <w:sz w:val="18"/>
          <w:szCs w:val="18"/>
        </w:rPr>
        <w:t>as a result, there may be a less active trading market for our common stock, and our stock price may be more volatile and may decline</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In addition, the JOBS Act provides that an EGC may take advantage of an extended transition period for complying with new</w:t>
      </w:r>
      <w:r>
        <w:rPr>
          <w:sz w:val="18"/>
          <w:szCs w:val="18"/>
        </w:rPr>
        <w:t xml:space="preserve"> or revised accounting standards. This allows an EGC to delay the adoption of certain accounting standards until those standards would otherwise apply to private companies. We have irrevocably elected not to avail ourselves of this exemption from new or re</w:t>
      </w:r>
      <w:r>
        <w:rPr>
          <w:sz w:val="18"/>
          <w:szCs w:val="18"/>
        </w:rPr>
        <w:t>vised accounting standards and, therefore, we will be subject to the same new or revised accounting standards as other public companies that are not an EGC</w:t>
      </w:r>
      <w:r>
        <w:rPr>
          <w:sz w:val="18"/>
          <w:szCs w:val="18"/>
        </w:rPr>
        <w:t>.</w:t>
      </w:r>
      <w:r>
        <w:rPr>
          <w:sz w:val="18"/>
          <w:szCs w:val="18"/>
        </w:rPr>
        <w:t xml:space="preserve"> </w:t>
      </w:r>
    </w:p>
    <w:p w:rsidR="00000000" w:rsidRDefault="00CF461A">
      <w:pPr>
        <w:pStyle w:val="a3"/>
        <w:spacing w:before="120" w:beforeAutospacing="0" w:after="0" w:afterAutospacing="0"/>
        <w:ind w:firstLine="555"/>
        <w:rPr>
          <w:sz w:val="20"/>
          <w:szCs w:val="20"/>
        </w:rPr>
      </w:pPr>
      <w:r>
        <w:rPr>
          <w:sz w:val="18"/>
          <w:szCs w:val="18"/>
        </w:rPr>
        <w:t>We are also a smaller reporting company as defined in the Exchange Act. We may continue to be a sm</w:t>
      </w:r>
      <w:r>
        <w:rPr>
          <w:sz w:val="18"/>
          <w:szCs w:val="18"/>
        </w:rPr>
        <w:t>aller reporting company even after we are no longer an emerging growth company. We may take advantage of certain of the scaled disclosures available to smaller reporting companies and will be able to take advantage of these scaled disclosures for so long a</w:t>
      </w:r>
      <w:r>
        <w:rPr>
          <w:sz w:val="18"/>
          <w:szCs w:val="18"/>
        </w:rPr>
        <w:t>s (i) our voting and non-voting common stock held by nonaffiliates is less than $250.0 million measured on the last business day of our second fiscal quarter or (ii) our annual revenue is less than $100.0 million during the most recently completed fiscal y</w:t>
      </w:r>
      <w:r>
        <w:rPr>
          <w:sz w:val="18"/>
          <w:szCs w:val="18"/>
        </w:rPr>
        <w:t>ear and our voting and non-voting common stock held by non-affiliates is less than $700.0 million measured on the last business day of our second fiscal quarter</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We will continue to incur increased costs as a result of operating as a public company, and ou</w:t>
      </w:r>
      <w:r>
        <w:rPr>
          <w:b/>
          <w:bCs/>
          <w:i/>
          <w:iCs/>
          <w:sz w:val="18"/>
          <w:szCs w:val="18"/>
        </w:rPr>
        <w:t>r management will devote substantial time to new compliance initiatives</w:t>
      </w:r>
      <w:r>
        <w:rPr>
          <w:b/>
          <w:bCs/>
          <w:i/>
          <w:iCs/>
          <w:sz w:val="18"/>
          <w:szCs w:val="18"/>
        </w:rPr>
        <w:t>.</w:t>
      </w:r>
    </w:p>
    <w:p w:rsidR="00000000" w:rsidRDefault="00CF461A">
      <w:pPr>
        <w:pStyle w:val="a3"/>
        <w:spacing w:before="120" w:beforeAutospacing="0" w:after="0" w:afterAutospacing="0"/>
        <w:ind w:firstLine="679"/>
        <w:jc w:val="both"/>
        <w:rPr>
          <w:sz w:val="20"/>
          <w:szCs w:val="20"/>
        </w:rPr>
      </w:pPr>
      <w:r>
        <w:rPr>
          <w:sz w:val="18"/>
          <w:szCs w:val="18"/>
        </w:rPr>
        <w:t>As a public company, and particularly after we are no longer an EGC, we will incur significant legal, accounting and other expenses that we did not incur as a private company. In addi</w:t>
      </w:r>
      <w:r>
        <w:rPr>
          <w:sz w:val="18"/>
          <w:szCs w:val="18"/>
        </w:rPr>
        <w:t>tion, the Sarbanes-Oxley Act of 2002 and rules subsequently implemented by the SEC and The Nasdaq Stock Market LLC have imposed various requirements on public companies, including establishment and maintenance of effective disclosure and financial controls</w:t>
      </w:r>
      <w:r>
        <w:rPr>
          <w:sz w:val="18"/>
          <w:szCs w:val="18"/>
        </w:rPr>
        <w:t xml:space="preserve"> and corporate governance practices. Our management and other personnel devote a substantial amount of time to these and other compliance initiatives. Moreover, these rules and regulations will continue to increase our legal and financial compliance costs </w:t>
      </w:r>
      <w:r>
        <w:rPr>
          <w:sz w:val="18"/>
          <w:szCs w:val="18"/>
        </w:rPr>
        <w:t>and will make some activities more time-consuming and costly</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If we fail to maintain an effective system of internal control over financial reporting in the future, we may not be able to accurately report our financial condition, results of operations or c</w:t>
      </w:r>
      <w:r>
        <w:rPr>
          <w:b/>
          <w:bCs/>
          <w:i/>
          <w:iCs/>
          <w:sz w:val="18"/>
          <w:szCs w:val="18"/>
        </w:rPr>
        <w:t>ash flows, which may adversely affect investor confidence in us and, as a result, the value of our common stock</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Sarbanes-Oxley Act requires, among other things, that we maintain effective internal controls for financial reporting and disclosure contro</w:t>
      </w:r>
      <w:r>
        <w:rPr>
          <w:sz w:val="18"/>
          <w:szCs w:val="18"/>
        </w:rPr>
        <w:t xml:space="preserve">ls and procedures. We are required, under Section 404, to furnish a report by management on, among other things, the effectiveness of our internal control over financial reporting. This assessment will need to include disclosure of any material weaknesses </w:t>
      </w:r>
      <w:r>
        <w:rPr>
          <w:sz w:val="18"/>
          <w:szCs w:val="18"/>
        </w:rPr>
        <w:t>identified by our management in our internal control over financial reporting. A material weakness is a deficiency, or combination of deficiencies, in internal control over financial reporting that results in more than a reasonable possibility that a mater</w:t>
      </w:r>
      <w:r>
        <w:rPr>
          <w:sz w:val="18"/>
          <w:szCs w:val="18"/>
        </w:rPr>
        <w:t>ial misstatement of annual or interim financial statements will not be prevented or detected on a timely basis. Section 404 also generally requires an attestation from our independent registered public accounting firm on the effectiveness of our internal c</w:t>
      </w:r>
      <w:r>
        <w:rPr>
          <w:sz w:val="18"/>
          <w:szCs w:val="18"/>
        </w:rPr>
        <w:t>ontrol over financial reporting. However, for as long as we remain an emerging growth company as defined in the JOBS Act, we intend to take advantage of the exemption permitting us not to comply with the independent registered public accounting firm attest</w:t>
      </w:r>
      <w:r>
        <w:rPr>
          <w:sz w:val="18"/>
          <w:szCs w:val="18"/>
        </w:rPr>
        <w:t>ation requirement</w:t>
      </w:r>
      <w:r>
        <w:rPr>
          <w:sz w:val="18"/>
          <w:szCs w:val="18"/>
        </w:rPr>
        <w:t>.</w:t>
      </w:r>
    </w:p>
    <w:p w:rsidR="00000000" w:rsidRDefault="00CF461A">
      <w:pPr>
        <w:pStyle w:val="a3"/>
        <w:spacing w:before="120" w:beforeAutospacing="0" w:after="0" w:afterAutospacing="0"/>
        <w:ind w:firstLine="555"/>
        <w:jc w:val="both"/>
        <w:rPr>
          <w:sz w:val="20"/>
          <w:szCs w:val="20"/>
        </w:rPr>
      </w:pPr>
      <w:r>
        <w:rPr>
          <w:sz w:val="18"/>
          <w:szCs w:val="18"/>
        </w:rPr>
        <w:t>Our compliance with Section 404 will require that we incur substantial expense and expend significant management efforts. We currently do not have an internal audit group, and we will need to hire additional accounting and financial staf</w:t>
      </w:r>
      <w:r>
        <w:rPr>
          <w:sz w:val="18"/>
          <w:szCs w:val="18"/>
        </w:rPr>
        <w:t>f with appropriate public company experience and technical accounting knowledge and compile the system and process documentation necessary to perform the evaluation needed to comply with Section 404. We may not be able to complete our evaluation, testing a</w:t>
      </w:r>
      <w:r>
        <w:rPr>
          <w:sz w:val="18"/>
          <w:szCs w:val="18"/>
        </w:rPr>
        <w:t>nd any required remediation in a timely fashion. During the evaluation and testing process, if we identify one or more material weaknesses in our internal control over financial reporting, we will be unable to assert that our internal control over financia</w:t>
      </w:r>
      <w:r>
        <w:rPr>
          <w:sz w:val="18"/>
          <w:szCs w:val="18"/>
        </w:rPr>
        <w:t>l reporting is effective. We cannot assure you that there will not be material weaknesses or significant deficiencies in our internal control over financial reporting in the future. Any failure to maintain internal control over financial reporting could se</w:t>
      </w:r>
      <w:r>
        <w:rPr>
          <w:sz w:val="18"/>
          <w:szCs w:val="18"/>
        </w:rPr>
        <w:t>verely inhibit our ability to accurately report our financial condition, results of operations or cash flows. If we are unable to conclude that our internal control over financial reporting is effective, or if our independent registered public accounting f</w:t>
      </w:r>
      <w:r>
        <w:rPr>
          <w:sz w:val="18"/>
          <w:szCs w:val="18"/>
        </w:rPr>
        <w:t>irm determines we have a material weakness or significant deficiency in our internal control over financial reporting once that firm begins its Section 404 reviews, we could lose investor confidence in the accuracy and completeness of our financial reports</w:t>
      </w:r>
      <w:r>
        <w:rPr>
          <w:sz w:val="18"/>
          <w:szCs w:val="18"/>
        </w:rPr>
        <w:t>, the market price of our common stock could decline, and we could be subject to sanctions or investigations by The Nasdaq Stock Market LLC, the SEC or other regulatory authorities. Failure to remedy any material weakness in our internal control over finan</w:t>
      </w:r>
      <w:r>
        <w:rPr>
          <w:sz w:val="18"/>
          <w:szCs w:val="18"/>
        </w:rPr>
        <w:t>cial reporting, or to implement or maintain other effective control systems required of public companies, could also restrict our future access to the capital markets</w:t>
      </w:r>
      <w:r>
        <w:rPr>
          <w:sz w:val="18"/>
          <w:szCs w:val="18"/>
        </w:rPr>
        <w:t>.</w:t>
      </w:r>
    </w:p>
    <w:p w:rsidR="00000000" w:rsidRDefault="00CF461A">
      <w:pPr>
        <w:pStyle w:val="a3"/>
        <w:spacing w:before="240" w:beforeAutospacing="0" w:after="0" w:afterAutospacing="0"/>
        <w:jc w:val="center"/>
        <w:rPr>
          <w:sz w:val="20"/>
          <w:szCs w:val="20"/>
        </w:rPr>
      </w:pPr>
      <w:r>
        <w:rPr>
          <w:sz w:val="18"/>
          <w:szCs w:val="18"/>
        </w:rPr>
        <w:t>4</w:t>
      </w:r>
      <w:r>
        <w:rPr>
          <w:sz w:val="18"/>
          <w:szCs w:val="18"/>
        </w:rPr>
        <w:t>9</w:t>
      </w:r>
    </w:p>
    <w:p w:rsidR="00000000" w:rsidRDefault="00CF461A">
      <w:pPr>
        <w:rPr>
          <w:rFonts w:eastAsia="Times New Roman"/>
        </w:rPr>
      </w:pPr>
      <w:r>
        <w:rPr>
          <w:rFonts w:eastAsia="Times New Roman"/>
        </w:rPr>
        <w:pict>
          <v:rect id="_x0000_i1075"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jc w:val="both"/>
        <w:rPr>
          <w:sz w:val="20"/>
          <w:szCs w:val="20"/>
        </w:rPr>
      </w:pPr>
      <w:r>
        <w:rPr>
          <w:b/>
          <w:bCs/>
          <w:sz w:val="18"/>
          <w:szCs w:val="18"/>
        </w:rPr>
        <w:t>Risks Related to the Ownership of Our Common S</w:t>
      </w:r>
      <w:r>
        <w:rPr>
          <w:b/>
          <w:bCs/>
          <w:sz w:val="18"/>
          <w:szCs w:val="18"/>
        </w:rPr>
        <w:t>tock and Other General Matter</w:t>
      </w:r>
      <w:r>
        <w:rPr>
          <w:b/>
          <w:bCs/>
          <w:sz w:val="18"/>
          <w:szCs w:val="18"/>
        </w:rPr>
        <w:t>s</w:t>
      </w:r>
    </w:p>
    <w:p w:rsidR="00000000" w:rsidRDefault="00CF461A">
      <w:pPr>
        <w:pStyle w:val="a3"/>
        <w:spacing w:before="120" w:beforeAutospacing="0" w:after="0" w:afterAutospacing="0"/>
        <w:jc w:val="both"/>
        <w:rPr>
          <w:sz w:val="20"/>
          <w:szCs w:val="20"/>
        </w:rPr>
      </w:pPr>
      <w:r>
        <w:rPr>
          <w:b/>
          <w:bCs/>
          <w:i/>
          <w:iCs/>
          <w:sz w:val="18"/>
          <w:szCs w:val="18"/>
        </w:rPr>
        <w:t>The market price of our common stock may be volatile and fluctuate substantially, which could result in substantial losses for our common stoc</w:t>
      </w:r>
      <w:r>
        <w:rPr>
          <w:b/>
          <w:bCs/>
          <w:i/>
          <w:iCs/>
          <w:sz w:val="18"/>
          <w:szCs w:val="18"/>
        </w:rPr>
        <w:t>k</w:t>
      </w:r>
      <w:r>
        <w:rPr>
          <w:sz w:val="18"/>
          <w:szCs w:val="18"/>
        </w:rPr>
        <w:t>.</w:t>
      </w:r>
    </w:p>
    <w:p w:rsidR="00000000" w:rsidRDefault="00CF461A">
      <w:pPr>
        <w:pStyle w:val="a3"/>
        <w:spacing w:before="120" w:beforeAutospacing="0" w:after="0" w:afterAutospacing="0"/>
        <w:ind w:firstLine="679"/>
        <w:jc w:val="both"/>
        <w:rPr>
          <w:sz w:val="20"/>
          <w:szCs w:val="20"/>
        </w:rPr>
      </w:pPr>
      <w:r>
        <w:rPr>
          <w:sz w:val="18"/>
          <w:szCs w:val="18"/>
        </w:rPr>
        <w:t>The market price of our common stock has been and likely will remain volatile. T</w:t>
      </w:r>
      <w:r>
        <w:rPr>
          <w:sz w:val="18"/>
          <w:szCs w:val="18"/>
        </w:rPr>
        <w:t>he stock market in general and the market for biopharmaceutical or pharmaceutical companies in particular, has experienced extreme volatility that has often been unrelated to the operating performance of particular companies, including very recently in con</w:t>
      </w:r>
      <w:r>
        <w:rPr>
          <w:sz w:val="18"/>
          <w:szCs w:val="18"/>
        </w:rPr>
        <w:t>nection with the ongoing COVID-19 pandemic, which has resulted in decreased stock prices for many companies notwithstanding the lack of a fundamental change in their underlying business models or prospects. Broad market and industry factors, including pote</w:t>
      </w:r>
      <w:r>
        <w:rPr>
          <w:sz w:val="18"/>
          <w:szCs w:val="18"/>
        </w:rPr>
        <w:t>ntially worsening economic conditions and other adverse effects or developments relating to the ongoing COVID-19 pandemic, may negatively affect the market price of our common stock, regardless of our actual operating performance. As a result of this volat</w:t>
      </w:r>
      <w:r>
        <w:rPr>
          <w:sz w:val="18"/>
          <w:szCs w:val="18"/>
        </w:rPr>
        <w:t>ility, you may lose all or part of your investment in our common stock since you might be unable to sell your shares at or above the price you paid for the shares. The market price for our common stock may be influenced by many factors, including</w:t>
      </w:r>
      <w:r>
        <w:rPr>
          <w:sz w:val="18"/>
          <w:szCs w:val="18"/>
        </w:rPr>
        <w:t>:</w:t>
      </w:r>
    </w:p>
    <w:p w:rsidR="00000000" w:rsidRDefault="00CF461A">
      <w:pPr>
        <w:jc w:val="both"/>
        <w:divId w:val="1270815186"/>
        <w:rPr>
          <w:rFonts w:eastAsia="Times New Roman"/>
        </w:rPr>
      </w:pPr>
      <w:r>
        <w:rPr>
          <w:rFonts w:eastAsia="Times New Roman"/>
          <w:sz w:val="18"/>
          <w:szCs w:val="18"/>
        </w:rPr>
        <w:t>•</w:t>
      </w:r>
    </w:p>
    <w:p w:rsidR="00000000" w:rsidRDefault="00CF461A">
      <w:pPr>
        <w:jc w:val="both"/>
        <w:divId w:val="824249764"/>
        <w:rPr>
          <w:rFonts w:eastAsia="Times New Roman"/>
        </w:rPr>
      </w:pPr>
      <w:r>
        <w:rPr>
          <w:rFonts w:eastAsia="Times New Roman"/>
          <w:sz w:val="18"/>
          <w:szCs w:val="18"/>
        </w:rPr>
        <w:t>result</w:t>
      </w:r>
      <w:r>
        <w:rPr>
          <w:rFonts w:eastAsia="Times New Roman"/>
          <w:sz w:val="18"/>
          <w:szCs w:val="18"/>
        </w:rPr>
        <w:t>s of clinical trials of our current and any future drug candidates or those of our competitors</w:t>
      </w:r>
      <w:r>
        <w:rPr>
          <w:rFonts w:eastAsia="Times New Roman"/>
          <w:sz w:val="18"/>
          <w:szCs w:val="18"/>
        </w:rPr>
        <w:t>;</w:t>
      </w:r>
    </w:p>
    <w:p w:rsidR="00000000" w:rsidRDefault="00CF461A">
      <w:pPr>
        <w:jc w:val="both"/>
        <w:divId w:val="935678628"/>
        <w:rPr>
          <w:rFonts w:eastAsia="Times New Roman"/>
        </w:rPr>
      </w:pPr>
      <w:r>
        <w:rPr>
          <w:rFonts w:eastAsia="Times New Roman"/>
          <w:sz w:val="18"/>
          <w:szCs w:val="18"/>
        </w:rPr>
        <w:t>•</w:t>
      </w:r>
    </w:p>
    <w:p w:rsidR="00000000" w:rsidRDefault="00CF461A">
      <w:pPr>
        <w:jc w:val="both"/>
        <w:divId w:val="554852407"/>
        <w:rPr>
          <w:rFonts w:eastAsia="Times New Roman"/>
        </w:rPr>
      </w:pPr>
      <w:r>
        <w:rPr>
          <w:rFonts w:eastAsia="Times New Roman"/>
          <w:sz w:val="18"/>
          <w:szCs w:val="18"/>
        </w:rPr>
        <w:t>the success of competitive drugs or therapies</w:t>
      </w:r>
      <w:r>
        <w:rPr>
          <w:rFonts w:eastAsia="Times New Roman"/>
          <w:sz w:val="18"/>
          <w:szCs w:val="18"/>
        </w:rPr>
        <w:t>;</w:t>
      </w:r>
    </w:p>
    <w:p w:rsidR="00000000" w:rsidRDefault="00CF461A">
      <w:pPr>
        <w:jc w:val="both"/>
        <w:divId w:val="351226543"/>
        <w:rPr>
          <w:rFonts w:eastAsia="Times New Roman"/>
        </w:rPr>
      </w:pPr>
      <w:r>
        <w:rPr>
          <w:rFonts w:eastAsia="Times New Roman"/>
          <w:sz w:val="18"/>
          <w:szCs w:val="18"/>
        </w:rPr>
        <w:t>•</w:t>
      </w:r>
    </w:p>
    <w:p w:rsidR="00000000" w:rsidRDefault="00CF461A">
      <w:pPr>
        <w:jc w:val="both"/>
        <w:divId w:val="284196847"/>
        <w:rPr>
          <w:rFonts w:eastAsia="Times New Roman"/>
        </w:rPr>
      </w:pPr>
      <w:r>
        <w:rPr>
          <w:rFonts w:eastAsia="Times New Roman"/>
          <w:sz w:val="18"/>
          <w:szCs w:val="18"/>
        </w:rPr>
        <w:t>regulatory or legal developments in the United States and other countries</w:t>
      </w:r>
      <w:r>
        <w:rPr>
          <w:rFonts w:eastAsia="Times New Roman"/>
          <w:sz w:val="18"/>
          <w:szCs w:val="18"/>
        </w:rPr>
        <w:t>;</w:t>
      </w:r>
    </w:p>
    <w:p w:rsidR="00000000" w:rsidRDefault="00CF461A">
      <w:pPr>
        <w:jc w:val="both"/>
        <w:divId w:val="1356418664"/>
        <w:rPr>
          <w:rFonts w:eastAsia="Times New Roman"/>
        </w:rPr>
      </w:pPr>
      <w:r>
        <w:rPr>
          <w:rFonts w:eastAsia="Times New Roman"/>
          <w:sz w:val="18"/>
          <w:szCs w:val="18"/>
        </w:rPr>
        <w:t>•</w:t>
      </w:r>
    </w:p>
    <w:p w:rsidR="00000000" w:rsidRDefault="00CF461A">
      <w:pPr>
        <w:jc w:val="both"/>
        <w:divId w:val="844519976"/>
        <w:rPr>
          <w:rFonts w:eastAsia="Times New Roman"/>
        </w:rPr>
      </w:pPr>
      <w:r>
        <w:rPr>
          <w:rFonts w:eastAsia="Times New Roman"/>
          <w:sz w:val="18"/>
          <w:szCs w:val="18"/>
        </w:rPr>
        <w:t>developments or disputes concerning patent applications, issued patents or other proprietary rights</w:t>
      </w:r>
      <w:r>
        <w:rPr>
          <w:rFonts w:eastAsia="Times New Roman"/>
          <w:sz w:val="18"/>
          <w:szCs w:val="18"/>
        </w:rPr>
        <w:t>;</w:t>
      </w:r>
    </w:p>
    <w:p w:rsidR="00000000" w:rsidRDefault="00CF461A">
      <w:pPr>
        <w:jc w:val="both"/>
        <w:divId w:val="96876338"/>
        <w:rPr>
          <w:rFonts w:eastAsia="Times New Roman"/>
        </w:rPr>
      </w:pPr>
      <w:r>
        <w:rPr>
          <w:rFonts w:eastAsia="Times New Roman"/>
          <w:sz w:val="18"/>
          <w:szCs w:val="18"/>
        </w:rPr>
        <w:t>•</w:t>
      </w:r>
    </w:p>
    <w:p w:rsidR="00000000" w:rsidRDefault="00CF461A">
      <w:pPr>
        <w:jc w:val="both"/>
        <w:divId w:val="97214644"/>
        <w:rPr>
          <w:rFonts w:eastAsia="Times New Roman"/>
        </w:rPr>
      </w:pPr>
      <w:r>
        <w:rPr>
          <w:rFonts w:eastAsia="Times New Roman"/>
          <w:sz w:val="18"/>
          <w:szCs w:val="18"/>
        </w:rPr>
        <w:t>the recruitment or departure of key personnel</w:t>
      </w:r>
      <w:r>
        <w:rPr>
          <w:rFonts w:eastAsia="Times New Roman"/>
          <w:sz w:val="18"/>
          <w:szCs w:val="18"/>
        </w:rPr>
        <w:t>;</w:t>
      </w:r>
    </w:p>
    <w:p w:rsidR="00000000" w:rsidRDefault="00CF461A">
      <w:pPr>
        <w:jc w:val="both"/>
        <w:divId w:val="1291546360"/>
        <w:rPr>
          <w:rFonts w:eastAsia="Times New Roman"/>
        </w:rPr>
      </w:pPr>
      <w:r>
        <w:rPr>
          <w:rFonts w:eastAsia="Times New Roman"/>
          <w:sz w:val="18"/>
          <w:szCs w:val="18"/>
        </w:rPr>
        <w:t>•</w:t>
      </w:r>
    </w:p>
    <w:p w:rsidR="00000000" w:rsidRDefault="00CF461A">
      <w:pPr>
        <w:jc w:val="both"/>
        <w:divId w:val="237637074"/>
        <w:rPr>
          <w:rFonts w:eastAsia="Times New Roman"/>
        </w:rPr>
      </w:pPr>
      <w:r>
        <w:rPr>
          <w:rFonts w:eastAsia="Times New Roman"/>
          <w:sz w:val="18"/>
          <w:szCs w:val="18"/>
        </w:rPr>
        <w:t>the level of expenses related to our current and any future drug candidates or clinical development prog</w:t>
      </w:r>
      <w:r>
        <w:rPr>
          <w:rFonts w:eastAsia="Times New Roman"/>
          <w:sz w:val="18"/>
          <w:szCs w:val="18"/>
        </w:rPr>
        <w:t>rams</w:t>
      </w:r>
      <w:r>
        <w:rPr>
          <w:rFonts w:eastAsia="Times New Roman"/>
          <w:sz w:val="18"/>
          <w:szCs w:val="18"/>
        </w:rPr>
        <w:t>;</w:t>
      </w:r>
    </w:p>
    <w:p w:rsidR="00000000" w:rsidRDefault="00CF461A">
      <w:pPr>
        <w:jc w:val="both"/>
        <w:divId w:val="1145393560"/>
        <w:rPr>
          <w:rFonts w:eastAsia="Times New Roman"/>
        </w:rPr>
      </w:pPr>
      <w:r>
        <w:rPr>
          <w:rFonts w:eastAsia="Times New Roman"/>
          <w:sz w:val="18"/>
          <w:szCs w:val="18"/>
        </w:rPr>
        <w:t>•</w:t>
      </w:r>
    </w:p>
    <w:p w:rsidR="00000000" w:rsidRDefault="00CF461A">
      <w:pPr>
        <w:jc w:val="both"/>
        <w:divId w:val="1456753251"/>
        <w:rPr>
          <w:rFonts w:eastAsia="Times New Roman"/>
        </w:rPr>
      </w:pPr>
      <w:r>
        <w:rPr>
          <w:rFonts w:eastAsia="Times New Roman"/>
          <w:sz w:val="18"/>
          <w:szCs w:val="18"/>
        </w:rPr>
        <w:t>the results of our efforts to discover, develop, acquire or in-license additional drug candidates</w:t>
      </w:r>
      <w:r>
        <w:rPr>
          <w:rFonts w:eastAsia="Times New Roman"/>
          <w:sz w:val="18"/>
          <w:szCs w:val="18"/>
        </w:rPr>
        <w:t>;</w:t>
      </w:r>
    </w:p>
    <w:p w:rsidR="00000000" w:rsidRDefault="00CF461A">
      <w:pPr>
        <w:jc w:val="both"/>
        <w:divId w:val="562909156"/>
        <w:rPr>
          <w:rFonts w:eastAsia="Times New Roman"/>
        </w:rPr>
      </w:pPr>
      <w:r>
        <w:rPr>
          <w:rFonts w:eastAsia="Times New Roman"/>
          <w:sz w:val="18"/>
          <w:szCs w:val="18"/>
        </w:rPr>
        <w:t>•</w:t>
      </w:r>
    </w:p>
    <w:p w:rsidR="00000000" w:rsidRDefault="00CF461A">
      <w:pPr>
        <w:jc w:val="both"/>
        <w:divId w:val="1274632165"/>
        <w:rPr>
          <w:rFonts w:eastAsia="Times New Roman"/>
        </w:rPr>
      </w:pPr>
      <w:r>
        <w:rPr>
          <w:rFonts w:eastAsia="Times New Roman"/>
          <w:sz w:val="18"/>
          <w:szCs w:val="18"/>
        </w:rPr>
        <w:t>actual or anticipated changes in estimates as to financial results, development timelines or recommendations by securities analysts</w:t>
      </w:r>
      <w:r>
        <w:rPr>
          <w:rFonts w:eastAsia="Times New Roman"/>
          <w:sz w:val="18"/>
          <w:szCs w:val="18"/>
        </w:rPr>
        <w:t>;</w:t>
      </w:r>
    </w:p>
    <w:p w:rsidR="00000000" w:rsidRDefault="00CF461A">
      <w:pPr>
        <w:jc w:val="both"/>
        <w:divId w:val="1647935431"/>
        <w:rPr>
          <w:rFonts w:eastAsia="Times New Roman"/>
        </w:rPr>
      </w:pPr>
      <w:r>
        <w:rPr>
          <w:rFonts w:eastAsia="Times New Roman"/>
          <w:sz w:val="18"/>
          <w:szCs w:val="18"/>
        </w:rPr>
        <w:t>•</w:t>
      </w:r>
    </w:p>
    <w:p w:rsidR="00000000" w:rsidRDefault="00CF461A">
      <w:pPr>
        <w:jc w:val="both"/>
        <w:divId w:val="2119249632"/>
        <w:rPr>
          <w:rFonts w:eastAsia="Times New Roman"/>
        </w:rPr>
      </w:pPr>
      <w:r>
        <w:rPr>
          <w:rFonts w:eastAsia="Times New Roman"/>
          <w:sz w:val="18"/>
          <w:szCs w:val="18"/>
        </w:rPr>
        <w:t>our inabilit</w:t>
      </w:r>
      <w:r>
        <w:rPr>
          <w:rFonts w:eastAsia="Times New Roman"/>
          <w:sz w:val="18"/>
          <w:szCs w:val="18"/>
        </w:rPr>
        <w:t>y to obtain or delays in obtaining adequate drug supply for any approved drug or inability to do so at acceptable prices</w:t>
      </w:r>
      <w:r>
        <w:rPr>
          <w:rFonts w:eastAsia="Times New Roman"/>
          <w:sz w:val="18"/>
          <w:szCs w:val="18"/>
        </w:rPr>
        <w:t>;</w:t>
      </w:r>
    </w:p>
    <w:p w:rsidR="00000000" w:rsidRDefault="00CF461A">
      <w:pPr>
        <w:jc w:val="both"/>
        <w:divId w:val="1682512275"/>
        <w:rPr>
          <w:rFonts w:eastAsia="Times New Roman"/>
        </w:rPr>
      </w:pPr>
      <w:r>
        <w:rPr>
          <w:rFonts w:eastAsia="Times New Roman"/>
          <w:sz w:val="18"/>
          <w:szCs w:val="18"/>
        </w:rPr>
        <w:t>•</w:t>
      </w:r>
    </w:p>
    <w:p w:rsidR="00000000" w:rsidRDefault="00CF461A">
      <w:pPr>
        <w:jc w:val="both"/>
        <w:divId w:val="907612944"/>
        <w:rPr>
          <w:rFonts w:eastAsia="Times New Roman"/>
        </w:rPr>
      </w:pPr>
      <w:r>
        <w:rPr>
          <w:rFonts w:eastAsia="Times New Roman"/>
          <w:sz w:val="18"/>
          <w:szCs w:val="18"/>
        </w:rPr>
        <w:t>disputes or other developments relating to proprietary rights, including patents, litigation matters and our ability to obtain paten</w:t>
      </w:r>
      <w:r>
        <w:rPr>
          <w:rFonts w:eastAsia="Times New Roman"/>
          <w:sz w:val="18"/>
          <w:szCs w:val="18"/>
        </w:rPr>
        <w:t>t protection for our technologies</w:t>
      </w:r>
      <w:r>
        <w:rPr>
          <w:rFonts w:eastAsia="Times New Roman"/>
          <w:sz w:val="18"/>
          <w:szCs w:val="18"/>
        </w:rPr>
        <w:t>;</w:t>
      </w:r>
    </w:p>
    <w:p w:rsidR="00000000" w:rsidRDefault="00CF461A">
      <w:pPr>
        <w:jc w:val="both"/>
        <w:divId w:val="280116074"/>
        <w:rPr>
          <w:rFonts w:eastAsia="Times New Roman"/>
        </w:rPr>
      </w:pPr>
      <w:r>
        <w:rPr>
          <w:rFonts w:eastAsia="Times New Roman"/>
          <w:sz w:val="18"/>
          <w:szCs w:val="18"/>
        </w:rPr>
        <w:t>•</w:t>
      </w:r>
    </w:p>
    <w:p w:rsidR="00000000" w:rsidRDefault="00CF461A">
      <w:pPr>
        <w:jc w:val="both"/>
        <w:divId w:val="537743056"/>
        <w:rPr>
          <w:rFonts w:eastAsia="Times New Roman"/>
        </w:rPr>
      </w:pPr>
      <w:r>
        <w:rPr>
          <w:rFonts w:eastAsia="Times New Roman"/>
          <w:sz w:val="18"/>
          <w:szCs w:val="18"/>
        </w:rPr>
        <w:t>significant lawsuits, including patent or stockholder litigation</w:t>
      </w:r>
      <w:r>
        <w:rPr>
          <w:rFonts w:eastAsia="Times New Roman"/>
          <w:sz w:val="18"/>
          <w:szCs w:val="18"/>
        </w:rPr>
        <w:t>;</w:t>
      </w:r>
    </w:p>
    <w:p w:rsidR="00000000" w:rsidRDefault="00CF461A">
      <w:pPr>
        <w:jc w:val="both"/>
        <w:divId w:val="602568096"/>
        <w:rPr>
          <w:rFonts w:eastAsia="Times New Roman"/>
        </w:rPr>
      </w:pPr>
      <w:r>
        <w:rPr>
          <w:rFonts w:eastAsia="Times New Roman"/>
          <w:sz w:val="18"/>
          <w:szCs w:val="18"/>
        </w:rPr>
        <w:t>•</w:t>
      </w:r>
    </w:p>
    <w:p w:rsidR="00000000" w:rsidRDefault="00CF461A">
      <w:pPr>
        <w:jc w:val="both"/>
        <w:divId w:val="1752695335"/>
        <w:rPr>
          <w:rFonts w:eastAsia="Times New Roman"/>
        </w:rPr>
      </w:pPr>
      <w:r>
        <w:rPr>
          <w:rFonts w:eastAsia="Times New Roman"/>
          <w:sz w:val="18"/>
          <w:szCs w:val="18"/>
        </w:rPr>
        <w:t>variations in our financial results or those of companies that are perceived to be similar to us</w:t>
      </w:r>
      <w:r>
        <w:rPr>
          <w:rFonts w:eastAsia="Times New Roman"/>
          <w:sz w:val="18"/>
          <w:szCs w:val="18"/>
        </w:rPr>
        <w:t>;</w:t>
      </w:r>
    </w:p>
    <w:p w:rsidR="00000000" w:rsidRDefault="00CF461A">
      <w:pPr>
        <w:jc w:val="both"/>
        <w:divId w:val="886529748"/>
        <w:rPr>
          <w:rFonts w:eastAsia="Times New Roman"/>
        </w:rPr>
      </w:pPr>
      <w:r>
        <w:rPr>
          <w:rFonts w:eastAsia="Times New Roman"/>
          <w:sz w:val="18"/>
          <w:szCs w:val="18"/>
        </w:rPr>
        <w:t>•</w:t>
      </w:r>
    </w:p>
    <w:p w:rsidR="00000000" w:rsidRDefault="00CF461A">
      <w:pPr>
        <w:jc w:val="both"/>
        <w:divId w:val="676690927"/>
        <w:rPr>
          <w:rFonts w:eastAsia="Times New Roman"/>
        </w:rPr>
      </w:pPr>
      <w:r>
        <w:rPr>
          <w:rFonts w:eastAsia="Times New Roman"/>
          <w:sz w:val="18"/>
          <w:szCs w:val="18"/>
        </w:rPr>
        <w:t>changes in the structure of healthcare payment syst</w:t>
      </w:r>
      <w:r>
        <w:rPr>
          <w:rFonts w:eastAsia="Times New Roman"/>
          <w:sz w:val="18"/>
          <w:szCs w:val="18"/>
        </w:rPr>
        <w:t>ems</w:t>
      </w:r>
      <w:r>
        <w:rPr>
          <w:rFonts w:eastAsia="Times New Roman"/>
          <w:sz w:val="18"/>
          <w:szCs w:val="18"/>
        </w:rPr>
        <w:t>;</w:t>
      </w:r>
    </w:p>
    <w:p w:rsidR="00000000" w:rsidRDefault="00CF461A">
      <w:pPr>
        <w:jc w:val="both"/>
        <w:divId w:val="1219243510"/>
        <w:rPr>
          <w:rFonts w:eastAsia="Times New Roman"/>
        </w:rPr>
      </w:pPr>
      <w:r>
        <w:rPr>
          <w:rFonts w:eastAsia="Times New Roman"/>
          <w:sz w:val="18"/>
          <w:szCs w:val="18"/>
        </w:rPr>
        <w:t>•</w:t>
      </w:r>
    </w:p>
    <w:p w:rsidR="00000000" w:rsidRDefault="00CF461A">
      <w:pPr>
        <w:jc w:val="both"/>
        <w:divId w:val="109590827"/>
        <w:rPr>
          <w:rFonts w:eastAsia="Times New Roman"/>
        </w:rPr>
      </w:pPr>
      <w:r>
        <w:rPr>
          <w:rFonts w:eastAsia="Times New Roman"/>
          <w:sz w:val="18"/>
          <w:szCs w:val="18"/>
        </w:rPr>
        <w:t>market conditions in the pharmaceutical and biotechnology sectors</w:t>
      </w:r>
      <w:r>
        <w:rPr>
          <w:rFonts w:eastAsia="Times New Roman"/>
          <w:sz w:val="18"/>
          <w:szCs w:val="18"/>
        </w:rPr>
        <w:t>;</w:t>
      </w:r>
    </w:p>
    <w:p w:rsidR="00000000" w:rsidRDefault="00CF461A">
      <w:pPr>
        <w:jc w:val="both"/>
        <w:divId w:val="1299451656"/>
        <w:rPr>
          <w:rFonts w:eastAsia="Times New Roman"/>
        </w:rPr>
      </w:pPr>
      <w:r>
        <w:rPr>
          <w:rFonts w:eastAsia="Times New Roman"/>
          <w:sz w:val="18"/>
          <w:szCs w:val="18"/>
        </w:rPr>
        <w:t>•</w:t>
      </w:r>
    </w:p>
    <w:p w:rsidR="00000000" w:rsidRDefault="00CF461A">
      <w:pPr>
        <w:jc w:val="both"/>
        <w:divId w:val="957569763"/>
        <w:rPr>
          <w:rFonts w:eastAsia="Times New Roman"/>
        </w:rPr>
      </w:pPr>
      <w:r>
        <w:rPr>
          <w:rFonts w:eastAsia="Times New Roman"/>
          <w:sz w:val="18"/>
          <w:szCs w:val="18"/>
        </w:rPr>
        <w:t>general economic, industry and market conditions; an</w:t>
      </w:r>
      <w:r>
        <w:rPr>
          <w:rFonts w:eastAsia="Times New Roman"/>
          <w:sz w:val="18"/>
          <w:szCs w:val="18"/>
        </w:rPr>
        <w:t>d</w:t>
      </w:r>
    </w:p>
    <w:p w:rsidR="00000000" w:rsidRDefault="00CF461A">
      <w:pPr>
        <w:jc w:val="both"/>
        <w:divId w:val="1217618244"/>
        <w:rPr>
          <w:rFonts w:eastAsia="Times New Roman"/>
        </w:rPr>
      </w:pPr>
      <w:r>
        <w:rPr>
          <w:rFonts w:eastAsia="Times New Roman"/>
          <w:sz w:val="18"/>
          <w:szCs w:val="18"/>
        </w:rPr>
        <w:t>•</w:t>
      </w:r>
    </w:p>
    <w:p w:rsidR="00000000" w:rsidRDefault="00CF461A">
      <w:pPr>
        <w:jc w:val="both"/>
        <w:divId w:val="707147405"/>
        <w:rPr>
          <w:rFonts w:eastAsia="Times New Roman"/>
        </w:rPr>
      </w:pPr>
      <w:r>
        <w:rPr>
          <w:rFonts w:eastAsia="Times New Roman"/>
          <w:sz w:val="18"/>
          <w:szCs w:val="18"/>
        </w:rPr>
        <w:t>the other factors described in this “Risk Factors” section</w:t>
      </w:r>
      <w:r>
        <w:rPr>
          <w:rFonts w:eastAsia="Times New Roman"/>
          <w:sz w:val="18"/>
          <w:szCs w:val="18"/>
        </w:rPr>
        <w:t>.</w:t>
      </w:r>
    </w:p>
    <w:p w:rsidR="00000000" w:rsidRDefault="00CF461A">
      <w:pPr>
        <w:pStyle w:val="a3"/>
        <w:spacing w:before="120" w:beforeAutospacing="0" w:after="0" w:afterAutospacing="0"/>
        <w:ind w:firstLine="816"/>
        <w:jc w:val="both"/>
        <w:rPr>
          <w:sz w:val="20"/>
          <w:szCs w:val="20"/>
        </w:rPr>
      </w:pPr>
      <w:r>
        <w:rPr>
          <w:sz w:val="18"/>
          <w:szCs w:val="18"/>
        </w:rPr>
        <w:t>In addition, in the past, stockholders have initiated class action lawsuits against companies following periods of volatility in the market prices of these companies’ stock. Such litigation, if instituted against us, could cause us to incur substantial cos</w:t>
      </w:r>
      <w:r>
        <w:rPr>
          <w:sz w:val="18"/>
          <w:szCs w:val="18"/>
        </w:rPr>
        <w:t>ts and divert management’s attention and resources</w:t>
      </w:r>
      <w:r>
        <w:rPr>
          <w:sz w:val="18"/>
          <w:szCs w:val="18"/>
        </w:rPr>
        <w:t>.</w:t>
      </w:r>
    </w:p>
    <w:p w:rsidR="00000000" w:rsidRDefault="00CF461A">
      <w:pPr>
        <w:pStyle w:val="a3"/>
        <w:spacing w:before="120" w:beforeAutospacing="0" w:after="0" w:afterAutospacing="0"/>
        <w:rPr>
          <w:sz w:val="20"/>
          <w:szCs w:val="20"/>
        </w:rPr>
      </w:pPr>
      <w:r>
        <w:rPr>
          <w:b/>
          <w:bCs/>
          <w:i/>
          <w:iCs/>
          <w:sz w:val="18"/>
          <w:szCs w:val="18"/>
        </w:rPr>
        <w:t>Unstable market and economic conditions may have serious adverse consequences on our business, financial condition and share price</w:t>
      </w:r>
      <w:r>
        <w:rPr>
          <w:b/>
          <w:bCs/>
          <w:i/>
          <w:iCs/>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 global economy, including credit and financial markets, has experien</w:t>
      </w:r>
      <w:r>
        <w:rPr>
          <w:sz w:val="18"/>
          <w:szCs w:val="18"/>
        </w:rPr>
        <w:t>ced extreme volatility and disruptions, including severely diminished liquidity and credit availability, declines in consumer confidence, declines in economic growth, increases in unemployment rates, increases in inflation rates and uncertainty about econo</w:t>
      </w:r>
      <w:r>
        <w:rPr>
          <w:sz w:val="18"/>
          <w:szCs w:val="18"/>
        </w:rPr>
        <w:t xml:space="preserve">mic stability. For example, the COVID-19 pandemic resulted in widespread unemployment, economic slowdown and extreme volatility in the capital markets. Similarly, the current conflict between Ukraine and Russia has created extreme volatility in the global </w:t>
      </w:r>
      <w:r>
        <w:rPr>
          <w:sz w:val="18"/>
          <w:szCs w:val="18"/>
        </w:rPr>
        <w:t>capital markets and is expected to have further global economic consequences, including disruptions of the global supply chain and energy markets. Any such volatility and disruptions may have adverse consequences on us or the third parties on whom we rely.</w:t>
      </w:r>
      <w:r>
        <w:rPr>
          <w:sz w:val="18"/>
          <w:szCs w:val="18"/>
        </w:rPr>
        <w:t xml:space="preserve"> If the equity and credit markets deteriorate, including as a result of political unrest or war, it may make any necessary debt or equity financing more difficult to obtain in a timely manner or on favorable terms, more costly or more dilutive</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There is no</w:t>
      </w:r>
      <w:r>
        <w:rPr>
          <w:b/>
          <w:bCs/>
          <w:i/>
          <w:iCs/>
          <w:sz w:val="18"/>
          <w:szCs w:val="18"/>
        </w:rPr>
        <w:t xml:space="preserve"> public market for our Series A convertible preferred stoc</w:t>
      </w:r>
      <w:r>
        <w:rPr>
          <w:b/>
          <w:bCs/>
          <w:i/>
          <w:iCs/>
          <w:sz w:val="18"/>
          <w:szCs w:val="18"/>
        </w:rPr>
        <w:t>k</w:t>
      </w:r>
      <w:r>
        <w:rPr>
          <w:sz w:val="18"/>
          <w:szCs w:val="18"/>
        </w:rPr>
        <w:t>.</w:t>
      </w:r>
    </w:p>
    <w:p w:rsidR="00000000" w:rsidRDefault="00CF461A">
      <w:pPr>
        <w:pStyle w:val="a3"/>
        <w:spacing w:before="120" w:beforeAutospacing="0" w:after="0" w:afterAutospacing="0"/>
        <w:ind w:firstLine="599"/>
        <w:jc w:val="both"/>
        <w:rPr>
          <w:sz w:val="20"/>
          <w:szCs w:val="20"/>
        </w:rPr>
      </w:pPr>
      <w:r>
        <w:rPr>
          <w:sz w:val="18"/>
          <w:szCs w:val="18"/>
        </w:rPr>
        <w:t>There is no established public trading market for our Series A convertible preferred stock, and we do not expect a market to develop. In addition, we do not intend to apply for listing of the Ser</w:t>
      </w:r>
      <w:r>
        <w:rPr>
          <w:sz w:val="18"/>
          <w:szCs w:val="18"/>
        </w:rPr>
        <w:t>ies A convertible preferred stock on any national securities exchange or other nationally recognized trading system. Without an active market, the liquidity of the Series A convertible preferred stock will be limited</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 xml:space="preserve">We may sell additional equity or debt </w:t>
      </w:r>
      <w:r>
        <w:rPr>
          <w:b/>
          <w:bCs/>
          <w:i/>
          <w:iCs/>
          <w:sz w:val="18"/>
          <w:szCs w:val="18"/>
        </w:rPr>
        <w:t>securities or enter into other arrangements to fund our operations, which may result in dilution to our stockholders and impose restrictions or limitations on our business</w:t>
      </w:r>
      <w:r>
        <w:rPr>
          <w:b/>
          <w:bCs/>
          <w:i/>
          <w:iCs/>
          <w:sz w:val="18"/>
          <w:szCs w:val="18"/>
        </w:rPr>
        <w:t>.</w:t>
      </w:r>
    </w:p>
    <w:p w:rsidR="00000000" w:rsidRDefault="00CF461A">
      <w:pPr>
        <w:pStyle w:val="a3"/>
        <w:spacing w:before="120" w:beforeAutospacing="0" w:after="0" w:afterAutospacing="0"/>
        <w:ind w:firstLine="679"/>
        <w:jc w:val="both"/>
        <w:rPr>
          <w:sz w:val="20"/>
          <w:szCs w:val="20"/>
        </w:rPr>
      </w:pPr>
      <w:r>
        <w:rPr>
          <w:sz w:val="18"/>
          <w:szCs w:val="18"/>
        </w:rPr>
        <w:t>Until we can generate a sufficient amount of revenue from our products, if ever, we</w:t>
      </w:r>
      <w:r>
        <w:rPr>
          <w:sz w:val="18"/>
          <w:szCs w:val="18"/>
        </w:rPr>
        <w:t xml:space="preserve"> expect to finance future cash needs through public or private equity or debt offerings. In November 2020, we filed a shelf registration statement on Form S-3 (Registration No. 333-250054) that allows us to sell up to an aggregate of $250.0 million of our </w:t>
      </w:r>
      <w:r>
        <w:rPr>
          <w:sz w:val="18"/>
          <w:szCs w:val="18"/>
        </w:rPr>
        <w:t>common stock, preferred stock, debt securities and/or warrants (the “S-3 Registration Statement”), which includes a prospectus covering the issuance and sale of up to $75.0 million of common stock pursuant to an at-the-market (“ATM”) offering program. As o</w:t>
      </w:r>
      <w:r>
        <w:rPr>
          <w:sz w:val="18"/>
          <w:szCs w:val="18"/>
        </w:rPr>
        <w:t>f March 31, 2022, we had $250.0 million available under our S-3 Registration Statement, including $75.0 million available pursuant to our ATM program. Financing activities may have an adverse impact on our stockholders’ rights as well as on our operations,</w:t>
      </w:r>
      <w:r>
        <w:rPr>
          <w:sz w:val="18"/>
          <w:szCs w:val="18"/>
        </w:rPr>
        <w:t xml:space="preserve"> and such additiona</w:t>
      </w:r>
      <w:r>
        <w:rPr>
          <w:sz w:val="18"/>
          <w:szCs w:val="18"/>
        </w:rPr>
        <w:t>l</w:t>
      </w:r>
      <w:r>
        <w:rPr>
          <w:sz w:val="18"/>
          <w:szCs w:val="18"/>
        </w:rPr>
        <w:t xml:space="preserve"> </w:t>
      </w:r>
    </w:p>
    <w:p w:rsidR="00000000" w:rsidRDefault="00CF461A">
      <w:pPr>
        <w:pStyle w:val="a3"/>
        <w:spacing w:before="240" w:beforeAutospacing="0" w:after="0" w:afterAutospacing="0"/>
        <w:jc w:val="center"/>
        <w:rPr>
          <w:sz w:val="20"/>
          <w:szCs w:val="20"/>
        </w:rPr>
      </w:pPr>
      <w:r>
        <w:rPr>
          <w:sz w:val="18"/>
          <w:szCs w:val="18"/>
        </w:rPr>
        <w:t>5</w:t>
      </w:r>
      <w:r>
        <w:rPr>
          <w:sz w:val="18"/>
          <w:szCs w:val="18"/>
        </w:rPr>
        <w:t>0</w:t>
      </w:r>
    </w:p>
    <w:p w:rsidR="00000000" w:rsidRDefault="00CF461A">
      <w:pPr>
        <w:rPr>
          <w:rFonts w:eastAsia="Times New Roman"/>
        </w:rPr>
      </w:pPr>
      <w:r>
        <w:rPr>
          <w:rFonts w:eastAsia="Times New Roman"/>
        </w:rPr>
        <w:pict>
          <v:rect id="_x0000_i1076"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jc w:val="both"/>
        <w:rPr>
          <w:sz w:val="20"/>
          <w:szCs w:val="20"/>
        </w:rPr>
      </w:pPr>
      <w:r>
        <w:rPr>
          <w:sz w:val="18"/>
          <w:szCs w:val="18"/>
        </w:rPr>
        <w:t>funding may not be available on reasonable terms, if at all. If we raise additional funds through the issuance of additional debt or equity securities, it may result in dilution to our existin</w:t>
      </w:r>
      <w:r>
        <w:rPr>
          <w:sz w:val="18"/>
          <w:szCs w:val="18"/>
        </w:rPr>
        <w:t xml:space="preserve">g stockholders and/or increased fixed payment obligations. Furthermore, these securities may have rights senior to those of our common stock and could contain covenants that would restrict our operations and potentially impair our competitiveness, such as </w:t>
      </w:r>
      <w:r>
        <w:rPr>
          <w:sz w:val="18"/>
          <w:szCs w:val="18"/>
        </w:rPr>
        <w:t>redeeming our shares, making investments, issuing additional equity, limitations on our ability to incur additional debt, limitations on our ability to acquire, sell or license intellectual property rights and other operating restrictions that could advers</w:t>
      </w:r>
      <w:r>
        <w:rPr>
          <w:sz w:val="18"/>
          <w:szCs w:val="18"/>
        </w:rPr>
        <w:t>ely impact our ability to conduct our business. Additionally, if we seek funds through arrangements with collaborative partners, these arrangements may require us to relinquish rights to some of our technologies or drug candidates or otherwise agree to ter</w:t>
      </w:r>
      <w:r>
        <w:rPr>
          <w:sz w:val="18"/>
          <w:szCs w:val="18"/>
        </w:rPr>
        <w:t>ms unfavorable to us. Any of these events could significantly harm our business, financial condition and prospects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You will be diluted by any conversions of outstanding Series A convertible preferred stock and exercises of outstanding options</w:t>
      </w:r>
      <w:r>
        <w:rPr>
          <w:b/>
          <w:bCs/>
          <w:i/>
          <w:iCs/>
          <w:sz w:val="18"/>
          <w:szCs w:val="18"/>
        </w:rPr>
        <w:t>.</w:t>
      </w:r>
    </w:p>
    <w:p w:rsidR="00000000" w:rsidRDefault="00CF461A">
      <w:pPr>
        <w:pStyle w:val="a3"/>
        <w:spacing w:before="120" w:beforeAutospacing="0" w:after="0" w:afterAutospacing="0"/>
        <w:ind w:firstLine="462"/>
        <w:jc w:val="both"/>
        <w:rPr>
          <w:sz w:val="20"/>
          <w:szCs w:val="20"/>
        </w:rPr>
      </w:pPr>
      <w:r>
        <w:rPr>
          <w:sz w:val="18"/>
          <w:szCs w:val="18"/>
        </w:rPr>
        <w:t>As of March</w:t>
      </w:r>
      <w:r>
        <w:rPr>
          <w:sz w:val="18"/>
          <w:szCs w:val="18"/>
        </w:rPr>
        <w:t xml:space="preserve"> 31, 2022, we had outstanding options to purchase an aggregate of 12,755,657 shares of our common stock at a weighted average exercise price of $4.60 per share and 1,250,000 shares of common stock issuable upon conversion of outstanding Series A convertibl</w:t>
      </w:r>
      <w:r>
        <w:rPr>
          <w:sz w:val="18"/>
          <w:szCs w:val="18"/>
        </w:rPr>
        <w:t>e preferred stock for no additional consideration. Such Series A convertible preferred stock is convertible any time at the option of the holder thereof subject to the beneficial ownership limitations described in Note 7 to the financial statements contain</w:t>
      </w:r>
      <w:r>
        <w:rPr>
          <w:sz w:val="18"/>
          <w:szCs w:val="18"/>
        </w:rPr>
        <w:t>ed in this Quarterly Report on Form 10-Q. The exercise of such options and conversion of the Series A convertible preferred stock for shares of our common stock will result in further dilution of your investment and could negatively affect the market price</w:t>
      </w:r>
      <w:r>
        <w:rPr>
          <w:sz w:val="18"/>
          <w:szCs w:val="18"/>
        </w:rPr>
        <w:t xml:space="preserve"> of our common stock. In addition, you may experience further dilution if we issue common stock, or securities convertible into common stock, in the future. As a result of this dilution, you may receive significantly less than the full purchase price you p</w:t>
      </w:r>
      <w:r>
        <w:rPr>
          <w:sz w:val="18"/>
          <w:szCs w:val="18"/>
        </w:rPr>
        <w:t>aid for the shares in the event of liquidation</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Concentration of ownership of our common stock among our executive officers, directors and principal stockholders may prevent new investors from influencing significant corporate decisions</w:t>
      </w:r>
      <w:r>
        <w:rPr>
          <w:b/>
          <w:bCs/>
          <w:i/>
          <w:iCs/>
          <w:sz w:val="18"/>
          <w:szCs w:val="18"/>
        </w:rPr>
        <w:t>.</w:t>
      </w:r>
    </w:p>
    <w:p w:rsidR="00000000" w:rsidRDefault="00CF461A">
      <w:pPr>
        <w:pStyle w:val="a3"/>
        <w:spacing w:before="120" w:beforeAutospacing="0" w:after="0" w:afterAutospacing="0"/>
        <w:ind w:firstLine="685"/>
        <w:jc w:val="both"/>
        <w:rPr>
          <w:sz w:val="20"/>
          <w:szCs w:val="20"/>
        </w:rPr>
      </w:pPr>
      <w:r>
        <w:rPr>
          <w:sz w:val="18"/>
          <w:szCs w:val="18"/>
        </w:rPr>
        <w:t xml:space="preserve">Based upon our shares of our common stock outstanding as of March 31, 2022, our executive officers, directors and stockholders who owned more than 5% of our outstanding common stock, in the aggregate, beneficially own shares representing approximately 47% </w:t>
      </w:r>
      <w:r>
        <w:rPr>
          <w:sz w:val="18"/>
          <w:szCs w:val="18"/>
        </w:rPr>
        <w:t>of our outstanding common stock</w:t>
      </w:r>
      <w:r>
        <w:rPr>
          <w:sz w:val="18"/>
          <w:szCs w:val="18"/>
        </w:rPr>
        <w:t>.</w:t>
      </w:r>
    </w:p>
    <w:p w:rsidR="00000000" w:rsidRDefault="00CF461A">
      <w:pPr>
        <w:pStyle w:val="a3"/>
        <w:spacing w:before="120" w:beforeAutospacing="0" w:after="0" w:afterAutospacing="0"/>
        <w:ind w:firstLine="685"/>
        <w:jc w:val="both"/>
        <w:rPr>
          <w:sz w:val="20"/>
          <w:szCs w:val="20"/>
        </w:rPr>
      </w:pPr>
      <w:r>
        <w:rPr>
          <w:sz w:val="18"/>
          <w:szCs w:val="18"/>
        </w:rPr>
        <w:t>Takeda, a greater than 5% holder, has agreed to, among other things, (i) a standstill provision, (ii) restrictions on its ability to sell or otherwise transfer it shares of our stock, (iii) vote its shares on certain matter</w:t>
      </w:r>
      <w:r>
        <w:rPr>
          <w:sz w:val="18"/>
          <w:szCs w:val="18"/>
        </w:rPr>
        <w:t>s in accordance with the holders of a majority of shares of our common stock and (iv) restrictions on the percentage of our outstanding common stock it may own, in accordance with the terms of the Takeda License and Termination Agreement</w:t>
      </w:r>
      <w:r>
        <w:rPr>
          <w:sz w:val="18"/>
          <w:szCs w:val="18"/>
        </w:rPr>
        <w:t>.</w:t>
      </w:r>
    </w:p>
    <w:p w:rsidR="00000000" w:rsidRDefault="00CF461A">
      <w:pPr>
        <w:pStyle w:val="a3"/>
        <w:spacing w:before="120" w:beforeAutospacing="0" w:after="0" w:afterAutospacing="0"/>
        <w:ind w:firstLine="685"/>
        <w:jc w:val="both"/>
        <w:rPr>
          <w:sz w:val="20"/>
          <w:szCs w:val="20"/>
        </w:rPr>
      </w:pPr>
      <w:r>
        <w:rPr>
          <w:sz w:val="18"/>
          <w:szCs w:val="18"/>
        </w:rPr>
        <w:t xml:space="preserve">If our executive </w:t>
      </w:r>
      <w:r>
        <w:rPr>
          <w:sz w:val="18"/>
          <w:szCs w:val="18"/>
        </w:rPr>
        <w:t>officers, directors and stockholders who owned more than 5% of our outstanding common stock acted together, they may be able to significantly influence all matters requiring stockholder approval, including the election and removal of directors and approval</w:t>
      </w:r>
      <w:r>
        <w:rPr>
          <w:sz w:val="18"/>
          <w:szCs w:val="18"/>
        </w:rPr>
        <w:t xml:space="preserve"> of any merger, consolidation or sale of all or substantially all of our assets. The concentration of voting power, Takeda standstill provisions, voting obligations and transfer restrictions could delay or prevent an acquisition of our company on terms tha</w:t>
      </w:r>
      <w:r>
        <w:rPr>
          <w:sz w:val="18"/>
          <w:szCs w:val="18"/>
        </w:rPr>
        <w:t>t other stockholders may desire or result in the management of our company in ways with which other stockholders disagree with</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If securities analysts do not publish research or reports about our business or if they publish negative evaluations of our stock, the price of our stock could decline</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The trading market for our common stock relies, in part, on the research and reports th</w:t>
      </w:r>
      <w:r>
        <w:rPr>
          <w:sz w:val="18"/>
          <w:szCs w:val="18"/>
        </w:rPr>
        <w:t>at industry or financial analysts publish about us or our business. We do currently have research coverage offered by several industry or financial analysts, although two analysts have withdrawn research coverage recently. We do not have any control over t</w:t>
      </w:r>
      <w:r>
        <w:rPr>
          <w:sz w:val="18"/>
          <w:szCs w:val="18"/>
        </w:rPr>
        <w:t>hese analysts. If one or more of the analysts covering our business downgrade their evaluations of our stock, the price of our stock could decline. If additional analysts cease to cover our stock or fail to regularly publish reports, we could lose visibili</w:t>
      </w:r>
      <w:r>
        <w:rPr>
          <w:sz w:val="18"/>
          <w:szCs w:val="18"/>
        </w:rPr>
        <w:t>ty in the market for our stock, which in turn could cause our stock price to decline</w:t>
      </w:r>
      <w:r>
        <w:rPr>
          <w:sz w:val="18"/>
          <w:szCs w:val="18"/>
        </w:rPr>
        <w:t>.</w:t>
      </w:r>
      <w:r>
        <w:rPr>
          <w:sz w:val="18"/>
          <w:szCs w:val="18"/>
        </w:rPr>
        <w:t xml:space="preserve"> </w:t>
      </w:r>
    </w:p>
    <w:p w:rsidR="00000000" w:rsidRDefault="00CF461A">
      <w:pPr>
        <w:pStyle w:val="a3"/>
        <w:spacing w:before="120" w:beforeAutospacing="0" w:after="0" w:afterAutospacing="0"/>
        <w:jc w:val="both"/>
        <w:rPr>
          <w:sz w:val="20"/>
          <w:szCs w:val="20"/>
        </w:rPr>
      </w:pPr>
      <w:r>
        <w:rPr>
          <w:b/>
          <w:bCs/>
          <w:i/>
          <w:iCs/>
          <w:sz w:val="18"/>
          <w:szCs w:val="18"/>
        </w:rPr>
        <w:t>Because we do not anticipate paying any cash dividends on our capital stock in the foreseeable future, capital appreciation, if any, will be your sole source of gain</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We</w:t>
      </w:r>
      <w:r>
        <w:rPr>
          <w:sz w:val="18"/>
          <w:szCs w:val="18"/>
        </w:rPr>
        <w:t xml:space="preserve"> have never declared or paid cash dividends on our capital stock. We currently intend to retain all of our future earnings, if any, to finance the growth and development of our business. In addition, the terms of any future debt agreements may preclude us </w:t>
      </w:r>
      <w:r>
        <w:rPr>
          <w:sz w:val="18"/>
          <w:szCs w:val="18"/>
        </w:rPr>
        <w:t>from paying dividends. As a result, capital appreciation, if any, of our common stock will be your sole source of gain for the foreseeable future</w:t>
      </w:r>
      <w:r>
        <w:rPr>
          <w:sz w:val="18"/>
          <w:szCs w:val="18"/>
        </w:rPr>
        <w:t>.</w:t>
      </w:r>
    </w:p>
    <w:p w:rsidR="00000000" w:rsidRDefault="00CF461A">
      <w:pPr>
        <w:pStyle w:val="a3"/>
        <w:spacing w:before="240" w:beforeAutospacing="0" w:after="0" w:afterAutospacing="0"/>
        <w:jc w:val="center"/>
        <w:rPr>
          <w:sz w:val="20"/>
          <w:szCs w:val="20"/>
        </w:rPr>
      </w:pPr>
      <w:r>
        <w:rPr>
          <w:sz w:val="18"/>
          <w:szCs w:val="18"/>
        </w:rPr>
        <w:t>5</w:t>
      </w:r>
      <w:r>
        <w:rPr>
          <w:sz w:val="18"/>
          <w:szCs w:val="18"/>
        </w:rPr>
        <w:t>1</w:t>
      </w:r>
    </w:p>
    <w:p w:rsidR="00000000" w:rsidRDefault="00CF461A">
      <w:pPr>
        <w:rPr>
          <w:rFonts w:eastAsia="Times New Roman"/>
        </w:rPr>
      </w:pPr>
      <w:r>
        <w:rPr>
          <w:rFonts w:eastAsia="Times New Roman"/>
        </w:rPr>
        <w:pict>
          <v:rect id="_x0000_i1077"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120" w:beforeAutospacing="0" w:after="0" w:afterAutospacing="0"/>
        <w:jc w:val="both"/>
        <w:rPr>
          <w:sz w:val="20"/>
          <w:szCs w:val="20"/>
        </w:rPr>
      </w:pPr>
      <w:r>
        <w:rPr>
          <w:b/>
          <w:bCs/>
          <w:i/>
          <w:iCs/>
          <w:sz w:val="18"/>
          <w:szCs w:val="18"/>
        </w:rPr>
        <w:t>Provisions in our corporate charter documents and under Delaware law</w:t>
      </w:r>
      <w:r>
        <w:rPr>
          <w:b/>
          <w:bCs/>
          <w:i/>
          <w:iCs/>
          <w:sz w:val="18"/>
          <w:szCs w:val="18"/>
        </w:rPr>
        <w:t xml:space="preserve"> could make an acquisition of us, which may be beneficial to our stockholders, more difficult and may prevent attempts by our stockholders to replace or remove our current management</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Provisions in our corporate charter and our bylaws may discourage, delay</w:t>
      </w:r>
      <w:r>
        <w:rPr>
          <w:sz w:val="18"/>
          <w:szCs w:val="18"/>
        </w:rPr>
        <w:t xml:space="preserve"> or prevent a merger, acquisition or other change in control of us that stockholders may consider favorable, including transactions in which you might otherwise receive a premium for your shares. These provisions also could limit the price that investors m</w:t>
      </w:r>
      <w:r>
        <w:rPr>
          <w:sz w:val="18"/>
          <w:szCs w:val="18"/>
        </w:rPr>
        <w:t>ight be willing to pay in the future for shares of our common stock, thereby depressing the market price of our common stock. In addition, because our board of directors is responsible for appointing the members of our management team, these provisions may</w:t>
      </w:r>
      <w:r>
        <w:rPr>
          <w:sz w:val="18"/>
          <w:szCs w:val="18"/>
        </w:rPr>
        <w:t xml:space="preserve"> frustrate or prevent any attempts by our stockholders to replace or remove our current management by making it more difficult for stockholders to replace members of our board of directors. Among other things, these provisions</w:t>
      </w:r>
      <w:r>
        <w:rPr>
          <w:sz w:val="18"/>
          <w:szCs w:val="18"/>
        </w:rPr>
        <w:t>:</w:t>
      </w:r>
    </w:p>
    <w:p w:rsidR="00000000" w:rsidRDefault="00CF461A">
      <w:pPr>
        <w:jc w:val="both"/>
        <w:divId w:val="1683819491"/>
        <w:rPr>
          <w:rFonts w:eastAsia="Times New Roman"/>
        </w:rPr>
      </w:pPr>
      <w:r>
        <w:rPr>
          <w:rFonts w:eastAsia="Times New Roman"/>
          <w:sz w:val="18"/>
          <w:szCs w:val="18"/>
        </w:rPr>
        <w:t>•</w:t>
      </w:r>
    </w:p>
    <w:p w:rsidR="00000000" w:rsidRDefault="00CF461A">
      <w:pPr>
        <w:jc w:val="both"/>
        <w:divId w:val="434057062"/>
        <w:rPr>
          <w:rFonts w:eastAsia="Times New Roman"/>
        </w:rPr>
      </w:pPr>
      <w:r>
        <w:rPr>
          <w:rFonts w:eastAsia="Times New Roman"/>
          <w:sz w:val="18"/>
          <w:szCs w:val="18"/>
        </w:rPr>
        <w:t>establish a classified boa</w:t>
      </w:r>
      <w:r>
        <w:rPr>
          <w:rFonts w:eastAsia="Times New Roman"/>
          <w:sz w:val="18"/>
          <w:szCs w:val="18"/>
        </w:rPr>
        <w:t>rd of directors such that not all members of the board are elected at one time</w:t>
      </w:r>
      <w:r>
        <w:rPr>
          <w:rFonts w:eastAsia="Times New Roman"/>
          <w:sz w:val="18"/>
          <w:szCs w:val="18"/>
        </w:rPr>
        <w:t>;</w:t>
      </w:r>
    </w:p>
    <w:p w:rsidR="00000000" w:rsidRDefault="00CF461A">
      <w:pPr>
        <w:jc w:val="both"/>
        <w:divId w:val="510488898"/>
        <w:rPr>
          <w:rFonts w:eastAsia="Times New Roman"/>
        </w:rPr>
      </w:pPr>
      <w:r>
        <w:rPr>
          <w:rFonts w:eastAsia="Times New Roman"/>
          <w:sz w:val="18"/>
          <w:szCs w:val="18"/>
        </w:rPr>
        <w:t>•</w:t>
      </w:r>
    </w:p>
    <w:p w:rsidR="00000000" w:rsidRDefault="00CF461A">
      <w:pPr>
        <w:jc w:val="both"/>
        <w:divId w:val="374551176"/>
        <w:rPr>
          <w:rFonts w:eastAsia="Times New Roman"/>
        </w:rPr>
      </w:pPr>
      <w:r>
        <w:rPr>
          <w:rFonts w:eastAsia="Times New Roman"/>
          <w:sz w:val="18"/>
          <w:szCs w:val="18"/>
        </w:rPr>
        <w:t>allow the authorized number of our directors to be changed only by resolution of our board of directors</w:t>
      </w:r>
      <w:r>
        <w:rPr>
          <w:rFonts w:eastAsia="Times New Roman"/>
          <w:sz w:val="18"/>
          <w:szCs w:val="18"/>
        </w:rPr>
        <w:t>;</w:t>
      </w:r>
    </w:p>
    <w:p w:rsidR="00000000" w:rsidRDefault="00CF461A">
      <w:pPr>
        <w:jc w:val="both"/>
        <w:divId w:val="249199012"/>
        <w:rPr>
          <w:rFonts w:eastAsia="Times New Roman"/>
        </w:rPr>
      </w:pPr>
      <w:r>
        <w:rPr>
          <w:rFonts w:eastAsia="Times New Roman"/>
          <w:sz w:val="18"/>
          <w:szCs w:val="18"/>
        </w:rPr>
        <w:t>•</w:t>
      </w:r>
    </w:p>
    <w:p w:rsidR="00000000" w:rsidRDefault="00CF461A">
      <w:pPr>
        <w:jc w:val="both"/>
        <w:divId w:val="483012131"/>
        <w:rPr>
          <w:rFonts w:eastAsia="Times New Roman"/>
        </w:rPr>
      </w:pPr>
      <w:r>
        <w:rPr>
          <w:rFonts w:eastAsia="Times New Roman"/>
          <w:sz w:val="18"/>
          <w:szCs w:val="18"/>
        </w:rPr>
        <w:t>limit the manner in which stockholders can remove directors from th</w:t>
      </w:r>
      <w:r>
        <w:rPr>
          <w:rFonts w:eastAsia="Times New Roman"/>
          <w:sz w:val="18"/>
          <w:szCs w:val="18"/>
        </w:rPr>
        <w:t>e board</w:t>
      </w:r>
      <w:r>
        <w:rPr>
          <w:rFonts w:eastAsia="Times New Roman"/>
          <w:sz w:val="18"/>
          <w:szCs w:val="18"/>
        </w:rPr>
        <w:t>;</w:t>
      </w:r>
    </w:p>
    <w:p w:rsidR="00000000" w:rsidRDefault="00CF461A">
      <w:pPr>
        <w:jc w:val="both"/>
        <w:divId w:val="135489864"/>
        <w:rPr>
          <w:rFonts w:eastAsia="Times New Roman"/>
        </w:rPr>
      </w:pPr>
      <w:r>
        <w:rPr>
          <w:rFonts w:eastAsia="Times New Roman"/>
          <w:sz w:val="18"/>
          <w:szCs w:val="18"/>
        </w:rPr>
        <w:t>•</w:t>
      </w:r>
    </w:p>
    <w:p w:rsidR="00000000" w:rsidRDefault="00CF461A">
      <w:pPr>
        <w:jc w:val="both"/>
        <w:divId w:val="1111435093"/>
        <w:rPr>
          <w:rFonts w:eastAsia="Times New Roman"/>
        </w:rPr>
      </w:pPr>
      <w:r>
        <w:rPr>
          <w:rFonts w:eastAsia="Times New Roman"/>
          <w:sz w:val="18"/>
          <w:szCs w:val="18"/>
        </w:rPr>
        <w:t>establish advance notice requirements for stockholder proposals that can be acted on at stockholder meetings and nominations to our board of directors</w:t>
      </w:r>
      <w:r>
        <w:rPr>
          <w:rFonts w:eastAsia="Times New Roman"/>
          <w:sz w:val="18"/>
          <w:szCs w:val="18"/>
        </w:rPr>
        <w:t>;</w:t>
      </w:r>
    </w:p>
    <w:p w:rsidR="00000000" w:rsidRDefault="00CF461A">
      <w:pPr>
        <w:jc w:val="both"/>
        <w:divId w:val="227965025"/>
        <w:rPr>
          <w:rFonts w:eastAsia="Times New Roman"/>
        </w:rPr>
      </w:pPr>
      <w:r>
        <w:rPr>
          <w:rFonts w:eastAsia="Times New Roman"/>
          <w:sz w:val="18"/>
          <w:szCs w:val="18"/>
        </w:rPr>
        <w:t>•</w:t>
      </w:r>
    </w:p>
    <w:p w:rsidR="00000000" w:rsidRDefault="00CF461A">
      <w:pPr>
        <w:jc w:val="both"/>
        <w:divId w:val="172768747"/>
        <w:rPr>
          <w:rFonts w:eastAsia="Times New Roman"/>
        </w:rPr>
      </w:pPr>
      <w:r>
        <w:rPr>
          <w:rFonts w:eastAsia="Times New Roman"/>
          <w:sz w:val="18"/>
          <w:szCs w:val="18"/>
        </w:rPr>
        <w:t>require that stockholder actions must be effected at a duly called stockholder meeting and prohibit actions by our stockholders by written consent</w:t>
      </w:r>
      <w:r>
        <w:rPr>
          <w:rFonts w:eastAsia="Times New Roman"/>
          <w:sz w:val="18"/>
          <w:szCs w:val="18"/>
        </w:rPr>
        <w:t>;</w:t>
      </w:r>
    </w:p>
    <w:p w:rsidR="00000000" w:rsidRDefault="00CF461A">
      <w:pPr>
        <w:jc w:val="both"/>
        <w:divId w:val="1439371136"/>
        <w:rPr>
          <w:rFonts w:eastAsia="Times New Roman"/>
        </w:rPr>
      </w:pPr>
      <w:r>
        <w:rPr>
          <w:rFonts w:eastAsia="Times New Roman"/>
          <w:sz w:val="18"/>
          <w:szCs w:val="18"/>
        </w:rPr>
        <w:t>•</w:t>
      </w:r>
    </w:p>
    <w:p w:rsidR="00000000" w:rsidRDefault="00CF461A">
      <w:pPr>
        <w:jc w:val="both"/>
        <w:divId w:val="1318652404"/>
        <w:rPr>
          <w:rFonts w:eastAsia="Times New Roman"/>
        </w:rPr>
      </w:pPr>
      <w:r>
        <w:rPr>
          <w:rFonts w:eastAsia="Times New Roman"/>
          <w:sz w:val="18"/>
          <w:szCs w:val="18"/>
        </w:rPr>
        <w:t>limit who may call stockholder meetings</w:t>
      </w:r>
      <w:r>
        <w:rPr>
          <w:rFonts w:eastAsia="Times New Roman"/>
          <w:sz w:val="18"/>
          <w:szCs w:val="18"/>
        </w:rPr>
        <w:t>;</w:t>
      </w:r>
    </w:p>
    <w:p w:rsidR="00000000" w:rsidRDefault="00CF461A">
      <w:pPr>
        <w:jc w:val="both"/>
        <w:divId w:val="1229343182"/>
        <w:rPr>
          <w:rFonts w:eastAsia="Times New Roman"/>
        </w:rPr>
      </w:pPr>
      <w:r>
        <w:rPr>
          <w:rFonts w:eastAsia="Times New Roman"/>
          <w:sz w:val="18"/>
          <w:szCs w:val="18"/>
        </w:rPr>
        <w:t>•</w:t>
      </w:r>
    </w:p>
    <w:p w:rsidR="00000000" w:rsidRDefault="00CF461A">
      <w:pPr>
        <w:jc w:val="both"/>
        <w:divId w:val="472328931"/>
        <w:rPr>
          <w:rFonts w:eastAsia="Times New Roman"/>
        </w:rPr>
      </w:pPr>
      <w:r>
        <w:rPr>
          <w:rFonts w:eastAsia="Times New Roman"/>
          <w:sz w:val="18"/>
          <w:szCs w:val="18"/>
        </w:rPr>
        <w:t>authorize our board of directors to issue preferred stock witho</w:t>
      </w:r>
      <w:r>
        <w:rPr>
          <w:rFonts w:eastAsia="Times New Roman"/>
          <w:sz w:val="18"/>
          <w:szCs w:val="18"/>
        </w:rPr>
        <w:t xml:space="preserve">ut stockholder approval, which could be used to institute a stockholder rights plan, or so-called “poison pill,” that would work to dilute the stock ownership of a potential hostile acquirer, effectively preventing acquisitions that have not been approved </w:t>
      </w:r>
      <w:r>
        <w:rPr>
          <w:rFonts w:eastAsia="Times New Roman"/>
          <w:sz w:val="18"/>
          <w:szCs w:val="18"/>
        </w:rPr>
        <w:t>by our board of directors; an</w:t>
      </w:r>
      <w:r>
        <w:rPr>
          <w:rFonts w:eastAsia="Times New Roman"/>
          <w:sz w:val="18"/>
          <w:szCs w:val="18"/>
        </w:rPr>
        <w:t>d</w:t>
      </w:r>
    </w:p>
    <w:p w:rsidR="00000000" w:rsidRDefault="00CF461A">
      <w:pPr>
        <w:jc w:val="both"/>
        <w:divId w:val="1867984554"/>
        <w:rPr>
          <w:rFonts w:eastAsia="Times New Roman"/>
        </w:rPr>
      </w:pPr>
      <w:r>
        <w:rPr>
          <w:rFonts w:eastAsia="Times New Roman"/>
          <w:sz w:val="18"/>
          <w:szCs w:val="18"/>
        </w:rPr>
        <w:t>•</w:t>
      </w:r>
    </w:p>
    <w:p w:rsidR="00000000" w:rsidRDefault="00CF461A">
      <w:pPr>
        <w:jc w:val="both"/>
        <w:divId w:val="1981114158"/>
        <w:rPr>
          <w:rFonts w:eastAsia="Times New Roman"/>
        </w:rPr>
      </w:pPr>
      <w:r>
        <w:rPr>
          <w:rFonts w:eastAsia="Times New Roman"/>
          <w:sz w:val="18"/>
          <w:szCs w:val="18"/>
        </w:rPr>
        <w:t>require the approval of the holders of at least 66 2/3% of the votes that all our stockholders would be entitled to cast to amend or repeal certain provisions of our charter or bylaws</w:t>
      </w:r>
      <w:r>
        <w:rPr>
          <w:rFonts w:eastAsia="Times New Roman"/>
          <w:sz w:val="18"/>
          <w:szCs w:val="18"/>
        </w:rPr>
        <w:t>.</w:t>
      </w:r>
    </w:p>
    <w:p w:rsidR="00000000" w:rsidRDefault="00CF461A">
      <w:pPr>
        <w:pStyle w:val="a3"/>
        <w:spacing w:before="120" w:beforeAutospacing="0" w:after="0" w:afterAutospacing="0"/>
        <w:ind w:firstLine="599"/>
        <w:jc w:val="both"/>
        <w:rPr>
          <w:sz w:val="20"/>
          <w:szCs w:val="20"/>
        </w:rPr>
      </w:pPr>
      <w:r>
        <w:rPr>
          <w:sz w:val="18"/>
          <w:szCs w:val="18"/>
        </w:rPr>
        <w:t xml:space="preserve">Moreover, because we are incorporated </w:t>
      </w:r>
      <w:r>
        <w:rPr>
          <w:sz w:val="18"/>
          <w:szCs w:val="18"/>
        </w:rPr>
        <w:t>in Delaware, we are governed by the provisions of Section 203 of the Delaware General Corporation Law, which prohibits a person who owns in excess of 15% of our outstanding voting stock from merging or combining with us for a period of three years after th</w:t>
      </w:r>
      <w:r>
        <w:rPr>
          <w:sz w:val="18"/>
          <w:szCs w:val="18"/>
        </w:rPr>
        <w:t>e date of the transaction in which the person acquired in excess of 15% of our outstanding voting stock, unless the merger or combination is approved in a prescribed manner</w:t>
      </w:r>
      <w:r>
        <w:rPr>
          <w:sz w:val="18"/>
          <w:szCs w:val="18"/>
        </w:rPr>
        <w:t>.</w:t>
      </w:r>
    </w:p>
    <w:p w:rsidR="00000000" w:rsidRDefault="00CF461A">
      <w:pPr>
        <w:pStyle w:val="a3"/>
        <w:spacing w:before="120" w:beforeAutospacing="0" w:after="0" w:afterAutospacing="0"/>
        <w:ind w:firstLine="599"/>
        <w:jc w:val="both"/>
        <w:rPr>
          <w:sz w:val="20"/>
          <w:szCs w:val="20"/>
        </w:rPr>
      </w:pPr>
      <w:r>
        <w:rPr>
          <w:sz w:val="18"/>
          <w:szCs w:val="18"/>
        </w:rPr>
        <w:t>Additionally, the Takeda standstill provisions and transfer restrictions in the Ta</w:t>
      </w:r>
      <w:r>
        <w:rPr>
          <w:sz w:val="18"/>
          <w:szCs w:val="18"/>
        </w:rPr>
        <w:t>keda License and Termination Agreement may delay or prevent a merger, acquisition or other change in control of us that stockholders may consider favorable, including transactions in which you might otherwise receive a premium for your shares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We may be su</w:t>
      </w:r>
      <w:r>
        <w:rPr>
          <w:b/>
          <w:bCs/>
          <w:i/>
          <w:iCs/>
          <w:sz w:val="18"/>
          <w:szCs w:val="18"/>
        </w:rPr>
        <w:t>bject to securities litigation, which is expensive and could divert management attention</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 xml:space="preserve">The market price of our common stock may be volatile. In the past, companies that have experienced volatility in the market price of their stock have been subject to </w:t>
      </w:r>
      <w:r>
        <w:rPr>
          <w:sz w:val="18"/>
          <w:szCs w:val="18"/>
        </w:rPr>
        <w:t xml:space="preserve">securities class action litigation. We may be the target of this type of litigation in the future. Securities litigation against us could result in substantial costs and divert our management’s attention from other business concerns, which could seriously </w:t>
      </w:r>
      <w:r>
        <w:rPr>
          <w:sz w:val="18"/>
          <w:szCs w:val="18"/>
        </w:rPr>
        <w:t>harm our business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Some provisions of our charter documents and Delaware law may have anti-takeover effects that could discourage an acquisition of us by others, even if an acquisition would benefit our stockholders and may prevent attempts by our stockhol</w:t>
      </w:r>
      <w:r>
        <w:rPr>
          <w:b/>
          <w:bCs/>
          <w:i/>
          <w:iCs/>
          <w:sz w:val="18"/>
          <w:szCs w:val="18"/>
        </w:rPr>
        <w:t>ders to replace or remove our current management</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Provisions in our amended and restated certificate of incorporation and amended and restated bylaws, as well as provisions of Delaware law, could make it more difficult for a third party to acquire us or in</w:t>
      </w:r>
      <w:r>
        <w:rPr>
          <w:sz w:val="18"/>
          <w:szCs w:val="18"/>
        </w:rPr>
        <w:t>crease the cost of acquiring us, even if doing so would benefit our stockholders, or remove our current management. These provisions include</w:t>
      </w:r>
      <w:r>
        <w:rPr>
          <w:sz w:val="18"/>
          <w:szCs w:val="18"/>
        </w:rPr>
        <w:t>:</w:t>
      </w:r>
    </w:p>
    <w:p w:rsidR="00000000" w:rsidRDefault="00CF461A">
      <w:pPr>
        <w:jc w:val="both"/>
        <w:divId w:val="181475191"/>
        <w:rPr>
          <w:rFonts w:eastAsia="Times New Roman"/>
        </w:rPr>
      </w:pPr>
      <w:r>
        <w:rPr>
          <w:rFonts w:eastAsia="Times New Roman"/>
          <w:sz w:val="18"/>
          <w:szCs w:val="18"/>
        </w:rPr>
        <w:t>•</w:t>
      </w:r>
    </w:p>
    <w:p w:rsidR="00000000" w:rsidRDefault="00CF461A">
      <w:pPr>
        <w:jc w:val="both"/>
        <w:divId w:val="1429738090"/>
        <w:rPr>
          <w:rFonts w:eastAsia="Times New Roman"/>
        </w:rPr>
      </w:pPr>
      <w:r>
        <w:rPr>
          <w:rFonts w:eastAsia="Times New Roman"/>
          <w:sz w:val="18"/>
          <w:szCs w:val="18"/>
        </w:rPr>
        <w:t>authorizing the issuance of “blank check” preferred stock, the terms of which we may establish and shares of whi</w:t>
      </w:r>
      <w:r>
        <w:rPr>
          <w:rFonts w:eastAsia="Times New Roman"/>
          <w:sz w:val="18"/>
          <w:szCs w:val="18"/>
        </w:rPr>
        <w:t>ch we may issue without stockholder approval</w:t>
      </w:r>
      <w:r>
        <w:rPr>
          <w:rFonts w:eastAsia="Times New Roman"/>
          <w:sz w:val="18"/>
          <w:szCs w:val="18"/>
        </w:rPr>
        <w:t>;</w:t>
      </w:r>
    </w:p>
    <w:p w:rsidR="00000000" w:rsidRDefault="00CF461A">
      <w:pPr>
        <w:jc w:val="both"/>
        <w:divId w:val="1844203470"/>
        <w:rPr>
          <w:rFonts w:eastAsia="Times New Roman"/>
        </w:rPr>
      </w:pPr>
      <w:r>
        <w:rPr>
          <w:rFonts w:eastAsia="Times New Roman"/>
          <w:sz w:val="18"/>
          <w:szCs w:val="18"/>
        </w:rPr>
        <w:t>•</w:t>
      </w:r>
    </w:p>
    <w:p w:rsidR="00000000" w:rsidRDefault="00CF461A">
      <w:pPr>
        <w:jc w:val="both"/>
        <w:divId w:val="1263565205"/>
        <w:rPr>
          <w:rFonts w:eastAsia="Times New Roman"/>
        </w:rPr>
      </w:pPr>
      <w:r>
        <w:rPr>
          <w:rFonts w:eastAsia="Times New Roman"/>
          <w:sz w:val="18"/>
          <w:szCs w:val="18"/>
        </w:rPr>
        <w:t>prohibiting cumulative voting in the election of directors, which would otherwise allow for less than a majority of stockholders to elect director candidates</w:t>
      </w:r>
      <w:r>
        <w:rPr>
          <w:rFonts w:eastAsia="Times New Roman"/>
          <w:sz w:val="18"/>
          <w:szCs w:val="18"/>
        </w:rPr>
        <w:t>;</w:t>
      </w:r>
    </w:p>
    <w:p w:rsidR="00000000" w:rsidRDefault="00CF461A">
      <w:pPr>
        <w:jc w:val="both"/>
        <w:divId w:val="1656568908"/>
        <w:rPr>
          <w:rFonts w:eastAsia="Times New Roman"/>
        </w:rPr>
      </w:pPr>
      <w:r>
        <w:rPr>
          <w:rFonts w:eastAsia="Times New Roman"/>
          <w:sz w:val="18"/>
          <w:szCs w:val="18"/>
        </w:rPr>
        <w:t>•</w:t>
      </w:r>
    </w:p>
    <w:p w:rsidR="00000000" w:rsidRDefault="00CF461A">
      <w:pPr>
        <w:jc w:val="both"/>
        <w:divId w:val="714810453"/>
        <w:rPr>
          <w:rFonts w:eastAsia="Times New Roman"/>
        </w:rPr>
      </w:pPr>
      <w:r>
        <w:rPr>
          <w:rFonts w:eastAsia="Times New Roman"/>
          <w:sz w:val="18"/>
          <w:szCs w:val="18"/>
        </w:rPr>
        <w:t>prohibiting stockholder action by written conse</w:t>
      </w:r>
      <w:r>
        <w:rPr>
          <w:rFonts w:eastAsia="Times New Roman"/>
          <w:sz w:val="18"/>
          <w:szCs w:val="18"/>
        </w:rPr>
        <w:t>nt, thereby requiring all stockholder actions to be taken at a meeting of our stockholders</w:t>
      </w:r>
      <w:r>
        <w:rPr>
          <w:rFonts w:eastAsia="Times New Roman"/>
          <w:sz w:val="18"/>
          <w:szCs w:val="18"/>
        </w:rPr>
        <w:t>;</w:t>
      </w:r>
    </w:p>
    <w:p w:rsidR="00000000" w:rsidRDefault="00CF461A">
      <w:pPr>
        <w:jc w:val="both"/>
        <w:divId w:val="938098592"/>
        <w:rPr>
          <w:rFonts w:eastAsia="Times New Roman"/>
        </w:rPr>
      </w:pPr>
      <w:r>
        <w:rPr>
          <w:rFonts w:eastAsia="Times New Roman"/>
          <w:sz w:val="18"/>
          <w:szCs w:val="18"/>
        </w:rPr>
        <w:t>•</w:t>
      </w:r>
    </w:p>
    <w:p w:rsidR="00000000" w:rsidRDefault="00CF461A">
      <w:pPr>
        <w:jc w:val="both"/>
        <w:divId w:val="1261528629"/>
        <w:rPr>
          <w:rFonts w:eastAsia="Times New Roman"/>
        </w:rPr>
      </w:pPr>
      <w:r>
        <w:rPr>
          <w:rFonts w:eastAsia="Times New Roman"/>
          <w:sz w:val="18"/>
          <w:szCs w:val="18"/>
        </w:rPr>
        <w:t>eliminating the ability of stockholders to call a special meeting of stockholders; an</w:t>
      </w:r>
      <w:r>
        <w:rPr>
          <w:rFonts w:eastAsia="Times New Roman"/>
          <w:sz w:val="18"/>
          <w:szCs w:val="18"/>
        </w:rPr>
        <w:t>d</w:t>
      </w:r>
    </w:p>
    <w:p w:rsidR="00000000" w:rsidRDefault="00CF461A">
      <w:pPr>
        <w:jc w:val="both"/>
        <w:divId w:val="218714702"/>
        <w:rPr>
          <w:rFonts w:eastAsia="Times New Roman"/>
        </w:rPr>
      </w:pPr>
      <w:r>
        <w:rPr>
          <w:rFonts w:eastAsia="Times New Roman"/>
          <w:sz w:val="18"/>
          <w:szCs w:val="18"/>
        </w:rPr>
        <w:t>•</w:t>
      </w:r>
    </w:p>
    <w:p w:rsidR="00000000" w:rsidRDefault="00CF461A">
      <w:pPr>
        <w:jc w:val="both"/>
        <w:divId w:val="166752341"/>
        <w:rPr>
          <w:rFonts w:eastAsia="Times New Roman"/>
        </w:rPr>
      </w:pPr>
      <w:r>
        <w:rPr>
          <w:rFonts w:eastAsia="Times New Roman"/>
          <w:sz w:val="18"/>
          <w:szCs w:val="18"/>
        </w:rPr>
        <w:t xml:space="preserve">establishing advance notice requirements for nominations for election to </w:t>
      </w:r>
      <w:r>
        <w:rPr>
          <w:rFonts w:eastAsia="Times New Roman"/>
          <w:sz w:val="18"/>
          <w:szCs w:val="18"/>
        </w:rPr>
        <w:t>the board of directors or for proposing matters that can be acted upon at stockholder meetings</w:t>
      </w:r>
      <w:r>
        <w:rPr>
          <w:rFonts w:eastAsia="Times New Roman"/>
          <w:sz w:val="18"/>
          <w:szCs w:val="18"/>
        </w:rPr>
        <w:t>.</w:t>
      </w:r>
    </w:p>
    <w:p w:rsidR="00000000" w:rsidRDefault="00CF461A">
      <w:pPr>
        <w:pStyle w:val="a3"/>
        <w:spacing w:before="120" w:beforeAutospacing="0" w:after="0" w:afterAutospacing="0"/>
        <w:ind w:firstLine="555"/>
        <w:jc w:val="both"/>
        <w:rPr>
          <w:sz w:val="20"/>
          <w:szCs w:val="20"/>
        </w:rPr>
      </w:pPr>
      <w:r>
        <w:rPr>
          <w:sz w:val="18"/>
          <w:szCs w:val="18"/>
        </w:rPr>
        <w:t>These provisions may frustrate or prevent any attempts by our stockholders to replace or remove our current management by making it more difficult for stockhold</w:t>
      </w:r>
      <w:r>
        <w:rPr>
          <w:sz w:val="18"/>
          <w:szCs w:val="18"/>
        </w:rPr>
        <w:t>ers to replace members of our board of directors, who are responsible for appointing the members of our management. Because we are incorporated in Delaware, we are governed by the provisions of Section 203 of the Delaware General Corporation Law (the “DGCL</w:t>
      </w:r>
      <w:r>
        <w:rPr>
          <w:sz w:val="18"/>
          <w:szCs w:val="18"/>
        </w:rPr>
        <w:t>”), which may discourage, delay or prevent someone from acquiring us or merging with us whether or not it is desired by or beneficial to our stockholders. Under the DGCL, a corporation may not, in general, engage in a business combination with any holder o</w:t>
      </w:r>
      <w:r>
        <w:rPr>
          <w:sz w:val="18"/>
          <w:szCs w:val="18"/>
        </w:rPr>
        <w:t>f 15% or more of its capital stock unless the holder has held the stock for three years or, among other things, the board of directors has approved the transaction. Any provision of our amended and restated certificate of incorporation or amended and resta</w:t>
      </w:r>
      <w:r>
        <w:rPr>
          <w:sz w:val="18"/>
          <w:szCs w:val="18"/>
        </w:rPr>
        <w:t>ted bylaws or Delaware law that has the effect of delaying or deterring a change of control could limit the opportunity for our stockholders to receive a premium for their shares of our common stock and could also affect the price that some investors are w</w:t>
      </w:r>
      <w:r>
        <w:rPr>
          <w:sz w:val="18"/>
          <w:szCs w:val="18"/>
        </w:rPr>
        <w:t>illing to pay for our common stock</w:t>
      </w:r>
      <w:r>
        <w:rPr>
          <w:sz w:val="18"/>
          <w:szCs w:val="18"/>
        </w:rPr>
        <w:t>.</w:t>
      </w:r>
    </w:p>
    <w:p w:rsidR="00000000" w:rsidRDefault="00CF461A">
      <w:pPr>
        <w:pStyle w:val="a3"/>
        <w:spacing w:before="240" w:beforeAutospacing="0" w:after="0" w:afterAutospacing="0"/>
        <w:jc w:val="center"/>
        <w:rPr>
          <w:sz w:val="20"/>
          <w:szCs w:val="20"/>
        </w:rPr>
      </w:pPr>
      <w:r>
        <w:rPr>
          <w:sz w:val="18"/>
          <w:szCs w:val="18"/>
        </w:rPr>
        <w:t>5</w:t>
      </w:r>
      <w:r>
        <w:rPr>
          <w:sz w:val="18"/>
          <w:szCs w:val="18"/>
        </w:rPr>
        <w:t>2</w:t>
      </w:r>
    </w:p>
    <w:p w:rsidR="00000000" w:rsidRDefault="00CF461A">
      <w:pPr>
        <w:rPr>
          <w:rFonts w:eastAsia="Times New Roman"/>
        </w:rPr>
      </w:pPr>
      <w:r>
        <w:rPr>
          <w:rFonts w:eastAsia="Times New Roman"/>
        </w:rPr>
        <w:pict>
          <v:rect id="_x0000_i1078"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200" w:beforeAutospacing="0" w:after="0" w:afterAutospacing="0"/>
        <w:jc w:val="both"/>
        <w:rPr>
          <w:sz w:val="20"/>
          <w:szCs w:val="20"/>
        </w:rPr>
      </w:pPr>
      <w:r>
        <w:rPr>
          <w:b/>
          <w:bCs/>
          <w:i/>
          <w:iCs/>
          <w:sz w:val="18"/>
          <w:szCs w:val="18"/>
        </w:rPr>
        <w:t>If we engage in future acquisitions or strategic partnerships, this may increase our capital requirements, dilute our stockholders, cause us to incur debt or assume contingent liabilities and subject us to other risks</w:t>
      </w:r>
      <w:r>
        <w:rPr>
          <w:b/>
          <w:bCs/>
          <w:i/>
          <w:iCs/>
          <w:sz w:val="18"/>
          <w:szCs w:val="18"/>
        </w:rPr>
        <w:t>.</w:t>
      </w:r>
    </w:p>
    <w:p w:rsidR="00000000" w:rsidRDefault="00CF461A">
      <w:pPr>
        <w:pStyle w:val="a3"/>
        <w:spacing w:before="132" w:beforeAutospacing="0" w:after="0" w:afterAutospacing="0"/>
        <w:ind w:firstLine="599"/>
        <w:jc w:val="both"/>
        <w:rPr>
          <w:sz w:val="20"/>
          <w:szCs w:val="20"/>
        </w:rPr>
      </w:pPr>
      <w:r>
        <w:rPr>
          <w:sz w:val="18"/>
          <w:szCs w:val="18"/>
        </w:rPr>
        <w:t>Our business plan is to continue to evaluate various acquisitions and strategic partnerships, including licensing or acquiring complementary drugs, intellectual property rights, technologies, or businesses. Any potential acquisition or strategic partnersh</w:t>
      </w:r>
      <w:r>
        <w:rPr>
          <w:sz w:val="18"/>
          <w:szCs w:val="18"/>
        </w:rPr>
        <w:t>ip may entail numerous risks, including</w:t>
      </w:r>
      <w:r>
        <w:rPr>
          <w:sz w:val="18"/>
          <w:szCs w:val="18"/>
        </w:rPr>
        <w:t>:</w:t>
      </w:r>
    </w:p>
    <w:p w:rsidR="00000000" w:rsidRDefault="00CF461A">
      <w:pPr>
        <w:jc w:val="both"/>
        <w:divId w:val="363332038"/>
        <w:rPr>
          <w:rFonts w:eastAsia="Times New Roman"/>
        </w:rPr>
      </w:pPr>
      <w:r>
        <w:rPr>
          <w:rFonts w:eastAsia="Times New Roman"/>
          <w:sz w:val="18"/>
          <w:szCs w:val="18"/>
        </w:rPr>
        <w:t>•</w:t>
      </w:r>
    </w:p>
    <w:p w:rsidR="00000000" w:rsidRDefault="00CF461A">
      <w:pPr>
        <w:jc w:val="both"/>
        <w:divId w:val="727727986"/>
        <w:rPr>
          <w:rFonts w:eastAsia="Times New Roman"/>
        </w:rPr>
      </w:pPr>
      <w:r>
        <w:rPr>
          <w:rFonts w:eastAsia="Times New Roman"/>
          <w:sz w:val="18"/>
          <w:szCs w:val="18"/>
        </w:rPr>
        <w:t>increased operating expenses and cash requirements</w:t>
      </w:r>
      <w:r>
        <w:rPr>
          <w:rFonts w:eastAsia="Times New Roman"/>
          <w:sz w:val="18"/>
          <w:szCs w:val="18"/>
        </w:rPr>
        <w:t>;</w:t>
      </w:r>
    </w:p>
    <w:p w:rsidR="00000000" w:rsidRDefault="00CF461A">
      <w:pPr>
        <w:jc w:val="both"/>
        <w:divId w:val="1279067599"/>
        <w:rPr>
          <w:rFonts w:eastAsia="Times New Roman"/>
        </w:rPr>
      </w:pPr>
      <w:r>
        <w:rPr>
          <w:rFonts w:eastAsia="Times New Roman"/>
          <w:sz w:val="18"/>
          <w:szCs w:val="18"/>
        </w:rPr>
        <w:t>•</w:t>
      </w:r>
    </w:p>
    <w:p w:rsidR="00000000" w:rsidRDefault="00CF461A">
      <w:pPr>
        <w:jc w:val="both"/>
        <w:divId w:val="342129147"/>
        <w:rPr>
          <w:rFonts w:eastAsia="Times New Roman"/>
        </w:rPr>
      </w:pPr>
      <w:r>
        <w:rPr>
          <w:rFonts w:eastAsia="Times New Roman"/>
          <w:sz w:val="18"/>
          <w:szCs w:val="18"/>
        </w:rPr>
        <w:t>the assumption of additional indebtedness or contingent liabilities</w:t>
      </w:r>
      <w:r>
        <w:rPr>
          <w:rFonts w:eastAsia="Times New Roman"/>
          <w:sz w:val="18"/>
          <w:szCs w:val="18"/>
        </w:rPr>
        <w:t>;</w:t>
      </w:r>
    </w:p>
    <w:p w:rsidR="00000000" w:rsidRDefault="00CF461A">
      <w:pPr>
        <w:jc w:val="both"/>
        <w:divId w:val="818153120"/>
        <w:rPr>
          <w:rFonts w:eastAsia="Times New Roman"/>
        </w:rPr>
      </w:pPr>
      <w:r>
        <w:rPr>
          <w:rFonts w:eastAsia="Times New Roman"/>
          <w:sz w:val="18"/>
          <w:szCs w:val="18"/>
        </w:rPr>
        <w:t>•</w:t>
      </w:r>
    </w:p>
    <w:p w:rsidR="00000000" w:rsidRDefault="00CF461A">
      <w:pPr>
        <w:jc w:val="both"/>
        <w:divId w:val="1881822939"/>
        <w:rPr>
          <w:rFonts w:eastAsia="Times New Roman"/>
        </w:rPr>
      </w:pPr>
      <w:r>
        <w:rPr>
          <w:rFonts w:eastAsia="Times New Roman"/>
          <w:sz w:val="18"/>
          <w:szCs w:val="18"/>
        </w:rPr>
        <w:t>assimilation of operations, intellectual property and drugs of an acquired company, incl</w:t>
      </w:r>
      <w:r>
        <w:rPr>
          <w:rFonts w:eastAsia="Times New Roman"/>
          <w:sz w:val="18"/>
          <w:szCs w:val="18"/>
        </w:rPr>
        <w:t>uding difficulties associated with integrating new personnel</w:t>
      </w:r>
      <w:r>
        <w:rPr>
          <w:rFonts w:eastAsia="Times New Roman"/>
          <w:sz w:val="18"/>
          <w:szCs w:val="18"/>
        </w:rPr>
        <w:t>;</w:t>
      </w:r>
    </w:p>
    <w:p w:rsidR="00000000" w:rsidRDefault="00CF461A">
      <w:pPr>
        <w:jc w:val="both"/>
        <w:divId w:val="980423703"/>
        <w:rPr>
          <w:rFonts w:eastAsia="Times New Roman"/>
        </w:rPr>
      </w:pPr>
      <w:r>
        <w:rPr>
          <w:rFonts w:eastAsia="Times New Roman"/>
          <w:sz w:val="18"/>
          <w:szCs w:val="18"/>
        </w:rPr>
        <w:t>•</w:t>
      </w:r>
    </w:p>
    <w:p w:rsidR="00000000" w:rsidRDefault="00CF461A">
      <w:pPr>
        <w:jc w:val="both"/>
        <w:divId w:val="752356378"/>
        <w:rPr>
          <w:rFonts w:eastAsia="Times New Roman"/>
        </w:rPr>
      </w:pPr>
      <w:r>
        <w:rPr>
          <w:rFonts w:eastAsia="Times New Roman"/>
          <w:sz w:val="18"/>
          <w:szCs w:val="18"/>
        </w:rPr>
        <w:t>the diversion of our management’s attention from our existing drug programs and initiatives in pursuing such a strategic partnership, merger or acquisition</w:t>
      </w:r>
      <w:r>
        <w:rPr>
          <w:rFonts w:eastAsia="Times New Roman"/>
          <w:sz w:val="18"/>
          <w:szCs w:val="18"/>
        </w:rPr>
        <w:t>;</w:t>
      </w:r>
    </w:p>
    <w:p w:rsidR="00000000" w:rsidRDefault="00CF461A">
      <w:pPr>
        <w:jc w:val="both"/>
        <w:divId w:val="1105661782"/>
        <w:rPr>
          <w:rFonts w:eastAsia="Times New Roman"/>
        </w:rPr>
      </w:pPr>
      <w:r>
        <w:rPr>
          <w:rFonts w:eastAsia="Times New Roman"/>
          <w:sz w:val="18"/>
          <w:szCs w:val="18"/>
        </w:rPr>
        <w:t>•</w:t>
      </w:r>
    </w:p>
    <w:p w:rsidR="00000000" w:rsidRDefault="00CF461A">
      <w:pPr>
        <w:jc w:val="both"/>
        <w:divId w:val="1333873848"/>
        <w:rPr>
          <w:rFonts w:eastAsia="Times New Roman"/>
        </w:rPr>
      </w:pPr>
      <w:r>
        <w:rPr>
          <w:rFonts w:eastAsia="Times New Roman"/>
          <w:sz w:val="18"/>
          <w:szCs w:val="18"/>
        </w:rPr>
        <w:t>retention of key employees, the l</w:t>
      </w:r>
      <w:r>
        <w:rPr>
          <w:rFonts w:eastAsia="Times New Roman"/>
          <w:sz w:val="18"/>
          <w:szCs w:val="18"/>
        </w:rPr>
        <w:t>oss of key personnel, and uncertainties in our ability to maintain key business relationships</w:t>
      </w:r>
      <w:r>
        <w:rPr>
          <w:rFonts w:eastAsia="Times New Roman"/>
          <w:sz w:val="18"/>
          <w:szCs w:val="18"/>
        </w:rPr>
        <w:t>;</w:t>
      </w:r>
    </w:p>
    <w:p w:rsidR="00000000" w:rsidRDefault="00CF461A">
      <w:pPr>
        <w:jc w:val="both"/>
        <w:divId w:val="372001227"/>
        <w:rPr>
          <w:rFonts w:eastAsia="Times New Roman"/>
        </w:rPr>
      </w:pPr>
      <w:r>
        <w:rPr>
          <w:rFonts w:eastAsia="Times New Roman"/>
          <w:sz w:val="18"/>
          <w:szCs w:val="18"/>
        </w:rPr>
        <w:t>•</w:t>
      </w:r>
    </w:p>
    <w:p w:rsidR="00000000" w:rsidRDefault="00CF461A">
      <w:pPr>
        <w:jc w:val="both"/>
        <w:divId w:val="1687245737"/>
        <w:rPr>
          <w:rFonts w:eastAsia="Times New Roman"/>
        </w:rPr>
      </w:pPr>
      <w:r>
        <w:rPr>
          <w:rFonts w:eastAsia="Times New Roman"/>
          <w:sz w:val="18"/>
          <w:szCs w:val="18"/>
        </w:rPr>
        <w:t>risks and uncertainties associated with the other party to such a transaction, including the prospects of that party and their existing drugs or drug candidate</w:t>
      </w:r>
      <w:r>
        <w:rPr>
          <w:rFonts w:eastAsia="Times New Roman"/>
          <w:sz w:val="18"/>
          <w:szCs w:val="18"/>
        </w:rPr>
        <w:t>s and regulatory approvals</w:t>
      </w:r>
      <w:r>
        <w:rPr>
          <w:rFonts w:eastAsia="Times New Roman"/>
          <w:sz w:val="18"/>
          <w:szCs w:val="18"/>
        </w:rPr>
        <w:t>;</w:t>
      </w:r>
    </w:p>
    <w:p w:rsidR="00000000" w:rsidRDefault="00CF461A">
      <w:pPr>
        <w:jc w:val="both"/>
        <w:divId w:val="1759060487"/>
        <w:rPr>
          <w:rFonts w:eastAsia="Times New Roman"/>
        </w:rPr>
      </w:pPr>
      <w:r>
        <w:rPr>
          <w:rFonts w:eastAsia="Times New Roman"/>
          <w:sz w:val="18"/>
          <w:szCs w:val="18"/>
        </w:rPr>
        <w:t>•</w:t>
      </w:r>
    </w:p>
    <w:p w:rsidR="00000000" w:rsidRDefault="00CF461A">
      <w:pPr>
        <w:jc w:val="both"/>
        <w:divId w:val="335571211"/>
        <w:rPr>
          <w:rFonts w:eastAsia="Times New Roman"/>
        </w:rPr>
      </w:pPr>
      <w:r>
        <w:rPr>
          <w:rFonts w:eastAsia="Times New Roman"/>
          <w:sz w:val="18"/>
          <w:szCs w:val="18"/>
        </w:rPr>
        <w:t>our inability to generate revenue from acquired technology and/or drugs sufficient to meet our objectives in undertaking the acquisition or even to offset the associated acquisition and maintenance costs</w:t>
      </w:r>
      <w:r>
        <w:rPr>
          <w:rFonts w:eastAsia="Times New Roman"/>
          <w:sz w:val="18"/>
          <w:szCs w:val="18"/>
        </w:rPr>
        <w:t>;</w:t>
      </w:r>
    </w:p>
    <w:p w:rsidR="00000000" w:rsidRDefault="00CF461A">
      <w:pPr>
        <w:jc w:val="both"/>
        <w:divId w:val="1457093542"/>
        <w:rPr>
          <w:rFonts w:eastAsia="Times New Roman"/>
        </w:rPr>
      </w:pPr>
      <w:r>
        <w:rPr>
          <w:rFonts w:eastAsia="Times New Roman"/>
          <w:sz w:val="18"/>
          <w:szCs w:val="18"/>
        </w:rPr>
        <w:t>•</w:t>
      </w:r>
    </w:p>
    <w:p w:rsidR="00000000" w:rsidRDefault="00CF461A">
      <w:pPr>
        <w:jc w:val="both"/>
        <w:divId w:val="1986428315"/>
        <w:rPr>
          <w:rFonts w:eastAsia="Times New Roman"/>
        </w:rPr>
      </w:pPr>
      <w:r>
        <w:rPr>
          <w:rFonts w:eastAsia="Times New Roman"/>
          <w:sz w:val="18"/>
          <w:szCs w:val="18"/>
        </w:rPr>
        <w:t xml:space="preserve">challenges related </w:t>
      </w:r>
      <w:r>
        <w:rPr>
          <w:rFonts w:eastAsia="Times New Roman"/>
          <w:sz w:val="18"/>
          <w:szCs w:val="18"/>
        </w:rPr>
        <w:t>to integrating acquired businesses or entering into or realizing the benefits of strategic transactions generally; an</w:t>
      </w:r>
      <w:r>
        <w:rPr>
          <w:rFonts w:eastAsia="Times New Roman"/>
          <w:sz w:val="18"/>
          <w:szCs w:val="18"/>
        </w:rPr>
        <w:t>d</w:t>
      </w:r>
    </w:p>
    <w:p w:rsidR="00000000" w:rsidRDefault="00CF461A">
      <w:pPr>
        <w:jc w:val="both"/>
        <w:divId w:val="1209073680"/>
        <w:rPr>
          <w:rFonts w:eastAsia="Times New Roman"/>
        </w:rPr>
      </w:pPr>
      <w:r>
        <w:rPr>
          <w:rFonts w:eastAsia="Times New Roman"/>
          <w:sz w:val="18"/>
          <w:szCs w:val="18"/>
        </w:rPr>
        <w:t>•</w:t>
      </w:r>
    </w:p>
    <w:p w:rsidR="00000000" w:rsidRDefault="00CF461A">
      <w:pPr>
        <w:jc w:val="both"/>
        <w:divId w:val="1038354381"/>
        <w:rPr>
          <w:rFonts w:eastAsia="Times New Roman"/>
        </w:rPr>
      </w:pPr>
      <w:r>
        <w:rPr>
          <w:rFonts w:eastAsia="Times New Roman"/>
          <w:sz w:val="18"/>
          <w:szCs w:val="18"/>
        </w:rPr>
        <w:t>risks associated with potential international acquisition transactions, including in countries where we do not currently have a material presence</w:t>
      </w:r>
      <w:r>
        <w:rPr>
          <w:rFonts w:eastAsia="Times New Roman"/>
          <w:sz w:val="18"/>
          <w:szCs w:val="18"/>
        </w:rPr>
        <w:t>.</w:t>
      </w:r>
    </w:p>
    <w:p w:rsidR="00000000" w:rsidRDefault="00CF461A">
      <w:pPr>
        <w:pStyle w:val="a3"/>
        <w:spacing w:before="120" w:beforeAutospacing="0" w:after="0" w:afterAutospacing="0"/>
        <w:ind w:firstLine="555"/>
        <w:jc w:val="both"/>
        <w:rPr>
          <w:sz w:val="20"/>
          <w:szCs w:val="20"/>
        </w:rPr>
      </w:pPr>
      <w:r>
        <w:rPr>
          <w:sz w:val="18"/>
          <w:szCs w:val="18"/>
        </w:rPr>
        <w:t>In addition, if we engage in future acquisitions or strategic partnerships, we may issue dilutive securities,</w:t>
      </w:r>
      <w:r>
        <w:rPr>
          <w:sz w:val="18"/>
          <w:szCs w:val="18"/>
        </w:rPr>
        <w:t xml:space="preserve"> assume or incur debt obligations, incur large one-time expenses and acquire intangible assets that could result in significant future amortization expense. Moreover, we may not be able to locate suitable acquisition opportunities and this inability could </w:t>
      </w:r>
      <w:r>
        <w:rPr>
          <w:sz w:val="18"/>
          <w:szCs w:val="18"/>
        </w:rPr>
        <w:t>impair our ability to grow or obtain access to technology or drugs that may be important to the development of our business</w:t>
      </w:r>
      <w:r>
        <w:rPr>
          <w:sz w:val="18"/>
          <w:szCs w:val="18"/>
        </w:rPr>
        <w:t>.</w:t>
      </w:r>
    </w:p>
    <w:p w:rsidR="00000000" w:rsidRDefault="00CF461A">
      <w:pPr>
        <w:pStyle w:val="a3"/>
        <w:spacing w:before="120" w:beforeAutospacing="0" w:after="0" w:afterAutospacing="0"/>
        <w:jc w:val="both"/>
        <w:rPr>
          <w:sz w:val="20"/>
          <w:szCs w:val="20"/>
        </w:rPr>
      </w:pPr>
      <w:r>
        <w:rPr>
          <w:b/>
          <w:bCs/>
          <w:i/>
          <w:iCs/>
          <w:sz w:val="18"/>
          <w:szCs w:val="18"/>
        </w:rPr>
        <w:t>Sales of a substantial number of shares of our common stock in the public market could cause the market price of our common stock t</w:t>
      </w:r>
      <w:r>
        <w:rPr>
          <w:b/>
          <w:bCs/>
          <w:i/>
          <w:iCs/>
          <w:sz w:val="18"/>
          <w:szCs w:val="18"/>
        </w:rPr>
        <w:t>o drop significantly</w:t>
      </w:r>
      <w:r>
        <w:rPr>
          <w:b/>
          <w:bCs/>
          <w:i/>
          <w:iCs/>
          <w:sz w:val="18"/>
          <w:szCs w:val="18"/>
        </w:rPr>
        <w:t>.</w:t>
      </w:r>
    </w:p>
    <w:p w:rsidR="00000000" w:rsidRDefault="00CF461A">
      <w:pPr>
        <w:pStyle w:val="a3"/>
        <w:spacing w:before="120" w:beforeAutospacing="0" w:after="0" w:afterAutospacing="0"/>
        <w:ind w:firstLine="599"/>
        <w:jc w:val="both"/>
        <w:rPr>
          <w:sz w:val="20"/>
          <w:szCs w:val="20"/>
        </w:rPr>
      </w:pPr>
      <w:r>
        <w:rPr>
          <w:sz w:val="18"/>
          <w:szCs w:val="18"/>
        </w:rPr>
        <w:t>Sales of a substantial number of shares of our common stock in the public market could occur at any time. These sales, or the perception in the market that the holders of a large number of shares intend to sell shares, could reduce th</w:t>
      </w:r>
      <w:r>
        <w:rPr>
          <w:sz w:val="18"/>
          <w:szCs w:val="18"/>
        </w:rPr>
        <w:t>e market price of our common stock. Some of the holders of our securities have rights, subject to certain conditions, to require us to file registration statements covering their shares or to include their shares in registration statements that we may file</w:t>
      </w:r>
      <w:r>
        <w:rPr>
          <w:sz w:val="18"/>
          <w:szCs w:val="18"/>
        </w:rPr>
        <w:t xml:space="preserve"> for ourselves or other stockholders. Registration of these shares would result in the shares becoming freely tradable without restriction under the Securities Act except for shares held by our affiliates. Any sales of securities by these stockholders coul</w:t>
      </w:r>
      <w:r>
        <w:rPr>
          <w:sz w:val="18"/>
          <w:szCs w:val="18"/>
        </w:rPr>
        <w:t>d have a material adverse effect on the trading price of our common stock</w:t>
      </w:r>
      <w:r>
        <w:rPr>
          <w:sz w:val="18"/>
          <w:szCs w:val="18"/>
        </w:rPr>
        <w:t>.</w:t>
      </w:r>
    </w:p>
    <w:p w:rsidR="00000000" w:rsidRDefault="00CF461A">
      <w:pPr>
        <w:pStyle w:val="a3"/>
        <w:spacing w:before="240" w:beforeAutospacing="0" w:after="0" w:afterAutospacing="0"/>
        <w:jc w:val="center"/>
        <w:rPr>
          <w:sz w:val="20"/>
          <w:szCs w:val="20"/>
        </w:rPr>
      </w:pPr>
      <w:r>
        <w:rPr>
          <w:sz w:val="18"/>
          <w:szCs w:val="18"/>
        </w:rPr>
        <w:t>5</w:t>
      </w:r>
      <w:r>
        <w:rPr>
          <w:sz w:val="18"/>
          <w:szCs w:val="18"/>
        </w:rPr>
        <w:t>3</w:t>
      </w:r>
    </w:p>
    <w:p w:rsidR="00000000" w:rsidRDefault="00CF461A">
      <w:pPr>
        <w:rPr>
          <w:rFonts w:eastAsia="Times New Roman"/>
        </w:rPr>
      </w:pPr>
      <w:r>
        <w:rPr>
          <w:rFonts w:eastAsia="Times New Roman"/>
        </w:rPr>
        <w:pict>
          <v:rect id="_x0000_i1079"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both"/>
        <w:rPr>
          <w:sz w:val="20"/>
          <w:szCs w:val="20"/>
        </w:rPr>
      </w:pPr>
      <w:r>
        <w:rPr>
          <w:b/>
          <w:bCs/>
          <w:sz w:val="18"/>
          <w:szCs w:val="18"/>
        </w:rPr>
        <w:t xml:space="preserve">Item 6. </w:t>
      </w:r>
      <w:r>
        <w:rPr>
          <w:b/>
          <w:bCs/>
          <w:sz w:val="18"/>
          <w:szCs w:val="18"/>
        </w:rPr>
        <w:t>E</w:t>
      </w:r>
      <w:r>
        <w:rPr>
          <w:b/>
          <w:bCs/>
          <w:sz w:val="18"/>
          <w:szCs w:val="18"/>
        </w:rPr>
        <w:t>xhibits</w:t>
      </w:r>
      <w:r>
        <w:rPr>
          <w:b/>
          <w:bCs/>
          <w:sz w:val="18"/>
          <w:szCs w:val="18"/>
        </w:rPr>
        <w:t>.</w:t>
      </w:r>
    </w:p>
    <w:p w:rsidR="00000000" w:rsidRDefault="00CF461A">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9"/>
        <w:gridCol w:w="104"/>
        <w:gridCol w:w="7453"/>
      </w:tblGrid>
      <w:tr w:rsidR="00000000">
        <w:trPr>
          <w:tblCellSpacing w:w="15" w:type="dxa"/>
        </w:trPr>
        <w:tc>
          <w:tcPr>
            <w:tcW w:w="400" w:type="pct"/>
            <w:vAlign w:val="center"/>
            <w:hideMark/>
          </w:tcPr>
          <w:p w:rsidR="00000000" w:rsidRDefault="00CF461A">
            <w:pPr>
              <w:rPr>
                <w:sz w:val="20"/>
                <w:szCs w:val="20"/>
              </w:rPr>
            </w:pPr>
          </w:p>
        </w:tc>
        <w:tc>
          <w:tcPr>
            <w:tcW w:w="50" w:type="pct"/>
            <w:vAlign w:val="center"/>
            <w:hideMark/>
          </w:tcPr>
          <w:p w:rsidR="00000000" w:rsidRDefault="00CF461A">
            <w:pPr>
              <w:rPr>
                <w:rFonts w:eastAsia="Times New Roman"/>
                <w:sz w:val="20"/>
                <w:szCs w:val="20"/>
              </w:rPr>
            </w:pPr>
          </w:p>
        </w:tc>
        <w:tc>
          <w:tcPr>
            <w:tcW w:w="4550" w:type="pct"/>
            <w:vAlign w:val="center"/>
            <w:hideMark/>
          </w:tcPr>
          <w:p w:rsidR="00000000" w:rsidRDefault="00CF461A">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6"/>
                <w:szCs w:val="16"/>
              </w:rPr>
            </w:pPr>
            <w:r>
              <w:rPr>
                <w:b/>
                <w:bCs/>
                <w:sz w:val="16"/>
                <w:szCs w:val="16"/>
              </w:rPr>
              <w:t>Exhibi</w:t>
            </w:r>
            <w:r>
              <w:rPr>
                <w:b/>
                <w:bCs/>
                <w:sz w:val="16"/>
                <w:szCs w:val="16"/>
              </w:rPr>
              <w:t>t</w:t>
            </w:r>
          </w:p>
          <w:p w:rsidR="00000000" w:rsidRDefault="00CF461A">
            <w:pPr>
              <w:pStyle w:val="a3"/>
              <w:spacing w:before="0" w:beforeAutospacing="0" w:after="0" w:afterAutospacing="0"/>
              <w:jc w:val="center"/>
              <w:rPr>
                <w:sz w:val="16"/>
                <w:szCs w:val="16"/>
              </w:rPr>
            </w:pPr>
            <w:r>
              <w:rPr>
                <w:b/>
                <w:bCs/>
                <w:sz w:val="16"/>
                <w:szCs w:val="16"/>
              </w:rPr>
              <w:t>Numbe</w:t>
            </w:r>
            <w:r>
              <w:rPr>
                <w:b/>
                <w:bCs/>
                <w:sz w:val="16"/>
                <w:szCs w:val="16"/>
              </w:rPr>
              <w:t>r</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center"/>
              <w:rPr>
                <w:sz w:val="16"/>
                <w:szCs w:val="16"/>
              </w:rPr>
            </w:pPr>
            <w:r>
              <w:rPr>
                <w:b/>
                <w:bCs/>
                <w:sz w:val="16"/>
                <w:szCs w:val="16"/>
              </w:rPr>
              <w:t>Descriptio</w:t>
            </w:r>
            <w:r>
              <w:rPr>
                <w:b/>
                <w:bCs/>
                <w:sz w:val="16"/>
                <w:szCs w:val="16"/>
              </w:rPr>
              <w:t>n</w:t>
            </w:r>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3.</w:t>
            </w:r>
            <w:r>
              <w:rPr>
                <w:sz w:val="18"/>
                <w:szCs w:val="18"/>
              </w:rPr>
              <w:t>1</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hyperlink r:id="rId5" w:history="1">
              <w:r>
                <w:rPr>
                  <w:rStyle w:val="a4"/>
                  <w:sz w:val="18"/>
                  <w:szCs w:val="18"/>
                </w:rPr>
                <w:t>Amended and Restated Certificate of Incorporation (incorporated herein by reference to Exhibit 3.1 to the Company’s Current Report on Form 8-K (File No. 001</w:t>
              </w:r>
              <w:r>
                <w:rPr>
                  <w:rStyle w:val="a4"/>
                  <w:sz w:val="18"/>
                  <w:szCs w:val="18"/>
                </w:rPr>
                <w:t>-38085), filed with the Commission on May 10, 2017)</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3.</w:t>
            </w:r>
            <w:r>
              <w:rPr>
                <w:sz w:val="18"/>
                <w:szCs w:val="18"/>
              </w:rPr>
              <w:t>2</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hyperlink r:id="rId6" w:history="1">
              <w:r>
                <w:rPr>
                  <w:rStyle w:val="a4"/>
                  <w:sz w:val="18"/>
                  <w:szCs w:val="18"/>
                </w:rPr>
                <w:t xml:space="preserve">Corrected Amended and Restated Certificate of Designation of Series A Convertible Preferred Stock (incorporated herein by reference to Exhibit 3.1 to the Company’s Current Report on Form 8-K (File No. 001-38085), filed with the Commission on September 24, </w:t>
              </w:r>
              <w:r>
                <w:rPr>
                  <w:rStyle w:val="a4"/>
                  <w:sz w:val="18"/>
                  <w:szCs w:val="18"/>
                </w:rPr>
                <w:t>2019)</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3.</w:t>
            </w:r>
            <w:r>
              <w:rPr>
                <w:sz w:val="18"/>
                <w:szCs w:val="18"/>
              </w:rPr>
              <w:t>3</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hyperlink r:id="rId7" w:history="1">
              <w:r>
                <w:rPr>
                  <w:rStyle w:val="a4"/>
                  <w:sz w:val="18"/>
                  <w:szCs w:val="18"/>
                </w:rPr>
                <w:t>Amended and Restated Bylaws (incorporated herein by reference to Exhibit 3.2 to the Company’s Current Report on Form 8-K (File No. 001-</w:t>
              </w:r>
              <w:r>
                <w:rPr>
                  <w:rStyle w:val="a4"/>
                  <w:sz w:val="18"/>
                  <w:szCs w:val="18"/>
                </w:rPr>
                <w:t>38085), filed with the Commission on May 10, 2017)</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4.</w:t>
            </w:r>
            <w:r>
              <w:rPr>
                <w:sz w:val="18"/>
                <w:szCs w:val="18"/>
              </w:rPr>
              <w:t>1</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hyperlink r:id="rId8" w:history="1">
              <w:r>
                <w:rPr>
                  <w:rStyle w:val="a4"/>
                  <w:sz w:val="18"/>
                  <w:szCs w:val="18"/>
                </w:rPr>
                <w:t>Form of Common Stock Certificate of the Company (incorporated herein by reference to Exhib</w:t>
              </w:r>
              <w:r>
                <w:rPr>
                  <w:rStyle w:val="a4"/>
                  <w:sz w:val="18"/>
                  <w:szCs w:val="18"/>
                </w:rPr>
                <w:t>it 4.1 to the Company’s Registration Statement on Form S-1/A (File No. 333-217245), filed with the Commission on April 25, 2017)</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4.</w:t>
            </w:r>
            <w:r>
              <w:rPr>
                <w:sz w:val="18"/>
                <w:szCs w:val="18"/>
              </w:rPr>
              <w:t>2</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hyperlink r:id="rId9" w:history="1">
              <w:r>
                <w:rPr>
                  <w:rStyle w:val="a4"/>
                  <w:sz w:val="18"/>
                  <w:szCs w:val="18"/>
                </w:rPr>
                <w:t>Form of Series A Preferred Stock Certificate (incorporated herein by reference to Exhibit 4.1 to the Company’s Current Report on Form 8-K (File No. 001-3808</w:t>
              </w:r>
              <w:r>
                <w:rPr>
                  <w:rStyle w:val="a4"/>
                  <w:sz w:val="18"/>
                  <w:szCs w:val="18"/>
                </w:rPr>
                <w:t>5), filed with the Commission on February 21, 2019)</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r>
      <w:tr w:rsidR="00000000">
        <w:trPr>
          <w:trHeight w:val="43"/>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4.</w:t>
            </w:r>
            <w:r>
              <w:rPr>
                <w:sz w:val="18"/>
                <w:szCs w:val="18"/>
              </w:rPr>
              <w:t>3</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hyperlink r:id="rId10" w:history="1">
              <w:r>
                <w:rPr>
                  <w:rStyle w:val="a4"/>
                  <w:sz w:val="18"/>
                  <w:szCs w:val="18"/>
                </w:rPr>
                <w:t>Second Amended and Restated Investors’ Rights Agreement, by and among the Company and cer</w:t>
              </w:r>
              <w:r>
                <w:rPr>
                  <w:rStyle w:val="a4"/>
                  <w:sz w:val="18"/>
                  <w:szCs w:val="18"/>
                </w:rPr>
                <w:t>tain of its stockholders, dated January 6, 2017 (incorporated herein by reference to Exhibit 4.2 to the Company’s Registration Statement on Form S-1 (File No. 333-217245), filed with the Commission on April 10, 2017)</w:t>
              </w:r>
              <w:r>
                <w:rPr>
                  <w:rStyle w:val="a4"/>
                  <w:sz w:val="18"/>
                  <w:szCs w:val="18"/>
                </w:rPr>
                <w:t>.</w:t>
              </w:r>
            </w:hyperlink>
          </w:p>
        </w:tc>
      </w:tr>
      <w:tr w:rsidR="00000000">
        <w:trPr>
          <w:trHeight w:val="43"/>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r>
      <w:tr w:rsidR="00000000">
        <w:trPr>
          <w:trHeight w:val="43"/>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10.1</w:t>
            </w:r>
            <w:r>
              <w:rPr>
                <w:sz w:val="18"/>
                <w:szCs w:val="18"/>
              </w:rPr>
              <w:t>+</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hyperlink r:id="rId11" w:history="1">
              <w:r>
                <w:rPr>
                  <w:rStyle w:val="a4"/>
                  <w:sz w:val="18"/>
                  <w:szCs w:val="18"/>
                </w:rPr>
                <w:t>Non-Employee Director Compensation Policy, effective May 5, 2022</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31.</w:t>
            </w:r>
            <w:r>
              <w:rPr>
                <w:sz w:val="18"/>
                <w:szCs w:val="18"/>
              </w:rPr>
              <w:t>1</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hyperlink r:id="rId12" w:history="1">
              <w:r>
                <w:rPr>
                  <w:rStyle w:val="a4"/>
                  <w:sz w:val="18"/>
                  <w:szCs w:val="18"/>
                </w:rPr>
                <w:t>Certification of Principal Executive Officer Pursuant to Rules 13a-14(a) and 15d-14(a) under the Securities Exchange Act of 1934, as Adopted Pursuant to Section 302 of the Sarbanes-Oxley Act of 2002</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31.</w:t>
            </w:r>
            <w:r>
              <w:rPr>
                <w:sz w:val="18"/>
                <w:szCs w:val="18"/>
              </w:rPr>
              <w:t>2</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hyperlink r:id="rId13" w:history="1">
              <w:r>
                <w:rPr>
                  <w:rStyle w:val="a4"/>
                  <w:sz w:val="18"/>
                  <w:szCs w:val="18"/>
                </w:rPr>
                <w:t>Certification of Principal Financial Officer Pursuant to Rules 13a-14(a) and 15d-14(a) under the Securities Exchange Act of 1934, as Adopted Pursuant to Section 302 of the Sarbanes-Oxley Act of 2002</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32.1</w:t>
            </w:r>
            <w:r>
              <w:rPr>
                <w:sz w:val="18"/>
                <w:szCs w:val="18"/>
              </w:rPr>
              <w:t>*</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hyperlink r:id="rId14" w:history="1">
              <w:r>
                <w:rPr>
                  <w:rStyle w:val="a4"/>
                  <w:sz w:val="18"/>
                  <w:szCs w:val="18"/>
                </w:rPr>
                <w:t>Certific</w:t>
              </w:r>
              <w:r>
                <w:rPr>
                  <w:rStyle w:val="a4"/>
                  <w:sz w:val="18"/>
                  <w:szCs w:val="18"/>
                </w:rPr>
                <w:t>ation of Principal Executive Officer and Principal Financial Officer Pursuant to 18 U.S.C. Section 1350, as Adopted Pursuant to Section 906 of the Sarbanes-Oxley Act of 2002</w:t>
              </w:r>
              <w:r>
                <w:rPr>
                  <w:rStyle w:val="a4"/>
                  <w:sz w:val="18"/>
                  <w:szCs w:val="18"/>
                </w:rPr>
                <w:t>.</w:t>
              </w:r>
            </w:hyperlink>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101.IN</w:t>
            </w:r>
            <w:r>
              <w:rPr>
                <w:sz w:val="18"/>
                <w:szCs w:val="18"/>
              </w:rPr>
              <w:t>S</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Inline XBRL Instance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101.SC</w:t>
            </w:r>
            <w:r>
              <w:rPr>
                <w:sz w:val="18"/>
                <w:szCs w:val="18"/>
              </w:rPr>
              <w:t>H</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Inline XBRL Taxonomy Extension Schema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101.CA</w:t>
            </w:r>
            <w:r>
              <w:rPr>
                <w:sz w:val="18"/>
                <w:szCs w:val="18"/>
              </w:rPr>
              <w:t>L</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Inline XBRL Taxonomy Extension Calculation Linkbase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101.DE</w:t>
            </w:r>
            <w:r>
              <w:rPr>
                <w:sz w:val="18"/>
                <w:szCs w:val="18"/>
              </w:rPr>
              <w:t>F</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Inline XBRL Taxonomy Extension Definition Linkbase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101.LA</w:t>
            </w:r>
            <w:r>
              <w:rPr>
                <w:sz w:val="18"/>
                <w:szCs w:val="18"/>
              </w:rPr>
              <w:t>B</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Inline XBRL Taxonomy Extension Label Linkbase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2"/>
                <w:szCs w:val="12"/>
              </w:rPr>
            </w:pPr>
            <w:r>
              <w:rPr>
                <w:sz w:val="12"/>
                <w:szCs w:val="12"/>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101.PR</w:t>
            </w:r>
            <w:r>
              <w:rPr>
                <w:sz w:val="18"/>
                <w:szCs w:val="18"/>
              </w:rPr>
              <w:t>E</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Inline XBRL Taxonomy Extension Presentation Linkbase Documen</w:t>
            </w:r>
            <w:r>
              <w:rPr>
                <w:sz w:val="18"/>
                <w:szCs w:val="18"/>
              </w:rPr>
              <w:t>t</w:t>
            </w:r>
          </w:p>
        </w:tc>
      </w:tr>
      <w:tr w:rsidR="00000000">
        <w:trPr>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jc w:val="center"/>
              <w:rPr>
                <w:sz w:val="18"/>
                <w:szCs w:val="18"/>
              </w:rPr>
            </w:pPr>
            <w:r>
              <w:rPr>
                <w:sz w:val="18"/>
                <w:szCs w:val="18"/>
              </w:rPr>
              <w:t>10</w:t>
            </w:r>
            <w:r>
              <w:rPr>
                <w:sz w:val="18"/>
                <w:szCs w:val="18"/>
              </w:rPr>
              <w:t>4</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Cover Page Interactive Data File (formatted as Inline XBRL and contained within Exhibit 101</w:t>
            </w:r>
            <w:r>
              <w:rPr>
                <w:sz w:val="18"/>
                <w:szCs w:val="18"/>
              </w:rPr>
              <w:t>)</w:t>
            </w:r>
          </w:p>
        </w:tc>
      </w:tr>
    </w:tbl>
    <w:p w:rsidR="00000000" w:rsidRDefault="00CF461A">
      <w:pPr>
        <w:pStyle w:val="a3"/>
        <w:pBdr>
          <w:bottom w:val="single" w:sz="4" w:space="1" w:color="auto"/>
        </w:pBdr>
        <w:spacing w:before="0" w:beforeAutospacing="0" w:after="0" w:afterAutospacing="0"/>
        <w:ind w:right="10239"/>
        <w:rPr>
          <w:sz w:val="20"/>
          <w:szCs w:val="20"/>
        </w:rPr>
      </w:pPr>
      <w:r>
        <w:rPr>
          <w:sz w:val="20"/>
          <w:szCs w:val="20"/>
        </w:rPr>
        <w:t> </w:t>
      </w:r>
    </w:p>
    <w:p w:rsidR="00000000" w:rsidRDefault="00CF461A">
      <w:pPr>
        <w:pStyle w:val="a3"/>
        <w:spacing w:before="40" w:beforeAutospacing="0" w:after="0" w:afterAutospacing="0"/>
        <w:ind w:hanging="422"/>
        <w:jc w:val="both"/>
        <w:rPr>
          <w:sz w:val="20"/>
          <w:szCs w:val="20"/>
        </w:rPr>
      </w:pPr>
      <w:r>
        <w:rPr>
          <w:sz w:val="18"/>
          <w:szCs w:val="18"/>
        </w:rPr>
        <w:t>+ Indicates a management contract or compensatory plan</w:t>
      </w:r>
      <w:r>
        <w:rPr>
          <w:sz w:val="18"/>
          <w:szCs w:val="18"/>
        </w:rPr>
        <w:t>.</w:t>
      </w:r>
    </w:p>
    <w:p w:rsidR="00000000" w:rsidRDefault="00CF461A">
      <w:pPr>
        <w:pStyle w:val="a3"/>
        <w:spacing w:before="40" w:beforeAutospacing="0" w:after="0" w:afterAutospacing="0"/>
        <w:ind w:hanging="422"/>
        <w:jc w:val="both"/>
        <w:rPr>
          <w:sz w:val="20"/>
          <w:szCs w:val="20"/>
        </w:rPr>
      </w:pPr>
      <w:r>
        <w:rPr>
          <w:sz w:val="18"/>
          <w:szCs w:val="18"/>
        </w:rPr>
        <w:t xml:space="preserve">* Furnished herewith and not deemed to be “filed” for purposes of Section 18 of the Securities Exchange </w:t>
      </w:r>
      <w:r>
        <w:rPr>
          <w:sz w:val="18"/>
          <w:szCs w:val="18"/>
        </w:rPr>
        <w:t>Act of 1934, as amended (the “Exchange Act”), and shall not be deemed to be incorporated by reference into any filing under the Securities Act of 1933, as amended, or the Exchange Act (whether made before or after the date of the Form 10-Q), irrespective o</w:t>
      </w:r>
      <w:r>
        <w:rPr>
          <w:sz w:val="18"/>
          <w:szCs w:val="18"/>
        </w:rPr>
        <w:t>f any general incorporation language contained in such filing</w:t>
      </w:r>
      <w:r>
        <w:rPr>
          <w:sz w:val="18"/>
          <w:szCs w:val="18"/>
        </w:rPr>
        <w:t>.</w:t>
      </w:r>
    </w:p>
    <w:p w:rsidR="00000000" w:rsidRDefault="00CF461A">
      <w:pPr>
        <w:pStyle w:val="a3"/>
        <w:spacing w:before="240" w:beforeAutospacing="0" w:after="0" w:afterAutospacing="0"/>
        <w:jc w:val="center"/>
        <w:rPr>
          <w:sz w:val="20"/>
          <w:szCs w:val="20"/>
        </w:rPr>
      </w:pPr>
      <w:r>
        <w:rPr>
          <w:sz w:val="18"/>
          <w:szCs w:val="18"/>
        </w:rPr>
        <w:t>5</w:t>
      </w:r>
      <w:r>
        <w:rPr>
          <w:sz w:val="18"/>
          <w:szCs w:val="18"/>
        </w:rPr>
        <w:t>4</w:t>
      </w:r>
    </w:p>
    <w:p w:rsidR="00000000" w:rsidRDefault="00CF461A">
      <w:pPr>
        <w:rPr>
          <w:rFonts w:eastAsia="Times New Roman"/>
        </w:rPr>
      </w:pPr>
      <w:r>
        <w:rPr>
          <w:rFonts w:eastAsia="Times New Roman"/>
        </w:rPr>
        <w:pict>
          <v:rect id="_x0000_i1080" style="width:0;height:1.5pt" o:hralign="center" o:hrstd="t" o:hr="t" fillcolor="#a0a0a0" stroked="f"/>
        </w:pict>
      </w:r>
    </w:p>
    <w:p w:rsidR="00000000" w:rsidRDefault="00CF461A">
      <w:pPr>
        <w:pStyle w:val="a3"/>
        <w:spacing w:before="0" w:beforeAutospacing="0" w:after="0" w:afterAutospacing="0"/>
        <w:rPr>
          <w:sz w:val="20"/>
          <w:szCs w:val="20"/>
        </w:rPr>
      </w:pPr>
      <w:r>
        <w:rPr>
          <w:sz w:val="18"/>
          <w:szCs w:val="18"/>
        </w:rPr>
        <w:t> </w:t>
      </w:r>
    </w:p>
    <w:p w:rsidR="00000000" w:rsidRDefault="00CF461A">
      <w:pPr>
        <w:pStyle w:val="a3"/>
        <w:spacing w:before="0" w:beforeAutospacing="0" w:after="0" w:afterAutospacing="0"/>
        <w:jc w:val="center"/>
        <w:rPr>
          <w:sz w:val="20"/>
          <w:szCs w:val="20"/>
        </w:rPr>
      </w:pPr>
      <w:r>
        <w:rPr>
          <w:b/>
          <w:bCs/>
          <w:sz w:val="18"/>
          <w:szCs w:val="18"/>
        </w:rPr>
        <w:t>SIGN</w:t>
      </w:r>
      <w:r>
        <w:rPr>
          <w:b/>
          <w:bCs/>
          <w:sz w:val="18"/>
          <w:szCs w:val="18"/>
        </w:rPr>
        <w:t>A</w:t>
      </w:r>
      <w:r>
        <w:rPr>
          <w:b/>
          <w:bCs/>
          <w:sz w:val="18"/>
          <w:szCs w:val="18"/>
        </w:rPr>
        <w:t>TURE</w:t>
      </w:r>
      <w:r>
        <w:rPr>
          <w:b/>
          <w:bCs/>
          <w:sz w:val="18"/>
          <w:szCs w:val="18"/>
        </w:rPr>
        <w:t>S</w:t>
      </w:r>
    </w:p>
    <w:p w:rsidR="00000000" w:rsidRDefault="00CF461A">
      <w:pPr>
        <w:pStyle w:val="a3"/>
        <w:spacing w:before="240" w:beforeAutospacing="0" w:after="0" w:afterAutospacing="0"/>
        <w:ind w:firstLine="555"/>
        <w:jc w:val="both"/>
        <w:rPr>
          <w:sz w:val="20"/>
          <w:szCs w:val="20"/>
        </w:rPr>
      </w:pPr>
      <w:r>
        <w:rPr>
          <w:sz w:val="18"/>
          <w:szCs w:val="18"/>
        </w:rPr>
        <w:t>Pursuant to the requirements of the Securities Exchange Act of 1934, the registrant has duly caused this report to be signed on its behalf by</w:t>
      </w:r>
      <w:r>
        <w:rPr>
          <w:sz w:val="18"/>
          <w:szCs w:val="18"/>
        </w:rPr>
        <w:t xml:space="preserve"> the undersigned thereunto duly authorized</w:t>
      </w:r>
      <w:r>
        <w:rPr>
          <w:sz w:val="18"/>
          <w:szCs w:val="18"/>
        </w:rPr>
        <w:t>.</w:t>
      </w:r>
    </w:p>
    <w:p w:rsidR="00000000" w:rsidRDefault="00CF461A">
      <w:pPr>
        <w:pStyle w:val="a3"/>
        <w:spacing w:before="0" w:beforeAutospacing="0" w:after="0" w:afterAutospacing="0"/>
        <w:rPr>
          <w:sz w:val="20"/>
          <w:szCs w:val="20"/>
        </w:rPr>
      </w:pPr>
      <w:r>
        <w:rPr>
          <w:sz w:val="18"/>
          <w:szCs w:val="18"/>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10"/>
        <w:gridCol w:w="119"/>
        <w:gridCol w:w="355"/>
        <w:gridCol w:w="111"/>
        <w:gridCol w:w="3611"/>
      </w:tblGrid>
      <w:tr w:rsidR="00000000">
        <w:trPr>
          <w:tblCellSpacing w:w="15" w:type="dxa"/>
        </w:trPr>
        <w:tc>
          <w:tcPr>
            <w:tcW w:w="2500" w:type="pct"/>
            <w:vAlign w:val="center"/>
            <w:hideMark/>
          </w:tcPr>
          <w:p w:rsidR="00000000" w:rsidRDefault="00CF461A">
            <w:pPr>
              <w:rPr>
                <w:sz w:val="20"/>
                <w:szCs w:val="20"/>
              </w:rPr>
            </w:pPr>
          </w:p>
        </w:tc>
        <w:tc>
          <w:tcPr>
            <w:tcW w:w="55" w:type="pct"/>
            <w:vAlign w:val="center"/>
            <w:hideMark/>
          </w:tcPr>
          <w:p w:rsidR="00000000" w:rsidRDefault="00CF461A">
            <w:pPr>
              <w:rPr>
                <w:rFonts w:eastAsia="Times New Roman"/>
                <w:sz w:val="20"/>
                <w:szCs w:val="20"/>
              </w:rPr>
            </w:pPr>
          </w:p>
        </w:tc>
        <w:tc>
          <w:tcPr>
            <w:tcW w:w="200" w:type="pct"/>
            <w:vAlign w:val="center"/>
            <w:hideMark/>
          </w:tcPr>
          <w:p w:rsidR="00000000" w:rsidRDefault="00CF461A">
            <w:pPr>
              <w:rPr>
                <w:rFonts w:eastAsia="Times New Roman"/>
                <w:sz w:val="20"/>
                <w:szCs w:val="20"/>
              </w:rPr>
            </w:pPr>
          </w:p>
        </w:tc>
        <w:tc>
          <w:tcPr>
            <w:tcW w:w="50" w:type="pct"/>
            <w:vAlign w:val="center"/>
            <w:hideMark/>
          </w:tcPr>
          <w:p w:rsidR="00000000" w:rsidRDefault="00CF461A">
            <w:pPr>
              <w:rPr>
                <w:rFonts w:eastAsia="Times New Roman"/>
                <w:sz w:val="20"/>
                <w:szCs w:val="20"/>
              </w:rPr>
            </w:pPr>
          </w:p>
        </w:tc>
        <w:tc>
          <w:tcPr>
            <w:tcW w:w="2194" w:type="pct"/>
            <w:vAlign w:val="center"/>
            <w:hideMark/>
          </w:tcPr>
          <w:p w:rsidR="00000000" w:rsidRDefault="00CF461A">
            <w:pPr>
              <w:rPr>
                <w:rFonts w:eastAsia="Times New Roman"/>
                <w:sz w:val="20"/>
                <w:szCs w:val="20"/>
              </w:rPr>
            </w:pPr>
          </w:p>
        </w:tc>
      </w:tr>
      <w:tr w:rsidR="00000000">
        <w:trPr>
          <w:trHeight w:val="180"/>
          <w:tblCellSpacing w:w="15" w:type="dxa"/>
        </w:trPr>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gridSpan w:val="3"/>
            <w:hideMark/>
          </w:tcPr>
          <w:p w:rsidR="00000000" w:rsidRDefault="00CF461A">
            <w:pPr>
              <w:pStyle w:val="a3"/>
              <w:spacing w:before="0" w:beforeAutospacing="0" w:after="0" w:afterAutospacing="0"/>
              <w:rPr>
                <w:sz w:val="18"/>
                <w:szCs w:val="18"/>
              </w:rPr>
            </w:pPr>
            <w:r>
              <w:rPr>
                <w:b/>
                <w:bCs/>
                <w:sz w:val="18"/>
                <w:szCs w:val="18"/>
              </w:rPr>
              <w:t>OVID THERAPEUTICS INC</w:t>
            </w:r>
            <w:r>
              <w:rPr>
                <w:b/>
                <w:bCs/>
                <w:sz w:val="18"/>
                <w:szCs w:val="18"/>
              </w:rPr>
              <w:t>.</w:t>
            </w:r>
          </w:p>
        </w:tc>
      </w:tr>
      <w:tr w:rsidR="00000000">
        <w:trPr>
          <w:tblCellSpacing w:w="15" w:type="dxa"/>
        </w:trPr>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CF461A">
            <w:pPr>
              <w:pStyle w:val="a3"/>
              <w:spacing w:before="0" w:beforeAutospacing="0" w:after="0" w:afterAutospacing="0"/>
              <w:rPr>
                <w:sz w:val="18"/>
                <w:szCs w:val="18"/>
              </w:rPr>
            </w:pPr>
            <w:r>
              <w:rPr>
                <w:sz w:val="18"/>
                <w:szCs w:val="18"/>
              </w:rPr>
              <w:t> </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Date: May 10, 202</w:t>
            </w:r>
            <w:r>
              <w:rPr>
                <w:sz w:val="18"/>
                <w:szCs w:val="18"/>
              </w:rPr>
              <w:t>2</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right"/>
              <w:rPr>
                <w:sz w:val="18"/>
                <w:szCs w:val="18"/>
              </w:rPr>
            </w:pPr>
            <w:r>
              <w:rPr>
                <w:sz w:val="18"/>
                <w:szCs w:val="18"/>
              </w:rPr>
              <w:t>By</w:t>
            </w:r>
            <w:r>
              <w:rPr>
                <w:sz w:val="18"/>
                <w:szCs w:val="18"/>
              </w:rPr>
              <w:t>:</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/s/ Jeremy M. Levi</w:t>
            </w:r>
            <w:r>
              <w:rPr>
                <w:sz w:val="18"/>
                <w:szCs w:val="18"/>
              </w:rPr>
              <w:t>n</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Jeremy M. Levi</w:t>
            </w:r>
            <w:r>
              <w:rPr>
                <w:sz w:val="18"/>
                <w:szCs w:val="18"/>
              </w:rPr>
              <w:t>n</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Chief Executive Office</w:t>
            </w:r>
            <w:r>
              <w:rPr>
                <w:sz w:val="18"/>
                <w:szCs w:val="18"/>
              </w:rPr>
              <w:t>r</w:t>
            </w:r>
          </w:p>
          <w:p w:rsidR="00000000" w:rsidRDefault="00CF461A">
            <w:pPr>
              <w:pStyle w:val="a3"/>
              <w:spacing w:before="0" w:beforeAutospacing="0" w:after="0" w:afterAutospacing="0"/>
              <w:rPr>
                <w:sz w:val="18"/>
                <w:szCs w:val="18"/>
              </w:rPr>
            </w:pPr>
            <w:r>
              <w:rPr>
                <w:sz w:val="18"/>
                <w:szCs w:val="18"/>
              </w:rPr>
              <w:t>(Principal Executive Officer</w:t>
            </w:r>
            <w:r>
              <w:rPr>
                <w:sz w:val="18"/>
                <w:szCs w:val="18"/>
              </w:rPr>
              <w:t>)</w:t>
            </w:r>
          </w:p>
        </w:tc>
      </w:tr>
      <w:tr w:rsidR="00000000">
        <w:trPr>
          <w:trHeight w:val="180"/>
          <w:tblCellSpacing w:w="15" w:type="dxa"/>
        </w:trPr>
        <w:tc>
          <w:tcPr>
            <w:tcW w:w="0" w:type="auto"/>
            <w:tcMar>
              <w:top w:w="14" w:type="dxa"/>
              <w:left w:w="15" w:type="dxa"/>
              <w:bottom w:w="15" w:type="dxa"/>
              <w:right w:w="14" w:type="dxa"/>
            </w:tcMar>
            <w:vAlign w:val="center"/>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right"/>
              <w:rPr>
                <w:sz w:val="18"/>
                <w:szCs w:val="18"/>
              </w:rPr>
            </w:pPr>
            <w:r>
              <w:rPr>
                <w:sz w:val="18"/>
                <w:szCs w:val="18"/>
              </w:rPr>
              <w:t> </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r>
      <w:tr w:rsidR="00000000">
        <w:trPr>
          <w:trHeight w:val="274"/>
          <w:tblCellSpacing w:w="15" w:type="dxa"/>
        </w:trPr>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Date: May 10, 202</w:t>
            </w:r>
            <w:r>
              <w:rPr>
                <w:sz w:val="18"/>
                <w:szCs w:val="18"/>
              </w:rPr>
              <w:t>2</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jc w:val="right"/>
              <w:rPr>
                <w:sz w:val="18"/>
                <w:szCs w:val="18"/>
              </w:rPr>
            </w:pPr>
            <w:r>
              <w:rPr>
                <w:sz w:val="18"/>
                <w:szCs w:val="18"/>
              </w:rPr>
              <w:t>By</w:t>
            </w:r>
            <w:r>
              <w:rPr>
                <w:sz w:val="18"/>
                <w:szCs w:val="18"/>
              </w:rPr>
              <w:t>:</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/s/ Jeffrey Ron</w:t>
            </w:r>
            <w:r>
              <w:rPr>
                <w:sz w:val="18"/>
                <w:szCs w:val="18"/>
              </w:rPr>
              <w:t>a</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Jeffrey Ron</w:t>
            </w:r>
            <w:r>
              <w:rPr>
                <w:sz w:val="18"/>
                <w:szCs w:val="18"/>
              </w:rPr>
              <w:t>a</w:t>
            </w:r>
          </w:p>
        </w:tc>
      </w:tr>
      <w:tr w:rsidR="00000000">
        <w:trPr>
          <w:trHeight w:val="180"/>
          <w:tblCellSpacing w:w="15" w:type="dxa"/>
        </w:trPr>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 </w:t>
            </w:r>
          </w:p>
        </w:tc>
        <w:tc>
          <w:tcPr>
            <w:tcW w:w="0" w:type="auto"/>
            <w:hideMark/>
          </w:tcPr>
          <w:p w:rsidR="00000000" w:rsidRDefault="00CF461A">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vAlign w:val="bottom"/>
            <w:hideMark/>
          </w:tcPr>
          <w:p w:rsidR="00000000" w:rsidRDefault="00CF461A">
            <w:pPr>
              <w:pStyle w:val="a3"/>
              <w:spacing w:before="0" w:beforeAutospacing="0" w:after="0" w:afterAutospacing="0"/>
              <w:rPr>
                <w:sz w:val="18"/>
                <w:szCs w:val="18"/>
              </w:rPr>
            </w:pPr>
            <w:r>
              <w:rPr>
                <w:sz w:val="18"/>
                <w:szCs w:val="18"/>
              </w:rPr>
              <w:t>Chief Business and Finance Office</w:t>
            </w:r>
            <w:r>
              <w:rPr>
                <w:sz w:val="18"/>
                <w:szCs w:val="18"/>
              </w:rPr>
              <w:t>r</w:t>
            </w:r>
          </w:p>
          <w:p w:rsidR="00000000" w:rsidRDefault="00CF461A">
            <w:pPr>
              <w:pStyle w:val="a3"/>
              <w:spacing w:before="0" w:beforeAutospacing="0" w:after="0" w:afterAutospacing="0"/>
              <w:rPr>
                <w:sz w:val="18"/>
                <w:szCs w:val="18"/>
              </w:rPr>
            </w:pPr>
            <w:r>
              <w:rPr>
                <w:sz w:val="18"/>
                <w:szCs w:val="18"/>
              </w:rPr>
              <w:t>(Principal Financial and Accounting Officer</w:t>
            </w:r>
            <w:r>
              <w:rPr>
                <w:sz w:val="18"/>
                <w:szCs w:val="18"/>
              </w:rPr>
              <w:t>)</w:t>
            </w:r>
          </w:p>
        </w:tc>
      </w:tr>
    </w:tbl>
    <w:p w:rsidR="00000000" w:rsidRDefault="00CF461A">
      <w:pPr>
        <w:pStyle w:val="a3"/>
        <w:spacing w:before="0" w:beforeAutospacing="0" w:after="0" w:afterAutospacing="0"/>
        <w:rPr>
          <w:sz w:val="20"/>
          <w:szCs w:val="20"/>
        </w:rPr>
      </w:pPr>
      <w:r>
        <w:rPr>
          <w:sz w:val="20"/>
          <w:szCs w:val="20"/>
        </w:rPr>
        <w:t> </w:t>
      </w:r>
    </w:p>
    <w:p w:rsidR="00000000" w:rsidRDefault="00CF461A">
      <w:pPr>
        <w:pStyle w:val="a3"/>
        <w:spacing w:before="0" w:beforeAutospacing="0" w:after="0" w:afterAutospacing="0"/>
        <w:rPr>
          <w:sz w:val="20"/>
          <w:szCs w:val="20"/>
        </w:rPr>
      </w:pPr>
      <w:r>
        <w:rPr>
          <w:sz w:val="20"/>
          <w:szCs w:val="20"/>
        </w:rPr>
        <w:t> </w:t>
      </w:r>
    </w:p>
    <w:p w:rsidR="00CF461A" w:rsidRDefault="00CF461A">
      <w:pPr>
        <w:rPr>
          <w:rFonts w:eastAsia="Times New Roman"/>
        </w:rPr>
      </w:pPr>
      <w:r>
        <w:rPr>
          <w:rFonts w:eastAsia="Times New Roman"/>
        </w:rPr>
        <w:pict>
          <v:rect id="_x0000_i1081" style="width:0;height:1.5pt" o:hralign="center" o:hrstd="t" o:hr="t" fillcolor="#a0a0a0" stroked="f"/>
        </w:pict>
      </w:r>
    </w:p>
    <w:sectPr w:rsidR="00CF461A">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F461A"/>
    <w:rsid w:val="00CF461A"/>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1q4"/>
  <w:attachedSchema w:val="http://fasb.org/us-gaap/2021-01-31"/>
  <w:attachedSchema w:val="http://www.xbrl.org/2003/iso4217"/>
  <w:attachedSchema w:val="http://www.xbrl.org/dtr/type/2020-01-21"/>
  <w:attachedSchema w:val="http://fasb.org/srt/2021-01-31"/>
  <w:attachedSchema w:val="http://www.ovidrx.com/20220331"/>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84">
      <w:marLeft w:val="4"/>
      <w:marRight w:val="0"/>
      <w:marTop w:val="120"/>
      <w:marBottom w:val="0"/>
      <w:divBdr>
        <w:top w:val="none" w:sz="0" w:space="0" w:color="auto"/>
        <w:left w:val="none" w:sz="0" w:space="0" w:color="auto"/>
        <w:bottom w:val="none" w:sz="0" w:space="0" w:color="auto"/>
        <w:right w:val="none" w:sz="0" w:space="0" w:color="auto"/>
      </w:divBdr>
      <w:divsChild>
        <w:div w:id="485168056">
          <w:marLeft w:val="0"/>
          <w:marRight w:val="0"/>
          <w:marTop w:val="0"/>
          <w:marBottom w:val="0"/>
          <w:divBdr>
            <w:top w:val="none" w:sz="0" w:space="0" w:color="auto"/>
            <w:left w:val="none" w:sz="0" w:space="0" w:color="auto"/>
            <w:bottom w:val="none" w:sz="0" w:space="0" w:color="auto"/>
            <w:right w:val="none" w:sz="0" w:space="0" w:color="auto"/>
          </w:divBdr>
        </w:div>
      </w:divsChild>
    </w:div>
    <w:div w:id="2249802">
      <w:marLeft w:val="4"/>
      <w:marRight w:val="0"/>
      <w:marTop w:val="120"/>
      <w:marBottom w:val="0"/>
      <w:divBdr>
        <w:top w:val="none" w:sz="0" w:space="0" w:color="auto"/>
        <w:left w:val="none" w:sz="0" w:space="0" w:color="auto"/>
        <w:bottom w:val="none" w:sz="0" w:space="0" w:color="auto"/>
        <w:right w:val="none" w:sz="0" w:space="0" w:color="auto"/>
      </w:divBdr>
      <w:divsChild>
        <w:div w:id="1327245081">
          <w:marLeft w:val="0"/>
          <w:marRight w:val="0"/>
          <w:marTop w:val="0"/>
          <w:marBottom w:val="0"/>
          <w:divBdr>
            <w:top w:val="none" w:sz="0" w:space="0" w:color="auto"/>
            <w:left w:val="none" w:sz="0" w:space="0" w:color="auto"/>
            <w:bottom w:val="none" w:sz="0" w:space="0" w:color="auto"/>
            <w:right w:val="none" w:sz="0" w:space="0" w:color="auto"/>
          </w:divBdr>
        </w:div>
      </w:divsChild>
    </w:div>
    <w:div w:id="24212481">
      <w:marLeft w:val="4"/>
      <w:marRight w:val="0"/>
      <w:marTop w:val="120"/>
      <w:marBottom w:val="0"/>
      <w:divBdr>
        <w:top w:val="none" w:sz="0" w:space="0" w:color="auto"/>
        <w:left w:val="none" w:sz="0" w:space="0" w:color="auto"/>
        <w:bottom w:val="none" w:sz="0" w:space="0" w:color="auto"/>
        <w:right w:val="none" w:sz="0" w:space="0" w:color="auto"/>
      </w:divBdr>
      <w:divsChild>
        <w:div w:id="2092121492">
          <w:marLeft w:val="0"/>
          <w:marRight w:val="0"/>
          <w:marTop w:val="0"/>
          <w:marBottom w:val="0"/>
          <w:divBdr>
            <w:top w:val="none" w:sz="0" w:space="0" w:color="auto"/>
            <w:left w:val="none" w:sz="0" w:space="0" w:color="auto"/>
            <w:bottom w:val="none" w:sz="0" w:space="0" w:color="auto"/>
            <w:right w:val="none" w:sz="0" w:space="0" w:color="auto"/>
          </w:divBdr>
        </w:div>
      </w:divsChild>
    </w:div>
    <w:div w:id="26101774">
      <w:marLeft w:val="0"/>
      <w:marRight w:val="0"/>
      <w:marTop w:val="0"/>
      <w:marBottom w:val="0"/>
      <w:divBdr>
        <w:top w:val="none" w:sz="0" w:space="0" w:color="auto"/>
        <w:left w:val="none" w:sz="0" w:space="0" w:color="auto"/>
        <w:bottom w:val="none" w:sz="0" w:space="0" w:color="auto"/>
        <w:right w:val="none" w:sz="0" w:space="0" w:color="auto"/>
      </w:divBdr>
      <w:divsChild>
        <w:div w:id="1891185207">
          <w:marLeft w:val="0"/>
          <w:marRight w:val="0"/>
          <w:marTop w:val="0"/>
          <w:marBottom w:val="0"/>
          <w:divBdr>
            <w:top w:val="none" w:sz="0" w:space="0" w:color="auto"/>
            <w:left w:val="none" w:sz="0" w:space="0" w:color="auto"/>
            <w:bottom w:val="none" w:sz="0" w:space="0" w:color="auto"/>
            <w:right w:val="none" w:sz="0" w:space="0" w:color="auto"/>
          </w:divBdr>
        </w:div>
      </w:divsChild>
    </w:div>
    <w:div w:id="27147662">
      <w:marLeft w:val="4"/>
      <w:marRight w:val="0"/>
      <w:marTop w:val="120"/>
      <w:marBottom w:val="0"/>
      <w:divBdr>
        <w:top w:val="none" w:sz="0" w:space="0" w:color="auto"/>
        <w:left w:val="none" w:sz="0" w:space="0" w:color="auto"/>
        <w:bottom w:val="none" w:sz="0" w:space="0" w:color="auto"/>
        <w:right w:val="none" w:sz="0" w:space="0" w:color="auto"/>
      </w:divBdr>
      <w:divsChild>
        <w:div w:id="161047495">
          <w:marLeft w:val="0"/>
          <w:marRight w:val="0"/>
          <w:marTop w:val="0"/>
          <w:marBottom w:val="0"/>
          <w:divBdr>
            <w:top w:val="none" w:sz="0" w:space="0" w:color="auto"/>
            <w:left w:val="none" w:sz="0" w:space="0" w:color="auto"/>
            <w:bottom w:val="none" w:sz="0" w:space="0" w:color="auto"/>
            <w:right w:val="none" w:sz="0" w:space="0" w:color="auto"/>
          </w:divBdr>
        </w:div>
      </w:divsChild>
    </w:div>
    <w:div w:id="30960202">
      <w:marLeft w:val="4"/>
      <w:marRight w:val="0"/>
      <w:marTop w:val="120"/>
      <w:marBottom w:val="0"/>
      <w:divBdr>
        <w:top w:val="none" w:sz="0" w:space="0" w:color="auto"/>
        <w:left w:val="none" w:sz="0" w:space="0" w:color="auto"/>
        <w:bottom w:val="none" w:sz="0" w:space="0" w:color="auto"/>
        <w:right w:val="none" w:sz="0" w:space="0" w:color="auto"/>
      </w:divBdr>
      <w:divsChild>
        <w:div w:id="415135078">
          <w:marLeft w:val="0"/>
          <w:marRight w:val="0"/>
          <w:marTop w:val="0"/>
          <w:marBottom w:val="0"/>
          <w:divBdr>
            <w:top w:val="none" w:sz="0" w:space="0" w:color="auto"/>
            <w:left w:val="none" w:sz="0" w:space="0" w:color="auto"/>
            <w:bottom w:val="none" w:sz="0" w:space="0" w:color="auto"/>
            <w:right w:val="none" w:sz="0" w:space="0" w:color="auto"/>
          </w:divBdr>
        </w:div>
      </w:divsChild>
    </w:div>
    <w:div w:id="33314376">
      <w:marLeft w:val="4"/>
      <w:marRight w:val="0"/>
      <w:marTop w:val="120"/>
      <w:marBottom w:val="0"/>
      <w:divBdr>
        <w:top w:val="none" w:sz="0" w:space="0" w:color="auto"/>
        <w:left w:val="none" w:sz="0" w:space="0" w:color="auto"/>
        <w:bottom w:val="none" w:sz="0" w:space="0" w:color="auto"/>
        <w:right w:val="none" w:sz="0" w:space="0" w:color="auto"/>
      </w:divBdr>
      <w:divsChild>
        <w:div w:id="245380290">
          <w:marLeft w:val="0"/>
          <w:marRight w:val="0"/>
          <w:marTop w:val="0"/>
          <w:marBottom w:val="0"/>
          <w:divBdr>
            <w:top w:val="none" w:sz="0" w:space="0" w:color="auto"/>
            <w:left w:val="none" w:sz="0" w:space="0" w:color="auto"/>
            <w:bottom w:val="none" w:sz="0" w:space="0" w:color="auto"/>
            <w:right w:val="none" w:sz="0" w:space="0" w:color="auto"/>
          </w:divBdr>
        </w:div>
      </w:divsChild>
    </w:div>
    <w:div w:id="54664490">
      <w:marLeft w:val="4"/>
      <w:marRight w:val="0"/>
      <w:marTop w:val="120"/>
      <w:marBottom w:val="0"/>
      <w:divBdr>
        <w:top w:val="none" w:sz="0" w:space="0" w:color="auto"/>
        <w:left w:val="none" w:sz="0" w:space="0" w:color="auto"/>
        <w:bottom w:val="none" w:sz="0" w:space="0" w:color="auto"/>
        <w:right w:val="none" w:sz="0" w:space="0" w:color="auto"/>
      </w:divBdr>
      <w:divsChild>
        <w:div w:id="830096792">
          <w:marLeft w:val="0"/>
          <w:marRight w:val="0"/>
          <w:marTop w:val="0"/>
          <w:marBottom w:val="0"/>
          <w:divBdr>
            <w:top w:val="none" w:sz="0" w:space="0" w:color="auto"/>
            <w:left w:val="none" w:sz="0" w:space="0" w:color="auto"/>
            <w:bottom w:val="none" w:sz="0" w:space="0" w:color="auto"/>
            <w:right w:val="none" w:sz="0" w:space="0" w:color="auto"/>
          </w:divBdr>
        </w:div>
      </w:divsChild>
    </w:div>
    <w:div w:id="55858591">
      <w:marLeft w:val="4"/>
      <w:marRight w:val="0"/>
      <w:marTop w:val="120"/>
      <w:marBottom w:val="0"/>
      <w:divBdr>
        <w:top w:val="none" w:sz="0" w:space="0" w:color="auto"/>
        <w:left w:val="none" w:sz="0" w:space="0" w:color="auto"/>
        <w:bottom w:val="none" w:sz="0" w:space="0" w:color="auto"/>
        <w:right w:val="none" w:sz="0" w:space="0" w:color="auto"/>
      </w:divBdr>
      <w:divsChild>
        <w:div w:id="67464356">
          <w:marLeft w:val="0"/>
          <w:marRight w:val="0"/>
          <w:marTop w:val="0"/>
          <w:marBottom w:val="0"/>
          <w:divBdr>
            <w:top w:val="none" w:sz="0" w:space="0" w:color="auto"/>
            <w:left w:val="none" w:sz="0" w:space="0" w:color="auto"/>
            <w:bottom w:val="none" w:sz="0" w:space="0" w:color="auto"/>
            <w:right w:val="none" w:sz="0" w:space="0" w:color="auto"/>
          </w:divBdr>
        </w:div>
      </w:divsChild>
    </w:div>
    <w:div w:id="57242402">
      <w:marLeft w:val="4"/>
      <w:marRight w:val="0"/>
      <w:marTop w:val="120"/>
      <w:marBottom w:val="0"/>
      <w:divBdr>
        <w:top w:val="none" w:sz="0" w:space="0" w:color="auto"/>
        <w:left w:val="none" w:sz="0" w:space="0" w:color="auto"/>
        <w:bottom w:val="none" w:sz="0" w:space="0" w:color="auto"/>
        <w:right w:val="none" w:sz="0" w:space="0" w:color="auto"/>
      </w:divBdr>
      <w:divsChild>
        <w:div w:id="592511767">
          <w:marLeft w:val="0"/>
          <w:marRight w:val="0"/>
          <w:marTop w:val="0"/>
          <w:marBottom w:val="0"/>
          <w:divBdr>
            <w:top w:val="none" w:sz="0" w:space="0" w:color="auto"/>
            <w:left w:val="none" w:sz="0" w:space="0" w:color="auto"/>
            <w:bottom w:val="none" w:sz="0" w:space="0" w:color="auto"/>
            <w:right w:val="none" w:sz="0" w:space="0" w:color="auto"/>
          </w:divBdr>
        </w:div>
      </w:divsChild>
    </w:div>
    <w:div w:id="68768379">
      <w:marLeft w:val="4"/>
      <w:marRight w:val="0"/>
      <w:marTop w:val="120"/>
      <w:marBottom w:val="0"/>
      <w:divBdr>
        <w:top w:val="none" w:sz="0" w:space="0" w:color="auto"/>
        <w:left w:val="none" w:sz="0" w:space="0" w:color="auto"/>
        <w:bottom w:val="none" w:sz="0" w:space="0" w:color="auto"/>
        <w:right w:val="none" w:sz="0" w:space="0" w:color="auto"/>
      </w:divBdr>
      <w:divsChild>
        <w:div w:id="785466246">
          <w:marLeft w:val="0"/>
          <w:marRight w:val="0"/>
          <w:marTop w:val="0"/>
          <w:marBottom w:val="0"/>
          <w:divBdr>
            <w:top w:val="none" w:sz="0" w:space="0" w:color="auto"/>
            <w:left w:val="none" w:sz="0" w:space="0" w:color="auto"/>
            <w:bottom w:val="none" w:sz="0" w:space="0" w:color="auto"/>
            <w:right w:val="none" w:sz="0" w:space="0" w:color="auto"/>
          </w:divBdr>
        </w:div>
      </w:divsChild>
    </w:div>
    <w:div w:id="72048479">
      <w:marLeft w:val="0"/>
      <w:marRight w:val="0"/>
      <w:marTop w:val="0"/>
      <w:marBottom w:val="0"/>
      <w:divBdr>
        <w:top w:val="none" w:sz="0" w:space="0" w:color="auto"/>
        <w:left w:val="none" w:sz="0" w:space="0" w:color="auto"/>
        <w:bottom w:val="none" w:sz="0" w:space="0" w:color="auto"/>
        <w:right w:val="none" w:sz="0" w:space="0" w:color="auto"/>
      </w:divBdr>
      <w:divsChild>
        <w:div w:id="1501312601">
          <w:marLeft w:val="0"/>
          <w:marRight w:val="0"/>
          <w:marTop w:val="0"/>
          <w:marBottom w:val="0"/>
          <w:divBdr>
            <w:top w:val="none" w:sz="0" w:space="0" w:color="auto"/>
            <w:left w:val="none" w:sz="0" w:space="0" w:color="auto"/>
            <w:bottom w:val="none" w:sz="0" w:space="0" w:color="auto"/>
            <w:right w:val="none" w:sz="0" w:space="0" w:color="auto"/>
          </w:divBdr>
        </w:div>
        <w:div w:id="399059115">
          <w:marLeft w:val="0"/>
          <w:marRight w:val="0"/>
          <w:marTop w:val="0"/>
          <w:marBottom w:val="0"/>
          <w:divBdr>
            <w:top w:val="none" w:sz="0" w:space="0" w:color="auto"/>
            <w:left w:val="none" w:sz="0" w:space="0" w:color="auto"/>
            <w:bottom w:val="none" w:sz="0" w:space="0" w:color="auto"/>
            <w:right w:val="none" w:sz="0" w:space="0" w:color="auto"/>
          </w:divBdr>
        </w:div>
        <w:div w:id="1040204711">
          <w:marLeft w:val="0"/>
          <w:marRight w:val="0"/>
          <w:marTop w:val="0"/>
          <w:marBottom w:val="0"/>
          <w:divBdr>
            <w:top w:val="none" w:sz="0" w:space="0" w:color="auto"/>
            <w:left w:val="none" w:sz="0" w:space="0" w:color="auto"/>
            <w:bottom w:val="none" w:sz="0" w:space="0" w:color="auto"/>
            <w:right w:val="none" w:sz="0" w:space="0" w:color="auto"/>
          </w:divBdr>
        </w:div>
        <w:div w:id="1879777649">
          <w:marLeft w:val="0"/>
          <w:marRight w:val="0"/>
          <w:marTop w:val="0"/>
          <w:marBottom w:val="0"/>
          <w:divBdr>
            <w:top w:val="none" w:sz="0" w:space="0" w:color="auto"/>
            <w:left w:val="none" w:sz="0" w:space="0" w:color="auto"/>
            <w:bottom w:val="none" w:sz="0" w:space="0" w:color="auto"/>
            <w:right w:val="none" w:sz="0" w:space="0" w:color="auto"/>
          </w:divBdr>
        </w:div>
        <w:div w:id="197090519">
          <w:marLeft w:val="0"/>
          <w:marRight w:val="0"/>
          <w:marTop w:val="0"/>
          <w:marBottom w:val="0"/>
          <w:divBdr>
            <w:top w:val="none" w:sz="0" w:space="0" w:color="auto"/>
            <w:left w:val="none" w:sz="0" w:space="0" w:color="auto"/>
            <w:bottom w:val="none" w:sz="0" w:space="0" w:color="auto"/>
            <w:right w:val="none" w:sz="0" w:space="0" w:color="auto"/>
          </w:divBdr>
        </w:div>
        <w:div w:id="938369481">
          <w:marLeft w:val="0"/>
          <w:marRight w:val="0"/>
          <w:marTop w:val="0"/>
          <w:marBottom w:val="0"/>
          <w:divBdr>
            <w:top w:val="none" w:sz="0" w:space="0" w:color="auto"/>
            <w:left w:val="none" w:sz="0" w:space="0" w:color="auto"/>
            <w:bottom w:val="none" w:sz="0" w:space="0" w:color="auto"/>
            <w:right w:val="none" w:sz="0" w:space="0" w:color="auto"/>
          </w:divBdr>
        </w:div>
        <w:div w:id="1944411859">
          <w:marLeft w:val="0"/>
          <w:marRight w:val="0"/>
          <w:marTop w:val="0"/>
          <w:marBottom w:val="0"/>
          <w:divBdr>
            <w:top w:val="none" w:sz="0" w:space="0" w:color="auto"/>
            <w:left w:val="none" w:sz="0" w:space="0" w:color="auto"/>
            <w:bottom w:val="none" w:sz="0" w:space="0" w:color="auto"/>
            <w:right w:val="none" w:sz="0" w:space="0" w:color="auto"/>
          </w:divBdr>
          <w:divsChild>
            <w:div w:id="955989639">
              <w:marLeft w:val="4"/>
              <w:marRight w:val="0"/>
              <w:marTop w:val="120"/>
              <w:marBottom w:val="0"/>
              <w:divBdr>
                <w:top w:val="none" w:sz="0" w:space="0" w:color="auto"/>
                <w:left w:val="none" w:sz="0" w:space="0" w:color="auto"/>
                <w:bottom w:val="none" w:sz="0" w:space="0" w:color="auto"/>
                <w:right w:val="none" w:sz="0" w:space="0" w:color="auto"/>
              </w:divBdr>
              <w:divsChild>
                <w:div w:id="1970084173">
                  <w:marLeft w:val="0"/>
                  <w:marRight w:val="0"/>
                  <w:marTop w:val="0"/>
                  <w:marBottom w:val="0"/>
                  <w:divBdr>
                    <w:top w:val="none" w:sz="0" w:space="0" w:color="auto"/>
                    <w:left w:val="none" w:sz="0" w:space="0" w:color="auto"/>
                    <w:bottom w:val="none" w:sz="0" w:space="0" w:color="auto"/>
                    <w:right w:val="none" w:sz="0" w:space="0" w:color="auto"/>
                  </w:divBdr>
                </w:div>
              </w:divsChild>
            </w:div>
            <w:div w:id="1333875566">
              <w:marLeft w:val="4"/>
              <w:marRight w:val="0"/>
              <w:marTop w:val="120"/>
              <w:marBottom w:val="0"/>
              <w:divBdr>
                <w:top w:val="none" w:sz="0" w:space="0" w:color="auto"/>
                <w:left w:val="none" w:sz="0" w:space="0" w:color="auto"/>
                <w:bottom w:val="none" w:sz="0" w:space="0" w:color="auto"/>
                <w:right w:val="none" w:sz="0" w:space="0" w:color="auto"/>
              </w:divBdr>
              <w:divsChild>
                <w:div w:id="1783652407">
                  <w:marLeft w:val="0"/>
                  <w:marRight w:val="0"/>
                  <w:marTop w:val="0"/>
                  <w:marBottom w:val="0"/>
                  <w:divBdr>
                    <w:top w:val="none" w:sz="0" w:space="0" w:color="auto"/>
                    <w:left w:val="none" w:sz="0" w:space="0" w:color="auto"/>
                    <w:bottom w:val="none" w:sz="0" w:space="0" w:color="auto"/>
                    <w:right w:val="none" w:sz="0" w:space="0" w:color="auto"/>
                  </w:divBdr>
                </w:div>
              </w:divsChild>
            </w:div>
            <w:div w:id="420688285">
              <w:marLeft w:val="4"/>
              <w:marRight w:val="0"/>
              <w:marTop w:val="120"/>
              <w:marBottom w:val="0"/>
              <w:divBdr>
                <w:top w:val="none" w:sz="0" w:space="0" w:color="auto"/>
                <w:left w:val="none" w:sz="0" w:space="0" w:color="auto"/>
                <w:bottom w:val="none" w:sz="0" w:space="0" w:color="auto"/>
                <w:right w:val="none" w:sz="0" w:space="0" w:color="auto"/>
              </w:divBdr>
              <w:divsChild>
                <w:div w:id="12199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950">
          <w:marLeft w:val="0"/>
          <w:marRight w:val="0"/>
          <w:marTop w:val="0"/>
          <w:marBottom w:val="0"/>
          <w:divBdr>
            <w:top w:val="none" w:sz="0" w:space="0" w:color="auto"/>
            <w:left w:val="none" w:sz="0" w:space="0" w:color="auto"/>
            <w:bottom w:val="none" w:sz="0" w:space="0" w:color="auto"/>
            <w:right w:val="none" w:sz="0" w:space="0" w:color="auto"/>
          </w:divBdr>
        </w:div>
        <w:div w:id="23136745">
          <w:marLeft w:val="0"/>
          <w:marRight w:val="0"/>
          <w:marTop w:val="0"/>
          <w:marBottom w:val="0"/>
          <w:divBdr>
            <w:top w:val="none" w:sz="0" w:space="0" w:color="auto"/>
            <w:left w:val="none" w:sz="0" w:space="0" w:color="auto"/>
            <w:bottom w:val="none" w:sz="0" w:space="0" w:color="auto"/>
            <w:right w:val="none" w:sz="0" w:space="0" w:color="auto"/>
          </w:divBdr>
        </w:div>
        <w:div w:id="1034765842">
          <w:marLeft w:val="0"/>
          <w:marRight w:val="0"/>
          <w:marTop w:val="0"/>
          <w:marBottom w:val="0"/>
          <w:divBdr>
            <w:top w:val="none" w:sz="0" w:space="0" w:color="auto"/>
            <w:left w:val="none" w:sz="0" w:space="0" w:color="auto"/>
            <w:bottom w:val="none" w:sz="0" w:space="0" w:color="auto"/>
            <w:right w:val="none" w:sz="0" w:space="0" w:color="auto"/>
          </w:divBdr>
        </w:div>
        <w:div w:id="1126894723">
          <w:marLeft w:val="0"/>
          <w:marRight w:val="0"/>
          <w:marTop w:val="0"/>
          <w:marBottom w:val="0"/>
          <w:divBdr>
            <w:top w:val="none" w:sz="0" w:space="0" w:color="auto"/>
            <w:left w:val="none" w:sz="0" w:space="0" w:color="auto"/>
            <w:bottom w:val="none" w:sz="0" w:space="0" w:color="auto"/>
            <w:right w:val="none" w:sz="0" w:space="0" w:color="auto"/>
          </w:divBdr>
        </w:div>
      </w:divsChild>
    </w:div>
    <w:div w:id="96876338">
      <w:marLeft w:val="7"/>
      <w:marRight w:val="0"/>
      <w:marTop w:val="120"/>
      <w:marBottom w:val="0"/>
      <w:divBdr>
        <w:top w:val="none" w:sz="0" w:space="0" w:color="auto"/>
        <w:left w:val="none" w:sz="0" w:space="0" w:color="auto"/>
        <w:bottom w:val="none" w:sz="0" w:space="0" w:color="auto"/>
        <w:right w:val="none" w:sz="0" w:space="0" w:color="auto"/>
      </w:divBdr>
      <w:divsChild>
        <w:div w:id="97214644">
          <w:marLeft w:val="0"/>
          <w:marRight w:val="0"/>
          <w:marTop w:val="0"/>
          <w:marBottom w:val="0"/>
          <w:divBdr>
            <w:top w:val="none" w:sz="0" w:space="0" w:color="auto"/>
            <w:left w:val="none" w:sz="0" w:space="0" w:color="auto"/>
            <w:bottom w:val="none" w:sz="0" w:space="0" w:color="auto"/>
            <w:right w:val="none" w:sz="0" w:space="0" w:color="auto"/>
          </w:divBdr>
        </w:div>
      </w:divsChild>
    </w:div>
    <w:div w:id="116337434">
      <w:marLeft w:val="4"/>
      <w:marRight w:val="0"/>
      <w:marTop w:val="120"/>
      <w:marBottom w:val="0"/>
      <w:divBdr>
        <w:top w:val="none" w:sz="0" w:space="0" w:color="auto"/>
        <w:left w:val="none" w:sz="0" w:space="0" w:color="auto"/>
        <w:bottom w:val="none" w:sz="0" w:space="0" w:color="auto"/>
        <w:right w:val="none" w:sz="0" w:space="0" w:color="auto"/>
      </w:divBdr>
      <w:divsChild>
        <w:div w:id="1656377743">
          <w:marLeft w:val="0"/>
          <w:marRight w:val="0"/>
          <w:marTop w:val="0"/>
          <w:marBottom w:val="0"/>
          <w:divBdr>
            <w:top w:val="none" w:sz="0" w:space="0" w:color="auto"/>
            <w:left w:val="none" w:sz="0" w:space="0" w:color="auto"/>
            <w:bottom w:val="none" w:sz="0" w:space="0" w:color="auto"/>
            <w:right w:val="none" w:sz="0" w:space="0" w:color="auto"/>
          </w:divBdr>
        </w:div>
      </w:divsChild>
    </w:div>
    <w:div w:id="124275317">
      <w:marLeft w:val="4"/>
      <w:marRight w:val="0"/>
      <w:marTop w:val="120"/>
      <w:marBottom w:val="0"/>
      <w:divBdr>
        <w:top w:val="none" w:sz="0" w:space="0" w:color="auto"/>
        <w:left w:val="none" w:sz="0" w:space="0" w:color="auto"/>
        <w:bottom w:val="none" w:sz="0" w:space="0" w:color="auto"/>
        <w:right w:val="none" w:sz="0" w:space="0" w:color="auto"/>
      </w:divBdr>
      <w:divsChild>
        <w:div w:id="866717797">
          <w:marLeft w:val="0"/>
          <w:marRight w:val="0"/>
          <w:marTop w:val="0"/>
          <w:marBottom w:val="0"/>
          <w:divBdr>
            <w:top w:val="none" w:sz="0" w:space="0" w:color="auto"/>
            <w:left w:val="none" w:sz="0" w:space="0" w:color="auto"/>
            <w:bottom w:val="none" w:sz="0" w:space="0" w:color="auto"/>
            <w:right w:val="none" w:sz="0" w:space="0" w:color="auto"/>
          </w:divBdr>
        </w:div>
      </w:divsChild>
    </w:div>
    <w:div w:id="135489864">
      <w:marLeft w:val="4"/>
      <w:marRight w:val="0"/>
      <w:marTop w:val="120"/>
      <w:marBottom w:val="0"/>
      <w:divBdr>
        <w:top w:val="none" w:sz="0" w:space="0" w:color="auto"/>
        <w:left w:val="none" w:sz="0" w:space="0" w:color="auto"/>
        <w:bottom w:val="none" w:sz="0" w:space="0" w:color="auto"/>
        <w:right w:val="none" w:sz="0" w:space="0" w:color="auto"/>
      </w:divBdr>
      <w:divsChild>
        <w:div w:id="1111435093">
          <w:marLeft w:val="0"/>
          <w:marRight w:val="0"/>
          <w:marTop w:val="0"/>
          <w:marBottom w:val="0"/>
          <w:divBdr>
            <w:top w:val="none" w:sz="0" w:space="0" w:color="auto"/>
            <w:left w:val="none" w:sz="0" w:space="0" w:color="auto"/>
            <w:bottom w:val="none" w:sz="0" w:space="0" w:color="auto"/>
            <w:right w:val="none" w:sz="0" w:space="0" w:color="auto"/>
          </w:divBdr>
        </w:div>
      </w:divsChild>
    </w:div>
    <w:div w:id="141701593">
      <w:marLeft w:val="4"/>
      <w:marRight w:val="0"/>
      <w:marTop w:val="120"/>
      <w:marBottom w:val="0"/>
      <w:divBdr>
        <w:top w:val="none" w:sz="0" w:space="0" w:color="auto"/>
        <w:left w:val="none" w:sz="0" w:space="0" w:color="auto"/>
        <w:bottom w:val="none" w:sz="0" w:space="0" w:color="auto"/>
        <w:right w:val="none" w:sz="0" w:space="0" w:color="auto"/>
      </w:divBdr>
      <w:divsChild>
        <w:div w:id="1545288191">
          <w:marLeft w:val="0"/>
          <w:marRight w:val="0"/>
          <w:marTop w:val="0"/>
          <w:marBottom w:val="0"/>
          <w:divBdr>
            <w:top w:val="none" w:sz="0" w:space="0" w:color="auto"/>
            <w:left w:val="none" w:sz="0" w:space="0" w:color="auto"/>
            <w:bottom w:val="none" w:sz="0" w:space="0" w:color="auto"/>
            <w:right w:val="none" w:sz="0" w:space="0" w:color="auto"/>
          </w:divBdr>
        </w:div>
      </w:divsChild>
    </w:div>
    <w:div w:id="146476054">
      <w:marLeft w:val="4"/>
      <w:marRight w:val="0"/>
      <w:marTop w:val="120"/>
      <w:marBottom w:val="0"/>
      <w:divBdr>
        <w:top w:val="none" w:sz="0" w:space="0" w:color="auto"/>
        <w:left w:val="none" w:sz="0" w:space="0" w:color="auto"/>
        <w:bottom w:val="none" w:sz="0" w:space="0" w:color="auto"/>
        <w:right w:val="none" w:sz="0" w:space="0" w:color="auto"/>
      </w:divBdr>
      <w:divsChild>
        <w:div w:id="1357854687">
          <w:marLeft w:val="0"/>
          <w:marRight w:val="0"/>
          <w:marTop w:val="0"/>
          <w:marBottom w:val="0"/>
          <w:divBdr>
            <w:top w:val="none" w:sz="0" w:space="0" w:color="auto"/>
            <w:left w:val="none" w:sz="0" w:space="0" w:color="auto"/>
            <w:bottom w:val="none" w:sz="0" w:space="0" w:color="auto"/>
            <w:right w:val="none" w:sz="0" w:space="0" w:color="auto"/>
          </w:divBdr>
        </w:div>
      </w:divsChild>
    </w:div>
    <w:div w:id="156308642">
      <w:marLeft w:val="4"/>
      <w:marRight w:val="0"/>
      <w:marTop w:val="120"/>
      <w:marBottom w:val="0"/>
      <w:divBdr>
        <w:top w:val="none" w:sz="0" w:space="0" w:color="auto"/>
        <w:left w:val="none" w:sz="0" w:space="0" w:color="auto"/>
        <w:bottom w:val="none" w:sz="0" w:space="0" w:color="auto"/>
        <w:right w:val="none" w:sz="0" w:space="0" w:color="auto"/>
      </w:divBdr>
      <w:divsChild>
        <w:div w:id="1832210971">
          <w:marLeft w:val="0"/>
          <w:marRight w:val="0"/>
          <w:marTop w:val="0"/>
          <w:marBottom w:val="0"/>
          <w:divBdr>
            <w:top w:val="none" w:sz="0" w:space="0" w:color="auto"/>
            <w:left w:val="none" w:sz="0" w:space="0" w:color="auto"/>
            <w:bottom w:val="none" w:sz="0" w:space="0" w:color="auto"/>
            <w:right w:val="none" w:sz="0" w:space="0" w:color="auto"/>
          </w:divBdr>
        </w:div>
      </w:divsChild>
    </w:div>
    <w:div w:id="162360889">
      <w:marLeft w:val="4"/>
      <w:marRight w:val="0"/>
      <w:marTop w:val="120"/>
      <w:marBottom w:val="0"/>
      <w:divBdr>
        <w:top w:val="none" w:sz="0" w:space="0" w:color="auto"/>
        <w:left w:val="none" w:sz="0" w:space="0" w:color="auto"/>
        <w:bottom w:val="none" w:sz="0" w:space="0" w:color="auto"/>
        <w:right w:val="none" w:sz="0" w:space="0" w:color="auto"/>
      </w:divBdr>
      <w:divsChild>
        <w:div w:id="338429319">
          <w:marLeft w:val="0"/>
          <w:marRight w:val="0"/>
          <w:marTop w:val="0"/>
          <w:marBottom w:val="0"/>
          <w:divBdr>
            <w:top w:val="none" w:sz="0" w:space="0" w:color="auto"/>
            <w:left w:val="none" w:sz="0" w:space="0" w:color="auto"/>
            <w:bottom w:val="none" w:sz="0" w:space="0" w:color="auto"/>
            <w:right w:val="none" w:sz="0" w:space="0" w:color="auto"/>
          </w:divBdr>
        </w:div>
      </w:divsChild>
    </w:div>
    <w:div w:id="163084149">
      <w:marLeft w:val="4"/>
      <w:marRight w:val="0"/>
      <w:marTop w:val="120"/>
      <w:marBottom w:val="0"/>
      <w:divBdr>
        <w:top w:val="none" w:sz="0" w:space="0" w:color="auto"/>
        <w:left w:val="none" w:sz="0" w:space="0" w:color="auto"/>
        <w:bottom w:val="none" w:sz="0" w:space="0" w:color="auto"/>
        <w:right w:val="none" w:sz="0" w:space="0" w:color="auto"/>
      </w:divBdr>
      <w:divsChild>
        <w:div w:id="1249853274">
          <w:marLeft w:val="0"/>
          <w:marRight w:val="0"/>
          <w:marTop w:val="0"/>
          <w:marBottom w:val="0"/>
          <w:divBdr>
            <w:top w:val="none" w:sz="0" w:space="0" w:color="auto"/>
            <w:left w:val="none" w:sz="0" w:space="0" w:color="auto"/>
            <w:bottom w:val="none" w:sz="0" w:space="0" w:color="auto"/>
            <w:right w:val="none" w:sz="0" w:space="0" w:color="auto"/>
          </w:divBdr>
        </w:div>
      </w:divsChild>
    </w:div>
    <w:div w:id="165873550">
      <w:marLeft w:val="4"/>
      <w:marRight w:val="0"/>
      <w:marTop w:val="120"/>
      <w:marBottom w:val="0"/>
      <w:divBdr>
        <w:top w:val="none" w:sz="0" w:space="0" w:color="auto"/>
        <w:left w:val="none" w:sz="0" w:space="0" w:color="auto"/>
        <w:bottom w:val="none" w:sz="0" w:space="0" w:color="auto"/>
        <w:right w:val="none" w:sz="0" w:space="0" w:color="auto"/>
      </w:divBdr>
      <w:divsChild>
        <w:div w:id="585724876">
          <w:marLeft w:val="0"/>
          <w:marRight w:val="0"/>
          <w:marTop w:val="0"/>
          <w:marBottom w:val="0"/>
          <w:divBdr>
            <w:top w:val="none" w:sz="0" w:space="0" w:color="auto"/>
            <w:left w:val="none" w:sz="0" w:space="0" w:color="auto"/>
            <w:bottom w:val="none" w:sz="0" w:space="0" w:color="auto"/>
            <w:right w:val="none" w:sz="0" w:space="0" w:color="auto"/>
          </w:divBdr>
        </w:div>
      </w:divsChild>
    </w:div>
    <w:div w:id="180054599">
      <w:marLeft w:val="4"/>
      <w:marRight w:val="0"/>
      <w:marTop w:val="120"/>
      <w:marBottom w:val="0"/>
      <w:divBdr>
        <w:top w:val="none" w:sz="0" w:space="0" w:color="auto"/>
        <w:left w:val="none" w:sz="0" w:space="0" w:color="auto"/>
        <w:bottom w:val="none" w:sz="0" w:space="0" w:color="auto"/>
        <w:right w:val="none" w:sz="0" w:space="0" w:color="auto"/>
      </w:divBdr>
      <w:divsChild>
        <w:div w:id="1531796560">
          <w:marLeft w:val="0"/>
          <w:marRight w:val="0"/>
          <w:marTop w:val="0"/>
          <w:marBottom w:val="0"/>
          <w:divBdr>
            <w:top w:val="none" w:sz="0" w:space="0" w:color="auto"/>
            <w:left w:val="none" w:sz="0" w:space="0" w:color="auto"/>
            <w:bottom w:val="none" w:sz="0" w:space="0" w:color="auto"/>
            <w:right w:val="none" w:sz="0" w:space="0" w:color="auto"/>
          </w:divBdr>
        </w:div>
      </w:divsChild>
    </w:div>
    <w:div w:id="181475191">
      <w:marLeft w:val="4"/>
      <w:marRight w:val="0"/>
      <w:marTop w:val="120"/>
      <w:marBottom w:val="0"/>
      <w:divBdr>
        <w:top w:val="none" w:sz="0" w:space="0" w:color="auto"/>
        <w:left w:val="none" w:sz="0" w:space="0" w:color="auto"/>
        <w:bottom w:val="none" w:sz="0" w:space="0" w:color="auto"/>
        <w:right w:val="none" w:sz="0" w:space="0" w:color="auto"/>
      </w:divBdr>
      <w:divsChild>
        <w:div w:id="1429738090">
          <w:marLeft w:val="0"/>
          <w:marRight w:val="0"/>
          <w:marTop w:val="0"/>
          <w:marBottom w:val="0"/>
          <w:divBdr>
            <w:top w:val="none" w:sz="0" w:space="0" w:color="auto"/>
            <w:left w:val="none" w:sz="0" w:space="0" w:color="auto"/>
            <w:bottom w:val="none" w:sz="0" w:space="0" w:color="auto"/>
            <w:right w:val="none" w:sz="0" w:space="0" w:color="auto"/>
          </w:divBdr>
        </w:div>
      </w:divsChild>
    </w:div>
    <w:div w:id="184490423">
      <w:marLeft w:val="4"/>
      <w:marRight w:val="0"/>
      <w:marTop w:val="120"/>
      <w:marBottom w:val="0"/>
      <w:divBdr>
        <w:top w:val="none" w:sz="0" w:space="0" w:color="auto"/>
        <w:left w:val="none" w:sz="0" w:space="0" w:color="auto"/>
        <w:bottom w:val="none" w:sz="0" w:space="0" w:color="auto"/>
        <w:right w:val="none" w:sz="0" w:space="0" w:color="auto"/>
      </w:divBdr>
      <w:divsChild>
        <w:div w:id="1804613079">
          <w:marLeft w:val="0"/>
          <w:marRight w:val="0"/>
          <w:marTop w:val="0"/>
          <w:marBottom w:val="0"/>
          <w:divBdr>
            <w:top w:val="none" w:sz="0" w:space="0" w:color="auto"/>
            <w:left w:val="none" w:sz="0" w:space="0" w:color="auto"/>
            <w:bottom w:val="none" w:sz="0" w:space="0" w:color="auto"/>
            <w:right w:val="none" w:sz="0" w:space="0" w:color="auto"/>
          </w:divBdr>
        </w:div>
      </w:divsChild>
    </w:div>
    <w:div w:id="218714702">
      <w:marLeft w:val="4"/>
      <w:marRight w:val="0"/>
      <w:marTop w:val="120"/>
      <w:marBottom w:val="0"/>
      <w:divBdr>
        <w:top w:val="none" w:sz="0" w:space="0" w:color="auto"/>
        <w:left w:val="none" w:sz="0" w:space="0" w:color="auto"/>
        <w:bottom w:val="none" w:sz="0" w:space="0" w:color="auto"/>
        <w:right w:val="none" w:sz="0" w:space="0" w:color="auto"/>
      </w:divBdr>
      <w:divsChild>
        <w:div w:id="166752341">
          <w:marLeft w:val="0"/>
          <w:marRight w:val="0"/>
          <w:marTop w:val="0"/>
          <w:marBottom w:val="0"/>
          <w:divBdr>
            <w:top w:val="none" w:sz="0" w:space="0" w:color="auto"/>
            <w:left w:val="none" w:sz="0" w:space="0" w:color="auto"/>
            <w:bottom w:val="none" w:sz="0" w:space="0" w:color="auto"/>
            <w:right w:val="none" w:sz="0" w:space="0" w:color="auto"/>
          </w:divBdr>
        </w:div>
      </w:divsChild>
    </w:div>
    <w:div w:id="225843286">
      <w:marLeft w:val="4"/>
      <w:marRight w:val="0"/>
      <w:marTop w:val="120"/>
      <w:marBottom w:val="0"/>
      <w:divBdr>
        <w:top w:val="none" w:sz="0" w:space="0" w:color="auto"/>
        <w:left w:val="none" w:sz="0" w:space="0" w:color="auto"/>
        <w:bottom w:val="none" w:sz="0" w:space="0" w:color="auto"/>
        <w:right w:val="none" w:sz="0" w:space="0" w:color="auto"/>
      </w:divBdr>
      <w:divsChild>
        <w:div w:id="708408655">
          <w:marLeft w:val="0"/>
          <w:marRight w:val="0"/>
          <w:marTop w:val="0"/>
          <w:marBottom w:val="0"/>
          <w:divBdr>
            <w:top w:val="none" w:sz="0" w:space="0" w:color="auto"/>
            <w:left w:val="none" w:sz="0" w:space="0" w:color="auto"/>
            <w:bottom w:val="none" w:sz="0" w:space="0" w:color="auto"/>
            <w:right w:val="none" w:sz="0" w:space="0" w:color="auto"/>
          </w:divBdr>
        </w:div>
      </w:divsChild>
    </w:div>
    <w:div w:id="227965025">
      <w:marLeft w:val="4"/>
      <w:marRight w:val="0"/>
      <w:marTop w:val="120"/>
      <w:marBottom w:val="0"/>
      <w:divBdr>
        <w:top w:val="none" w:sz="0" w:space="0" w:color="auto"/>
        <w:left w:val="none" w:sz="0" w:space="0" w:color="auto"/>
        <w:bottom w:val="none" w:sz="0" w:space="0" w:color="auto"/>
        <w:right w:val="none" w:sz="0" w:space="0" w:color="auto"/>
      </w:divBdr>
      <w:divsChild>
        <w:div w:id="172768747">
          <w:marLeft w:val="0"/>
          <w:marRight w:val="0"/>
          <w:marTop w:val="0"/>
          <w:marBottom w:val="0"/>
          <w:divBdr>
            <w:top w:val="none" w:sz="0" w:space="0" w:color="auto"/>
            <w:left w:val="none" w:sz="0" w:space="0" w:color="auto"/>
            <w:bottom w:val="none" w:sz="0" w:space="0" w:color="auto"/>
            <w:right w:val="none" w:sz="0" w:space="0" w:color="auto"/>
          </w:divBdr>
        </w:div>
      </w:divsChild>
    </w:div>
    <w:div w:id="234977894">
      <w:marLeft w:val="4"/>
      <w:marRight w:val="0"/>
      <w:marTop w:val="120"/>
      <w:marBottom w:val="0"/>
      <w:divBdr>
        <w:top w:val="none" w:sz="0" w:space="0" w:color="auto"/>
        <w:left w:val="none" w:sz="0" w:space="0" w:color="auto"/>
        <w:bottom w:val="none" w:sz="0" w:space="0" w:color="auto"/>
        <w:right w:val="none" w:sz="0" w:space="0" w:color="auto"/>
      </w:divBdr>
      <w:divsChild>
        <w:div w:id="1487673169">
          <w:marLeft w:val="0"/>
          <w:marRight w:val="0"/>
          <w:marTop w:val="0"/>
          <w:marBottom w:val="0"/>
          <w:divBdr>
            <w:top w:val="none" w:sz="0" w:space="0" w:color="auto"/>
            <w:left w:val="none" w:sz="0" w:space="0" w:color="auto"/>
            <w:bottom w:val="none" w:sz="0" w:space="0" w:color="auto"/>
            <w:right w:val="none" w:sz="0" w:space="0" w:color="auto"/>
          </w:divBdr>
        </w:div>
      </w:divsChild>
    </w:div>
    <w:div w:id="249199012">
      <w:marLeft w:val="4"/>
      <w:marRight w:val="0"/>
      <w:marTop w:val="120"/>
      <w:marBottom w:val="0"/>
      <w:divBdr>
        <w:top w:val="none" w:sz="0" w:space="0" w:color="auto"/>
        <w:left w:val="none" w:sz="0" w:space="0" w:color="auto"/>
        <w:bottom w:val="none" w:sz="0" w:space="0" w:color="auto"/>
        <w:right w:val="none" w:sz="0" w:space="0" w:color="auto"/>
      </w:divBdr>
      <w:divsChild>
        <w:div w:id="483012131">
          <w:marLeft w:val="0"/>
          <w:marRight w:val="0"/>
          <w:marTop w:val="0"/>
          <w:marBottom w:val="0"/>
          <w:divBdr>
            <w:top w:val="none" w:sz="0" w:space="0" w:color="auto"/>
            <w:left w:val="none" w:sz="0" w:space="0" w:color="auto"/>
            <w:bottom w:val="none" w:sz="0" w:space="0" w:color="auto"/>
            <w:right w:val="none" w:sz="0" w:space="0" w:color="auto"/>
          </w:divBdr>
        </w:div>
      </w:divsChild>
    </w:div>
    <w:div w:id="271131084">
      <w:marLeft w:val="4"/>
      <w:marRight w:val="0"/>
      <w:marTop w:val="120"/>
      <w:marBottom w:val="0"/>
      <w:divBdr>
        <w:top w:val="none" w:sz="0" w:space="0" w:color="auto"/>
        <w:left w:val="none" w:sz="0" w:space="0" w:color="auto"/>
        <w:bottom w:val="none" w:sz="0" w:space="0" w:color="auto"/>
        <w:right w:val="none" w:sz="0" w:space="0" w:color="auto"/>
      </w:divBdr>
      <w:divsChild>
        <w:div w:id="332150485">
          <w:marLeft w:val="0"/>
          <w:marRight w:val="0"/>
          <w:marTop w:val="0"/>
          <w:marBottom w:val="0"/>
          <w:divBdr>
            <w:top w:val="none" w:sz="0" w:space="0" w:color="auto"/>
            <w:left w:val="none" w:sz="0" w:space="0" w:color="auto"/>
            <w:bottom w:val="none" w:sz="0" w:space="0" w:color="auto"/>
            <w:right w:val="none" w:sz="0" w:space="0" w:color="auto"/>
          </w:divBdr>
        </w:div>
      </w:divsChild>
    </w:div>
    <w:div w:id="274295594">
      <w:marLeft w:val="4"/>
      <w:marRight w:val="0"/>
      <w:marTop w:val="120"/>
      <w:marBottom w:val="0"/>
      <w:divBdr>
        <w:top w:val="none" w:sz="0" w:space="0" w:color="auto"/>
        <w:left w:val="none" w:sz="0" w:space="0" w:color="auto"/>
        <w:bottom w:val="none" w:sz="0" w:space="0" w:color="auto"/>
        <w:right w:val="none" w:sz="0" w:space="0" w:color="auto"/>
      </w:divBdr>
      <w:divsChild>
        <w:div w:id="172765818">
          <w:marLeft w:val="0"/>
          <w:marRight w:val="0"/>
          <w:marTop w:val="0"/>
          <w:marBottom w:val="0"/>
          <w:divBdr>
            <w:top w:val="none" w:sz="0" w:space="0" w:color="auto"/>
            <w:left w:val="none" w:sz="0" w:space="0" w:color="auto"/>
            <w:bottom w:val="none" w:sz="0" w:space="0" w:color="auto"/>
            <w:right w:val="none" w:sz="0" w:space="0" w:color="auto"/>
          </w:divBdr>
        </w:div>
      </w:divsChild>
    </w:div>
    <w:div w:id="280116074">
      <w:marLeft w:val="7"/>
      <w:marRight w:val="0"/>
      <w:marTop w:val="120"/>
      <w:marBottom w:val="0"/>
      <w:divBdr>
        <w:top w:val="none" w:sz="0" w:space="0" w:color="auto"/>
        <w:left w:val="none" w:sz="0" w:space="0" w:color="auto"/>
        <w:bottom w:val="none" w:sz="0" w:space="0" w:color="auto"/>
        <w:right w:val="none" w:sz="0" w:space="0" w:color="auto"/>
      </w:divBdr>
      <w:divsChild>
        <w:div w:id="537743056">
          <w:marLeft w:val="0"/>
          <w:marRight w:val="0"/>
          <w:marTop w:val="0"/>
          <w:marBottom w:val="0"/>
          <w:divBdr>
            <w:top w:val="none" w:sz="0" w:space="0" w:color="auto"/>
            <w:left w:val="none" w:sz="0" w:space="0" w:color="auto"/>
            <w:bottom w:val="none" w:sz="0" w:space="0" w:color="auto"/>
            <w:right w:val="none" w:sz="0" w:space="0" w:color="auto"/>
          </w:divBdr>
        </w:div>
      </w:divsChild>
    </w:div>
    <w:div w:id="289551738">
      <w:marLeft w:val="9"/>
      <w:marRight w:val="0"/>
      <w:marTop w:val="120"/>
      <w:marBottom w:val="0"/>
      <w:divBdr>
        <w:top w:val="none" w:sz="0" w:space="0" w:color="auto"/>
        <w:left w:val="none" w:sz="0" w:space="0" w:color="auto"/>
        <w:bottom w:val="none" w:sz="0" w:space="0" w:color="auto"/>
        <w:right w:val="none" w:sz="0" w:space="0" w:color="auto"/>
      </w:divBdr>
      <w:divsChild>
        <w:div w:id="1282416876">
          <w:marLeft w:val="0"/>
          <w:marRight w:val="0"/>
          <w:marTop w:val="0"/>
          <w:marBottom w:val="0"/>
          <w:divBdr>
            <w:top w:val="none" w:sz="0" w:space="0" w:color="auto"/>
            <w:left w:val="none" w:sz="0" w:space="0" w:color="auto"/>
            <w:bottom w:val="none" w:sz="0" w:space="0" w:color="auto"/>
            <w:right w:val="none" w:sz="0" w:space="0" w:color="auto"/>
          </w:divBdr>
        </w:div>
      </w:divsChild>
    </w:div>
    <w:div w:id="294216774">
      <w:marLeft w:val="9"/>
      <w:marRight w:val="0"/>
      <w:marTop w:val="120"/>
      <w:marBottom w:val="0"/>
      <w:divBdr>
        <w:top w:val="none" w:sz="0" w:space="0" w:color="auto"/>
        <w:left w:val="none" w:sz="0" w:space="0" w:color="auto"/>
        <w:bottom w:val="none" w:sz="0" w:space="0" w:color="auto"/>
        <w:right w:val="none" w:sz="0" w:space="0" w:color="auto"/>
      </w:divBdr>
      <w:divsChild>
        <w:div w:id="359816466">
          <w:marLeft w:val="0"/>
          <w:marRight w:val="0"/>
          <w:marTop w:val="0"/>
          <w:marBottom w:val="0"/>
          <w:divBdr>
            <w:top w:val="none" w:sz="0" w:space="0" w:color="auto"/>
            <w:left w:val="none" w:sz="0" w:space="0" w:color="auto"/>
            <w:bottom w:val="none" w:sz="0" w:space="0" w:color="auto"/>
            <w:right w:val="none" w:sz="0" w:space="0" w:color="auto"/>
          </w:divBdr>
        </w:div>
      </w:divsChild>
    </w:div>
    <w:div w:id="310335350">
      <w:marLeft w:val="4"/>
      <w:marRight w:val="0"/>
      <w:marTop w:val="120"/>
      <w:marBottom w:val="0"/>
      <w:divBdr>
        <w:top w:val="none" w:sz="0" w:space="0" w:color="auto"/>
        <w:left w:val="none" w:sz="0" w:space="0" w:color="auto"/>
        <w:bottom w:val="none" w:sz="0" w:space="0" w:color="auto"/>
        <w:right w:val="none" w:sz="0" w:space="0" w:color="auto"/>
      </w:divBdr>
      <w:divsChild>
        <w:div w:id="2006739822">
          <w:marLeft w:val="0"/>
          <w:marRight w:val="0"/>
          <w:marTop w:val="0"/>
          <w:marBottom w:val="0"/>
          <w:divBdr>
            <w:top w:val="none" w:sz="0" w:space="0" w:color="auto"/>
            <w:left w:val="none" w:sz="0" w:space="0" w:color="auto"/>
            <w:bottom w:val="none" w:sz="0" w:space="0" w:color="auto"/>
            <w:right w:val="none" w:sz="0" w:space="0" w:color="auto"/>
          </w:divBdr>
        </w:div>
      </w:divsChild>
    </w:div>
    <w:div w:id="310522087">
      <w:marLeft w:val="4"/>
      <w:marRight w:val="0"/>
      <w:marTop w:val="120"/>
      <w:marBottom w:val="0"/>
      <w:divBdr>
        <w:top w:val="none" w:sz="0" w:space="0" w:color="auto"/>
        <w:left w:val="none" w:sz="0" w:space="0" w:color="auto"/>
        <w:bottom w:val="none" w:sz="0" w:space="0" w:color="auto"/>
        <w:right w:val="none" w:sz="0" w:space="0" w:color="auto"/>
      </w:divBdr>
      <w:divsChild>
        <w:div w:id="1549881740">
          <w:marLeft w:val="0"/>
          <w:marRight w:val="0"/>
          <w:marTop w:val="0"/>
          <w:marBottom w:val="0"/>
          <w:divBdr>
            <w:top w:val="none" w:sz="0" w:space="0" w:color="auto"/>
            <w:left w:val="none" w:sz="0" w:space="0" w:color="auto"/>
            <w:bottom w:val="none" w:sz="0" w:space="0" w:color="auto"/>
            <w:right w:val="none" w:sz="0" w:space="0" w:color="auto"/>
          </w:divBdr>
        </w:div>
      </w:divsChild>
    </w:div>
    <w:div w:id="330328223">
      <w:marLeft w:val="4"/>
      <w:marRight w:val="0"/>
      <w:marTop w:val="120"/>
      <w:marBottom w:val="0"/>
      <w:divBdr>
        <w:top w:val="none" w:sz="0" w:space="0" w:color="auto"/>
        <w:left w:val="none" w:sz="0" w:space="0" w:color="auto"/>
        <w:bottom w:val="none" w:sz="0" w:space="0" w:color="auto"/>
        <w:right w:val="none" w:sz="0" w:space="0" w:color="auto"/>
      </w:divBdr>
      <w:divsChild>
        <w:div w:id="335420825">
          <w:marLeft w:val="0"/>
          <w:marRight w:val="0"/>
          <w:marTop w:val="0"/>
          <w:marBottom w:val="0"/>
          <w:divBdr>
            <w:top w:val="none" w:sz="0" w:space="0" w:color="auto"/>
            <w:left w:val="none" w:sz="0" w:space="0" w:color="auto"/>
            <w:bottom w:val="none" w:sz="0" w:space="0" w:color="auto"/>
            <w:right w:val="none" w:sz="0" w:space="0" w:color="auto"/>
          </w:divBdr>
        </w:div>
      </w:divsChild>
    </w:div>
    <w:div w:id="339158586">
      <w:marLeft w:val="4"/>
      <w:marRight w:val="0"/>
      <w:marTop w:val="120"/>
      <w:marBottom w:val="0"/>
      <w:divBdr>
        <w:top w:val="none" w:sz="0" w:space="0" w:color="auto"/>
        <w:left w:val="none" w:sz="0" w:space="0" w:color="auto"/>
        <w:bottom w:val="none" w:sz="0" w:space="0" w:color="auto"/>
        <w:right w:val="none" w:sz="0" w:space="0" w:color="auto"/>
      </w:divBdr>
      <w:divsChild>
        <w:div w:id="2077126454">
          <w:marLeft w:val="0"/>
          <w:marRight w:val="0"/>
          <w:marTop w:val="0"/>
          <w:marBottom w:val="0"/>
          <w:divBdr>
            <w:top w:val="none" w:sz="0" w:space="0" w:color="auto"/>
            <w:left w:val="none" w:sz="0" w:space="0" w:color="auto"/>
            <w:bottom w:val="none" w:sz="0" w:space="0" w:color="auto"/>
            <w:right w:val="none" w:sz="0" w:space="0" w:color="auto"/>
          </w:divBdr>
        </w:div>
      </w:divsChild>
    </w:div>
    <w:div w:id="342324076">
      <w:marLeft w:val="4"/>
      <w:marRight w:val="0"/>
      <w:marTop w:val="120"/>
      <w:marBottom w:val="0"/>
      <w:divBdr>
        <w:top w:val="none" w:sz="0" w:space="0" w:color="auto"/>
        <w:left w:val="none" w:sz="0" w:space="0" w:color="auto"/>
        <w:bottom w:val="none" w:sz="0" w:space="0" w:color="auto"/>
        <w:right w:val="none" w:sz="0" w:space="0" w:color="auto"/>
      </w:divBdr>
      <w:divsChild>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 w:id="351226543">
      <w:marLeft w:val="7"/>
      <w:marRight w:val="0"/>
      <w:marTop w:val="120"/>
      <w:marBottom w:val="0"/>
      <w:divBdr>
        <w:top w:val="none" w:sz="0" w:space="0" w:color="auto"/>
        <w:left w:val="none" w:sz="0" w:space="0" w:color="auto"/>
        <w:bottom w:val="none" w:sz="0" w:space="0" w:color="auto"/>
        <w:right w:val="none" w:sz="0" w:space="0" w:color="auto"/>
      </w:divBdr>
      <w:divsChild>
        <w:div w:id="284196847">
          <w:marLeft w:val="0"/>
          <w:marRight w:val="0"/>
          <w:marTop w:val="0"/>
          <w:marBottom w:val="0"/>
          <w:divBdr>
            <w:top w:val="none" w:sz="0" w:space="0" w:color="auto"/>
            <w:left w:val="none" w:sz="0" w:space="0" w:color="auto"/>
            <w:bottom w:val="none" w:sz="0" w:space="0" w:color="auto"/>
            <w:right w:val="none" w:sz="0" w:space="0" w:color="auto"/>
          </w:divBdr>
        </w:div>
      </w:divsChild>
    </w:div>
    <w:div w:id="359167337">
      <w:marLeft w:val="4"/>
      <w:marRight w:val="0"/>
      <w:marTop w:val="120"/>
      <w:marBottom w:val="0"/>
      <w:divBdr>
        <w:top w:val="none" w:sz="0" w:space="0" w:color="auto"/>
        <w:left w:val="none" w:sz="0" w:space="0" w:color="auto"/>
        <w:bottom w:val="none" w:sz="0" w:space="0" w:color="auto"/>
        <w:right w:val="none" w:sz="0" w:space="0" w:color="auto"/>
      </w:divBdr>
      <w:divsChild>
        <w:div w:id="470750096">
          <w:marLeft w:val="0"/>
          <w:marRight w:val="0"/>
          <w:marTop w:val="0"/>
          <w:marBottom w:val="0"/>
          <w:divBdr>
            <w:top w:val="none" w:sz="0" w:space="0" w:color="auto"/>
            <w:left w:val="none" w:sz="0" w:space="0" w:color="auto"/>
            <w:bottom w:val="none" w:sz="0" w:space="0" w:color="auto"/>
            <w:right w:val="none" w:sz="0" w:space="0" w:color="auto"/>
          </w:divBdr>
        </w:div>
      </w:divsChild>
    </w:div>
    <w:div w:id="361367965">
      <w:marLeft w:val="4"/>
      <w:marRight w:val="0"/>
      <w:marTop w:val="120"/>
      <w:marBottom w:val="0"/>
      <w:divBdr>
        <w:top w:val="none" w:sz="0" w:space="0" w:color="auto"/>
        <w:left w:val="none" w:sz="0" w:space="0" w:color="auto"/>
        <w:bottom w:val="none" w:sz="0" w:space="0" w:color="auto"/>
        <w:right w:val="none" w:sz="0" w:space="0" w:color="auto"/>
      </w:divBdr>
      <w:divsChild>
        <w:div w:id="2071153530">
          <w:marLeft w:val="0"/>
          <w:marRight w:val="0"/>
          <w:marTop w:val="0"/>
          <w:marBottom w:val="0"/>
          <w:divBdr>
            <w:top w:val="none" w:sz="0" w:space="0" w:color="auto"/>
            <w:left w:val="none" w:sz="0" w:space="0" w:color="auto"/>
            <w:bottom w:val="none" w:sz="0" w:space="0" w:color="auto"/>
            <w:right w:val="none" w:sz="0" w:space="0" w:color="auto"/>
          </w:divBdr>
        </w:div>
      </w:divsChild>
    </w:div>
    <w:div w:id="363332038">
      <w:marLeft w:val="4"/>
      <w:marRight w:val="0"/>
      <w:marTop w:val="120"/>
      <w:marBottom w:val="0"/>
      <w:divBdr>
        <w:top w:val="none" w:sz="0" w:space="0" w:color="auto"/>
        <w:left w:val="none" w:sz="0" w:space="0" w:color="auto"/>
        <w:bottom w:val="none" w:sz="0" w:space="0" w:color="auto"/>
        <w:right w:val="none" w:sz="0" w:space="0" w:color="auto"/>
      </w:divBdr>
      <w:divsChild>
        <w:div w:id="727727986">
          <w:marLeft w:val="0"/>
          <w:marRight w:val="0"/>
          <w:marTop w:val="0"/>
          <w:marBottom w:val="0"/>
          <w:divBdr>
            <w:top w:val="none" w:sz="0" w:space="0" w:color="auto"/>
            <w:left w:val="none" w:sz="0" w:space="0" w:color="auto"/>
            <w:bottom w:val="none" w:sz="0" w:space="0" w:color="auto"/>
            <w:right w:val="none" w:sz="0" w:space="0" w:color="auto"/>
          </w:divBdr>
        </w:div>
      </w:divsChild>
    </w:div>
    <w:div w:id="370495813">
      <w:marLeft w:val="4"/>
      <w:marRight w:val="0"/>
      <w:marTop w:val="120"/>
      <w:marBottom w:val="0"/>
      <w:divBdr>
        <w:top w:val="none" w:sz="0" w:space="0" w:color="auto"/>
        <w:left w:val="none" w:sz="0" w:space="0" w:color="auto"/>
        <w:bottom w:val="none" w:sz="0" w:space="0" w:color="auto"/>
        <w:right w:val="none" w:sz="0" w:space="0" w:color="auto"/>
      </w:divBdr>
      <w:divsChild>
        <w:div w:id="1953004056">
          <w:marLeft w:val="0"/>
          <w:marRight w:val="0"/>
          <w:marTop w:val="0"/>
          <w:marBottom w:val="0"/>
          <w:divBdr>
            <w:top w:val="none" w:sz="0" w:space="0" w:color="auto"/>
            <w:left w:val="none" w:sz="0" w:space="0" w:color="auto"/>
            <w:bottom w:val="none" w:sz="0" w:space="0" w:color="auto"/>
            <w:right w:val="none" w:sz="0" w:space="0" w:color="auto"/>
          </w:divBdr>
        </w:div>
      </w:divsChild>
    </w:div>
    <w:div w:id="372001227">
      <w:marLeft w:val="4"/>
      <w:marRight w:val="0"/>
      <w:marTop w:val="120"/>
      <w:marBottom w:val="0"/>
      <w:divBdr>
        <w:top w:val="none" w:sz="0" w:space="0" w:color="auto"/>
        <w:left w:val="none" w:sz="0" w:space="0" w:color="auto"/>
        <w:bottom w:val="none" w:sz="0" w:space="0" w:color="auto"/>
        <w:right w:val="none" w:sz="0" w:space="0" w:color="auto"/>
      </w:divBdr>
      <w:divsChild>
        <w:div w:id="1687245737">
          <w:marLeft w:val="0"/>
          <w:marRight w:val="0"/>
          <w:marTop w:val="0"/>
          <w:marBottom w:val="0"/>
          <w:divBdr>
            <w:top w:val="none" w:sz="0" w:space="0" w:color="auto"/>
            <w:left w:val="none" w:sz="0" w:space="0" w:color="auto"/>
            <w:bottom w:val="none" w:sz="0" w:space="0" w:color="auto"/>
            <w:right w:val="none" w:sz="0" w:space="0" w:color="auto"/>
          </w:divBdr>
        </w:div>
      </w:divsChild>
    </w:div>
    <w:div w:id="380062217">
      <w:marLeft w:val="0"/>
      <w:marRight w:val="0"/>
      <w:marTop w:val="0"/>
      <w:marBottom w:val="0"/>
      <w:divBdr>
        <w:top w:val="none" w:sz="0" w:space="0" w:color="auto"/>
        <w:left w:val="none" w:sz="0" w:space="0" w:color="auto"/>
        <w:bottom w:val="none" w:sz="0" w:space="0" w:color="auto"/>
        <w:right w:val="none" w:sz="0" w:space="0" w:color="auto"/>
      </w:divBdr>
    </w:div>
    <w:div w:id="406224882">
      <w:marLeft w:val="4"/>
      <w:marRight w:val="0"/>
      <w:marTop w:val="120"/>
      <w:marBottom w:val="0"/>
      <w:divBdr>
        <w:top w:val="none" w:sz="0" w:space="0" w:color="auto"/>
        <w:left w:val="none" w:sz="0" w:space="0" w:color="auto"/>
        <w:bottom w:val="none" w:sz="0" w:space="0" w:color="auto"/>
        <w:right w:val="none" w:sz="0" w:space="0" w:color="auto"/>
      </w:divBdr>
      <w:divsChild>
        <w:div w:id="564992316">
          <w:marLeft w:val="0"/>
          <w:marRight w:val="0"/>
          <w:marTop w:val="0"/>
          <w:marBottom w:val="0"/>
          <w:divBdr>
            <w:top w:val="none" w:sz="0" w:space="0" w:color="auto"/>
            <w:left w:val="none" w:sz="0" w:space="0" w:color="auto"/>
            <w:bottom w:val="none" w:sz="0" w:space="0" w:color="auto"/>
            <w:right w:val="none" w:sz="0" w:space="0" w:color="auto"/>
          </w:divBdr>
        </w:div>
      </w:divsChild>
    </w:div>
    <w:div w:id="406657514">
      <w:marLeft w:val="4"/>
      <w:marRight w:val="0"/>
      <w:marTop w:val="120"/>
      <w:marBottom w:val="0"/>
      <w:divBdr>
        <w:top w:val="none" w:sz="0" w:space="0" w:color="auto"/>
        <w:left w:val="none" w:sz="0" w:space="0" w:color="auto"/>
        <w:bottom w:val="none" w:sz="0" w:space="0" w:color="auto"/>
        <w:right w:val="none" w:sz="0" w:space="0" w:color="auto"/>
      </w:divBdr>
      <w:divsChild>
        <w:div w:id="1375930269">
          <w:marLeft w:val="0"/>
          <w:marRight w:val="0"/>
          <w:marTop w:val="0"/>
          <w:marBottom w:val="0"/>
          <w:divBdr>
            <w:top w:val="none" w:sz="0" w:space="0" w:color="auto"/>
            <w:left w:val="none" w:sz="0" w:space="0" w:color="auto"/>
            <w:bottom w:val="none" w:sz="0" w:space="0" w:color="auto"/>
            <w:right w:val="none" w:sz="0" w:space="0" w:color="auto"/>
          </w:divBdr>
        </w:div>
      </w:divsChild>
    </w:div>
    <w:div w:id="410348823">
      <w:marLeft w:val="4"/>
      <w:marRight w:val="0"/>
      <w:marTop w:val="120"/>
      <w:marBottom w:val="0"/>
      <w:divBdr>
        <w:top w:val="none" w:sz="0" w:space="0" w:color="auto"/>
        <w:left w:val="none" w:sz="0" w:space="0" w:color="auto"/>
        <w:bottom w:val="none" w:sz="0" w:space="0" w:color="auto"/>
        <w:right w:val="none" w:sz="0" w:space="0" w:color="auto"/>
      </w:divBdr>
      <w:divsChild>
        <w:div w:id="846823227">
          <w:marLeft w:val="0"/>
          <w:marRight w:val="0"/>
          <w:marTop w:val="0"/>
          <w:marBottom w:val="0"/>
          <w:divBdr>
            <w:top w:val="none" w:sz="0" w:space="0" w:color="auto"/>
            <w:left w:val="none" w:sz="0" w:space="0" w:color="auto"/>
            <w:bottom w:val="none" w:sz="0" w:space="0" w:color="auto"/>
            <w:right w:val="none" w:sz="0" w:space="0" w:color="auto"/>
          </w:divBdr>
        </w:div>
      </w:divsChild>
    </w:div>
    <w:div w:id="430467414">
      <w:marLeft w:val="4"/>
      <w:marRight w:val="0"/>
      <w:marTop w:val="120"/>
      <w:marBottom w:val="0"/>
      <w:divBdr>
        <w:top w:val="none" w:sz="0" w:space="0" w:color="auto"/>
        <w:left w:val="none" w:sz="0" w:space="0" w:color="auto"/>
        <w:bottom w:val="none" w:sz="0" w:space="0" w:color="auto"/>
        <w:right w:val="none" w:sz="0" w:space="0" w:color="auto"/>
      </w:divBdr>
      <w:divsChild>
        <w:div w:id="806626384">
          <w:marLeft w:val="0"/>
          <w:marRight w:val="0"/>
          <w:marTop w:val="0"/>
          <w:marBottom w:val="0"/>
          <w:divBdr>
            <w:top w:val="none" w:sz="0" w:space="0" w:color="auto"/>
            <w:left w:val="none" w:sz="0" w:space="0" w:color="auto"/>
            <w:bottom w:val="none" w:sz="0" w:space="0" w:color="auto"/>
            <w:right w:val="none" w:sz="0" w:space="0" w:color="auto"/>
          </w:divBdr>
        </w:div>
      </w:divsChild>
    </w:div>
    <w:div w:id="442699220">
      <w:marLeft w:val="4"/>
      <w:marRight w:val="0"/>
      <w:marTop w:val="120"/>
      <w:marBottom w:val="0"/>
      <w:divBdr>
        <w:top w:val="none" w:sz="0" w:space="0" w:color="auto"/>
        <w:left w:val="none" w:sz="0" w:space="0" w:color="auto"/>
        <w:bottom w:val="none" w:sz="0" w:space="0" w:color="auto"/>
        <w:right w:val="none" w:sz="0" w:space="0" w:color="auto"/>
      </w:divBdr>
      <w:divsChild>
        <w:div w:id="229736167">
          <w:marLeft w:val="0"/>
          <w:marRight w:val="0"/>
          <w:marTop w:val="0"/>
          <w:marBottom w:val="0"/>
          <w:divBdr>
            <w:top w:val="none" w:sz="0" w:space="0" w:color="auto"/>
            <w:left w:val="none" w:sz="0" w:space="0" w:color="auto"/>
            <w:bottom w:val="none" w:sz="0" w:space="0" w:color="auto"/>
            <w:right w:val="none" w:sz="0" w:space="0" w:color="auto"/>
          </w:divBdr>
        </w:div>
      </w:divsChild>
    </w:div>
    <w:div w:id="455679481">
      <w:marLeft w:val="4"/>
      <w:marRight w:val="0"/>
      <w:marTop w:val="120"/>
      <w:marBottom w:val="0"/>
      <w:divBdr>
        <w:top w:val="none" w:sz="0" w:space="0" w:color="auto"/>
        <w:left w:val="none" w:sz="0" w:space="0" w:color="auto"/>
        <w:bottom w:val="none" w:sz="0" w:space="0" w:color="auto"/>
        <w:right w:val="none" w:sz="0" w:space="0" w:color="auto"/>
      </w:divBdr>
      <w:divsChild>
        <w:div w:id="1856114610">
          <w:marLeft w:val="0"/>
          <w:marRight w:val="0"/>
          <w:marTop w:val="0"/>
          <w:marBottom w:val="0"/>
          <w:divBdr>
            <w:top w:val="none" w:sz="0" w:space="0" w:color="auto"/>
            <w:left w:val="none" w:sz="0" w:space="0" w:color="auto"/>
            <w:bottom w:val="none" w:sz="0" w:space="0" w:color="auto"/>
            <w:right w:val="none" w:sz="0" w:space="0" w:color="auto"/>
          </w:divBdr>
        </w:div>
      </w:divsChild>
    </w:div>
    <w:div w:id="456460487">
      <w:marLeft w:val="4"/>
      <w:marRight w:val="0"/>
      <w:marTop w:val="120"/>
      <w:marBottom w:val="0"/>
      <w:divBdr>
        <w:top w:val="none" w:sz="0" w:space="0" w:color="auto"/>
        <w:left w:val="none" w:sz="0" w:space="0" w:color="auto"/>
        <w:bottom w:val="none" w:sz="0" w:space="0" w:color="auto"/>
        <w:right w:val="none" w:sz="0" w:space="0" w:color="auto"/>
      </w:divBdr>
      <w:divsChild>
        <w:div w:id="336886026">
          <w:marLeft w:val="0"/>
          <w:marRight w:val="0"/>
          <w:marTop w:val="0"/>
          <w:marBottom w:val="0"/>
          <w:divBdr>
            <w:top w:val="none" w:sz="0" w:space="0" w:color="auto"/>
            <w:left w:val="none" w:sz="0" w:space="0" w:color="auto"/>
            <w:bottom w:val="none" w:sz="0" w:space="0" w:color="auto"/>
            <w:right w:val="none" w:sz="0" w:space="0" w:color="auto"/>
          </w:divBdr>
        </w:div>
      </w:divsChild>
    </w:div>
    <w:div w:id="465633621">
      <w:marLeft w:val="4"/>
      <w:marRight w:val="0"/>
      <w:marTop w:val="120"/>
      <w:marBottom w:val="0"/>
      <w:divBdr>
        <w:top w:val="none" w:sz="0" w:space="0" w:color="auto"/>
        <w:left w:val="none" w:sz="0" w:space="0" w:color="auto"/>
        <w:bottom w:val="none" w:sz="0" w:space="0" w:color="auto"/>
        <w:right w:val="none" w:sz="0" w:space="0" w:color="auto"/>
      </w:divBdr>
      <w:divsChild>
        <w:div w:id="1558009596">
          <w:marLeft w:val="0"/>
          <w:marRight w:val="0"/>
          <w:marTop w:val="0"/>
          <w:marBottom w:val="0"/>
          <w:divBdr>
            <w:top w:val="none" w:sz="0" w:space="0" w:color="auto"/>
            <w:left w:val="none" w:sz="0" w:space="0" w:color="auto"/>
            <w:bottom w:val="none" w:sz="0" w:space="0" w:color="auto"/>
            <w:right w:val="none" w:sz="0" w:space="0" w:color="auto"/>
          </w:divBdr>
        </w:div>
      </w:divsChild>
    </w:div>
    <w:div w:id="466702882">
      <w:marLeft w:val="4"/>
      <w:marRight w:val="0"/>
      <w:marTop w:val="120"/>
      <w:marBottom w:val="0"/>
      <w:divBdr>
        <w:top w:val="none" w:sz="0" w:space="0" w:color="auto"/>
        <w:left w:val="none" w:sz="0" w:space="0" w:color="auto"/>
        <w:bottom w:val="none" w:sz="0" w:space="0" w:color="auto"/>
        <w:right w:val="none" w:sz="0" w:space="0" w:color="auto"/>
      </w:divBdr>
      <w:divsChild>
        <w:div w:id="1265962863">
          <w:marLeft w:val="0"/>
          <w:marRight w:val="0"/>
          <w:marTop w:val="0"/>
          <w:marBottom w:val="0"/>
          <w:divBdr>
            <w:top w:val="none" w:sz="0" w:space="0" w:color="auto"/>
            <w:left w:val="none" w:sz="0" w:space="0" w:color="auto"/>
            <w:bottom w:val="none" w:sz="0" w:space="0" w:color="auto"/>
            <w:right w:val="none" w:sz="0" w:space="0" w:color="auto"/>
          </w:divBdr>
        </w:div>
      </w:divsChild>
    </w:div>
    <w:div w:id="466974929">
      <w:marLeft w:val="4"/>
      <w:marRight w:val="0"/>
      <w:marTop w:val="120"/>
      <w:marBottom w:val="0"/>
      <w:divBdr>
        <w:top w:val="none" w:sz="0" w:space="0" w:color="auto"/>
        <w:left w:val="none" w:sz="0" w:space="0" w:color="auto"/>
        <w:bottom w:val="none" w:sz="0" w:space="0" w:color="auto"/>
        <w:right w:val="none" w:sz="0" w:space="0" w:color="auto"/>
      </w:divBdr>
      <w:divsChild>
        <w:div w:id="605112489">
          <w:marLeft w:val="0"/>
          <w:marRight w:val="0"/>
          <w:marTop w:val="0"/>
          <w:marBottom w:val="0"/>
          <w:divBdr>
            <w:top w:val="none" w:sz="0" w:space="0" w:color="auto"/>
            <w:left w:val="none" w:sz="0" w:space="0" w:color="auto"/>
            <w:bottom w:val="none" w:sz="0" w:space="0" w:color="auto"/>
            <w:right w:val="none" w:sz="0" w:space="0" w:color="auto"/>
          </w:divBdr>
        </w:div>
      </w:divsChild>
    </w:div>
    <w:div w:id="479812367">
      <w:marLeft w:val="4"/>
      <w:marRight w:val="0"/>
      <w:marTop w:val="120"/>
      <w:marBottom w:val="0"/>
      <w:divBdr>
        <w:top w:val="none" w:sz="0" w:space="0" w:color="auto"/>
        <w:left w:val="none" w:sz="0" w:space="0" w:color="auto"/>
        <w:bottom w:val="none" w:sz="0" w:space="0" w:color="auto"/>
        <w:right w:val="none" w:sz="0" w:space="0" w:color="auto"/>
      </w:divBdr>
      <w:divsChild>
        <w:div w:id="1322659464">
          <w:marLeft w:val="0"/>
          <w:marRight w:val="0"/>
          <w:marTop w:val="0"/>
          <w:marBottom w:val="0"/>
          <w:divBdr>
            <w:top w:val="none" w:sz="0" w:space="0" w:color="auto"/>
            <w:left w:val="none" w:sz="0" w:space="0" w:color="auto"/>
            <w:bottom w:val="none" w:sz="0" w:space="0" w:color="auto"/>
            <w:right w:val="none" w:sz="0" w:space="0" w:color="auto"/>
          </w:divBdr>
        </w:div>
      </w:divsChild>
    </w:div>
    <w:div w:id="479885855">
      <w:marLeft w:val="4"/>
      <w:marRight w:val="0"/>
      <w:marTop w:val="120"/>
      <w:marBottom w:val="0"/>
      <w:divBdr>
        <w:top w:val="none" w:sz="0" w:space="0" w:color="auto"/>
        <w:left w:val="none" w:sz="0" w:space="0" w:color="auto"/>
        <w:bottom w:val="none" w:sz="0" w:space="0" w:color="auto"/>
        <w:right w:val="none" w:sz="0" w:space="0" w:color="auto"/>
      </w:divBdr>
      <w:divsChild>
        <w:div w:id="383918340">
          <w:marLeft w:val="0"/>
          <w:marRight w:val="0"/>
          <w:marTop w:val="0"/>
          <w:marBottom w:val="0"/>
          <w:divBdr>
            <w:top w:val="none" w:sz="0" w:space="0" w:color="auto"/>
            <w:left w:val="none" w:sz="0" w:space="0" w:color="auto"/>
            <w:bottom w:val="none" w:sz="0" w:space="0" w:color="auto"/>
            <w:right w:val="none" w:sz="0" w:space="0" w:color="auto"/>
          </w:divBdr>
        </w:div>
      </w:divsChild>
    </w:div>
    <w:div w:id="493110497">
      <w:marLeft w:val="4"/>
      <w:marRight w:val="0"/>
      <w:marTop w:val="120"/>
      <w:marBottom w:val="0"/>
      <w:divBdr>
        <w:top w:val="none" w:sz="0" w:space="0" w:color="auto"/>
        <w:left w:val="none" w:sz="0" w:space="0" w:color="auto"/>
        <w:bottom w:val="none" w:sz="0" w:space="0" w:color="auto"/>
        <w:right w:val="none" w:sz="0" w:space="0" w:color="auto"/>
      </w:divBdr>
      <w:divsChild>
        <w:div w:id="1207716807">
          <w:marLeft w:val="0"/>
          <w:marRight w:val="0"/>
          <w:marTop w:val="0"/>
          <w:marBottom w:val="0"/>
          <w:divBdr>
            <w:top w:val="none" w:sz="0" w:space="0" w:color="auto"/>
            <w:left w:val="none" w:sz="0" w:space="0" w:color="auto"/>
            <w:bottom w:val="none" w:sz="0" w:space="0" w:color="auto"/>
            <w:right w:val="none" w:sz="0" w:space="0" w:color="auto"/>
          </w:divBdr>
        </w:div>
      </w:divsChild>
    </w:div>
    <w:div w:id="510488898">
      <w:marLeft w:val="4"/>
      <w:marRight w:val="0"/>
      <w:marTop w:val="120"/>
      <w:marBottom w:val="0"/>
      <w:divBdr>
        <w:top w:val="none" w:sz="0" w:space="0" w:color="auto"/>
        <w:left w:val="none" w:sz="0" w:space="0" w:color="auto"/>
        <w:bottom w:val="none" w:sz="0" w:space="0" w:color="auto"/>
        <w:right w:val="none" w:sz="0" w:space="0" w:color="auto"/>
      </w:divBdr>
      <w:divsChild>
        <w:div w:id="374551176">
          <w:marLeft w:val="0"/>
          <w:marRight w:val="0"/>
          <w:marTop w:val="0"/>
          <w:marBottom w:val="0"/>
          <w:divBdr>
            <w:top w:val="none" w:sz="0" w:space="0" w:color="auto"/>
            <w:left w:val="none" w:sz="0" w:space="0" w:color="auto"/>
            <w:bottom w:val="none" w:sz="0" w:space="0" w:color="auto"/>
            <w:right w:val="none" w:sz="0" w:space="0" w:color="auto"/>
          </w:divBdr>
        </w:div>
      </w:divsChild>
    </w:div>
    <w:div w:id="514350398">
      <w:marLeft w:val="4"/>
      <w:marRight w:val="0"/>
      <w:marTop w:val="120"/>
      <w:marBottom w:val="0"/>
      <w:divBdr>
        <w:top w:val="none" w:sz="0" w:space="0" w:color="auto"/>
        <w:left w:val="none" w:sz="0" w:space="0" w:color="auto"/>
        <w:bottom w:val="none" w:sz="0" w:space="0" w:color="auto"/>
        <w:right w:val="none" w:sz="0" w:space="0" w:color="auto"/>
      </w:divBdr>
      <w:divsChild>
        <w:div w:id="519902764">
          <w:marLeft w:val="0"/>
          <w:marRight w:val="0"/>
          <w:marTop w:val="0"/>
          <w:marBottom w:val="0"/>
          <w:divBdr>
            <w:top w:val="none" w:sz="0" w:space="0" w:color="auto"/>
            <w:left w:val="none" w:sz="0" w:space="0" w:color="auto"/>
            <w:bottom w:val="none" w:sz="0" w:space="0" w:color="auto"/>
            <w:right w:val="none" w:sz="0" w:space="0" w:color="auto"/>
          </w:divBdr>
        </w:div>
      </w:divsChild>
    </w:div>
    <w:div w:id="516579857">
      <w:marLeft w:val="4"/>
      <w:marRight w:val="0"/>
      <w:marTop w:val="120"/>
      <w:marBottom w:val="0"/>
      <w:divBdr>
        <w:top w:val="none" w:sz="0" w:space="0" w:color="auto"/>
        <w:left w:val="none" w:sz="0" w:space="0" w:color="auto"/>
        <w:bottom w:val="none" w:sz="0" w:space="0" w:color="auto"/>
        <w:right w:val="none" w:sz="0" w:space="0" w:color="auto"/>
      </w:divBdr>
      <w:divsChild>
        <w:div w:id="469905385">
          <w:marLeft w:val="0"/>
          <w:marRight w:val="0"/>
          <w:marTop w:val="0"/>
          <w:marBottom w:val="0"/>
          <w:divBdr>
            <w:top w:val="none" w:sz="0" w:space="0" w:color="auto"/>
            <w:left w:val="none" w:sz="0" w:space="0" w:color="auto"/>
            <w:bottom w:val="none" w:sz="0" w:space="0" w:color="auto"/>
            <w:right w:val="none" w:sz="0" w:space="0" w:color="auto"/>
          </w:divBdr>
        </w:div>
      </w:divsChild>
    </w:div>
    <w:div w:id="530922341">
      <w:marLeft w:val="4"/>
      <w:marRight w:val="0"/>
      <w:marTop w:val="120"/>
      <w:marBottom w:val="0"/>
      <w:divBdr>
        <w:top w:val="none" w:sz="0" w:space="0" w:color="auto"/>
        <w:left w:val="none" w:sz="0" w:space="0" w:color="auto"/>
        <w:bottom w:val="none" w:sz="0" w:space="0" w:color="auto"/>
        <w:right w:val="none" w:sz="0" w:space="0" w:color="auto"/>
      </w:divBdr>
      <w:divsChild>
        <w:div w:id="247347158">
          <w:marLeft w:val="0"/>
          <w:marRight w:val="0"/>
          <w:marTop w:val="0"/>
          <w:marBottom w:val="0"/>
          <w:divBdr>
            <w:top w:val="none" w:sz="0" w:space="0" w:color="auto"/>
            <w:left w:val="none" w:sz="0" w:space="0" w:color="auto"/>
            <w:bottom w:val="none" w:sz="0" w:space="0" w:color="auto"/>
            <w:right w:val="none" w:sz="0" w:space="0" w:color="auto"/>
          </w:divBdr>
        </w:div>
      </w:divsChild>
    </w:div>
    <w:div w:id="531845671">
      <w:marLeft w:val="0"/>
      <w:marRight w:val="0"/>
      <w:marTop w:val="0"/>
      <w:marBottom w:val="0"/>
      <w:divBdr>
        <w:top w:val="none" w:sz="0" w:space="0" w:color="auto"/>
        <w:left w:val="none" w:sz="0" w:space="0" w:color="auto"/>
        <w:bottom w:val="none" w:sz="0" w:space="0" w:color="auto"/>
        <w:right w:val="none" w:sz="0" w:space="0" w:color="auto"/>
      </w:divBdr>
      <w:divsChild>
        <w:div w:id="796989586">
          <w:marLeft w:val="0"/>
          <w:marRight w:val="0"/>
          <w:marTop w:val="0"/>
          <w:marBottom w:val="0"/>
          <w:divBdr>
            <w:top w:val="none" w:sz="0" w:space="0" w:color="auto"/>
            <w:left w:val="none" w:sz="0" w:space="0" w:color="auto"/>
            <w:bottom w:val="none" w:sz="0" w:space="0" w:color="auto"/>
            <w:right w:val="none" w:sz="0" w:space="0" w:color="auto"/>
          </w:divBdr>
        </w:div>
      </w:divsChild>
    </w:div>
    <w:div w:id="537472648">
      <w:marLeft w:val="4"/>
      <w:marRight w:val="0"/>
      <w:marTop w:val="120"/>
      <w:marBottom w:val="0"/>
      <w:divBdr>
        <w:top w:val="none" w:sz="0" w:space="0" w:color="auto"/>
        <w:left w:val="none" w:sz="0" w:space="0" w:color="auto"/>
        <w:bottom w:val="none" w:sz="0" w:space="0" w:color="auto"/>
        <w:right w:val="none" w:sz="0" w:space="0" w:color="auto"/>
      </w:divBdr>
      <w:divsChild>
        <w:div w:id="517548352">
          <w:marLeft w:val="0"/>
          <w:marRight w:val="0"/>
          <w:marTop w:val="0"/>
          <w:marBottom w:val="0"/>
          <w:divBdr>
            <w:top w:val="none" w:sz="0" w:space="0" w:color="auto"/>
            <w:left w:val="none" w:sz="0" w:space="0" w:color="auto"/>
            <w:bottom w:val="none" w:sz="0" w:space="0" w:color="auto"/>
            <w:right w:val="none" w:sz="0" w:space="0" w:color="auto"/>
          </w:divBdr>
        </w:div>
      </w:divsChild>
    </w:div>
    <w:div w:id="562909156">
      <w:marLeft w:val="7"/>
      <w:marRight w:val="0"/>
      <w:marTop w:val="120"/>
      <w:marBottom w:val="0"/>
      <w:divBdr>
        <w:top w:val="none" w:sz="0" w:space="0" w:color="auto"/>
        <w:left w:val="none" w:sz="0" w:space="0" w:color="auto"/>
        <w:bottom w:val="none" w:sz="0" w:space="0" w:color="auto"/>
        <w:right w:val="none" w:sz="0" w:space="0" w:color="auto"/>
      </w:divBdr>
      <w:divsChild>
        <w:div w:id="1274632165">
          <w:marLeft w:val="0"/>
          <w:marRight w:val="0"/>
          <w:marTop w:val="0"/>
          <w:marBottom w:val="0"/>
          <w:divBdr>
            <w:top w:val="none" w:sz="0" w:space="0" w:color="auto"/>
            <w:left w:val="none" w:sz="0" w:space="0" w:color="auto"/>
            <w:bottom w:val="none" w:sz="0" w:space="0" w:color="auto"/>
            <w:right w:val="none" w:sz="0" w:space="0" w:color="auto"/>
          </w:divBdr>
        </w:div>
      </w:divsChild>
    </w:div>
    <w:div w:id="571503904">
      <w:marLeft w:val="4"/>
      <w:marRight w:val="0"/>
      <w:marTop w:val="120"/>
      <w:marBottom w:val="0"/>
      <w:divBdr>
        <w:top w:val="none" w:sz="0" w:space="0" w:color="auto"/>
        <w:left w:val="none" w:sz="0" w:space="0" w:color="auto"/>
        <w:bottom w:val="none" w:sz="0" w:space="0" w:color="auto"/>
        <w:right w:val="none" w:sz="0" w:space="0" w:color="auto"/>
      </w:divBdr>
      <w:divsChild>
        <w:div w:id="1608849444">
          <w:marLeft w:val="0"/>
          <w:marRight w:val="0"/>
          <w:marTop w:val="0"/>
          <w:marBottom w:val="0"/>
          <w:divBdr>
            <w:top w:val="none" w:sz="0" w:space="0" w:color="auto"/>
            <w:left w:val="none" w:sz="0" w:space="0" w:color="auto"/>
            <w:bottom w:val="none" w:sz="0" w:space="0" w:color="auto"/>
            <w:right w:val="none" w:sz="0" w:space="0" w:color="auto"/>
          </w:divBdr>
        </w:div>
      </w:divsChild>
    </w:div>
    <w:div w:id="574509727">
      <w:marLeft w:val="4"/>
      <w:marRight w:val="0"/>
      <w:marTop w:val="120"/>
      <w:marBottom w:val="0"/>
      <w:divBdr>
        <w:top w:val="none" w:sz="0" w:space="0" w:color="auto"/>
        <w:left w:val="none" w:sz="0" w:space="0" w:color="auto"/>
        <w:bottom w:val="none" w:sz="0" w:space="0" w:color="auto"/>
        <w:right w:val="none" w:sz="0" w:space="0" w:color="auto"/>
      </w:divBdr>
      <w:divsChild>
        <w:div w:id="1902205569">
          <w:marLeft w:val="0"/>
          <w:marRight w:val="0"/>
          <w:marTop w:val="0"/>
          <w:marBottom w:val="0"/>
          <w:divBdr>
            <w:top w:val="none" w:sz="0" w:space="0" w:color="auto"/>
            <w:left w:val="none" w:sz="0" w:space="0" w:color="auto"/>
            <w:bottom w:val="none" w:sz="0" w:space="0" w:color="auto"/>
            <w:right w:val="none" w:sz="0" w:space="0" w:color="auto"/>
          </w:divBdr>
        </w:div>
      </w:divsChild>
    </w:div>
    <w:div w:id="585849565">
      <w:marLeft w:val="4"/>
      <w:marRight w:val="0"/>
      <w:marTop w:val="120"/>
      <w:marBottom w:val="0"/>
      <w:divBdr>
        <w:top w:val="none" w:sz="0" w:space="0" w:color="auto"/>
        <w:left w:val="none" w:sz="0" w:space="0" w:color="auto"/>
        <w:bottom w:val="none" w:sz="0" w:space="0" w:color="auto"/>
        <w:right w:val="none" w:sz="0" w:space="0" w:color="auto"/>
      </w:divBdr>
      <w:divsChild>
        <w:div w:id="872811351">
          <w:marLeft w:val="0"/>
          <w:marRight w:val="0"/>
          <w:marTop w:val="0"/>
          <w:marBottom w:val="0"/>
          <w:divBdr>
            <w:top w:val="none" w:sz="0" w:space="0" w:color="auto"/>
            <w:left w:val="none" w:sz="0" w:space="0" w:color="auto"/>
            <w:bottom w:val="none" w:sz="0" w:space="0" w:color="auto"/>
            <w:right w:val="none" w:sz="0" w:space="0" w:color="auto"/>
          </w:divBdr>
        </w:div>
      </w:divsChild>
    </w:div>
    <w:div w:id="593051770">
      <w:marLeft w:val="4"/>
      <w:marRight w:val="0"/>
      <w:marTop w:val="120"/>
      <w:marBottom w:val="0"/>
      <w:divBdr>
        <w:top w:val="none" w:sz="0" w:space="0" w:color="auto"/>
        <w:left w:val="none" w:sz="0" w:space="0" w:color="auto"/>
        <w:bottom w:val="none" w:sz="0" w:space="0" w:color="auto"/>
        <w:right w:val="none" w:sz="0" w:space="0" w:color="auto"/>
      </w:divBdr>
      <w:divsChild>
        <w:div w:id="55782357">
          <w:marLeft w:val="0"/>
          <w:marRight w:val="0"/>
          <w:marTop w:val="0"/>
          <w:marBottom w:val="0"/>
          <w:divBdr>
            <w:top w:val="none" w:sz="0" w:space="0" w:color="auto"/>
            <w:left w:val="none" w:sz="0" w:space="0" w:color="auto"/>
            <w:bottom w:val="none" w:sz="0" w:space="0" w:color="auto"/>
            <w:right w:val="none" w:sz="0" w:space="0" w:color="auto"/>
          </w:divBdr>
        </w:div>
      </w:divsChild>
    </w:div>
    <w:div w:id="602568096">
      <w:marLeft w:val="7"/>
      <w:marRight w:val="0"/>
      <w:marTop w:val="120"/>
      <w:marBottom w:val="0"/>
      <w:divBdr>
        <w:top w:val="none" w:sz="0" w:space="0" w:color="auto"/>
        <w:left w:val="none" w:sz="0" w:space="0" w:color="auto"/>
        <w:bottom w:val="none" w:sz="0" w:space="0" w:color="auto"/>
        <w:right w:val="none" w:sz="0" w:space="0" w:color="auto"/>
      </w:divBdr>
      <w:divsChild>
        <w:div w:id="1752695335">
          <w:marLeft w:val="0"/>
          <w:marRight w:val="0"/>
          <w:marTop w:val="0"/>
          <w:marBottom w:val="0"/>
          <w:divBdr>
            <w:top w:val="none" w:sz="0" w:space="0" w:color="auto"/>
            <w:left w:val="none" w:sz="0" w:space="0" w:color="auto"/>
            <w:bottom w:val="none" w:sz="0" w:space="0" w:color="auto"/>
            <w:right w:val="none" w:sz="0" w:space="0" w:color="auto"/>
          </w:divBdr>
        </w:div>
      </w:divsChild>
    </w:div>
    <w:div w:id="611862577">
      <w:marLeft w:val="9"/>
      <w:marRight w:val="0"/>
      <w:marTop w:val="120"/>
      <w:marBottom w:val="0"/>
      <w:divBdr>
        <w:top w:val="none" w:sz="0" w:space="0" w:color="auto"/>
        <w:left w:val="none" w:sz="0" w:space="0" w:color="auto"/>
        <w:bottom w:val="none" w:sz="0" w:space="0" w:color="auto"/>
        <w:right w:val="none" w:sz="0" w:space="0" w:color="auto"/>
      </w:divBdr>
      <w:divsChild>
        <w:div w:id="766460410">
          <w:marLeft w:val="0"/>
          <w:marRight w:val="0"/>
          <w:marTop w:val="0"/>
          <w:marBottom w:val="0"/>
          <w:divBdr>
            <w:top w:val="none" w:sz="0" w:space="0" w:color="auto"/>
            <w:left w:val="none" w:sz="0" w:space="0" w:color="auto"/>
            <w:bottom w:val="none" w:sz="0" w:space="0" w:color="auto"/>
            <w:right w:val="none" w:sz="0" w:space="0" w:color="auto"/>
          </w:divBdr>
        </w:div>
      </w:divsChild>
    </w:div>
    <w:div w:id="613365527">
      <w:marLeft w:val="4"/>
      <w:marRight w:val="0"/>
      <w:marTop w:val="120"/>
      <w:marBottom w:val="0"/>
      <w:divBdr>
        <w:top w:val="none" w:sz="0" w:space="0" w:color="auto"/>
        <w:left w:val="none" w:sz="0" w:space="0" w:color="auto"/>
        <w:bottom w:val="none" w:sz="0" w:space="0" w:color="auto"/>
        <w:right w:val="none" w:sz="0" w:space="0" w:color="auto"/>
      </w:divBdr>
      <w:divsChild>
        <w:div w:id="1680617907">
          <w:marLeft w:val="0"/>
          <w:marRight w:val="0"/>
          <w:marTop w:val="0"/>
          <w:marBottom w:val="0"/>
          <w:divBdr>
            <w:top w:val="none" w:sz="0" w:space="0" w:color="auto"/>
            <w:left w:val="none" w:sz="0" w:space="0" w:color="auto"/>
            <w:bottom w:val="none" w:sz="0" w:space="0" w:color="auto"/>
            <w:right w:val="none" w:sz="0" w:space="0" w:color="auto"/>
          </w:divBdr>
        </w:div>
      </w:divsChild>
    </w:div>
    <w:div w:id="627129533">
      <w:marLeft w:val="4"/>
      <w:marRight w:val="0"/>
      <w:marTop w:val="120"/>
      <w:marBottom w:val="0"/>
      <w:divBdr>
        <w:top w:val="none" w:sz="0" w:space="0" w:color="auto"/>
        <w:left w:val="none" w:sz="0" w:space="0" w:color="auto"/>
        <w:bottom w:val="none" w:sz="0" w:space="0" w:color="auto"/>
        <w:right w:val="none" w:sz="0" w:space="0" w:color="auto"/>
      </w:divBdr>
      <w:divsChild>
        <w:div w:id="1240404340">
          <w:marLeft w:val="0"/>
          <w:marRight w:val="0"/>
          <w:marTop w:val="0"/>
          <w:marBottom w:val="0"/>
          <w:divBdr>
            <w:top w:val="none" w:sz="0" w:space="0" w:color="auto"/>
            <w:left w:val="none" w:sz="0" w:space="0" w:color="auto"/>
            <w:bottom w:val="none" w:sz="0" w:space="0" w:color="auto"/>
            <w:right w:val="none" w:sz="0" w:space="0" w:color="auto"/>
          </w:divBdr>
        </w:div>
      </w:divsChild>
    </w:div>
    <w:div w:id="632830470">
      <w:marLeft w:val="4"/>
      <w:marRight w:val="0"/>
      <w:marTop w:val="120"/>
      <w:marBottom w:val="0"/>
      <w:divBdr>
        <w:top w:val="none" w:sz="0" w:space="0" w:color="auto"/>
        <w:left w:val="none" w:sz="0" w:space="0" w:color="auto"/>
        <w:bottom w:val="none" w:sz="0" w:space="0" w:color="auto"/>
        <w:right w:val="none" w:sz="0" w:space="0" w:color="auto"/>
      </w:divBdr>
      <w:divsChild>
        <w:div w:id="1007825150">
          <w:marLeft w:val="0"/>
          <w:marRight w:val="0"/>
          <w:marTop w:val="0"/>
          <w:marBottom w:val="0"/>
          <w:divBdr>
            <w:top w:val="none" w:sz="0" w:space="0" w:color="auto"/>
            <w:left w:val="none" w:sz="0" w:space="0" w:color="auto"/>
            <w:bottom w:val="none" w:sz="0" w:space="0" w:color="auto"/>
            <w:right w:val="none" w:sz="0" w:space="0" w:color="auto"/>
          </w:divBdr>
        </w:div>
      </w:divsChild>
    </w:div>
    <w:div w:id="659118129">
      <w:marLeft w:val="4"/>
      <w:marRight w:val="0"/>
      <w:marTop w:val="120"/>
      <w:marBottom w:val="0"/>
      <w:divBdr>
        <w:top w:val="none" w:sz="0" w:space="0" w:color="auto"/>
        <w:left w:val="none" w:sz="0" w:space="0" w:color="auto"/>
        <w:bottom w:val="none" w:sz="0" w:space="0" w:color="auto"/>
        <w:right w:val="none" w:sz="0" w:space="0" w:color="auto"/>
      </w:divBdr>
      <w:divsChild>
        <w:div w:id="1805269280">
          <w:marLeft w:val="0"/>
          <w:marRight w:val="0"/>
          <w:marTop w:val="0"/>
          <w:marBottom w:val="0"/>
          <w:divBdr>
            <w:top w:val="none" w:sz="0" w:space="0" w:color="auto"/>
            <w:left w:val="none" w:sz="0" w:space="0" w:color="auto"/>
            <w:bottom w:val="none" w:sz="0" w:space="0" w:color="auto"/>
            <w:right w:val="none" w:sz="0" w:space="0" w:color="auto"/>
          </w:divBdr>
        </w:div>
      </w:divsChild>
    </w:div>
    <w:div w:id="668753116">
      <w:marLeft w:val="4"/>
      <w:marRight w:val="0"/>
      <w:marTop w:val="120"/>
      <w:marBottom w:val="0"/>
      <w:divBdr>
        <w:top w:val="none" w:sz="0" w:space="0" w:color="auto"/>
        <w:left w:val="none" w:sz="0" w:space="0" w:color="auto"/>
        <w:bottom w:val="none" w:sz="0" w:space="0" w:color="auto"/>
        <w:right w:val="none" w:sz="0" w:space="0" w:color="auto"/>
      </w:divBdr>
      <w:divsChild>
        <w:div w:id="2081639070">
          <w:marLeft w:val="0"/>
          <w:marRight w:val="0"/>
          <w:marTop w:val="0"/>
          <w:marBottom w:val="0"/>
          <w:divBdr>
            <w:top w:val="none" w:sz="0" w:space="0" w:color="auto"/>
            <w:left w:val="none" w:sz="0" w:space="0" w:color="auto"/>
            <w:bottom w:val="none" w:sz="0" w:space="0" w:color="auto"/>
            <w:right w:val="none" w:sz="0" w:space="0" w:color="auto"/>
          </w:divBdr>
        </w:div>
      </w:divsChild>
    </w:div>
    <w:div w:id="681246900">
      <w:marLeft w:val="4"/>
      <w:marRight w:val="0"/>
      <w:marTop w:val="120"/>
      <w:marBottom w:val="0"/>
      <w:divBdr>
        <w:top w:val="none" w:sz="0" w:space="0" w:color="auto"/>
        <w:left w:val="none" w:sz="0" w:space="0" w:color="auto"/>
        <w:bottom w:val="none" w:sz="0" w:space="0" w:color="auto"/>
        <w:right w:val="none" w:sz="0" w:space="0" w:color="auto"/>
      </w:divBdr>
      <w:divsChild>
        <w:div w:id="841817321">
          <w:marLeft w:val="0"/>
          <w:marRight w:val="0"/>
          <w:marTop w:val="0"/>
          <w:marBottom w:val="0"/>
          <w:divBdr>
            <w:top w:val="none" w:sz="0" w:space="0" w:color="auto"/>
            <w:left w:val="none" w:sz="0" w:space="0" w:color="auto"/>
            <w:bottom w:val="none" w:sz="0" w:space="0" w:color="auto"/>
            <w:right w:val="none" w:sz="0" w:space="0" w:color="auto"/>
          </w:divBdr>
        </w:div>
      </w:divsChild>
    </w:div>
    <w:div w:id="683943312">
      <w:marLeft w:val="9"/>
      <w:marRight w:val="0"/>
      <w:marTop w:val="120"/>
      <w:marBottom w:val="0"/>
      <w:divBdr>
        <w:top w:val="none" w:sz="0" w:space="0" w:color="auto"/>
        <w:left w:val="none" w:sz="0" w:space="0" w:color="auto"/>
        <w:bottom w:val="none" w:sz="0" w:space="0" w:color="auto"/>
        <w:right w:val="none" w:sz="0" w:space="0" w:color="auto"/>
      </w:divBdr>
      <w:divsChild>
        <w:div w:id="64112362">
          <w:marLeft w:val="0"/>
          <w:marRight w:val="0"/>
          <w:marTop w:val="0"/>
          <w:marBottom w:val="0"/>
          <w:divBdr>
            <w:top w:val="none" w:sz="0" w:space="0" w:color="auto"/>
            <w:left w:val="none" w:sz="0" w:space="0" w:color="auto"/>
            <w:bottom w:val="none" w:sz="0" w:space="0" w:color="auto"/>
            <w:right w:val="none" w:sz="0" w:space="0" w:color="auto"/>
          </w:divBdr>
        </w:div>
      </w:divsChild>
    </w:div>
    <w:div w:id="684598814">
      <w:marLeft w:val="4"/>
      <w:marRight w:val="0"/>
      <w:marTop w:val="120"/>
      <w:marBottom w:val="0"/>
      <w:divBdr>
        <w:top w:val="none" w:sz="0" w:space="0" w:color="auto"/>
        <w:left w:val="none" w:sz="0" w:space="0" w:color="auto"/>
        <w:bottom w:val="none" w:sz="0" w:space="0" w:color="auto"/>
        <w:right w:val="none" w:sz="0" w:space="0" w:color="auto"/>
      </w:divBdr>
      <w:divsChild>
        <w:div w:id="797720601">
          <w:marLeft w:val="0"/>
          <w:marRight w:val="0"/>
          <w:marTop w:val="0"/>
          <w:marBottom w:val="0"/>
          <w:divBdr>
            <w:top w:val="none" w:sz="0" w:space="0" w:color="auto"/>
            <w:left w:val="none" w:sz="0" w:space="0" w:color="auto"/>
            <w:bottom w:val="none" w:sz="0" w:space="0" w:color="auto"/>
            <w:right w:val="none" w:sz="0" w:space="0" w:color="auto"/>
          </w:divBdr>
        </w:div>
      </w:divsChild>
    </w:div>
    <w:div w:id="699208966">
      <w:marLeft w:val="4"/>
      <w:marRight w:val="0"/>
      <w:marTop w:val="120"/>
      <w:marBottom w:val="0"/>
      <w:divBdr>
        <w:top w:val="none" w:sz="0" w:space="0" w:color="auto"/>
        <w:left w:val="none" w:sz="0" w:space="0" w:color="auto"/>
        <w:bottom w:val="none" w:sz="0" w:space="0" w:color="auto"/>
        <w:right w:val="none" w:sz="0" w:space="0" w:color="auto"/>
      </w:divBdr>
      <w:divsChild>
        <w:div w:id="539585274">
          <w:marLeft w:val="0"/>
          <w:marRight w:val="0"/>
          <w:marTop w:val="0"/>
          <w:marBottom w:val="0"/>
          <w:divBdr>
            <w:top w:val="none" w:sz="0" w:space="0" w:color="auto"/>
            <w:left w:val="none" w:sz="0" w:space="0" w:color="auto"/>
            <w:bottom w:val="none" w:sz="0" w:space="0" w:color="auto"/>
            <w:right w:val="none" w:sz="0" w:space="0" w:color="auto"/>
          </w:divBdr>
        </w:div>
      </w:divsChild>
    </w:div>
    <w:div w:id="729310236">
      <w:marLeft w:val="4"/>
      <w:marRight w:val="0"/>
      <w:marTop w:val="120"/>
      <w:marBottom w:val="0"/>
      <w:divBdr>
        <w:top w:val="none" w:sz="0" w:space="0" w:color="auto"/>
        <w:left w:val="none" w:sz="0" w:space="0" w:color="auto"/>
        <w:bottom w:val="none" w:sz="0" w:space="0" w:color="auto"/>
        <w:right w:val="none" w:sz="0" w:space="0" w:color="auto"/>
      </w:divBdr>
      <w:divsChild>
        <w:div w:id="231739187">
          <w:marLeft w:val="0"/>
          <w:marRight w:val="0"/>
          <w:marTop w:val="0"/>
          <w:marBottom w:val="0"/>
          <w:divBdr>
            <w:top w:val="none" w:sz="0" w:space="0" w:color="auto"/>
            <w:left w:val="none" w:sz="0" w:space="0" w:color="auto"/>
            <w:bottom w:val="none" w:sz="0" w:space="0" w:color="auto"/>
            <w:right w:val="none" w:sz="0" w:space="0" w:color="auto"/>
          </w:divBdr>
        </w:div>
      </w:divsChild>
    </w:div>
    <w:div w:id="730928832">
      <w:marLeft w:val="9"/>
      <w:marRight w:val="0"/>
      <w:marTop w:val="120"/>
      <w:marBottom w:val="0"/>
      <w:divBdr>
        <w:top w:val="none" w:sz="0" w:space="0" w:color="auto"/>
        <w:left w:val="none" w:sz="0" w:space="0" w:color="auto"/>
        <w:bottom w:val="none" w:sz="0" w:space="0" w:color="auto"/>
        <w:right w:val="none" w:sz="0" w:space="0" w:color="auto"/>
      </w:divBdr>
      <w:divsChild>
        <w:div w:id="1445537212">
          <w:marLeft w:val="0"/>
          <w:marRight w:val="0"/>
          <w:marTop w:val="0"/>
          <w:marBottom w:val="0"/>
          <w:divBdr>
            <w:top w:val="none" w:sz="0" w:space="0" w:color="auto"/>
            <w:left w:val="none" w:sz="0" w:space="0" w:color="auto"/>
            <w:bottom w:val="none" w:sz="0" w:space="0" w:color="auto"/>
            <w:right w:val="none" w:sz="0" w:space="0" w:color="auto"/>
          </w:divBdr>
        </w:div>
      </w:divsChild>
    </w:div>
    <w:div w:id="736588492">
      <w:marLeft w:val="4"/>
      <w:marRight w:val="0"/>
      <w:marTop w:val="120"/>
      <w:marBottom w:val="0"/>
      <w:divBdr>
        <w:top w:val="none" w:sz="0" w:space="0" w:color="auto"/>
        <w:left w:val="none" w:sz="0" w:space="0" w:color="auto"/>
        <w:bottom w:val="none" w:sz="0" w:space="0" w:color="auto"/>
        <w:right w:val="none" w:sz="0" w:space="0" w:color="auto"/>
      </w:divBdr>
      <w:divsChild>
        <w:div w:id="876968626">
          <w:marLeft w:val="0"/>
          <w:marRight w:val="0"/>
          <w:marTop w:val="0"/>
          <w:marBottom w:val="0"/>
          <w:divBdr>
            <w:top w:val="none" w:sz="0" w:space="0" w:color="auto"/>
            <w:left w:val="none" w:sz="0" w:space="0" w:color="auto"/>
            <w:bottom w:val="none" w:sz="0" w:space="0" w:color="auto"/>
            <w:right w:val="none" w:sz="0" w:space="0" w:color="auto"/>
          </w:divBdr>
        </w:div>
      </w:divsChild>
    </w:div>
    <w:div w:id="741683319">
      <w:marLeft w:val="4"/>
      <w:marRight w:val="0"/>
      <w:marTop w:val="120"/>
      <w:marBottom w:val="0"/>
      <w:divBdr>
        <w:top w:val="none" w:sz="0" w:space="0" w:color="auto"/>
        <w:left w:val="none" w:sz="0" w:space="0" w:color="auto"/>
        <w:bottom w:val="none" w:sz="0" w:space="0" w:color="auto"/>
        <w:right w:val="none" w:sz="0" w:space="0" w:color="auto"/>
      </w:divBdr>
      <w:divsChild>
        <w:div w:id="1129514105">
          <w:marLeft w:val="0"/>
          <w:marRight w:val="0"/>
          <w:marTop w:val="0"/>
          <w:marBottom w:val="0"/>
          <w:divBdr>
            <w:top w:val="none" w:sz="0" w:space="0" w:color="auto"/>
            <w:left w:val="none" w:sz="0" w:space="0" w:color="auto"/>
            <w:bottom w:val="none" w:sz="0" w:space="0" w:color="auto"/>
            <w:right w:val="none" w:sz="0" w:space="0" w:color="auto"/>
          </w:divBdr>
        </w:div>
      </w:divsChild>
    </w:div>
    <w:div w:id="742334685">
      <w:marLeft w:val="4"/>
      <w:marRight w:val="0"/>
      <w:marTop w:val="120"/>
      <w:marBottom w:val="0"/>
      <w:divBdr>
        <w:top w:val="none" w:sz="0" w:space="0" w:color="auto"/>
        <w:left w:val="none" w:sz="0" w:space="0" w:color="auto"/>
        <w:bottom w:val="none" w:sz="0" w:space="0" w:color="auto"/>
        <w:right w:val="none" w:sz="0" w:space="0" w:color="auto"/>
      </w:divBdr>
      <w:divsChild>
        <w:div w:id="1829202235">
          <w:marLeft w:val="0"/>
          <w:marRight w:val="0"/>
          <w:marTop w:val="0"/>
          <w:marBottom w:val="0"/>
          <w:divBdr>
            <w:top w:val="none" w:sz="0" w:space="0" w:color="auto"/>
            <w:left w:val="none" w:sz="0" w:space="0" w:color="auto"/>
            <w:bottom w:val="none" w:sz="0" w:space="0" w:color="auto"/>
            <w:right w:val="none" w:sz="0" w:space="0" w:color="auto"/>
          </w:divBdr>
        </w:div>
      </w:divsChild>
    </w:div>
    <w:div w:id="755631659">
      <w:marLeft w:val="4"/>
      <w:marRight w:val="0"/>
      <w:marTop w:val="120"/>
      <w:marBottom w:val="0"/>
      <w:divBdr>
        <w:top w:val="none" w:sz="0" w:space="0" w:color="auto"/>
        <w:left w:val="none" w:sz="0" w:space="0" w:color="auto"/>
        <w:bottom w:val="none" w:sz="0" w:space="0" w:color="auto"/>
        <w:right w:val="none" w:sz="0" w:space="0" w:color="auto"/>
      </w:divBdr>
      <w:divsChild>
        <w:div w:id="1302610710">
          <w:marLeft w:val="0"/>
          <w:marRight w:val="0"/>
          <w:marTop w:val="0"/>
          <w:marBottom w:val="0"/>
          <w:divBdr>
            <w:top w:val="none" w:sz="0" w:space="0" w:color="auto"/>
            <w:left w:val="none" w:sz="0" w:space="0" w:color="auto"/>
            <w:bottom w:val="none" w:sz="0" w:space="0" w:color="auto"/>
            <w:right w:val="none" w:sz="0" w:space="0" w:color="auto"/>
          </w:divBdr>
        </w:div>
      </w:divsChild>
    </w:div>
    <w:div w:id="764805341">
      <w:marLeft w:val="4"/>
      <w:marRight w:val="0"/>
      <w:marTop w:val="120"/>
      <w:marBottom w:val="0"/>
      <w:divBdr>
        <w:top w:val="none" w:sz="0" w:space="0" w:color="auto"/>
        <w:left w:val="none" w:sz="0" w:space="0" w:color="auto"/>
        <w:bottom w:val="none" w:sz="0" w:space="0" w:color="auto"/>
        <w:right w:val="none" w:sz="0" w:space="0" w:color="auto"/>
      </w:divBdr>
      <w:divsChild>
        <w:div w:id="1734892725">
          <w:marLeft w:val="0"/>
          <w:marRight w:val="0"/>
          <w:marTop w:val="0"/>
          <w:marBottom w:val="0"/>
          <w:divBdr>
            <w:top w:val="none" w:sz="0" w:space="0" w:color="auto"/>
            <w:left w:val="none" w:sz="0" w:space="0" w:color="auto"/>
            <w:bottom w:val="none" w:sz="0" w:space="0" w:color="auto"/>
            <w:right w:val="none" w:sz="0" w:space="0" w:color="auto"/>
          </w:divBdr>
        </w:div>
      </w:divsChild>
    </w:div>
    <w:div w:id="765467727">
      <w:marLeft w:val="4"/>
      <w:marRight w:val="0"/>
      <w:marTop w:val="120"/>
      <w:marBottom w:val="0"/>
      <w:divBdr>
        <w:top w:val="none" w:sz="0" w:space="0" w:color="auto"/>
        <w:left w:val="none" w:sz="0" w:space="0" w:color="auto"/>
        <w:bottom w:val="none" w:sz="0" w:space="0" w:color="auto"/>
        <w:right w:val="none" w:sz="0" w:space="0" w:color="auto"/>
      </w:divBdr>
      <w:divsChild>
        <w:div w:id="372846720">
          <w:marLeft w:val="0"/>
          <w:marRight w:val="0"/>
          <w:marTop w:val="0"/>
          <w:marBottom w:val="0"/>
          <w:divBdr>
            <w:top w:val="none" w:sz="0" w:space="0" w:color="auto"/>
            <w:left w:val="none" w:sz="0" w:space="0" w:color="auto"/>
            <w:bottom w:val="none" w:sz="0" w:space="0" w:color="auto"/>
            <w:right w:val="none" w:sz="0" w:space="0" w:color="auto"/>
          </w:divBdr>
        </w:div>
      </w:divsChild>
    </w:div>
    <w:div w:id="779761291">
      <w:marLeft w:val="4"/>
      <w:marRight w:val="0"/>
      <w:marTop w:val="120"/>
      <w:marBottom w:val="0"/>
      <w:divBdr>
        <w:top w:val="none" w:sz="0" w:space="0" w:color="auto"/>
        <w:left w:val="none" w:sz="0" w:space="0" w:color="auto"/>
        <w:bottom w:val="none" w:sz="0" w:space="0" w:color="auto"/>
        <w:right w:val="none" w:sz="0" w:space="0" w:color="auto"/>
      </w:divBdr>
      <w:divsChild>
        <w:div w:id="852647477">
          <w:marLeft w:val="0"/>
          <w:marRight w:val="0"/>
          <w:marTop w:val="0"/>
          <w:marBottom w:val="0"/>
          <w:divBdr>
            <w:top w:val="none" w:sz="0" w:space="0" w:color="auto"/>
            <w:left w:val="none" w:sz="0" w:space="0" w:color="auto"/>
            <w:bottom w:val="none" w:sz="0" w:space="0" w:color="auto"/>
            <w:right w:val="none" w:sz="0" w:space="0" w:color="auto"/>
          </w:divBdr>
        </w:div>
      </w:divsChild>
    </w:div>
    <w:div w:id="782580339">
      <w:marLeft w:val="4"/>
      <w:marRight w:val="0"/>
      <w:marTop w:val="120"/>
      <w:marBottom w:val="0"/>
      <w:divBdr>
        <w:top w:val="none" w:sz="0" w:space="0" w:color="auto"/>
        <w:left w:val="none" w:sz="0" w:space="0" w:color="auto"/>
        <w:bottom w:val="none" w:sz="0" w:space="0" w:color="auto"/>
        <w:right w:val="none" w:sz="0" w:space="0" w:color="auto"/>
      </w:divBdr>
      <w:divsChild>
        <w:div w:id="1842160190">
          <w:marLeft w:val="0"/>
          <w:marRight w:val="0"/>
          <w:marTop w:val="0"/>
          <w:marBottom w:val="0"/>
          <w:divBdr>
            <w:top w:val="none" w:sz="0" w:space="0" w:color="auto"/>
            <w:left w:val="none" w:sz="0" w:space="0" w:color="auto"/>
            <w:bottom w:val="none" w:sz="0" w:space="0" w:color="auto"/>
            <w:right w:val="none" w:sz="0" w:space="0" w:color="auto"/>
          </w:divBdr>
        </w:div>
      </w:divsChild>
    </w:div>
    <w:div w:id="784153932">
      <w:marLeft w:val="4"/>
      <w:marRight w:val="0"/>
      <w:marTop w:val="120"/>
      <w:marBottom w:val="0"/>
      <w:divBdr>
        <w:top w:val="none" w:sz="0" w:space="0" w:color="auto"/>
        <w:left w:val="none" w:sz="0" w:space="0" w:color="auto"/>
        <w:bottom w:val="none" w:sz="0" w:space="0" w:color="auto"/>
        <w:right w:val="none" w:sz="0" w:space="0" w:color="auto"/>
      </w:divBdr>
      <w:divsChild>
        <w:div w:id="2053261355">
          <w:marLeft w:val="0"/>
          <w:marRight w:val="0"/>
          <w:marTop w:val="0"/>
          <w:marBottom w:val="0"/>
          <w:divBdr>
            <w:top w:val="none" w:sz="0" w:space="0" w:color="auto"/>
            <w:left w:val="none" w:sz="0" w:space="0" w:color="auto"/>
            <w:bottom w:val="none" w:sz="0" w:space="0" w:color="auto"/>
            <w:right w:val="none" w:sz="0" w:space="0" w:color="auto"/>
          </w:divBdr>
        </w:div>
      </w:divsChild>
    </w:div>
    <w:div w:id="786965552">
      <w:marLeft w:val="9"/>
      <w:marRight w:val="0"/>
      <w:marTop w:val="120"/>
      <w:marBottom w:val="0"/>
      <w:divBdr>
        <w:top w:val="none" w:sz="0" w:space="0" w:color="auto"/>
        <w:left w:val="none" w:sz="0" w:space="0" w:color="auto"/>
        <w:bottom w:val="none" w:sz="0" w:space="0" w:color="auto"/>
        <w:right w:val="none" w:sz="0" w:space="0" w:color="auto"/>
      </w:divBdr>
      <w:divsChild>
        <w:div w:id="565576101">
          <w:marLeft w:val="0"/>
          <w:marRight w:val="0"/>
          <w:marTop w:val="0"/>
          <w:marBottom w:val="0"/>
          <w:divBdr>
            <w:top w:val="none" w:sz="0" w:space="0" w:color="auto"/>
            <w:left w:val="none" w:sz="0" w:space="0" w:color="auto"/>
            <w:bottom w:val="none" w:sz="0" w:space="0" w:color="auto"/>
            <w:right w:val="none" w:sz="0" w:space="0" w:color="auto"/>
          </w:divBdr>
        </w:div>
      </w:divsChild>
    </w:div>
    <w:div w:id="789907219">
      <w:marLeft w:val="4"/>
      <w:marRight w:val="0"/>
      <w:marTop w:val="120"/>
      <w:marBottom w:val="0"/>
      <w:divBdr>
        <w:top w:val="none" w:sz="0" w:space="0" w:color="auto"/>
        <w:left w:val="none" w:sz="0" w:space="0" w:color="auto"/>
        <w:bottom w:val="none" w:sz="0" w:space="0" w:color="auto"/>
        <w:right w:val="none" w:sz="0" w:space="0" w:color="auto"/>
      </w:divBdr>
      <w:divsChild>
        <w:div w:id="657654759">
          <w:marLeft w:val="0"/>
          <w:marRight w:val="0"/>
          <w:marTop w:val="0"/>
          <w:marBottom w:val="0"/>
          <w:divBdr>
            <w:top w:val="none" w:sz="0" w:space="0" w:color="auto"/>
            <w:left w:val="none" w:sz="0" w:space="0" w:color="auto"/>
            <w:bottom w:val="none" w:sz="0" w:space="0" w:color="auto"/>
            <w:right w:val="none" w:sz="0" w:space="0" w:color="auto"/>
          </w:divBdr>
        </w:div>
      </w:divsChild>
    </w:div>
    <w:div w:id="818153120">
      <w:marLeft w:val="4"/>
      <w:marRight w:val="0"/>
      <w:marTop w:val="120"/>
      <w:marBottom w:val="0"/>
      <w:divBdr>
        <w:top w:val="none" w:sz="0" w:space="0" w:color="auto"/>
        <w:left w:val="none" w:sz="0" w:space="0" w:color="auto"/>
        <w:bottom w:val="none" w:sz="0" w:space="0" w:color="auto"/>
        <w:right w:val="none" w:sz="0" w:space="0" w:color="auto"/>
      </w:divBdr>
      <w:divsChild>
        <w:div w:id="1881822939">
          <w:marLeft w:val="0"/>
          <w:marRight w:val="0"/>
          <w:marTop w:val="0"/>
          <w:marBottom w:val="0"/>
          <w:divBdr>
            <w:top w:val="none" w:sz="0" w:space="0" w:color="auto"/>
            <w:left w:val="none" w:sz="0" w:space="0" w:color="auto"/>
            <w:bottom w:val="none" w:sz="0" w:space="0" w:color="auto"/>
            <w:right w:val="none" w:sz="0" w:space="0" w:color="auto"/>
          </w:divBdr>
        </w:div>
      </w:divsChild>
    </w:div>
    <w:div w:id="830482729">
      <w:marLeft w:val="4"/>
      <w:marRight w:val="0"/>
      <w:marTop w:val="120"/>
      <w:marBottom w:val="0"/>
      <w:divBdr>
        <w:top w:val="none" w:sz="0" w:space="0" w:color="auto"/>
        <w:left w:val="none" w:sz="0" w:space="0" w:color="auto"/>
        <w:bottom w:val="none" w:sz="0" w:space="0" w:color="auto"/>
        <w:right w:val="none" w:sz="0" w:space="0" w:color="auto"/>
      </w:divBdr>
      <w:divsChild>
        <w:div w:id="333068537">
          <w:marLeft w:val="0"/>
          <w:marRight w:val="0"/>
          <w:marTop w:val="0"/>
          <w:marBottom w:val="0"/>
          <w:divBdr>
            <w:top w:val="none" w:sz="0" w:space="0" w:color="auto"/>
            <w:left w:val="none" w:sz="0" w:space="0" w:color="auto"/>
            <w:bottom w:val="none" w:sz="0" w:space="0" w:color="auto"/>
            <w:right w:val="none" w:sz="0" w:space="0" w:color="auto"/>
          </w:divBdr>
        </w:div>
      </w:divsChild>
    </w:div>
    <w:div w:id="831026443">
      <w:marLeft w:val="0"/>
      <w:marRight w:val="0"/>
      <w:marTop w:val="0"/>
      <w:marBottom w:val="0"/>
      <w:divBdr>
        <w:top w:val="none" w:sz="0" w:space="0" w:color="auto"/>
        <w:left w:val="none" w:sz="0" w:space="0" w:color="auto"/>
        <w:bottom w:val="none" w:sz="0" w:space="0" w:color="auto"/>
        <w:right w:val="none" w:sz="0" w:space="0" w:color="auto"/>
      </w:divBdr>
    </w:div>
    <w:div w:id="835535355">
      <w:marLeft w:val="0"/>
      <w:marRight w:val="0"/>
      <w:marTop w:val="0"/>
      <w:marBottom w:val="0"/>
      <w:divBdr>
        <w:top w:val="none" w:sz="0" w:space="0" w:color="auto"/>
        <w:left w:val="none" w:sz="0" w:space="0" w:color="auto"/>
        <w:bottom w:val="none" w:sz="0" w:space="0" w:color="auto"/>
        <w:right w:val="none" w:sz="0" w:space="0" w:color="auto"/>
      </w:divBdr>
    </w:div>
    <w:div w:id="874199588">
      <w:marLeft w:val="4"/>
      <w:marRight w:val="0"/>
      <w:marTop w:val="120"/>
      <w:marBottom w:val="0"/>
      <w:divBdr>
        <w:top w:val="none" w:sz="0" w:space="0" w:color="auto"/>
        <w:left w:val="none" w:sz="0" w:space="0" w:color="auto"/>
        <w:bottom w:val="none" w:sz="0" w:space="0" w:color="auto"/>
        <w:right w:val="none" w:sz="0" w:space="0" w:color="auto"/>
      </w:divBdr>
      <w:divsChild>
        <w:div w:id="1483237298">
          <w:marLeft w:val="0"/>
          <w:marRight w:val="0"/>
          <w:marTop w:val="0"/>
          <w:marBottom w:val="0"/>
          <w:divBdr>
            <w:top w:val="none" w:sz="0" w:space="0" w:color="auto"/>
            <w:left w:val="none" w:sz="0" w:space="0" w:color="auto"/>
            <w:bottom w:val="none" w:sz="0" w:space="0" w:color="auto"/>
            <w:right w:val="none" w:sz="0" w:space="0" w:color="auto"/>
          </w:divBdr>
        </w:div>
      </w:divsChild>
    </w:div>
    <w:div w:id="886529748">
      <w:marLeft w:val="7"/>
      <w:marRight w:val="0"/>
      <w:marTop w:val="120"/>
      <w:marBottom w:val="0"/>
      <w:divBdr>
        <w:top w:val="none" w:sz="0" w:space="0" w:color="auto"/>
        <w:left w:val="none" w:sz="0" w:space="0" w:color="auto"/>
        <w:bottom w:val="none" w:sz="0" w:space="0" w:color="auto"/>
        <w:right w:val="none" w:sz="0" w:space="0" w:color="auto"/>
      </w:divBdr>
      <w:divsChild>
        <w:div w:id="676690927">
          <w:marLeft w:val="0"/>
          <w:marRight w:val="0"/>
          <w:marTop w:val="0"/>
          <w:marBottom w:val="0"/>
          <w:divBdr>
            <w:top w:val="none" w:sz="0" w:space="0" w:color="auto"/>
            <w:left w:val="none" w:sz="0" w:space="0" w:color="auto"/>
            <w:bottom w:val="none" w:sz="0" w:space="0" w:color="auto"/>
            <w:right w:val="none" w:sz="0" w:space="0" w:color="auto"/>
          </w:divBdr>
        </w:div>
      </w:divsChild>
    </w:div>
    <w:div w:id="929704996">
      <w:marLeft w:val="4"/>
      <w:marRight w:val="0"/>
      <w:marTop w:val="120"/>
      <w:marBottom w:val="0"/>
      <w:divBdr>
        <w:top w:val="none" w:sz="0" w:space="0" w:color="auto"/>
        <w:left w:val="none" w:sz="0" w:space="0" w:color="auto"/>
        <w:bottom w:val="none" w:sz="0" w:space="0" w:color="auto"/>
        <w:right w:val="none" w:sz="0" w:space="0" w:color="auto"/>
      </w:divBdr>
      <w:divsChild>
        <w:div w:id="1346860388">
          <w:marLeft w:val="0"/>
          <w:marRight w:val="0"/>
          <w:marTop w:val="0"/>
          <w:marBottom w:val="0"/>
          <w:divBdr>
            <w:top w:val="none" w:sz="0" w:space="0" w:color="auto"/>
            <w:left w:val="none" w:sz="0" w:space="0" w:color="auto"/>
            <w:bottom w:val="none" w:sz="0" w:space="0" w:color="auto"/>
            <w:right w:val="none" w:sz="0" w:space="0" w:color="auto"/>
          </w:divBdr>
        </w:div>
      </w:divsChild>
    </w:div>
    <w:div w:id="935678628">
      <w:marLeft w:val="7"/>
      <w:marRight w:val="0"/>
      <w:marTop w:val="120"/>
      <w:marBottom w:val="0"/>
      <w:divBdr>
        <w:top w:val="none" w:sz="0" w:space="0" w:color="auto"/>
        <w:left w:val="none" w:sz="0" w:space="0" w:color="auto"/>
        <w:bottom w:val="none" w:sz="0" w:space="0" w:color="auto"/>
        <w:right w:val="none" w:sz="0" w:space="0" w:color="auto"/>
      </w:divBdr>
      <w:divsChild>
        <w:div w:id="554852407">
          <w:marLeft w:val="0"/>
          <w:marRight w:val="0"/>
          <w:marTop w:val="0"/>
          <w:marBottom w:val="0"/>
          <w:divBdr>
            <w:top w:val="none" w:sz="0" w:space="0" w:color="auto"/>
            <w:left w:val="none" w:sz="0" w:space="0" w:color="auto"/>
            <w:bottom w:val="none" w:sz="0" w:space="0" w:color="auto"/>
            <w:right w:val="none" w:sz="0" w:space="0" w:color="auto"/>
          </w:divBdr>
        </w:div>
      </w:divsChild>
    </w:div>
    <w:div w:id="938098592">
      <w:marLeft w:val="4"/>
      <w:marRight w:val="0"/>
      <w:marTop w:val="120"/>
      <w:marBottom w:val="0"/>
      <w:divBdr>
        <w:top w:val="none" w:sz="0" w:space="0" w:color="auto"/>
        <w:left w:val="none" w:sz="0" w:space="0" w:color="auto"/>
        <w:bottom w:val="none" w:sz="0" w:space="0" w:color="auto"/>
        <w:right w:val="none" w:sz="0" w:space="0" w:color="auto"/>
      </w:divBdr>
      <w:divsChild>
        <w:div w:id="1261528629">
          <w:marLeft w:val="0"/>
          <w:marRight w:val="0"/>
          <w:marTop w:val="0"/>
          <w:marBottom w:val="0"/>
          <w:divBdr>
            <w:top w:val="none" w:sz="0" w:space="0" w:color="auto"/>
            <w:left w:val="none" w:sz="0" w:space="0" w:color="auto"/>
            <w:bottom w:val="none" w:sz="0" w:space="0" w:color="auto"/>
            <w:right w:val="none" w:sz="0" w:space="0" w:color="auto"/>
          </w:divBdr>
        </w:div>
      </w:divsChild>
    </w:div>
    <w:div w:id="949363171">
      <w:marLeft w:val="4"/>
      <w:marRight w:val="0"/>
      <w:marTop w:val="120"/>
      <w:marBottom w:val="0"/>
      <w:divBdr>
        <w:top w:val="none" w:sz="0" w:space="0" w:color="auto"/>
        <w:left w:val="none" w:sz="0" w:space="0" w:color="auto"/>
        <w:bottom w:val="none" w:sz="0" w:space="0" w:color="auto"/>
        <w:right w:val="none" w:sz="0" w:space="0" w:color="auto"/>
      </w:divBdr>
      <w:divsChild>
        <w:div w:id="498036545">
          <w:marLeft w:val="0"/>
          <w:marRight w:val="0"/>
          <w:marTop w:val="0"/>
          <w:marBottom w:val="0"/>
          <w:divBdr>
            <w:top w:val="none" w:sz="0" w:space="0" w:color="auto"/>
            <w:left w:val="none" w:sz="0" w:space="0" w:color="auto"/>
            <w:bottom w:val="none" w:sz="0" w:space="0" w:color="auto"/>
            <w:right w:val="none" w:sz="0" w:space="0" w:color="auto"/>
          </w:divBdr>
        </w:div>
      </w:divsChild>
    </w:div>
    <w:div w:id="951858789">
      <w:marLeft w:val="4"/>
      <w:marRight w:val="0"/>
      <w:marTop w:val="120"/>
      <w:marBottom w:val="0"/>
      <w:divBdr>
        <w:top w:val="none" w:sz="0" w:space="0" w:color="auto"/>
        <w:left w:val="none" w:sz="0" w:space="0" w:color="auto"/>
        <w:bottom w:val="none" w:sz="0" w:space="0" w:color="auto"/>
        <w:right w:val="none" w:sz="0" w:space="0" w:color="auto"/>
      </w:divBdr>
      <w:divsChild>
        <w:div w:id="561478482">
          <w:marLeft w:val="0"/>
          <w:marRight w:val="0"/>
          <w:marTop w:val="0"/>
          <w:marBottom w:val="0"/>
          <w:divBdr>
            <w:top w:val="none" w:sz="0" w:space="0" w:color="auto"/>
            <w:left w:val="none" w:sz="0" w:space="0" w:color="auto"/>
            <w:bottom w:val="none" w:sz="0" w:space="0" w:color="auto"/>
            <w:right w:val="none" w:sz="0" w:space="0" w:color="auto"/>
          </w:divBdr>
        </w:div>
      </w:divsChild>
    </w:div>
    <w:div w:id="953634186">
      <w:marLeft w:val="0"/>
      <w:marRight w:val="0"/>
      <w:marTop w:val="0"/>
      <w:marBottom w:val="0"/>
      <w:divBdr>
        <w:top w:val="none" w:sz="0" w:space="0" w:color="auto"/>
        <w:left w:val="none" w:sz="0" w:space="0" w:color="auto"/>
        <w:bottom w:val="none" w:sz="0" w:space="0" w:color="auto"/>
        <w:right w:val="none" w:sz="0" w:space="0" w:color="auto"/>
      </w:divBdr>
      <w:divsChild>
        <w:div w:id="2039234234">
          <w:marLeft w:val="0"/>
          <w:marRight w:val="0"/>
          <w:marTop w:val="0"/>
          <w:marBottom w:val="0"/>
          <w:divBdr>
            <w:top w:val="none" w:sz="0" w:space="0" w:color="auto"/>
            <w:left w:val="none" w:sz="0" w:space="0" w:color="auto"/>
            <w:bottom w:val="none" w:sz="0" w:space="0" w:color="auto"/>
            <w:right w:val="none" w:sz="0" w:space="0" w:color="auto"/>
          </w:divBdr>
        </w:div>
        <w:div w:id="1367100032">
          <w:marLeft w:val="0"/>
          <w:marRight w:val="0"/>
          <w:marTop w:val="0"/>
          <w:marBottom w:val="0"/>
          <w:divBdr>
            <w:top w:val="none" w:sz="0" w:space="0" w:color="auto"/>
            <w:left w:val="none" w:sz="0" w:space="0" w:color="auto"/>
            <w:bottom w:val="none" w:sz="0" w:space="0" w:color="auto"/>
            <w:right w:val="none" w:sz="0" w:space="0" w:color="auto"/>
          </w:divBdr>
        </w:div>
      </w:divsChild>
    </w:div>
    <w:div w:id="959998175">
      <w:marLeft w:val="4"/>
      <w:marRight w:val="0"/>
      <w:marTop w:val="120"/>
      <w:marBottom w:val="0"/>
      <w:divBdr>
        <w:top w:val="none" w:sz="0" w:space="0" w:color="auto"/>
        <w:left w:val="none" w:sz="0" w:space="0" w:color="auto"/>
        <w:bottom w:val="none" w:sz="0" w:space="0" w:color="auto"/>
        <w:right w:val="none" w:sz="0" w:space="0" w:color="auto"/>
      </w:divBdr>
      <w:divsChild>
        <w:div w:id="1296763579">
          <w:marLeft w:val="0"/>
          <w:marRight w:val="0"/>
          <w:marTop w:val="0"/>
          <w:marBottom w:val="0"/>
          <w:divBdr>
            <w:top w:val="none" w:sz="0" w:space="0" w:color="auto"/>
            <w:left w:val="none" w:sz="0" w:space="0" w:color="auto"/>
            <w:bottom w:val="none" w:sz="0" w:space="0" w:color="auto"/>
            <w:right w:val="none" w:sz="0" w:space="0" w:color="auto"/>
          </w:divBdr>
        </w:div>
      </w:divsChild>
    </w:div>
    <w:div w:id="965236004">
      <w:marLeft w:val="4"/>
      <w:marRight w:val="0"/>
      <w:marTop w:val="120"/>
      <w:marBottom w:val="0"/>
      <w:divBdr>
        <w:top w:val="none" w:sz="0" w:space="0" w:color="auto"/>
        <w:left w:val="none" w:sz="0" w:space="0" w:color="auto"/>
        <w:bottom w:val="none" w:sz="0" w:space="0" w:color="auto"/>
        <w:right w:val="none" w:sz="0" w:space="0" w:color="auto"/>
      </w:divBdr>
      <w:divsChild>
        <w:div w:id="1822189510">
          <w:marLeft w:val="0"/>
          <w:marRight w:val="0"/>
          <w:marTop w:val="0"/>
          <w:marBottom w:val="0"/>
          <w:divBdr>
            <w:top w:val="none" w:sz="0" w:space="0" w:color="auto"/>
            <w:left w:val="none" w:sz="0" w:space="0" w:color="auto"/>
            <w:bottom w:val="none" w:sz="0" w:space="0" w:color="auto"/>
            <w:right w:val="none" w:sz="0" w:space="0" w:color="auto"/>
          </w:divBdr>
        </w:div>
      </w:divsChild>
    </w:div>
    <w:div w:id="972980206">
      <w:marLeft w:val="4"/>
      <w:marRight w:val="0"/>
      <w:marTop w:val="120"/>
      <w:marBottom w:val="0"/>
      <w:divBdr>
        <w:top w:val="none" w:sz="0" w:space="0" w:color="auto"/>
        <w:left w:val="none" w:sz="0" w:space="0" w:color="auto"/>
        <w:bottom w:val="none" w:sz="0" w:space="0" w:color="auto"/>
        <w:right w:val="none" w:sz="0" w:space="0" w:color="auto"/>
      </w:divBdr>
      <w:divsChild>
        <w:div w:id="796921822">
          <w:marLeft w:val="0"/>
          <w:marRight w:val="0"/>
          <w:marTop w:val="0"/>
          <w:marBottom w:val="0"/>
          <w:divBdr>
            <w:top w:val="none" w:sz="0" w:space="0" w:color="auto"/>
            <w:left w:val="none" w:sz="0" w:space="0" w:color="auto"/>
            <w:bottom w:val="none" w:sz="0" w:space="0" w:color="auto"/>
            <w:right w:val="none" w:sz="0" w:space="0" w:color="auto"/>
          </w:divBdr>
        </w:div>
      </w:divsChild>
    </w:div>
    <w:div w:id="973098468">
      <w:marLeft w:val="4"/>
      <w:marRight w:val="0"/>
      <w:marTop w:val="120"/>
      <w:marBottom w:val="0"/>
      <w:divBdr>
        <w:top w:val="none" w:sz="0" w:space="0" w:color="auto"/>
        <w:left w:val="none" w:sz="0" w:space="0" w:color="auto"/>
        <w:bottom w:val="none" w:sz="0" w:space="0" w:color="auto"/>
        <w:right w:val="none" w:sz="0" w:space="0" w:color="auto"/>
      </w:divBdr>
      <w:divsChild>
        <w:div w:id="490100920">
          <w:marLeft w:val="0"/>
          <w:marRight w:val="0"/>
          <w:marTop w:val="0"/>
          <w:marBottom w:val="0"/>
          <w:divBdr>
            <w:top w:val="none" w:sz="0" w:space="0" w:color="auto"/>
            <w:left w:val="none" w:sz="0" w:space="0" w:color="auto"/>
            <w:bottom w:val="none" w:sz="0" w:space="0" w:color="auto"/>
            <w:right w:val="none" w:sz="0" w:space="0" w:color="auto"/>
          </w:divBdr>
        </w:div>
      </w:divsChild>
    </w:div>
    <w:div w:id="980423703">
      <w:marLeft w:val="4"/>
      <w:marRight w:val="0"/>
      <w:marTop w:val="120"/>
      <w:marBottom w:val="0"/>
      <w:divBdr>
        <w:top w:val="none" w:sz="0" w:space="0" w:color="auto"/>
        <w:left w:val="none" w:sz="0" w:space="0" w:color="auto"/>
        <w:bottom w:val="none" w:sz="0" w:space="0" w:color="auto"/>
        <w:right w:val="none" w:sz="0" w:space="0" w:color="auto"/>
      </w:divBdr>
      <w:divsChild>
        <w:div w:id="752356378">
          <w:marLeft w:val="0"/>
          <w:marRight w:val="0"/>
          <w:marTop w:val="0"/>
          <w:marBottom w:val="0"/>
          <w:divBdr>
            <w:top w:val="none" w:sz="0" w:space="0" w:color="auto"/>
            <w:left w:val="none" w:sz="0" w:space="0" w:color="auto"/>
            <w:bottom w:val="none" w:sz="0" w:space="0" w:color="auto"/>
            <w:right w:val="none" w:sz="0" w:space="0" w:color="auto"/>
          </w:divBdr>
        </w:div>
      </w:divsChild>
    </w:div>
    <w:div w:id="984240412">
      <w:marLeft w:val="9"/>
      <w:marRight w:val="0"/>
      <w:marTop w:val="120"/>
      <w:marBottom w:val="0"/>
      <w:divBdr>
        <w:top w:val="none" w:sz="0" w:space="0" w:color="auto"/>
        <w:left w:val="none" w:sz="0" w:space="0" w:color="auto"/>
        <w:bottom w:val="none" w:sz="0" w:space="0" w:color="auto"/>
        <w:right w:val="none" w:sz="0" w:space="0" w:color="auto"/>
      </w:divBdr>
      <w:divsChild>
        <w:div w:id="158084094">
          <w:marLeft w:val="0"/>
          <w:marRight w:val="0"/>
          <w:marTop w:val="0"/>
          <w:marBottom w:val="0"/>
          <w:divBdr>
            <w:top w:val="none" w:sz="0" w:space="0" w:color="auto"/>
            <w:left w:val="none" w:sz="0" w:space="0" w:color="auto"/>
            <w:bottom w:val="none" w:sz="0" w:space="0" w:color="auto"/>
            <w:right w:val="none" w:sz="0" w:space="0" w:color="auto"/>
          </w:divBdr>
        </w:div>
      </w:divsChild>
    </w:div>
    <w:div w:id="990668930">
      <w:marLeft w:val="4"/>
      <w:marRight w:val="0"/>
      <w:marTop w:val="120"/>
      <w:marBottom w:val="0"/>
      <w:divBdr>
        <w:top w:val="none" w:sz="0" w:space="0" w:color="auto"/>
        <w:left w:val="none" w:sz="0" w:space="0" w:color="auto"/>
        <w:bottom w:val="none" w:sz="0" w:space="0" w:color="auto"/>
        <w:right w:val="none" w:sz="0" w:space="0" w:color="auto"/>
      </w:divBdr>
      <w:divsChild>
        <w:div w:id="1223445844">
          <w:marLeft w:val="0"/>
          <w:marRight w:val="0"/>
          <w:marTop w:val="0"/>
          <w:marBottom w:val="0"/>
          <w:divBdr>
            <w:top w:val="none" w:sz="0" w:space="0" w:color="auto"/>
            <w:left w:val="none" w:sz="0" w:space="0" w:color="auto"/>
            <w:bottom w:val="none" w:sz="0" w:space="0" w:color="auto"/>
            <w:right w:val="none" w:sz="0" w:space="0" w:color="auto"/>
          </w:divBdr>
        </w:div>
      </w:divsChild>
    </w:div>
    <w:div w:id="1019309656">
      <w:marLeft w:val="4"/>
      <w:marRight w:val="0"/>
      <w:marTop w:val="120"/>
      <w:marBottom w:val="0"/>
      <w:divBdr>
        <w:top w:val="none" w:sz="0" w:space="0" w:color="auto"/>
        <w:left w:val="none" w:sz="0" w:space="0" w:color="auto"/>
        <w:bottom w:val="none" w:sz="0" w:space="0" w:color="auto"/>
        <w:right w:val="none" w:sz="0" w:space="0" w:color="auto"/>
      </w:divBdr>
      <w:divsChild>
        <w:div w:id="423913908">
          <w:marLeft w:val="0"/>
          <w:marRight w:val="0"/>
          <w:marTop w:val="0"/>
          <w:marBottom w:val="0"/>
          <w:divBdr>
            <w:top w:val="none" w:sz="0" w:space="0" w:color="auto"/>
            <w:left w:val="none" w:sz="0" w:space="0" w:color="auto"/>
            <w:bottom w:val="none" w:sz="0" w:space="0" w:color="auto"/>
            <w:right w:val="none" w:sz="0" w:space="0" w:color="auto"/>
          </w:divBdr>
        </w:div>
      </w:divsChild>
    </w:div>
    <w:div w:id="1021392679">
      <w:marLeft w:val="4"/>
      <w:marRight w:val="0"/>
      <w:marTop w:val="120"/>
      <w:marBottom w:val="0"/>
      <w:divBdr>
        <w:top w:val="none" w:sz="0" w:space="0" w:color="auto"/>
        <w:left w:val="none" w:sz="0" w:space="0" w:color="auto"/>
        <w:bottom w:val="none" w:sz="0" w:space="0" w:color="auto"/>
        <w:right w:val="none" w:sz="0" w:space="0" w:color="auto"/>
      </w:divBdr>
      <w:divsChild>
        <w:div w:id="450365402">
          <w:marLeft w:val="0"/>
          <w:marRight w:val="0"/>
          <w:marTop w:val="0"/>
          <w:marBottom w:val="0"/>
          <w:divBdr>
            <w:top w:val="none" w:sz="0" w:space="0" w:color="auto"/>
            <w:left w:val="none" w:sz="0" w:space="0" w:color="auto"/>
            <w:bottom w:val="none" w:sz="0" w:space="0" w:color="auto"/>
            <w:right w:val="none" w:sz="0" w:space="0" w:color="auto"/>
          </w:divBdr>
        </w:div>
      </w:divsChild>
    </w:div>
    <w:div w:id="1022315217">
      <w:marLeft w:val="4"/>
      <w:marRight w:val="0"/>
      <w:marTop w:val="120"/>
      <w:marBottom w:val="0"/>
      <w:divBdr>
        <w:top w:val="none" w:sz="0" w:space="0" w:color="auto"/>
        <w:left w:val="none" w:sz="0" w:space="0" w:color="auto"/>
        <w:bottom w:val="none" w:sz="0" w:space="0" w:color="auto"/>
        <w:right w:val="none" w:sz="0" w:space="0" w:color="auto"/>
      </w:divBdr>
      <w:divsChild>
        <w:div w:id="504365555">
          <w:marLeft w:val="0"/>
          <w:marRight w:val="0"/>
          <w:marTop w:val="0"/>
          <w:marBottom w:val="0"/>
          <w:divBdr>
            <w:top w:val="none" w:sz="0" w:space="0" w:color="auto"/>
            <w:left w:val="none" w:sz="0" w:space="0" w:color="auto"/>
            <w:bottom w:val="none" w:sz="0" w:space="0" w:color="auto"/>
            <w:right w:val="none" w:sz="0" w:space="0" w:color="auto"/>
          </w:divBdr>
        </w:div>
      </w:divsChild>
    </w:div>
    <w:div w:id="1032919505">
      <w:marLeft w:val="4"/>
      <w:marRight w:val="0"/>
      <w:marTop w:val="120"/>
      <w:marBottom w:val="0"/>
      <w:divBdr>
        <w:top w:val="none" w:sz="0" w:space="0" w:color="auto"/>
        <w:left w:val="none" w:sz="0" w:space="0" w:color="auto"/>
        <w:bottom w:val="none" w:sz="0" w:space="0" w:color="auto"/>
        <w:right w:val="none" w:sz="0" w:space="0" w:color="auto"/>
      </w:divBdr>
      <w:divsChild>
        <w:div w:id="1387024491">
          <w:marLeft w:val="0"/>
          <w:marRight w:val="0"/>
          <w:marTop w:val="0"/>
          <w:marBottom w:val="0"/>
          <w:divBdr>
            <w:top w:val="none" w:sz="0" w:space="0" w:color="auto"/>
            <w:left w:val="none" w:sz="0" w:space="0" w:color="auto"/>
            <w:bottom w:val="none" w:sz="0" w:space="0" w:color="auto"/>
            <w:right w:val="none" w:sz="0" w:space="0" w:color="auto"/>
          </w:divBdr>
        </w:div>
      </w:divsChild>
    </w:div>
    <w:div w:id="1053581309">
      <w:marLeft w:val="4"/>
      <w:marRight w:val="0"/>
      <w:marTop w:val="120"/>
      <w:marBottom w:val="0"/>
      <w:divBdr>
        <w:top w:val="none" w:sz="0" w:space="0" w:color="auto"/>
        <w:left w:val="none" w:sz="0" w:space="0" w:color="auto"/>
        <w:bottom w:val="none" w:sz="0" w:space="0" w:color="auto"/>
        <w:right w:val="none" w:sz="0" w:space="0" w:color="auto"/>
      </w:divBdr>
      <w:divsChild>
        <w:div w:id="653685926">
          <w:marLeft w:val="0"/>
          <w:marRight w:val="0"/>
          <w:marTop w:val="0"/>
          <w:marBottom w:val="0"/>
          <w:divBdr>
            <w:top w:val="none" w:sz="0" w:space="0" w:color="auto"/>
            <w:left w:val="none" w:sz="0" w:space="0" w:color="auto"/>
            <w:bottom w:val="none" w:sz="0" w:space="0" w:color="auto"/>
            <w:right w:val="none" w:sz="0" w:space="0" w:color="auto"/>
          </w:divBdr>
        </w:div>
      </w:divsChild>
    </w:div>
    <w:div w:id="1055084617">
      <w:marLeft w:val="4"/>
      <w:marRight w:val="0"/>
      <w:marTop w:val="120"/>
      <w:marBottom w:val="0"/>
      <w:divBdr>
        <w:top w:val="none" w:sz="0" w:space="0" w:color="auto"/>
        <w:left w:val="none" w:sz="0" w:space="0" w:color="auto"/>
        <w:bottom w:val="none" w:sz="0" w:space="0" w:color="auto"/>
        <w:right w:val="none" w:sz="0" w:space="0" w:color="auto"/>
      </w:divBdr>
      <w:divsChild>
        <w:div w:id="80958571">
          <w:marLeft w:val="0"/>
          <w:marRight w:val="0"/>
          <w:marTop w:val="0"/>
          <w:marBottom w:val="0"/>
          <w:divBdr>
            <w:top w:val="none" w:sz="0" w:space="0" w:color="auto"/>
            <w:left w:val="none" w:sz="0" w:space="0" w:color="auto"/>
            <w:bottom w:val="none" w:sz="0" w:space="0" w:color="auto"/>
            <w:right w:val="none" w:sz="0" w:space="0" w:color="auto"/>
          </w:divBdr>
        </w:div>
      </w:divsChild>
    </w:div>
    <w:div w:id="1055928975">
      <w:marLeft w:val="4"/>
      <w:marRight w:val="0"/>
      <w:marTop w:val="120"/>
      <w:marBottom w:val="0"/>
      <w:divBdr>
        <w:top w:val="none" w:sz="0" w:space="0" w:color="auto"/>
        <w:left w:val="none" w:sz="0" w:space="0" w:color="auto"/>
        <w:bottom w:val="none" w:sz="0" w:space="0" w:color="auto"/>
        <w:right w:val="none" w:sz="0" w:space="0" w:color="auto"/>
      </w:divBdr>
      <w:divsChild>
        <w:div w:id="1969890511">
          <w:marLeft w:val="0"/>
          <w:marRight w:val="0"/>
          <w:marTop w:val="0"/>
          <w:marBottom w:val="0"/>
          <w:divBdr>
            <w:top w:val="none" w:sz="0" w:space="0" w:color="auto"/>
            <w:left w:val="none" w:sz="0" w:space="0" w:color="auto"/>
            <w:bottom w:val="none" w:sz="0" w:space="0" w:color="auto"/>
            <w:right w:val="none" w:sz="0" w:space="0" w:color="auto"/>
          </w:divBdr>
        </w:div>
      </w:divsChild>
    </w:div>
    <w:div w:id="1057974580">
      <w:marLeft w:val="4"/>
      <w:marRight w:val="0"/>
      <w:marTop w:val="120"/>
      <w:marBottom w:val="0"/>
      <w:divBdr>
        <w:top w:val="none" w:sz="0" w:space="0" w:color="auto"/>
        <w:left w:val="none" w:sz="0" w:space="0" w:color="auto"/>
        <w:bottom w:val="none" w:sz="0" w:space="0" w:color="auto"/>
        <w:right w:val="none" w:sz="0" w:space="0" w:color="auto"/>
      </w:divBdr>
      <w:divsChild>
        <w:div w:id="2049522056">
          <w:marLeft w:val="0"/>
          <w:marRight w:val="0"/>
          <w:marTop w:val="0"/>
          <w:marBottom w:val="0"/>
          <w:divBdr>
            <w:top w:val="none" w:sz="0" w:space="0" w:color="auto"/>
            <w:left w:val="none" w:sz="0" w:space="0" w:color="auto"/>
            <w:bottom w:val="none" w:sz="0" w:space="0" w:color="auto"/>
            <w:right w:val="none" w:sz="0" w:space="0" w:color="auto"/>
          </w:divBdr>
        </w:div>
      </w:divsChild>
    </w:div>
    <w:div w:id="1076900526">
      <w:marLeft w:val="4"/>
      <w:marRight w:val="0"/>
      <w:marTop w:val="120"/>
      <w:marBottom w:val="0"/>
      <w:divBdr>
        <w:top w:val="none" w:sz="0" w:space="0" w:color="auto"/>
        <w:left w:val="none" w:sz="0" w:space="0" w:color="auto"/>
        <w:bottom w:val="none" w:sz="0" w:space="0" w:color="auto"/>
        <w:right w:val="none" w:sz="0" w:space="0" w:color="auto"/>
      </w:divBdr>
      <w:divsChild>
        <w:div w:id="1574897953">
          <w:marLeft w:val="0"/>
          <w:marRight w:val="0"/>
          <w:marTop w:val="0"/>
          <w:marBottom w:val="0"/>
          <w:divBdr>
            <w:top w:val="none" w:sz="0" w:space="0" w:color="auto"/>
            <w:left w:val="none" w:sz="0" w:space="0" w:color="auto"/>
            <w:bottom w:val="none" w:sz="0" w:space="0" w:color="auto"/>
            <w:right w:val="none" w:sz="0" w:space="0" w:color="auto"/>
          </w:divBdr>
        </w:div>
      </w:divsChild>
    </w:div>
    <w:div w:id="1080785200">
      <w:marLeft w:val="9"/>
      <w:marRight w:val="0"/>
      <w:marTop w:val="120"/>
      <w:marBottom w:val="0"/>
      <w:divBdr>
        <w:top w:val="none" w:sz="0" w:space="0" w:color="auto"/>
        <w:left w:val="none" w:sz="0" w:space="0" w:color="auto"/>
        <w:bottom w:val="none" w:sz="0" w:space="0" w:color="auto"/>
        <w:right w:val="none" w:sz="0" w:space="0" w:color="auto"/>
      </w:divBdr>
      <w:divsChild>
        <w:div w:id="1438408585">
          <w:marLeft w:val="0"/>
          <w:marRight w:val="0"/>
          <w:marTop w:val="0"/>
          <w:marBottom w:val="0"/>
          <w:divBdr>
            <w:top w:val="none" w:sz="0" w:space="0" w:color="auto"/>
            <w:left w:val="none" w:sz="0" w:space="0" w:color="auto"/>
            <w:bottom w:val="none" w:sz="0" w:space="0" w:color="auto"/>
            <w:right w:val="none" w:sz="0" w:space="0" w:color="auto"/>
          </w:divBdr>
        </w:div>
      </w:divsChild>
    </w:div>
    <w:div w:id="1082339394">
      <w:marLeft w:val="4"/>
      <w:marRight w:val="0"/>
      <w:marTop w:val="120"/>
      <w:marBottom w:val="0"/>
      <w:divBdr>
        <w:top w:val="none" w:sz="0" w:space="0" w:color="auto"/>
        <w:left w:val="none" w:sz="0" w:space="0" w:color="auto"/>
        <w:bottom w:val="none" w:sz="0" w:space="0" w:color="auto"/>
        <w:right w:val="none" w:sz="0" w:space="0" w:color="auto"/>
      </w:divBdr>
      <w:divsChild>
        <w:div w:id="1327784224">
          <w:marLeft w:val="0"/>
          <w:marRight w:val="0"/>
          <w:marTop w:val="0"/>
          <w:marBottom w:val="0"/>
          <w:divBdr>
            <w:top w:val="none" w:sz="0" w:space="0" w:color="auto"/>
            <w:left w:val="none" w:sz="0" w:space="0" w:color="auto"/>
            <w:bottom w:val="none" w:sz="0" w:space="0" w:color="auto"/>
            <w:right w:val="none" w:sz="0" w:space="0" w:color="auto"/>
          </w:divBdr>
        </w:div>
      </w:divsChild>
    </w:div>
    <w:div w:id="1088380546">
      <w:marLeft w:val="9"/>
      <w:marRight w:val="0"/>
      <w:marTop w:val="120"/>
      <w:marBottom w:val="0"/>
      <w:divBdr>
        <w:top w:val="none" w:sz="0" w:space="0" w:color="auto"/>
        <w:left w:val="none" w:sz="0" w:space="0" w:color="auto"/>
        <w:bottom w:val="none" w:sz="0" w:space="0" w:color="auto"/>
        <w:right w:val="none" w:sz="0" w:space="0" w:color="auto"/>
      </w:divBdr>
      <w:divsChild>
        <w:div w:id="1372805822">
          <w:marLeft w:val="0"/>
          <w:marRight w:val="0"/>
          <w:marTop w:val="0"/>
          <w:marBottom w:val="0"/>
          <w:divBdr>
            <w:top w:val="none" w:sz="0" w:space="0" w:color="auto"/>
            <w:left w:val="none" w:sz="0" w:space="0" w:color="auto"/>
            <w:bottom w:val="none" w:sz="0" w:space="0" w:color="auto"/>
            <w:right w:val="none" w:sz="0" w:space="0" w:color="auto"/>
          </w:divBdr>
        </w:div>
      </w:divsChild>
    </w:div>
    <w:div w:id="1089817554">
      <w:marLeft w:val="4"/>
      <w:marRight w:val="0"/>
      <w:marTop w:val="120"/>
      <w:marBottom w:val="0"/>
      <w:divBdr>
        <w:top w:val="none" w:sz="0" w:space="0" w:color="auto"/>
        <w:left w:val="none" w:sz="0" w:space="0" w:color="auto"/>
        <w:bottom w:val="none" w:sz="0" w:space="0" w:color="auto"/>
        <w:right w:val="none" w:sz="0" w:space="0" w:color="auto"/>
      </w:divBdr>
      <w:divsChild>
        <w:div w:id="1779253254">
          <w:marLeft w:val="0"/>
          <w:marRight w:val="0"/>
          <w:marTop w:val="0"/>
          <w:marBottom w:val="0"/>
          <w:divBdr>
            <w:top w:val="none" w:sz="0" w:space="0" w:color="auto"/>
            <w:left w:val="none" w:sz="0" w:space="0" w:color="auto"/>
            <w:bottom w:val="none" w:sz="0" w:space="0" w:color="auto"/>
            <w:right w:val="none" w:sz="0" w:space="0" w:color="auto"/>
          </w:divBdr>
        </w:div>
      </w:divsChild>
    </w:div>
    <w:div w:id="1099108909">
      <w:marLeft w:val="4"/>
      <w:marRight w:val="0"/>
      <w:marTop w:val="120"/>
      <w:marBottom w:val="0"/>
      <w:divBdr>
        <w:top w:val="none" w:sz="0" w:space="0" w:color="auto"/>
        <w:left w:val="none" w:sz="0" w:space="0" w:color="auto"/>
        <w:bottom w:val="none" w:sz="0" w:space="0" w:color="auto"/>
        <w:right w:val="none" w:sz="0" w:space="0" w:color="auto"/>
      </w:divBdr>
      <w:divsChild>
        <w:div w:id="462818263">
          <w:marLeft w:val="0"/>
          <w:marRight w:val="0"/>
          <w:marTop w:val="0"/>
          <w:marBottom w:val="0"/>
          <w:divBdr>
            <w:top w:val="none" w:sz="0" w:space="0" w:color="auto"/>
            <w:left w:val="none" w:sz="0" w:space="0" w:color="auto"/>
            <w:bottom w:val="none" w:sz="0" w:space="0" w:color="auto"/>
            <w:right w:val="none" w:sz="0" w:space="0" w:color="auto"/>
          </w:divBdr>
        </w:div>
      </w:divsChild>
    </w:div>
    <w:div w:id="1105661782">
      <w:marLeft w:val="4"/>
      <w:marRight w:val="0"/>
      <w:marTop w:val="120"/>
      <w:marBottom w:val="0"/>
      <w:divBdr>
        <w:top w:val="none" w:sz="0" w:space="0" w:color="auto"/>
        <w:left w:val="none" w:sz="0" w:space="0" w:color="auto"/>
        <w:bottom w:val="none" w:sz="0" w:space="0" w:color="auto"/>
        <w:right w:val="none" w:sz="0" w:space="0" w:color="auto"/>
      </w:divBdr>
      <w:divsChild>
        <w:div w:id="1333873848">
          <w:marLeft w:val="0"/>
          <w:marRight w:val="0"/>
          <w:marTop w:val="0"/>
          <w:marBottom w:val="0"/>
          <w:divBdr>
            <w:top w:val="none" w:sz="0" w:space="0" w:color="auto"/>
            <w:left w:val="none" w:sz="0" w:space="0" w:color="auto"/>
            <w:bottom w:val="none" w:sz="0" w:space="0" w:color="auto"/>
            <w:right w:val="none" w:sz="0" w:space="0" w:color="auto"/>
          </w:divBdr>
        </w:div>
      </w:divsChild>
    </w:div>
    <w:div w:id="1115753143">
      <w:marLeft w:val="4"/>
      <w:marRight w:val="0"/>
      <w:marTop w:val="120"/>
      <w:marBottom w:val="0"/>
      <w:divBdr>
        <w:top w:val="none" w:sz="0" w:space="0" w:color="auto"/>
        <w:left w:val="none" w:sz="0" w:space="0" w:color="auto"/>
        <w:bottom w:val="none" w:sz="0" w:space="0" w:color="auto"/>
        <w:right w:val="none" w:sz="0" w:space="0" w:color="auto"/>
      </w:divBdr>
      <w:divsChild>
        <w:div w:id="706948264">
          <w:marLeft w:val="0"/>
          <w:marRight w:val="0"/>
          <w:marTop w:val="0"/>
          <w:marBottom w:val="0"/>
          <w:divBdr>
            <w:top w:val="none" w:sz="0" w:space="0" w:color="auto"/>
            <w:left w:val="none" w:sz="0" w:space="0" w:color="auto"/>
            <w:bottom w:val="none" w:sz="0" w:space="0" w:color="auto"/>
            <w:right w:val="none" w:sz="0" w:space="0" w:color="auto"/>
          </w:divBdr>
        </w:div>
      </w:divsChild>
    </w:div>
    <w:div w:id="1120414924">
      <w:marLeft w:val="4"/>
      <w:marRight w:val="0"/>
      <w:marTop w:val="120"/>
      <w:marBottom w:val="0"/>
      <w:divBdr>
        <w:top w:val="none" w:sz="0" w:space="0" w:color="auto"/>
        <w:left w:val="none" w:sz="0" w:space="0" w:color="auto"/>
        <w:bottom w:val="none" w:sz="0" w:space="0" w:color="auto"/>
        <w:right w:val="none" w:sz="0" w:space="0" w:color="auto"/>
      </w:divBdr>
      <w:divsChild>
        <w:div w:id="276134705">
          <w:marLeft w:val="0"/>
          <w:marRight w:val="0"/>
          <w:marTop w:val="0"/>
          <w:marBottom w:val="0"/>
          <w:divBdr>
            <w:top w:val="none" w:sz="0" w:space="0" w:color="auto"/>
            <w:left w:val="none" w:sz="0" w:space="0" w:color="auto"/>
            <w:bottom w:val="none" w:sz="0" w:space="0" w:color="auto"/>
            <w:right w:val="none" w:sz="0" w:space="0" w:color="auto"/>
          </w:divBdr>
        </w:div>
      </w:divsChild>
    </w:div>
    <w:div w:id="1122259962">
      <w:marLeft w:val="4"/>
      <w:marRight w:val="0"/>
      <w:marTop w:val="120"/>
      <w:marBottom w:val="0"/>
      <w:divBdr>
        <w:top w:val="none" w:sz="0" w:space="0" w:color="auto"/>
        <w:left w:val="none" w:sz="0" w:space="0" w:color="auto"/>
        <w:bottom w:val="none" w:sz="0" w:space="0" w:color="auto"/>
        <w:right w:val="none" w:sz="0" w:space="0" w:color="auto"/>
      </w:divBdr>
      <w:divsChild>
        <w:div w:id="1224484268">
          <w:marLeft w:val="0"/>
          <w:marRight w:val="0"/>
          <w:marTop w:val="0"/>
          <w:marBottom w:val="0"/>
          <w:divBdr>
            <w:top w:val="none" w:sz="0" w:space="0" w:color="auto"/>
            <w:left w:val="none" w:sz="0" w:space="0" w:color="auto"/>
            <w:bottom w:val="none" w:sz="0" w:space="0" w:color="auto"/>
            <w:right w:val="none" w:sz="0" w:space="0" w:color="auto"/>
          </w:divBdr>
        </w:div>
      </w:divsChild>
    </w:div>
    <w:div w:id="1135022187">
      <w:marLeft w:val="4"/>
      <w:marRight w:val="0"/>
      <w:marTop w:val="120"/>
      <w:marBottom w:val="0"/>
      <w:divBdr>
        <w:top w:val="none" w:sz="0" w:space="0" w:color="auto"/>
        <w:left w:val="none" w:sz="0" w:space="0" w:color="auto"/>
        <w:bottom w:val="none" w:sz="0" w:space="0" w:color="auto"/>
        <w:right w:val="none" w:sz="0" w:space="0" w:color="auto"/>
      </w:divBdr>
      <w:divsChild>
        <w:div w:id="938876862">
          <w:marLeft w:val="0"/>
          <w:marRight w:val="0"/>
          <w:marTop w:val="0"/>
          <w:marBottom w:val="0"/>
          <w:divBdr>
            <w:top w:val="none" w:sz="0" w:space="0" w:color="auto"/>
            <w:left w:val="none" w:sz="0" w:space="0" w:color="auto"/>
            <w:bottom w:val="none" w:sz="0" w:space="0" w:color="auto"/>
            <w:right w:val="none" w:sz="0" w:space="0" w:color="auto"/>
          </w:divBdr>
        </w:div>
      </w:divsChild>
    </w:div>
    <w:div w:id="1144586298">
      <w:marLeft w:val="4"/>
      <w:marRight w:val="0"/>
      <w:marTop w:val="120"/>
      <w:marBottom w:val="0"/>
      <w:divBdr>
        <w:top w:val="none" w:sz="0" w:space="0" w:color="auto"/>
        <w:left w:val="none" w:sz="0" w:space="0" w:color="auto"/>
        <w:bottom w:val="none" w:sz="0" w:space="0" w:color="auto"/>
        <w:right w:val="none" w:sz="0" w:space="0" w:color="auto"/>
      </w:divBdr>
      <w:divsChild>
        <w:div w:id="557017277">
          <w:marLeft w:val="0"/>
          <w:marRight w:val="0"/>
          <w:marTop w:val="0"/>
          <w:marBottom w:val="0"/>
          <w:divBdr>
            <w:top w:val="none" w:sz="0" w:space="0" w:color="auto"/>
            <w:left w:val="none" w:sz="0" w:space="0" w:color="auto"/>
            <w:bottom w:val="none" w:sz="0" w:space="0" w:color="auto"/>
            <w:right w:val="none" w:sz="0" w:space="0" w:color="auto"/>
          </w:divBdr>
        </w:div>
      </w:divsChild>
    </w:div>
    <w:div w:id="1145393560">
      <w:marLeft w:val="7"/>
      <w:marRight w:val="0"/>
      <w:marTop w:val="120"/>
      <w:marBottom w:val="0"/>
      <w:divBdr>
        <w:top w:val="none" w:sz="0" w:space="0" w:color="auto"/>
        <w:left w:val="none" w:sz="0" w:space="0" w:color="auto"/>
        <w:bottom w:val="none" w:sz="0" w:space="0" w:color="auto"/>
        <w:right w:val="none" w:sz="0" w:space="0" w:color="auto"/>
      </w:divBdr>
      <w:divsChild>
        <w:div w:id="1456753251">
          <w:marLeft w:val="0"/>
          <w:marRight w:val="0"/>
          <w:marTop w:val="0"/>
          <w:marBottom w:val="0"/>
          <w:divBdr>
            <w:top w:val="none" w:sz="0" w:space="0" w:color="auto"/>
            <w:left w:val="none" w:sz="0" w:space="0" w:color="auto"/>
            <w:bottom w:val="none" w:sz="0" w:space="0" w:color="auto"/>
            <w:right w:val="none" w:sz="0" w:space="0" w:color="auto"/>
          </w:divBdr>
        </w:div>
      </w:divsChild>
    </w:div>
    <w:div w:id="1155102424">
      <w:marLeft w:val="4"/>
      <w:marRight w:val="0"/>
      <w:marTop w:val="120"/>
      <w:marBottom w:val="0"/>
      <w:divBdr>
        <w:top w:val="none" w:sz="0" w:space="0" w:color="auto"/>
        <w:left w:val="none" w:sz="0" w:space="0" w:color="auto"/>
        <w:bottom w:val="none" w:sz="0" w:space="0" w:color="auto"/>
        <w:right w:val="none" w:sz="0" w:space="0" w:color="auto"/>
      </w:divBdr>
      <w:divsChild>
        <w:div w:id="1194421100">
          <w:marLeft w:val="0"/>
          <w:marRight w:val="0"/>
          <w:marTop w:val="0"/>
          <w:marBottom w:val="0"/>
          <w:divBdr>
            <w:top w:val="none" w:sz="0" w:space="0" w:color="auto"/>
            <w:left w:val="none" w:sz="0" w:space="0" w:color="auto"/>
            <w:bottom w:val="none" w:sz="0" w:space="0" w:color="auto"/>
            <w:right w:val="none" w:sz="0" w:space="0" w:color="auto"/>
          </w:divBdr>
        </w:div>
      </w:divsChild>
    </w:div>
    <w:div w:id="1159465052">
      <w:marLeft w:val="9"/>
      <w:marRight w:val="0"/>
      <w:marTop w:val="120"/>
      <w:marBottom w:val="0"/>
      <w:divBdr>
        <w:top w:val="none" w:sz="0" w:space="0" w:color="auto"/>
        <w:left w:val="none" w:sz="0" w:space="0" w:color="auto"/>
        <w:bottom w:val="none" w:sz="0" w:space="0" w:color="auto"/>
        <w:right w:val="none" w:sz="0" w:space="0" w:color="auto"/>
      </w:divBdr>
      <w:divsChild>
        <w:div w:id="225380251">
          <w:marLeft w:val="0"/>
          <w:marRight w:val="0"/>
          <w:marTop w:val="0"/>
          <w:marBottom w:val="0"/>
          <w:divBdr>
            <w:top w:val="none" w:sz="0" w:space="0" w:color="auto"/>
            <w:left w:val="none" w:sz="0" w:space="0" w:color="auto"/>
            <w:bottom w:val="none" w:sz="0" w:space="0" w:color="auto"/>
            <w:right w:val="none" w:sz="0" w:space="0" w:color="auto"/>
          </w:divBdr>
        </w:div>
      </w:divsChild>
    </w:div>
    <w:div w:id="1163810922">
      <w:marLeft w:val="4"/>
      <w:marRight w:val="0"/>
      <w:marTop w:val="120"/>
      <w:marBottom w:val="0"/>
      <w:divBdr>
        <w:top w:val="none" w:sz="0" w:space="0" w:color="auto"/>
        <w:left w:val="none" w:sz="0" w:space="0" w:color="auto"/>
        <w:bottom w:val="none" w:sz="0" w:space="0" w:color="auto"/>
        <w:right w:val="none" w:sz="0" w:space="0" w:color="auto"/>
      </w:divBdr>
      <w:divsChild>
        <w:div w:id="451901347">
          <w:marLeft w:val="0"/>
          <w:marRight w:val="0"/>
          <w:marTop w:val="0"/>
          <w:marBottom w:val="0"/>
          <w:divBdr>
            <w:top w:val="none" w:sz="0" w:space="0" w:color="auto"/>
            <w:left w:val="none" w:sz="0" w:space="0" w:color="auto"/>
            <w:bottom w:val="none" w:sz="0" w:space="0" w:color="auto"/>
            <w:right w:val="none" w:sz="0" w:space="0" w:color="auto"/>
          </w:divBdr>
        </w:div>
      </w:divsChild>
    </w:div>
    <w:div w:id="1168517574">
      <w:marLeft w:val="4"/>
      <w:marRight w:val="0"/>
      <w:marTop w:val="120"/>
      <w:marBottom w:val="0"/>
      <w:divBdr>
        <w:top w:val="none" w:sz="0" w:space="0" w:color="auto"/>
        <w:left w:val="none" w:sz="0" w:space="0" w:color="auto"/>
        <w:bottom w:val="none" w:sz="0" w:space="0" w:color="auto"/>
        <w:right w:val="none" w:sz="0" w:space="0" w:color="auto"/>
      </w:divBdr>
      <w:divsChild>
        <w:div w:id="1208445267">
          <w:marLeft w:val="0"/>
          <w:marRight w:val="0"/>
          <w:marTop w:val="0"/>
          <w:marBottom w:val="0"/>
          <w:divBdr>
            <w:top w:val="none" w:sz="0" w:space="0" w:color="auto"/>
            <w:left w:val="none" w:sz="0" w:space="0" w:color="auto"/>
            <w:bottom w:val="none" w:sz="0" w:space="0" w:color="auto"/>
            <w:right w:val="none" w:sz="0" w:space="0" w:color="auto"/>
          </w:divBdr>
        </w:div>
      </w:divsChild>
    </w:div>
    <w:div w:id="1168639923">
      <w:marLeft w:val="4"/>
      <w:marRight w:val="0"/>
      <w:marTop w:val="120"/>
      <w:marBottom w:val="0"/>
      <w:divBdr>
        <w:top w:val="none" w:sz="0" w:space="0" w:color="auto"/>
        <w:left w:val="none" w:sz="0" w:space="0" w:color="auto"/>
        <w:bottom w:val="none" w:sz="0" w:space="0" w:color="auto"/>
        <w:right w:val="none" w:sz="0" w:space="0" w:color="auto"/>
      </w:divBdr>
      <w:divsChild>
        <w:div w:id="1339427993">
          <w:marLeft w:val="0"/>
          <w:marRight w:val="0"/>
          <w:marTop w:val="0"/>
          <w:marBottom w:val="0"/>
          <w:divBdr>
            <w:top w:val="none" w:sz="0" w:space="0" w:color="auto"/>
            <w:left w:val="none" w:sz="0" w:space="0" w:color="auto"/>
            <w:bottom w:val="none" w:sz="0" w:space="0" w:color="auto"/>
            <w:right w:val="none" w:sz="0" w:space="0" w:color="auto"/>
          </w:divBdr>
        </w:div>
      </w:divsChild>
    </w:div>
    <w:div w:id="1177386455">
      <w:marLeft w:val="4"/>
      <w:marRight w:val="0"/>
      <w:marTop w:val="120"/>
      <w:marBottom w:val="0"/>
      <w:divBdr>
        <w:top w:val="none" w:sz="0" w:space="0" w:color="auto"/>
        <w:left w:val="none" w:sz="0" w:space="0" w:color="auto"/>
        <w:bottom w:val="none" w:sz="0" w:space="0" w:color="auto"/>
        <w:right w:val="none" w:sz="0" w:space="0" w:color="auto"/>
      </w:divBdr>
      <w:divsChild>
        <w:div w:id="163472543">
          <w:marLeft w:val="0"/>
          <w:marRight w:val="0"/>
          <w:marTop w:val="0"/>
          <w:marBottom w:val="0"/>
          <w:divBdr>
            <w:top w:val="none" w:sz="0" w:space="0" w:color="auto"/>
            <w:left w:val="none" w:sz="0" w:space="0" w:color="auto"/>
            <w:bottom w:val="none" w:sz="0" w:space="0" w:color="auto"/>
            <w:right w:val="none" w:sz="0" w:space="0" w:color="auto"/>
          </w:divBdr>
        </w:div>
      </w:divsChild>
    </w:div>
    <w:div w:id="1191530951">
      <w:marLeft w:val="4"/>
      <w:marRight w:val="0"/>
      <w:marTop w:val="120"/>
      <w:marBottom w:val="0"/>
      <w:divBdr>
        <w:top w:val="none" w:sz="0" w:space="0" w:color="auto"/>
        <w:left w:val="none" w:sz="0" w:space="0" w:color="auto"/>
        <w:bottom w:val="none" w:sz="0" w:space="0" w:color="auto"/>
        <w:right w:val="none" w:sz="0" w:space="0" w:color="auto"/>
      </w:divBdr>
      <w:divsChild>
        <w:div w:id="758529040">
          <w:marLeft w:val="0"/>
          <w:marRight w:val="0"/>
          <w:marTop w:val="0"/>
          <w:marBottom w:val="0"/>
          <w:divBdr>
            <w:top w:val="none" w:sz="0" w:space="0" w:color="auto"/>
            <w:left w:val="none" w:sz="0" w:space="0" w:color="auto"/>
            <w:bottom w:val="none" w:sz="0" w:space="0" w:color="auto"/>
            <w:right w:val="none" w:sz="0" w:space="0" w:color="auto"/>
          </w:divBdr>
        </w:div>
      </w:divsChild>
    </w:div>
    <w:div w:id="1194417580">
      <w:marLeft w:val="4"/>
      <w:marRight w:val="0"/>
      <w:marTop w:val="120"/>
      <w:marBottom w:val="0"/>
      <w:divBdr>
        <w:top w:val="none" w:sz="0" w:space="0" w:color="auto"/>
        <w:left w:val="none" w:sz="0" w:space="0" w:color="auto"/>
        <w:bottom w:val="none" w:sz="0" w:space="0" w:color="auto"/>
        <w:right w:val="none" w:sz="0" w:space="0" w:color="auto"/>
      </w:divBdr>
      <w:divsChild>
        <w:div w:id="399837797">
          <w:marLeft w:val="0"/>
          <w:marRight w:val="0"/>
          <w:marTop w:val="0"/>
          <w:marBottom w:val="0"/>
          <w:divBdr>
            <w:top w:val="none" w:sz="0" w:space="0" w:color="auto"/>
            <w:left w:val="none" w:sz="0" w:space="0" w:color="auto"/>
            <w:bottom w:val="none" w:sz="0" w:space="0" w:color="auto"/>
            <w:right w:val="none" w:sz="0" w:space="0" w:color="auto"/>
          </w:divBdr>
        </w:div>
      </w:divsChild>
    </w:div>
    <w:div w:id="1202136486">
      <w:marLeft w:val="4"/>
      <w:marRight w:val="0"/>
      <w:marTop w:val="120"/>
      <w:marBottom w:val="0"/>
      <w:divBdr>
        <w:top w:val="none" w:sz="0" w:space="0" w:color="auto"/>
        <w:left w:val="none" w:sz="0" w:space="0" w:color="auto"/>
        <w:bottom w:val="none" w:sz="0" w:space="0" w:color="auto"/>
        <w:right w:val="none" w:sz="0" w:space="0" w:color="auto"/>
      </w:divBdr>
      <w:divsChild>
        <w:div w:id="1856311783">
          <w:marLeft w:val="0"/>
          <w:marRight w:val="0"/>
          <w:marTop w:val="0"/>
          <w:marBottom w:val="0"/>
          <w:divBdr>
            <w:top w:val="none" w:sz="0" w:space="0" w:color="auto"/>
            <w:left w:val="none" w:sz="0" w:space="0" w:color="auto"/>
            <w:bottom w:val="none" w:sz="0" w:space="0" w:color="auto"/>
            <w:right w:val="none" w:sz="0" w:space="0" w:color="auto"/>
          </w:divBdr>
        </w:div>
      </w:divsChild>
    </w:div>
    <w:div w:id="1204715244">
      <w:marLeft w:val="4"/>
      <w:marRight w:val="0"/>
      <w:marTop w:val="120"/>
      <w:marBottom w:val="0"/>
      <w:divBdr>
        <w:top w:val="none" w:sz="0" w:space="0" w:color="auto"/>
        <w:left w:val="none" w:sz="0" w:space="0" w:color="auto"/>
        <w:bottom w:val="none" w:sz="0" w:space="0" w:color="auto"/>
        <w:right w:val="none" w:sz="0" w:space="0" w:color="auto"/>
      </w:divBdr>
      <w:divsChild>
        <w:div w:id="287443423">
          <w:marLeft w:val="0"/>
          <w:marRight w:val="0"/>
          <w:marTop w:val="0"/>
          <w:marBottom w:val="0"/>
          <w:divBdr>
            <w:top w:val="none" w:sz="0" w:space="0" w:color="auto"/>
            <w:left w:val="none" w:sz="0" w:space="0" w:color="auto"/>
            <w:bottom w:val="none" w:sz="0" w:space="0" w:color="auto"/>
            <w:right w:val="none" w:sz="0" w:space="0" w:color="auto"/>
          </w:divBdr>
        </w:div>
      </w:divsChild>
    </w:div>
    <w:div w:id="1207448324">
      <w:marLeft w:val="4"/>
      <w:marRight w:val="0"/>
      <w:marTop w:val="120"/>
      <w:marBottom w:val="0"/>
      <w:divBdr>
        <w:top w:val="none" w:sz="0" w:space="0" w:color="auto"/>
        <w:left w:val="none" w:sz="0" w:space="0" w:color="auto"/>
        <w:bottom w:val="none" w:sz="0" w:space="0" w:color="auto"/>
        <w:right w:val="none" w:sz="0" w:space="0" w:color="auto"/>
      </w:divBdr>
      <w:divsChild>
        <w:div w:id="520971069">
          <w:marLeft w:val="0"/>
          <w:marRight w:val="0"/>
          <w:marTop w:val="0"/>
          <w:marBottom w:val="0"/>
          <w:divBdr>
            <w:top w:val="none" w:sz="0" w:space="0" w:color="auto"/>
            <w:left w:val="none" w:sz="0" w:space="0" w:color="auto"/>
            <w:bottom w:val="none" w:sz="0" w:space="0" w:color="auto"/>
            <w:right w:val="none" w:sz="0" w:space="0" w:color="auto"/>
          </w:divBdr>
        </w:div>
      </w:divsChild>
    </w:div>
    <w:div w:id="1209073680">
      <w:marLeft w:val="4"/>
      <w:marRight w:val="0"/>
      <w:marTop w:val="120"/>
      <w:marBottom w:val="0"/>
      <w:divBdr>
        <w:top w:val="none" w:sz="0" w:space="0" w:color="auto"/>
        <w:left w:val="none" w:sz="0" w:space="0" w:color="auto"/>
        <w:bottom w:val="none" w:sz="0" w:space="0" w:color="auto"/>
        <w:right w:val="none" w:sz="0" w:space="0" w:color="auto"/>
      </w:divBdr>
      <w:divsChild>
        <w:div w:id="1038354381">
          <w:marLeft w:val="0"/>
          <w:marRight w:val="0"/>
          <w:marTop w:val="0"/>
          <w:marBottom w:val="0"/>
          <w:divBdr>
            <w:top w:val="none" w:sz="0" w:space="0" w:color="auto"/>
            <w:left w:val="none" w:sz="0" w:space="0" w:color="auto"/>
            <w:bottom w:val="none" w:sz="0" w:space="0" w:color="auto"/>
            <w:right w:val="none" w:sz="0" w:space="0" w:color="auto"/>
          </w:divBdr>
        </w:div>
      </w:divsChild>
    </w:div>
    <w:div w:id="1217618244">
      <w:marLeft w:val="7"/>
      <w:marRight w:val="0"/>
      <w:marTop w:val="120"/>
      <w:marBottom w:val="0"/>
      <w:divBdr>
        <w:top w:val="none" w:sz="0" w:space="0" w:color="auto"/>
        <w:left w:val="none" w:sz="0" w:space="0" w:color="auto"/>
        <w:bottom w:val="none" w:sz="0" w:space="0" w:color="auto"/>
        <w:right w:val="none" w:sz="0" w:space="0" w:color="auto"/>
      </w:divBdr>
      <w:divsChild>
        <w:div w:id="707147405">
          <w:marLeft w:val="0"/>
          <w:marRight w:val="0"/>
          <w:marTop w:val="0"/>
          <w:marBottom w:val="0"/>
          <w:divBdr>
            <w:top w:val="none" w:sz="0" w:space="0" w:color="auto"/>
            <w:left w:val="none" w:sz="0" w:space="0" w:color="auto"/>
            <w:bottom w:val="none" w:sz="0" w:space="0" w:color="auto"/>
            <w:right w:val="none" w:sz="0" w:space="0" w:color="auto"/>
          </w:divBdr>
        </w:div>
      </w:divsChild>
    </w:div>
    <w:div w:id="1219243510">
      <w:marLeft w:val="7"/>
      <w:marRight w:val="0"/>
      <w:marTop w:val="120"/>
      <w:marBottom w:val="0"/>
      <w:divBdr>
        <w:top w:val="none" w:sz="0" w:space="0" w:color="auto"/>
        <w:left w:val="none" w:sz="0" w:space="0" w:color="auto"/>
        <w:bottom w:val="none" w:sz="0" w:space="0" w:color="auto"/>
        <w:right w:val="none" w:sz="0" w:space="0" w:color="auto"/>
      </w:divBdr>
      <w:divsChild>
        <w:div w:id="109590827">
          <w:marLeft w:val="0"/>
          <w:marRight w:val="0"/>
          <w:marTop w:val="0"/>
          <w:marBottom w:val="0"/>
          <w:divBdr>
            <w:top w:val="none" w:sz="0" w:space="0" w:color="auto"/>
            <w:left w:val="none" w:sz="0" w:space="0" w:color="auto"/>
            <w:bottom w:val="none" w:sz="0" w:space="0" w:color="auto"/>
            <w:right w:val="none" w:sz="0" w:space="0" w:color="auto"/>
          </w:divBdr>
        </w:div>
      </w:divsChild>
    </w:div>
    <w:div w:id="1229343182">
      <w:marLeft w:val="4"/>
      <w:marRight w:val="0"/>
      <w:marTop w:val="120"/>
      <w:marBottom w:val="0"/>
      <w:divBdr>
        <w:top w:val="none" w:sz="0" w:space="0" w:color="auto"/>
        <w:left w:val="none" w:sz="0" w:space="0" w:color="auto"/>
        <w:bottom w:val="none" w:sz="0" w:space="0" w:color="auto"/>
        <w:right w:val="none" w:sz="0" w:space="0" w:color="auto"/>
      </w:divBdr>
      <w:divsChild>
        <w:div w:id="472328931">
          <w:marLeft w:val="0"/>
          <w:marRight w:val="0"/>
          <w:marTop w:val="0"/>
          <w:marBottom w:val="0"/>
          <w:divBdr>
            <w:top w:val="none" w:sz="0" w:space="0" w:color="auto"/>
            <w:left w:val="none" w:sz="0" w:space="0" w:color="auto"/>
            <w:bottom w:val="none" w:sz="0" w:space="0" w:color="auto"/>
            <w:right w:val="none" w:sz="0" w:space="0" w:color="auto"/>
          </w:divBdr>
        </w:div>
      </w:divsChild>
    </w:div>
    <w:div w:id="1242060031">
      <w:marLeft w:val="4"/>
      <w:marRight w:val="0"/>
      <w:marTop w:val="120"/>
      <w:marBottom w:val="0"/>
      <w:divBdr>
        <w:top w:val="none" w:sz="0" w:space="0" w:color="auto"/>
        <w:left w:val="none" w:sz="0" w:space="0" w:color="auto"/>
        <w:bottom w:val="none" w:sz="0" w:space="0" w:color="auto"/>
        <w:right w:val="none" w:sz="0" w:space="0" w:color="auto"/>
      </w:divBdr>
      <w:divsChild>
        <w:div w:id="2056007141">
          <w:marLeft w:val="0"/>
          <w:marRight w:val="0"/>
          <w:marTop w:val="0"/>
          <w:marBottom w:val="0"/>
          <w:divBdr>
            <w:top w:val="none" w:sz="0" w:space="0" w:color="auto"/>
            <w:left w:val="none" w:sz="0" w:space="0" w:color="auto"/>
            <w:bottom w:val="none" w:sz="0" w:space="0" w:color="auto"/>
            <w:right w:val="none" w:sz="0" w:space="0" w:color="auto"/>
          </w:divBdr>
        </w:div>
      </w:divsChild>
    </w:div>
    <w:div w:id="1249582143">
      <w:marLeft w:val="4"/>
      <w:marRight w:val="0"/>
      <w:marTop w:val="120"/>
      <w:marBottom w:val="0"/>
      <w:divBdr>
        <w:top w:val="none" w:sz="0" w:space="0" w:color="auto"/>
        <w:left w:val="none" w:sz="0" w:space="0" w:color="auto"/>
        <w:bottom w:val="none" w:sz="0" w:space="0" w:color="auto"/>
        <w:right w:val="none" w:sz="0" w:space="0" w:color="auto"/>
      </w:divBdr>
      <w:divsChild>
        <w:div w:id="77137445">
          <w:marLeft w:val="0"/>
          <w:marRight w:val="0"/>
          <w:marTop w:val="0"/>
          <w:marBottom w:val="0"/>
          <w:divBdr>
            <w:top w:val="none" w:sz="0" w:space="0" w:color="auto"/>
            <w:left w:val="none" w:sz="0" w:space="0" w:color="auto"/>
            <w:bottom w:val="none" w:sz="0" w:space="0" w:color="auto"/>
            <w:right w:val="none" w:sz="0" w:space="0" w:color="auto"/>
          </w:divBdr>
        </w:div>
      </w:divsChild>
    </w:div>
    <w:div w:id="1253197664">
      <w:marLeft w:val="4"/>
      <w:marRight w:val="0"/>
      <w:marTop w:val="120"/>
      <w:marBottom w:val="0"/>
      <w:divBdr>
        <w:top w:val="none" w:sz="0" w:space="0" w:color="auto"/>
        <w:left w:val="none" w:sz="0" w:space="0" w:color="auto"/>
        <w:bottom w:val="none" w:sz="0" w:space="0" w:color="auto"/>
        <w:right w:val="none" w:sz="0" w:space="0" w:color="auto"/>
      </w:divBdr>
      <w:divsChild>
        <w:div w:id="1573274891">
          <w:marLeft w:val="0"/>
          <w:marRight w:val="0"/>
          <w:marTop w:val="0"/>
          <w:marBottom w:val="0"/>
          <w:divBdr>
            <w:top w:val="none" w:sz="0" w:space="0" w:color="auto"/>
            <w:left w:val="none" w:sz="0" w:space="0" w:color="auto"/>
            <w:bottom w:val="none" w:sz="0" w:space="0" w:color="auto"/>
            <w:right w:val="none" w:sz="0" w:space="0" w:color="auto"/>
          </w:divBdr>
        </w:div>
      </w:divsChild>
    </w:div>
    <w:div w:id="1262956901">
      <w:marLeft w:val="4"/>
      <w:marRight w:val="0"/>
      <w:marTop w:val="120"/>
      <w:marBottom w:val="0"/>
      <w:divBdr>
        <w:top w:val="none" w:sz="0" w:space="0" w:color="auto"/>
        <w:left w:val="none" w:sz="0" w:space="0" w:color="auto"/>
        <w:bottom w:val="none" w:sz="0" w:space="0" w:color="auto"/>
        <w:right w:val="none" w:sz="0" w:space="0" w:color="auto"/>
      </w:divBdr>
      <w:divsChild>
        <w:div w:id="1489709921">
          <w:marLeft w:val="0"/>
          <w:marRight w:val="0"/>
          <w:marTop w:val="0"/>
          <w:marBottom w:val="0"/>
          <w:divBdr>
            <w:top w:val="none" w:sz="0" w:space="0" w:color="auto"/>
            <w:left w:val="none" w:sz="0" w:space="0" w:color="auto"/>
            <w:bottom w:val="none" w:sz="0" w:space="0" w:color="auto"/>
            <w:right w:val="none" w:sz="0" w:space="0" w:color="auto"/>
          </w:divBdr>
        </w:div>
      </w:divsChild>
    </w:div>
    <w:div w:id="1267735450">
      <w:marLeft w:val="4"/>
      <w:marRight w:val="0"/>
      <w:marTop w:val="120"/>
      <w:marBottom w:val="0"/>
      <w:divBdr>
        <w:top w:val="none" w:sz="0" w:space="0" w:color="auto"/>
        <w:left w:val="none" w:sz="0" w:space="0" w:color="auto"/>
        <w:bottom w:val="none" w:sz="0" w:space="0" w:color="auto"/>
        <w:right w:val="none" w:sz="0" w:space="0" w:color="auto"/>
      </w:divBdr>
      <w:divsChild>
        <w:div w:id="1303343964">
          <w:marLeft w:val="0"/>
          <w:marRight w:val="0"/>
          <w:marTop w:val="0"/>
          <w:marBottom w:val="0"/>
          <w:divBdr>
            <w:top w:val="none" w:sz="0" w:space="0" w:color="auto"/>
            <w:left w:val="none" w:sz="0" w:space="0" w:color="auto"/>
            <w:bottom w:val="none" w:sz="0" w:space="0" w:color="auto"/>
            <w:right w:val="none" w:sz="0" w:space="0" w:color="auto"/>
          </w:divBdr>
        </w:div>
      </w:divsChild>
    </w:div>
    <w:div w:id="1270815186">
      <w:marLeft w:val="7"/>
      <w:marRight w:val="0"/>
      <w:marTop w:val="120"/>
      <w:marBottom w:val="0"/>
      <w:divBdr>
        <w:top w:val="none" w:sz="0" w:space="0" w:color="auto"/>
        <w:left w:val="none" w:sz="0" w:space="0" w:color="auto"/>
        <w:bottom w:val="none" w:sz="0" w:space="0" w:color="auto"/>
        <w:right w:val="none" w:sz="0" w:space="0" w:color="auto"/>
      </w:divBdr>
      <w:divsChild>
        <w:div w:id="824249764">
          <w:marLeft w:val="0"/>
          <w:marRight w:val="0"/>
          <w:marTop w:val="0"/>
          <w:marBottom w:val="0"/>
          <w:divBdr>
            <w:top w:val="none" w:sz="0" w:space="0" w:color="auto"/>
            <w:left w:val="none" w:sz="0" w:space="0" w:color="auto"/>
            <w:bottom w:val="none" w:sz="0" w:space="0" w:color="auto"/>
            <w:right w:val="none" w:sz="0" w:space="0" w:color="auto"/>
          </w:divBdr>
        </w:div>
      </w:divsChild>
    </w:div>
    <w:div w:id="1271233611">
      <w:marLeft w:val="4"/>
      <w:marRight w:val="0"/>
      <w:marTop w:val="120"/>
      <w:marBottom w:val="0"/>
      <w:divBdr>
        <w:top w:val="none" w:sz="0" w:space="0" w:color="auto"/>
        <w:left w:val="none" w:sz="0" w:space="0" w:color="auto"/>
        <w:bottom w:val="none" w:sz="0" w:space="0" w:color="auto"/>
        <w:right w:val="none" w:sz="0" w:space="0" w:color="auto"/>
      </w:divBdr>
      <w:divsChild>
        <w:div w:id="1574581921">
          <w:marLeft w:val="0"/>
          <w:marRight w:val="0"/>
          <w:marTop w:val="0"/>
          <w:marBottom w:val="0"/>
          <w:divBdr>
            <w:top w:val="none" w:sz="0" w:space="0" w:color="auto"/>
            <w:left w:val="none" w:sz="0" w:space="0" w:color="auto"/>
            <w:bottom w:val="none" w:sz="0" w:space="0" w:color="auto"/>
            <w:right w:val="none" w:sz="0" w:space="0" w:color="auto"/>
          </w:divBdr>
        </w:div>
      </w:divsChild>
    </w:div>
    <w:div w:id="1274169498">
      <w:marLeft w:val="9"/>
      <w:marRight w:val="0"/>
      <w:marTop w:val="120"/>
      <w:marBottom w:val="0"/>
      <w:divBdr>
        <w:top w:val="none" w:sz="0" w:space="0" w:color="auto"/>
        <w:left w:val="none" w:sz="0" w:space="0" w:color="auto"/>
        <w:bottom w:val="none" w:sz="0" w:space="0" w:color="auto"/>
        <w:right w:val="none" w:sz="0" w:space="0" w:color="auto"/>
      </w:divBdr>
      <w:divsChild>
        <w:div w:id="1500845630">
          <w:marLeft w:val="0"/>
          <w:marRight w:val="0"/>
          <w:marTop w:val="0"/>
          <w:marBottom w:val="0"/>
          <w:divBdr>
            <w:top w:val="none" w:sz="0" w:space="0" w:color="auto"/>
            <w:left w:val="none" w:sz="0" w:space="0" w:color="auto"/>
            <w:bottom w:val="none" w:sz="0" w:space="0" w:color="auto"/>
            <w:right w:val="none" w:sz="0" w:space="0" w:color="auto"/>
          </w:divBdr>
        </w:div>
      </w:divsChild>
    </w:div>
    <w:div w:id="1279067599">
      <w:marLeft w:val="4"/>
      <w:marRight w:val="0"/>
      <w:marTop w:val="120"/>
      <w:marBottom w:val="0"/>
      <w:divBdr>
        <w:top w:val="none" w:sz="0" w:space="0" w:color="auto"/>
        <w:left w:val="none" w:sz="0" w:space="0" w:color="auto"/>
        <w:bottom w:val="none" w:sz="0" w:space="0" w:color="auto"/>
        <w:right w:val="none" w:sz="0" w:space="0" w:color="auto"/>
      </w:divBdr>
      <w:divsChild>
        <w:div w:id="342129147">
          <w:marLeft w:val="0"/>
          <w:marRight w:val="0"/>
          <w:marTop w:val="0"/>
          <w:marBottom w:val="0"/>
          <w:divBdr>
            <w:top w:val="none" w:sz="0" w:space="0" w:color="auto"/>
            <w:left w:val="none" w:sz="0" w:space="0" w:color="auto"/>
            <w:bottom w:val="none" w:sz="0" w:space="0" w:color="auto"/>
            <w:right w:val="none" w:sz="0" w:space="0" w:color="auto"/>
          </w:divBdr>
        </w:div>
      </w:divsChild>
    </w:div>
    <w:div w:id="1281186647">
      <w:marLeft w:val="4"/>
      <w:marRight w:val="0"/>
      <w:marTop w:val="120"/>
      <w:marBottom w:val="0"/>
      <w:divBdr>
        <w:top w:val="none" w:sz="0" w:space="0" w:color="auto"/>
        <w:left w:val="none" w:sz="0" w:space="0" w:color="auto"/>
        <w:bottom w:val="none" w:sz="0" w:space="0" w:color="auto"/>
        <w:right w:val="none" w:sz="0" w:space="0" w:color="auto"/>
      </w:divBdr>
      <w:divsChild>
        <w:div w:id="2014799114">
          <w:marLeft w:val="0"/>
          <w:marRight w:val="0"/>
          <w:marTop w:val="0"/>
          <w:marBottom w:val="0"/>
          <w:divBdr>
            <w:top w:val="none" w:sz="0" w:space="0" w:color="auto"/>
            <w:left w:val="none" w:sz="0" w:space="0" w:color="auto"/>
            <w:bottom w:val="none" w:sz="0" w:space="0" w:color="auto"/>
            <w:right w:val="none" w:sz="0" w:space="0" w:color="auto"/>
          </w:divBdr>
        </w:div>
      </w:divsChild>
    </w:div>
    <w:div w:id="1287002737">
      <w:marLeft w:val="4"/>
      <w:marRight w:val="0"/>
      <w:marTop w:val="120"/>
      <w:marBottom w:val="0"/>
      <w:divBdr>
        <w:top w:val="none" w:sz="0" w:space="0" w:color="auto"/>
        <w:left w:val="none" w:sz="0" w:space="0" w:color="auto"/>
        <w:bottom w:val="none" w:sz="0" w:space="0" w:color="auto"/>
        <w:right w:val="none" w:sz="0" w:space="0" w:color="auto"/>
      </w:divBdr>
      <w:divsChild>
        <w:div w:id="1826513302">
          <w:marLeft w:val="0"/>
          <w:marRight w:val="0"/>
          <w:marTop w:val="0"/>
          <w:marBottom w:val="0"/>
          <w:divBdr>
            <w:top w:val="none" w:sz="0" w:space="0" w:color="auto"/>
            <w:left w:val="none" w:sz="0" w:space="0" w:color="auto"/>
            <w:bottom w:val="none" w:sz="0" w:space="0" w:color="auto"/>
            <w:right w:val="none" w:sz="0" w:space="0" w:color="auto"/>
          </w:divBdr>
        </w:div>
      </w:divsChild>
    </w:div>
    <w:div w:id="1289897130">
      <w:marLeft w:val="4"/>
      <w:marRight w:val="0"/>
      <w:marTop w:val="120"/>
      <w:marBottom w:val="0"/>
      <w:divBdr>
        <w:top w:val="none" w:sz="0" w:space="0" w:color="auto"/>
        <w:left w:val="none" w:sz="0" w:space="0" w:color="auto"/>
        <w:bottom w:val="none" w:sz="0" w:space="0" w:color="auto"/>
        <w:right w:val="none" w:sz="0" w:space="0" w:color="auto"/>
      </w:divBdr>
      <w:divsChild>
        <w:div w:id="326783664">
          <w:marLeft w:val="0"/>
          <w:marRight w:val="0"/>
          <w:marTop w:val="0"/>
          <w:marBottom w:val="0"/>
          <w:divBdr>
            <w:top w:val="none" w:sz="0" w:space="0" w:color="auto"/>
            <w:left w:val="none" w:sz="0" w:space="0" w:color="auto"/>
            <w:bottom w:val="none" w:sz="0" w:space="0" w:color="auto"/>
            <w:right w:val="none" w:sz="0" w:space="0" w:color="auto"/>
          </w:divBdr>
        </w:div>
      </w:divsChild>
    </w:div>
    <w:div w:id="1291546360">
      <w:marLeft w:val="7"/>
      <w:marRight w:val="0"/>
      <w:marTop w:val="120"/>
      <w:marBottom w:val="0"/>
      <w:divBdr>
        <w:top w:val="none" w:sz="0" w:space="0" w:color="auto"/>
        <w:left w:val="none" w:sz="0" w:space="0" w:color="auto"/>
        <w:bottom w:val="none" w:sz="0" w:space="0" w:color="auto"/>
        <w:right w:val="none" w:sz="0" w:space="0" w:color="auto"/>
      </w:divBdr>
      <w:divsChild>
        <w:div w:id="237637074">
          <w:marLeft w:val="0"/>
          <w:marRight w:val="0"/>
          <w:marTop w:val="0"/>
          <w:marBottom w:val="0"/>
          <w:divBdr>
            <w:top w:val="none" w:sz="0" w:space="0" w:color="auto"/>
            <w:left w:val="none" w:sz="0" w:space="0" w:color="auto"/>
            <w:bottom w:val="none" w:sz="0" w:space="0" w:color="auto"/>
            <w:right w:val="none" w:sz="0" w:space="0" w:color="auto"/>
          </w:divBdr>
        </w:div>
      </w:divsChild>
    </w:div>
    <w:div w:id="1299451656">
      <w:marLeft w:val="7"/>
      <w:marRight w:val="0"/>
      <w:marTop w:val="120"/>
      <w:marBottom w:val="0"/>
      <w:divBdr>
        <w:top w:val="none" w:sz="0" w:space="0" w:color="auto"/>
        <w:left w:val="none" w:sz="0" w:space="0" w:color="auto"/>
        <w:bottom w:val="none" w:sz="0" w:space="0" w:color="auto"/>
        <w:right w:val="none" w:sz="0" w:space="0" w:color="auto"/>
      </w:divBdr>
      <w:divsChild>
        <w:div w:id="957569763">
          <w:marLeft w:val="0"/>
          <w:marRight w:val="0"/>
          <w:marTop w:val="0"/>
          <w:marBottom w:val="0"/>
          <w:divBdr>
            <w:top w:val="none" w:sz="0" w:space="0" w:color="auto"/>
            <w:left w:val="none" w:sz="0" w:space="0" w:color="auto"/>
            <w:bottom w:val="none" w:sz="0" w:space="0" w:color="auto"/>
            <w:right w:val="none" w:sz="0" w:space="0" w:color="auto"/>
          </w:divBdr>
        </w:div>
      </w:divsChild>
    </w:div>
    <w:div w:id="1300569702">
      <w:marLeft w:val="4"/>
      <w:marRight w:val="0"/>
      <w:marTop w:val="120"/>
      <w:marBottom w:val="0"/>
      <w:divBdr>
        <w:top w:val="none" w:sz="0" w:space="0" w:color="auto"/>
        <w:left w:val="none" w:sz="0" w:space="0" w:color="auto"/>
        <w:bottom w:val="none" w:sz="0" w:space="0" w:color="auto"/>
        <w:right w:val="none" w:sz="0" w:space="0" w:color="auto"/>
      </w:divBdr>
      <w:divsChild>
        <w:div w:id="1496845248">
          <w:marLeft w:val="0"/>
          <w:marRight w:val="0"/>
          <w:marTop w:val="0"/>
          <w:marBottom w:val="0"/>
          <w:divBdr>
            <w:top w:val="none" w:sz="0" w:space="0" w:color="auto"/>
            <w:left w:val="none" w:sz="0" w:space="0" w:color="auto"/>
            <w:bottom w:val="none" w:sz="0" w:space="0" w:color="auto"/>
            <w:right w:val="none" w:sz="0" w:space="0" w:color="auto"/>
          </w:divBdr>
        </w:div>
      </w:divsChild>
    </w:div>
    <w:div w:id="1304039065">
      <w:marLeft w:val="4"/>
      <w:marRight w:val="0"/>
      <w:marTop w:val="120"/>
      <w:marBottom w:val="0"/>
      <w:divBdr>
        <w:top w:val="none" w:sz="0" w:space="0" w:color="auto"/>
        <w:left w:val="none" w:sz="0" w:space="0" w:color="auto"/>
        <w:bottom w:val="none" w:sz="0" w:space="0" w:color="auto"/>
        <w:right w:val="none" w:sz="0" w:space="0" w:color="auto"/>
      </w:divBdr>
      <w:divsChild>
        <w:div w:id="1564557569">
          <w:marLeft w:val="0"/>
          <w:marRight w:val="0"/>
          <w:marTop w:val="0"/>
          <w:marBottom w:val="0"/>
          <w:divBdr>
            <w:top w:val="none" w:sz="0" w:space="0" w:color="auto"/>
            <w:left w:val="none" w:sz="0" w:space="0" w:color="auto"/>
            <w:bottom w:val="none" w:sz="0" w:space="0" w:color="auto"/>
            <w:right w:val="none" w:sz="0" w:space="0" w:color="auto"/>
          </w:divBdr>
        </w:div>
      </w:divsChild>
    </w:div>
    <w:div w:id="1307204833">
      <w:marLeft w:val="4"/>
      <w:marRight w:val="0"/>
      <w:marTop w:val="120"/>
      <w:marBottom w:val="0"/>
      <w:divBdr>
        <w:top w:val="none" w:sz="0" w:space="0" w:color="auto"/>
        <w:left w:val="none" w:sz="0" w:space="0" w:color="auto"/>
        <w:bottom w:val="none" w:sz="0" w:space="0" w:color="auto"/>
        <w:right w:val="none" w:sz="0" w:space="0" w:color="auto"/>
      </w:divBdr>
      <w:divsChild>
        <w:div w:id="338892190">
          <w:marLeft w:val="0"/>
          <w:marRight w:val="0"/>
          <w:marTop w:val="0"/>
          <w:marBottom w:val="0"/>
          <w:divBdr>
            <w:top w:val="none" w:sz="0" w:space="0" w:color="auto"/>
            <w:left w:val="none" w:sz="0" w:space="0" w:color="auto"/>
            <w:bottom w:val="none" w:sz="0" w:space="0" w:color="auto"/>
            <w:right w:val="none" w:sz="0" w:space="0" w:color="auto"/>
          </w:divBdr>
        </w:div>
      </w:divsChild>
    </w:div>
    <w:div w:id="1310554036">
      <w:marLeft w:val="4"/>
      <w:marRight w:val="0"/>
      <w:marTop w:val="120"/>
      <w:marBottom w:val="0"/>
      <w:divBdr>
        <w:top w:val="none" w:sz="0" w:space="0" w:color="auto"/>
        <w:left w:val="none" w:sz="0" w:space="0" w:color="auto"/>
        <w:bottom w:val="none" w:sz="0" w:space="0" w:color="auto"/>
        <w:right w:val="none" w:sz="0" w:space="0" w:color="auto"/>
      </w:divBdr>
      <w:divsChild>
        <w:div w:id="526716020">
          <w:marLeft w:val="0"/>
          <w:marRight w:val="0"/>
          <w:marTop w:val="0"/>
          <w:marBottom w:val="0"/>
          <w:divBdr>
            <w:top w:val="none" w:sz="0" w:space="0" w:color="auto"/>
            <w:left w:val="none" w:sz="0" w:space="0" w:color="auto"/>
            <w:bottom w:val="none" w:sz="0" w:space="0" w:color="auto"/>
            <w:right w:val="none" w:sz="0" w:space="0" w:color="auto"/>
          </w:divBdr>
        </w:div>
      </w:divsChild>
    </w:div>
    <w:div w:id="1313363960">
      <w:marLeft w:val="0"/>
      <w:marRight w:val="0"/>
      <w:marTop w:val="0"/>
      <w:marBottom w:val="0"/>
      <w:divBdr>
        <w:top w:val="none" w:sz="0" w:space="0" w:color="auto"/>
        <w:left w:val="none" w:sz="0" w:space="0" w:color="auto"/>
        <w:bottom w:val="none" w:sz="0" w:space="0" w:color="auto"/>
        <w:right w:val="none" w:sz="0" w:space="0" w:color="auto"/>
      </w:divBdr>
    </w:div>
    <w:div w:id="1316912058">
      <w:marLeft w:val="4"/>
      <w:marRight w:val="0"/>
      <w:marTop w:val="120"/>
      <w:marBottom w:val="0"/>
      <w:divBdr>
        <w:top w:val="none" w:sz="0" w:space="0" w:color="auto"/>
        <w:left w:val="none" w:sz="0" w:space="0" w:color="auto"/>
        <w:bottom w:val="none" w:sz="0" w:space="0" w:color="auto"/>
        <w:right w:val="none" w:sz="0" w:space="0" w:color="auto"/>
      </w:divBdr>
      <w:divsChild>
        <w:div w:id="958612700">
          <w:marLeft w:val="0"/>
          <w:marRight w:val="0"/>
          <w:marTop w:val="0"/>
          <w:marBottom w:val="0"/>
          <w:divBdr>
            <w:top w:val="none" w:sz="0" w:space="0" w:color="auto"/>
            <w:left w:val="none" w:sz="0" w:space="0" w:color="auto"/>
            <w:bottom w:val="none" w:sz="0" w:space="0" w:color="auto"/>
            <w:right w:val="none" w:sz="0" w:space="0" w:color="auto"/>
          </w:divBdr>
        </w:div>
      </w:divsChild>
    </w:div>
    <w:div w:id="1324704308">
      <w:marLeft w:val="4"/>
      <w:marRight w:val="0"/>
      <w:marTop w:val="120"/>
      <w:marBottom w:val="0"/>
      <w:divBdr>
        <w:top w:val="none" w:sz="0" w:space="0" w:color="auto"/>
        <w:left w:val="none" w:sz="0" w:space="0" w:color="auto"/>
        <w:bottom w:val="none" w:sz="0" w:space="0" w:color="auto"/>
        <w:right w:val="none" w:sz="0" w:space="0" w:color="auto"/>
      </w:divBdr>
      <w:divsChild>
        <w:div w:id="1203321735">
          <w:marLeft w:val="0"/>
          <w:marRight w:val="0"/>
          <w:marTop w:val="0"/>
          <w:marBottom w:val="0"/>
          <w:divBdr>
            <w:top w:val="none" w:sz="0" w:space="0" w:color="auto"/>
            <w:left w:val="none" w:sz="0" w:space="0" w:color="auto"/>
            <w:bottom w:val="none" w:sz="0" w:space="0" w:color="auto"/>
            <w:right w:val="none" w:sz="0" w:space="0" w:color="auto"/>
          </w:divBdr>
        </w:div>
      </w:divsChild>
    </w:div>
    <w:div w:id="1326787172">
      <w:marLeft w:val="4"/>
      <w:marRight w:val="0"/>
      <w:marTop w:val="120"/>
      <w:marBottom w:val="0"/>
      <w:divBdr>
        <w:top w:val="none" w:sz="0" w:space="0" w:color="auto"/>
        <w:left w:val="none" w:sz="0" w:space="0" w:color="auto"/>
        <w:bottom w:val="none" w:sz="0" w:space="0" w:color="auto"/>
        <w:right w:val="none" w:sz="0" w:space="0" w:color="auto"/>
      </w:divBdr>
      <w:divsChild>
        <w:div w:id="1495684824">
          <w:marLeft w:val="0"/>
          <w:marRight w:val="0"/>
          <w:marTop w:val="0"/>
          <w:marBottom w:val="0"/>
          <w:divBdr>
            <w:top w:val="none" w:sz="0" w:space="0" w:color="auto"/>
            <w:left w:val="none" w:sz="0" w:space="0" w:color="auto"/>
            <w:bottom w:val="none" w:sz="0" w:space="0" w:color="auto"/>
            <w:right w:val="none" w:sz="0" w:space="0" w:color="auto"/>
          </w:divBdr>
        </w:div>
      </w:divsChild>
    </w:div>
    <w:div w:id="1328903465">
      <w:marLeft w:val="0"/>
      <w:marRight w:val="0"/>
      <w:marTop w:val="0"/>
      <w:marBottom w:val="0"/>
      <w:divBdr>
        <w:top w:val="none" w:sz="0" w:space="0" w:color="auto"/>
        <w:left w:val="none" w:sz="0" w:space="0" w:color="auto"/>
        <w:bottom w:val="none" w:sz="0" w:space="0" w:color="auto"/>
        <w:right w:val="none" w:sz="0" w:space="0" w:color="auto"/>
      </w:divBdr>
    </w:div>
    <w:div w:id="1341083605">
      <w:marLeft w:val="4"/>
      <w:marRight w:val="0"/>
      <w:marTop w:val="120"/>
      <w:marBottom w:val="0"/>
      <w:divBdr>
        <w:top w:val="none" w:sz="0" w:space="0" w:color="auto"/>
        <w:left w:val="none" w:sz="0" w:space="0" w:color="auto"/>
        <w:bottom w:val="none" w:sz="0" w:space="0" w:color="auto"/>
        <w:right w:val="none" w:sz="0" w:space="0" w:color="auto"/>
      </w:divBdr>
      <w:divsChild>
        <w:div w:id="52238396">
          <w:marLeft w:val="0"/>
          <w:marRight w:val="0"/>
          <w:marTop w:val="0"/>
          <w:marBottom w:val="0"/>
          <w:divBdr>
            <w:top w:val="none" w:sz="0" w:space="0" w:color="auto"/>
            <w:left w:val="none" w:sz="0" w:space="0" w:color="auto"/>
            <w:bottom w:val="none" w:sz="0" w:space="0" w:color="auto"/>
            <w:right w:val="none" w:sz="0" w:space="0" w:color="auto"/>
          </w:divBdr>
        </w:div>
      </w:divsChild>
    </w:div>
    <w:div w:id="1344086473">
      <w:marLeft w:val="4"/>
      <w:marRight w:val="0"/>
      <w:marTop w:val="120"/>
      <w:marBottom w:val="0"/>
      <w:divBdr>
        <w:top w:val="none" w:sz="0" w:space="0" w:color="auto"/>
        <w:left w:val="none" w:sz="0" w:space="0" w:color="auto"/>
        <w:bottom w:val="none" w:sz="0" w:space="0" w:color="auto"/>
        <w:right w:val="none" w:sz="0" w:space="0" w:color="auto"/>
      </w:divBdr>
      <w:divsChild>
        <w:div w:id="187374926">
          <w:marLeft w:val="0"/>
          <w:marRight w:val="0"/>
          <w:marTop w:val="0"/>
          <w:marBottom w:val="0"/>
          <w:divBdr>
            <w:top w:val="none" w:sz="0" w:space="0" w:color="auto"/>
            <w:left w:val="none" w:sz="0" w:space="0" w:color="auto"/>
            <w:bottom w:val="none" w:sz="0" w:space="0" w:color="auto"/>
            <w:right w:val="none" w:sz="0" w:space="0" w:color="auto"/>
          </w:divBdr>
        </w:div>
      </w:divsChild>
    </w:div>
    <w:div w:id="1356418664">
      <w:marLeft w:val="7"/>
      <w:marRight w:val="0"/>
      <w:marTop w:val="120"/>
      <w:marBottom w:val="0"/>
      <w:divBdr>
        <w:top w:val="none" w:sz="0" w:space="0" w:color="auto"/>
        <w:left w:val="none" w:sz="0" w:space="0" w:color="auto"/>
        <w:bottom w:val="none" w:sz="0" w:space="0" w:color="auto"/>
        <w:right w:val="none" w:sz="0" w:space="0" w:color="auto"/>
      </w:divBdr>
      <w:divsChild>
        <w:div w:id="844519976">
          <w:marLeft w:val="0"/>
          <w:marRight w:val="0"/>
          <w:marTop w:val="0"/>
          <w:marBottom w:val="0"/>
          <w:divBdr>
            <w:top w:val="none" w:sz="0" w:space="0" w:color="auto"/>
            <w:left w:val="none" w:sz="0" w:space="0" w:color="auto"/>
            <w:bottom w:val="none" w:sz="0" w:space="0" w:color="auto"/>
            <w:right w:val="none" w:sz="0" w:space="0" w:color="auto"/>
          </w:divBdr>
        </w:div>
      </w:divsChild>
    </w:div>
    <w:div w:id="1358241467">
      <w:marLeft w:val="9"/>
      <w:marRight w:val="0"/>
      <w:marTop w:val="120"/>
      <w:marBottom w:val="0"/>
      <w:divBdr>
        <w:top w:val="none" w:sz="0" w:space="0" w:color="auto"/>
        <w:left w:val="none" w:sz="0" w:space="0" w:color="auto"/>
        <w:bottom w:val="none" w:sz="0" w:space="0" w:color="auto"/>
        <w:right w:val="none" w:sz="0" w:space="0" w:color="auto"/>
      </w:divBdr>
      <w:divsChild>
        <w:div w:id="1289698130">
          <w:marLeft w:val="0"/>
          <w:marRight w:val="0"/>
          <w:marTop w:val="0"/>
          <w:marBottom w:val="0"/>
          <w:divBdr>
            <w:top w:val="none" w:sz="0" w:space="0" w:color="auto"/>
            <w:left w:val="none" w:sz="0" w:space="0" w:color="auto"/>
            <w:bottom w:val="none" w:sz="0" w:space="0" w:color="auto"/>
            <w:right w:val="none" w:sz="0" w:space="0" w:color="auto"/>
          </w:divBdr>
        </w:div>
      </w:divsChild>
    </w:div>
    <w:div w:id="1381173182">
      <w:marLeft w:val="4"/>
      <w:marRight w:val="0"/>
      <w:marTop w:val="120"/>
      <w:marBottom w:val="0"/>
      <w:divBdr>
        <w:top w:val="none" w:sz="0" w:space="0" w:color="auto"/>
        <w:left w:val="none" w:sz="0" w:space="0" w:color="auto"/>
        <w:bottom w:val="none" w:sz="0" w:space="0" w:color="auto"/>
        <w:right w:val="none" w:sz="0" w:space="0" w:color="auto"/>
      </w:divBdr>
      <w:divsChild>
        <w:div w:id="2045252465">
          <w:marLeft w:val="0"/>
          <w:marRight w:val="0"/>
          <w:marTop w:val="0"/>
          <w:marBottom w:val="0"/>
          <w:divBdr>
            <w:top w:val="none" w:sz="0" w:space="0" w:color="auto"/>
            <w:left w:val="none" w:sz="0" w:space="0" w:color="auto"/>
            <w:bottom w:val="none" w:sz="0" w:space="0" w:color="auto"/>
            <w:right w:val="none" w:sz="0" w:space="0" w:color="auto"/>
          </w:divBdr>
        </w:div>
      </w:divsChild>
    </w:div>
    <w:div w:id="1385563546">
      <w:marLeft w:val="4"/>
      <w:marRight w:val="0"/>
      <w:marTop w:val="120"/>
      <w:marBottom w:val="0"/>
      <w:divBdr>
        <w:top w:val="none" w:sz="0" w:space="0" w:color="auto"/>
        <w:left w:val="none" w:sz="0" w:space="0" w:color="auto"/>
        <w:bottom w:val="none" w:sz="0" w:space="0" w:color="auto"/>
        <w:right w:val="none" w:sz="0" w:space="0" w:color="auto"/>
      </w:divBdr>
      <w:divsChild>
        <w:div w:id="896935634">
          <w:marLeft w:val="0"/>
          <w:marRight w:val="0"/>
          <w:marTop w:val="0"/>
          <w:marBottom w:val="0"/>
          <w:divBdr>
            <w:top w:val="none" w:sz="0" w:space="0" w:color="auto"/>
            <w:left w:val="none" w:sz="0" w:space="0" w:color="auto"/>
            <w:bottom w:val="none" w:sz="0" w:space="0" w:color="auto"/>
            <w:right w:val="none" w:sz="0" w:space="0" w:color="auto"/>
          </w:divBdr>
        </w:div>
      </w:divsChild>
    </w:div>
    <w:div w:id="1387027872">
      <w:marLeft w:val="4"/>
      <w:marRight w:val="0"/>
      <w:marTop w:val="120"/>
      <w:marBottom w:val="0"/>
      <w:divBdr>
        <w:top w:val="none" w:sz="0" w:space="0" w:color="auto"/>
        <w:left w:val="none" w:sz="0" w:space="0" w:color="auto"/>
        <w:bottom w:val="none" w:sz="0" w:space="0" w:color="auto"/>
        <w:right w:val="none" w:sz="0" w:space="0" w:color="auto"/>
      </w:divBdr>
      <w:divsChild>
        <w:div w:id="1060401572">
          <w:marLeft w:val="0"/>
          <w:marRight w:val="0"/>
          <w:marTop w:val="0"/>
          <w:marBottom w:val="0"/>
          <w:divBdr>
            <w:top w:val="none" w:sz="0" w:space="0" w:color="auto"/>
            <w:left w:val="none" w:sz="0" w:space="0" w:color="auto"/>
            <w:bottom w:val="none" w:sz="0" w:space="0" w:color="auto"/>
            <w:right w:val="none" w:sz="0" w:space="0" w:color="auto"/>
          </w:divBdr>
        </w:div>
      </w:divsChild>
    </w:div>
    <w:div w:id="1390416361">
      <w:marLeft w:val="4"/>
      <w:marRight w:val="0"/>
      <w:marTop w:val="120"/>
      <w:marBottom w:val="0"/>
      <w:divBdr>
        <w:top w:val="none" w:sz="0" w:space="0" w:color="auto"/>
        <w:left w:val="none" w:sz="0" w:space="0" w:color="auto"/>
        <w:bottom w:val="none" w:sz="0" w:space="0" w:color="auto"/>
        <w:right w:val="none" w:sz="0" w:space="0" w:color="auto"/>
      </w:divBdr>
      <w:divsChild>
        <w:div w:id="1128740009">
          <w:marLeft w:val="0"/>
          <w:marRight w:val="0"/>
          <w:marTop w:val="0"/>
          <w:marBottom w:val="0"/>
          <w:divBdr>
            <w:top w:val="none" w:sz="0" w:space="0" w:color="auto"/>
            <w:left w:val="none" w:sz="0" w:space="0" w:color="auto"/>
            <w:bottom w:val="none" w:sz="0" w:space="0" w:color="auto"/>
            <w:right w:val="none" w:sz="0" w:space="0" w:color="auto"/>
          </w:divBdr>
        </w:div>
      </w:divsChild>
    </w:div>
    <w:div w:id="1392461731">
      <w:marLeft w:val="4"/>
      <w:marRight w:val="0"/>
      <w:marTop w:val="120"/>
      <w:marBottom w:val="0"/>
      <w:divBdr>
        <w:top w:val="none" w:sz="0" w:space="0" w:color="auto"/>
        <w:left w:val="none" w:sz="0" w:space="0" w:color="auto"/>
        <w:bottom w:val="none" w:sz="0" w:space="0" w:color="auto"/>
        <w:right w:val="none" w:sz="0" w:space="0" w:color="auto"/>
      </w:divBdr>
      <w:divsChild>
        <w:div w:id="864321110">
          <w:marLeft w:val="0"/>
          <w:marRight w:val="0"/>
          <w:marTop w:val="0"/>
          <w:marBottom w:val="0"/>
          <w:divBdr>
            <w:top w:val="none" w:sz="0" w:space="0" w:color="auto"/>
            <w:left w:val="none" w:sz="0" w:space="0" w:color="auto"/>
            <w:bottom w:val="none" w:sz="0" w:space="0" w:color="auto"/>
            <w:right w:val="none" w:sz="0" w:space="0" w:color="auto"/>
          </w:divBdr>
        </w:div>
      </w:divsChild>
    </w:div>
    <w:div w:id="1402756820">
      <w:marLeft w:val="4"/>
      <w:marRight w:val="0"/>
      <w:marTop w:val="120"/>
      <w:marBottom w:val="0"/>
      <w:divBdr>
        <w:top w:val="none" w:sz="0" w:space="0" w:color="auto"/>
        <w:left w:val="none" w:sz="0" w:space="0" w:color="auto"/>
        <w:bottom w:val="none" w:sz="0" w:space="0" w:color="auto"/>
        <w:right w:val="none" w:sz="0" w:space="0" w:color="auto"/>
      </w:divBdr>
      <w:divsChild>
        <w:div w:id="588739147">
          <w:marLeft w:val="0"/>
          <w:marRight w:val="0"/>
          <w:marTop w:val="0"/>
          <w:marBottom w:val="0"/>
          <w:divBdr>
            <w:top w:val="none" w:sz="0" w:space="0" w:color="auto"/>
            <w:left w:val="none" w:sz="0" w:space="0" w:color="auto"/>
            <w:bottom w:val="none" w:sz="0" w:space="0" w:color="auto"/>
            <w:right w:val="none" w:sz="0" w:space="0" w:color="auto"/>
          </w:divBdr>
        </w:div>
      </w:divsChild>
    </w:div>
    <w:div w:id="1404598315">
      <w:marLeft w:val="4"/>
      <w:marRight w:val="0"/>
      <w:marTop w:val="120"/>
      <w:marBottom w:val="0"/>
      <w:divBdr>
        <w:top w:val="none" w:sz="0" w:space="0" w:color="auto"/>
        <w:left w:val="none" w:sz="0" w:space="0" w:color="auto"/>
        <w:bottom w:val="none" w:sz="0" w:space="0" w:color="auto"/>
        <w:right w:val="none" w:sz="0" w:space="0" w:color="auto"/>
      </w:divBdr>
      <w:divsChild>
        <w:div w:id="120922970">
          <w:marLeft w:val="0"/>
          <w:marRight w:val="0"/>
          <w:marTop w:val="0"/>
          <w:marBottom w:val="0"/>
          <w:divBdr>
            <w:top w:val="none" w:sz="0" w:space="0" w:color="auto"/>
            <w:left w:val="none" w:sz="0" w:space="0" w:color="auto"/>
            <w:bottom w:val="none" w:sz="0" w:space="0" w:color="auto"/>
            <w:right w:val="none" w:sz="0" w:space="0" w:color="auto"/>
          </w:divBdr>
        </w:div>
      </w:divsChild>
    </w:div>
    <w:div w:id="1418861625">
      <w:marLeft w:val="4"/>
      <w:marRight w:val="0"/>
      <w:marTop w:val="120"/>
      <w:marBottom w:val="0"/>
      <w:divBdr>
        <w:top w:val="none" w:sz="0" w:space="0" w:color="auto"/>
        <w:left w:val="none" w:sz="0" w:space="0" w:color="auto"/>
        <w:bottom w:val="none" w:sz="0" w:space="0" w:color="auto"/>
        <w:right w:val="none" w:sz="0" w:space="0" w:color="auto"/>
      </w:divBdr>
      <w:divsChild>
        <w:div w:id="1843428476">
          <w:marLeft w:val="0"/>
          <w:marRight w:val="0"/>
          <w:marTop w:val="0"/>
          <w:marBottom w:val="0"/>
          <w:divBdr>
            <w:top w:val="none" w:sz="0" w:space="0" w:color="auto"/>
            <w:left w:val="none" w:sz="0" w:space="0" w:color="auto"/>
            <w:bottom w:val="none" w:sz="0" w:space="0" w:color="auto"/>
            <w:right w:val="none" w:sz="0" w:space="0" w:color="auto"/>
          </w:divBdr>
        </w:div>
      </w:divsChild>
    </w:div>
    <w:div w:id="1429303852">
      <w:marLeft w:val="4"/>
      <w:marRight w:val="0"/>
      <w:marTop w:val="120"/>
      <w:marBottom w:val="0"/>
      <w:divBdr>
        <w:top w:val="none" w:sz="0" w:space="0" w:color="auto"/>
        <w:left w:val="none" w:sz="0" w:space="0" w:color="auto"/>
        <w:bottom w:val="none" w:sz="0" w:space="0" w:color="auto"/>
        <w:right w:val="none" w:sz="0" w:space="0" w:color="auto"/>
      </w:divBdr>
      <w:divsChild>
        <w:div w:id="792137101">
          <w:marLeft w:val="0"/>
          <w:marRight w:val="0"/>
          <w:marTop w:val="0"/>
          <w:marBottom w:val="0"/>
          <w:divBdr>
            <w:top w:val="none" w:sz="0" w:space="0" w:color="auto"/>
            <w:left w:val="none" w:sz="0" w:space="0" w:color="auto"/>
            <w:bottom w:val="none" w:sz="0" w:space="0" w:color="auto"/>
            <w:right w:val="none" w:sz="0" w:space="0" w:color="auto"/>
          </w:divBdr>
        </w:div>
      </w:divsChild>
    </w:div>
    <w:div w:id="1439371136">
      <w:marLeft w:val="4"/>
      <w:marRight w:val="0"/>
      <w:marTop w:val="120"/>
      <w:marBottom w:val="0"/>
      <w:divBdr>
        <w:top w:val="none" w:sz="0" w:space="0" w:color="auto"/>
        <w:left w:val="none" w:sz="0" w:space="0" w:color="auto"/>
        <w:bottom w:val="none" w:sz="0" w:space="0" w:color="auto"/>
        <w:right w:val="none" w:sz="0" w:space="0" w:color="auto"/>
      </w:divBdr>
      <w:divsChild>
        <w:div w:id="1318652404">
          <w:marLeft w:val="0"/>
          <w:marRight w:val="0"/>
          <w:marTop w:val="0"/>
          <w:marBottom w:val="0"/>
          <w:divBdr>
            <w:top w:val="none" w:sz="0" w:space="0" w:color="auto"/>
            <w:left w:val="none" w:sz="0" w:space="0" w:color="auto"/>
            <w:bottom w:val="none" w:sz="0" w:space="0" w:color="auto"/>
            <w:right w:val="none" w:sz="0" w:space="0" w:color="auto"/>
          </w:divBdr>
        </w:div>
      </w:divsChild>
    </w:div>
    <w:div w:id="1457093542">
      <w:marLeft w:val="4"/>
      <w:marRight w:val="0"/>
      <w:marTop w:val="120"/>
      <w:marBottom w:val="0"/>
      <w:divBdr>
        <w:top w:val="none" w:sz="0" w:space="0" w:color="auto"/>
        <w:left w:val="none" w:sz="0" w:space="0" w:color="auto"/>
        <w:bottom w:val="none" w:sz="0" w:space="0" w:color="auto"/>
        <w:right w:val="none" w:sz="0" w:space="0" w:color="auto"/>
      </w:divBdr>
      <w:divsChild>
        <w:div w:id="1986428315">
          <w:marLeft w:val="0"/>
          <w:marRight w:val="0"/>
          <w:marTop w:val="0"/>
          <w:marBottom w:val="0"/>
          <w:divBdr>
            <w:top w:val="none" w:sz="0" w:space="0" w:color="auto"/>
            <w:left w:val="none" w:sz="0" w:space="0" w:color="auto"/>
            <w:bottom w:val="none" w:sz="0" w:space="0" w:color="auto"/>
            <w:right w:val="none" w:sz="0" w:space="0" w:color="auto"/>
          </w:divBdr>
        </w:div>
      </w:divsChild>
    </w:div>
    <w:div w:id="1462529676">
      <w:marLeft w:val="4"/>
      <w:marRight w:val="0"/>
      <w:marTop w:val="120"/>
      <w:marBottom w:val="0"/>
      <w:divBdr>
        <w:top w:val="none" w:sz="0" w:space="0" w:color="auto"/>
        <w:left w:val="none" w:sz="0" w:space="0" w:color="auto"/>
        <w:bottom w:val="none" w:sz="0" w:space="0" w:color="auto"/>
        <w:right w:val="none" w:sz="0" w:space="0" w:color="auto"/>
      </w:divBdr>
      <w:divsChild>
        <w:div w:id="1149051301">
          <w:marLeft w:val="0"/>
          <w:marRight w:val="0"/>
          <w:marTop w:val="0"/>
          <w:marBottom w:val="0"/>
          <w:divBdr>
            <w:top w:val="none" w:sz="0" w:space="0" w:color="auto"/>
            <w:left w:val="none" w:sz="0" w:space="0" w:color="auto"/>
            <w:bottom w:val="none" w:sz="0" w:space="0" w:color="auto"/>
            <w:right w:val="none" w:sz="0" w:space="0" w:color="auto"/>
          </w:divBdr>
        </w:div>
      </w:divsChild>
    </w:div>
    <w:div w:id="1467702846">
      <w:marLeft w:val="4"/>
      <w:marRight w:val="0"/>
      <w:marTop w:val="120"/>
      <w:marBottom w:val="0"/>
      <w:divBdr>
        <w:top w:val="none" w:sz="0" w:space="0" w:color="auto"/>
        <w:left w:val="none" w:sz="0" w:space="0" w:color="auto"/>
        <w:bottom w:val="none" w:sz="0" w:space="0" w:color="auto"/>
        <w:right w:val="none" w:sz="0" w:space="0" w:color="auto"/>
      </w:divBdr>
      <w:divsChild>
        <w:div w:id="1386372028">
          <w:marLeft w:val="0"/>
          <w:marRight w:val="0"/>
          <w:marTop w:val="0"/>
          <w:marBottom w:val="0"/>
          <w:divBdr>
            <w:top w:val="none" w:sz="0" w:space="0" w:color="auto"/>
            <w:left w:val="none" w:sz="0" w:space="0" w:color="auto"/>
            <w:bottom w:val="none" w:sz="0" w:space="0" w:color="auto"/>
            <w:right w:val="none" w:sz="0" w:space="0" w:color="auto"/>
          </w:divBdr>
        </w:div>
      </w:divsChild>
    </w:div>
    <w:div w:id="1488205373">
      <w:marLeft w:val="4"/>
      <w:marRight w:val="0"/>
      <w:marTop w:val="120"/>
      <w:marBottom w:val="0"/>
      <w:divBdr>
        <w:top w:val="none" w:sz="0" w:space="0" w:color="auto"/>
        <w:left w:val="none" w:sz="0" w:space="0" w:color="auto"/>
        <w:bottom w:val="none" w:sz="0" w:space="0" w:color="auto"/>
        <w:right w:val="none" w:sz="0" w:space="0" w:color="auto"/>
      </w:divBdr>
      <w:divsChild>
        <w:div w:id="1811089791">
          <w:marLeft w:val="0"/>
          <w:marRight w:val="0"/>
          <w:marTop w:val="0"/>
          <w:marBottom w:val="0"/>
          <w:divBdr>
            <w:top w:val="none" w:sz="0" w:space="0" w:color="auto"/>
            <w:left w:val="none" w:sz="0" w:space="0" w:color="auto"/>
            <w:bottom w:val="none" w:sz="0" w:space="0" w:color="auto"/>
            <w:right w:val="none" w:sz="0" w:space="0" w:color="auto"/>
          </w:divBdr>
        </w:div>
      </w:divsChild>
    </w:div>
    <w:div w:id="1501850708">
      <w:marLeft w:val="4"/>
      <w:marRight w:val="0"/>
      <w:marTop w:val="120"/>
      <w:marBottom w:val="0"/>
      <w:divBdr>
        <w:top w:val="none" w:sz="0" w:space="0" w:color="auto"/>
        <w:left w:val="none" w:sz="0" w:space="0" w:color="auto"/>
        <w:bottom w:val="none" w:sz="0" w:space="0" w:color="auto"/>
        <w:right w:val="none" w:sz="0" w:space="0" w:color="auto"/>
      </w:divBdr>
      <w:divsChild>
        <w:div w:id="171377813">
          <w:marLeft w:val="0"/>
          <w:marRight w:val="0"/>
          <w:marTop w:val="0"/>
          <w:marBottom w:val="0"/>
          <w:divBdr>
            <w:top w:val="none" w:sz="0" w:space="0" w:color="auto"/>
            <w:left w:val="none" w:sz="0" w:space="0" w:color="auto"/>
            <w:bottom w:val="none" w:sz="0" w:space="0" w:color="auto"/>
            <w:right w:val="none" w:sz="0" w:space="0" w:color="auto"/>
          </w:divBdr>
        </w:div>
      </w:divsChild>
    </w:div>
    <w:div w:id="1501968195">
      <w:marLeft w:val="4"/>
      <w:marRight w:val="0"/>
      <w:marTop w:val="120"/>
      <w:marBottom w:val="0"/>
      <w:divBdr>
        <w:top w:val="none" w:sz="0" w:space="0" w:color="auto"/>
        <w:left w:val="none" w:sz="0" w:space="0" w:color="auto"/>
        <w:bottom w:val="none" w:sz="0" w:space="0" w:color="auto"/>
        <w:right w:val="none" w:sz="0" w:space="0" w:color="auto"/>
      </w:divBdr>
      <w:divsChild>
        <w:div w:id="1755277025">
          <w:marLeft w:val="0"/>
          <w:marRight w:val="0"/>
          <w:marTop w:val="0"/>
          <w:marBottom w:val="0"/>
          <w:divBdr>
            <w:top w:val="none" w:sz="0" w:space="0" w:color="auto"/>
            <w:left w:val="none" w:sz="0" w:space="0" w:color="auto"/>
            <w:bottom w:val="none" w:sz="0" w:space="0" w:color="auto"/>
            <w:right w:val="none" w:sz="0" w:space="0" w:color="auto"/>
          </w:divBdr>
        </w:div>
      </w:divsChild>
    </w:div>
    <w:div w:id="1532106258">
      <w:marLeft w:val="4"/>
      <w:marRight w:val="0"/>
      <w:marTop w:val="120"/>
      <w:marBottom w:val="0"/>
      <w:divBdr>
        <w:top w:val="none" w:sz="0" w:space="0" w:color="auto"/>
        <w:left w:val="none" w:sz="0" w:space="0" w:color="auto"/>
        <w:bottom w:val="none" w:sz="0" w:space="0" w:color="auto"/>
        <w:right w:val="none" w:sz="0" w:space="0" w:color="auto"/>
      </w:divBdr>
      <w:divsChild>
        <w:div w:id="1169128399">
          <w:marLeft w:val="0"/>
          <w:marRight w:val="0"/>
          <w:marTop w:val="0"/>
          <w:marBottom w:val="0"/>
          <w:divBdr>
            <w:top w:val="none" w:sz="0" w:space="0" w:color="auto"/>
            <w:left w:val="none" w:sz="0" w:space="0" w:color="auto"/>
            <w:bottom w:val="none" w:sz="0" w:space="0" w:color="auto"/>
            <w:right w:val="none" w:sz="0" w:space="0" w:color="auto"/>
          </w:divBdr>
        </w:div>
      </w:divsChild>
    </w:div>
    <w:div w:id="1542287351">
      <w:marLeft w:val="4"/>
      <w:marRight w:val="0"/>
      <w:marTop w:val="120"/>
      <w:marBottom w:val="0"/>
      <w:divBdr>
        <w:top w:val="none" w:sz="0" w:space="0" w:color="auto"/>
        <w:left w:val="none" w:sz="0" w:space="0" w:color="auto"/>
        <w:bottom w:val="none" w:sz="0" w:space="0" w:color="auto"/>
        <w:right w:val="none" w:sz="0" w:space="0" w:color="auto"/>
      </w:divBdr>
      <w:divsChild>
        <w:div w:id="2031442592">
          <w:marLeft w:val="0"/>
          <w:marRight w:val="0"/>
          <w:marTop w:val="0"/>
          <w:marBottom w:val="0"/>
          <w:divBdr>
            <w:top w:val="none" w:sz="0" w:space="0" w:color="auto"/>
            <w:left w:val="none" w:sz="0" w:space="0" w:color="auto"/>
            <w:bottom w:val="none" w:sz="0" w:space="0" w:color="auto"/>
            <w:right w:val="none" w:sz="0" w:space="0" w:color="auto"/>
          </w:divBdr>
        </w:div>
      </w:divsChild>
    </w:div>
    <w:div w:id="1551116842">
      <w:marLeft w:val="4"/>
      <w:marRight w:val="0"/>
      <w:marTop w:val="120"/>
      <w:marBottom w:val="0"/>
      <w:divBdr>
        <w:top w:val="none" w:sz="0" w:space="0" w:color="auto"/>
        <w:left w:val="none" w:sz="0" w:space="0" w:color="auto"/>
        <w:bottom w:val="none" w:sz="0" w:space="0" w:color="auto"/>
        <w:right w:val="none" w:sz="0" w:space="0" w:color="auto"/>
      </w:divBdr>
      <w:divsChild>
        <w:div w:id="1363096358">
          <w:marLeft w:val="0"/>
          <w:marRight w:val="0"/>
          <w:marTop w:val="0"/>
          <w:marBottom w:val="0"/>
          <w:divBdr>
            <w:top w:val="none" w:sz="0" w:space="0" w:color="auto"/>
            <w:left w:val="none" w:sz="0" w:space="0" w:color="auto"/>
            <w:bottom w:val="none" w:sz="0" w:space="0" w:color="auto"/>
            <w:right w:val="none" w:sz="0" w:space="0" w:color="auto"/>
          </w:divBdr>
        </w:div>
      </w:divsChild>
    </w:div>
    <w:div w:id="1556046200">
      <w:marLeft w:val="4"/>
      <w:marRight w:val="0"/>
      <w:marTop w:val="120"/>
      <w:marBottom w:val="0"/>
      <w:divBdr>
        <w:top w:val="none" w:sz="0" w:space="0" w:color="auto"/>
        <w:left w:val="none" w:sz="0" w:space="0" w:color="auto"/>
        <w:bottom w:val="none" w:sz="0" w:space="0" w:color="auto"/>
        <w:right w:val="none" w:sz="0" w:space="0" w:color="auto"/>
      </w:divBdr>
      <w:divsChild>
        <w:div w:id="1846168393">
          <w:marLeft w:val="0"/>
          <w:marRight w:val="0"/>
          <w:marTop w:val="0"/>
          <w:marBottom w:val="0"/>
          <w:divBdr>
            <w:top w:val="none" w:sz="0" w:space="0" w:color="auto"/>
            <w:left w:val="none" w:sz="0" w:space="0" w:color="auto"/>
            <w:bottom w:val="none" w:sz="0" w:space="0" w:color="auto"/>
            <w:right w:val="none" w:sz="0" w:space="0" w:color="auto"/>
          </w:divBdr>
        </w:div>
      </w:divsChild>
    </w:div>
    <w:div w:id="1559516282">
      <w:marLeft w:val="4"/>
      <w:marRight w:val="0"/>
      <w:marTop w:val="120"/>
      <w:marBottom w:val="0"/>
      <w:divBdr>
        <w:top w:val="none" w:sz="0" w:space="0" w:color="auto"/>
        <w:left w:val="none" w:sz="0" w:space="0" w:color="auto"/>
        <w:bottom w:val="none" w:sz="0" w:space="0" w:color="auto"/>
        <w:right w:val="none" w:sz="0" w:space="0" w:color="auto"/>
      </w:divBdr>
      <w:divsChild>
        <w:div w:id="1881891989">
          <w:marLeft w:val="0"/>
          <w:marRight w:val="0"/>
          <w:marTop w:val="0"/>
          <w:marBottom w:val="0"/>
          <w:divBdr>
            <w:top w:val="none" w:sz="0" w:space="0" w:color="auto"/>
            <w:left w:val="none" w:sz="0" w:space="0" w:color="auto"/>
            <w:bottom w:val="none" w:sz="0" w:space="0" w:color="auto"/>
            <w:right w:val="none" w:sz="0" w:space="0" w:color="auto"/>
          </w:divBdr>
        </w:div>
      </w:divsChild>
    </w:div>
    <w:div w:id="1567492334">
      <w:marLeft w:val="4"/>
      <w:marRight w:val="0"/>
      <w:marTop w:val="120"/>
      <w:marBottom w:val="0"/>
      <w:divBdr>
        <w:top w:val="none" w:sz="0" w:space="0" w:color="auto"/>
        <w:left w:val="none" w:sz="0" w:space="0" w:color="auto"/>
        <w:bottom w:val="none" w:sz="0" w:space="0" w:color="auto"/>
        <w:right w:val="none" w:sz="0" w:space="0" w:color="auto"/>
      </w:divBdr>
      <w:divsChild>
        <w:div w:id="550195525">
          <w:marLeft w:val="0"/>
          <w:marRight w:val="0"/>
          <w:marTop w:val="0"/>
          <w:marBottom w:val="0"/>
          <w:divBdr>
            <w:top w:val="none" w:sz="0" w:space="0" w:color="auto"/>
            <w:left w:val="none" w:sz="0" w:space="0" w:color="auto"/>
            <w:bottom w:val="none" w:sz="0" w:space="0" w:color="auto"/>
            <w:right w:val="none" w:sz="0" w:space="0" w:color="auto"/>
          </w:divBdr>
        </w:div>
      </w:divsChild>
    </w:div>
    <w:div w:id="1587806498">
      <w:marLeft w:val="4"/>
      <w:marRight w:val="0"/>
      <w:marTop w:val="120"/>
      <w:marBottom w:val="0"/>
      <w:divBdr>
        <w:top w:val="none" w:sz="0" w:space="0" w:color="auto"/>
        <w:left w:val="none" w:sz="0" w:space="0" w:color="auto"/>
        <w:bottom w:val="none" w:sz="0" w:space="0" w:color="auto"/>
        <w:right w:val="none" w:sz="0" w:space="0" w:color="auto"/>
      </w:divBdr>
      <w:divsChild>
        <w:div w:id="1697386329">
          <w:marLeft w:val="0"/>
          <w:marRight w:val="0"/>
          <w:marTop w:val="0"/>
          <w:marBottom w:val="0"/>
          <w:divBdr>
            <w:top w:val="none" w:sz="0" w:space="0" w:color="auto"/>
            <w:left w:val="none" w:sz="0" w:space="0" w:color="auto"/>
            <w:bottom w:val="none" w:sz="0" w:space="0" w:color="auto"/>
            <w:right w:val="none" w:sz="0" w:space="0" w:color="auto"/>
          </w:divBdr>
        </w:div>
      </w:divsChild>
    </w:div>
    <w:div w:id="1603875600">
      <w:marLeft w:val="4"/>
      <w:marRight w:val="0"/>
      <w:marTop w:val="120"/>
      <w:marBottom w:val="0"/>
      <w:divBdr>
        <w:top w:val="none" w:sz="0" w:space="0" w:color="auto"/>
        <w:left w:val="none" w:sz="0" w:space="0" w:color="auto"/>
        <w:bottom w:val="none" w:sz="0" w:space="0" w:color="auto"/>
        <w:right w:val="none" w:sz="0" w:space="0" w:color="auto"/>
      </w:divBdr>
      <w:divsChild>
        <w:div w:id="105346652">
          <w:marLeft w:val="0"/>
          <w:marRight w:val="0"/>
          <w:marTop w:val="0"/>
          <w:marBottom w:val="0"/>
          <w:divBdr>
            <w:top w:val="none" w:sz="0" w:space="0" w:color="auto"/>
            <w:left w:val="none" w:sz="0" w:space="0" w:color="auto"/>
            <w:bottom w:val="none" w:sz="0" w:space="0" w:color="auto"/>
            <w:right w:val="none" w:sz="0" w:space="0" w:color="auto"/>
          </w:divBdr>
        </w:div>
      </w:divsChild>
    </w:div>
    <w:div w:id="1604921267">
      <w:marLeft w:val="4"/>
      <w:marRight w:val="0"/>
      <w:marTop w:val="120"/>
      <w:marBottom w:val="0"/>
      <w:divBdr>
        <w:top w:val="none" w:sz="0" w:space="0" w:color="auto"/>
        <w:left w:val="none" w:sz="0" w:space="0" w:color="auto"/>
        <w:bottom w:val="none" w:sz="0" w:space="0" w:color="auto"/>
        <w:right w:val="none" w:sz="0" w:space="0" w:color="auto"/>
      </w:divBdr>
      <w:divsChild>
        <w:div w:id="1378698824">
          <w:marLeft w:val="0"/>
          <w:marRight w:val="0"/>
          <w:marTop w:val="0"/>
          <w:marBottom w:val="0"/>
          <w:divBdr>
            <w:top w:val="none" w:sz="0" w:space="0" w:color="auto"/>
            <w:left w:val="none" w:sz="0" w:space="0" w:color="auto"/>
            <w:bottom w:val="none" w:sz="0" w:space="0" w:color="auto"/>
            <w:right w:val="none" w:sz="0" w:space="0" w:color="auto"/>
          </w:divBdr>
        </w:div>
      </w:divsChild>
    </w:div>
    <w:div w:id="1617297563">
      <w:marLeft w:val="0"/>
      <w:marRight w:val="0"/>
      <w:marTop w:val="0"/>
      <w:marBottom w:val="0"/>
      <w:divBdr>
        <w:top w:val="none" w:sz="0" w:space="0" w:color="auto"/>
        <w:left w:val="none" w:sz="0" w:space="0" w:color="auto"/>
        <w:bottom w:val="none" w:sz="0" w:space="0" w:color="auto"/>
        <w:right w:val="none" w:sz="0" w:space="0" w:color="auto"/>
      </w:divBdr>
    </w:div>
    <w:div w:id="1621913817">
      <w:marLeft w:val="4"/>
      <w:marRight w:val="0"/>
      <w:marTop w:val="120"/>
      <w:marBottom w:val="0"/>
      <w:divBdr>
        <w:top w:val="none" w:sz="0" w:space="0" w:color="auto"/>
        <w:left w:val="none" w:sz="0" w:space="0" w:color="auto"/>
        <w:bottom w:val="none" w:sz="0" w:space="0" w:color="auto"/>
        <w:right w:val="none" w:sz="0" w:space="0" w:color="auto"/>
      </w:divBdr>
      <w:divsChild>
        <w:div w:id="1791362294">
          <w:marLeft w:val="0"/>
          <w:marRight w:val="0"/>
          <w:marTop w:val="0"/>
          <w:marBottom w:val="0"/>
          <w:divBdr>
            <w:top w:val="none" w:sz="0" w:space="0" w:color="auto"/>
            <w:left w:val="none" w:sz="0" w:space="0" w:color="auto"/>
            <w:bottom w:val="none" w:sz="0" w:space="0" w:color="auto"/>
            <w:right w:val="none" w:sz="0" w:space="0" w:color="auto"/>
          </w:divBdr>
        </w:div>
      </w:divsChild>
    </w:div>
    <w:div w:id="1630280090">
      <w:marLeft w:val="4"/>
      <w:marRight w:val="0"/>
      <w:marTop w:val="120"/>
      <w:marBottom w:val="0"/>
      <w:divBdr>
        <w:top w:val="none" w:sz="0" w:space="0" w:color="auto"/>
        <w:left w:val="none" w:sz="0" w:space="0" w:color="auto"/>
        <w:bottom w:val="none" w:sz="0" w:space="0" w:color="auto"/>
        <w:right w:val="none" w:sz="0" w:space="0" w:color="auto"/>
      </w:divBdr>
      <w:divsChild>
        <w:div w:id="503594271">
          <w:marLeft w:val="0"/>
          <w:marRight w:val="0"/>
          <w:marTop w:val="0"/>
          <w:marBottom w:val="0"/>
          <w:divBdr>
            <w:top w:val="none" w:sz="0" w:space="0" w:color="auto"/>
            <w:left w:val="none" w:sz="0" w:space="0" w:color="auto"/>
            <w:bottom w:val="none" w:sz="0" w:space="0" w:color="auto"/>
            <w:right w:val="none" w:sz="0" w:space="0" w:color="auto"/>
          </w:divBdr>
        </w:div>
      </w:divsChild>
    </w:div>
    <w:div w:id="1647935431">
      <w:marLeft w:val="7"/>
      <w:marRight w:val="0"/>
      <w:marTop w:val="120"/>
      <w:marBottom w:val="0"/>
      <w:divBdr>
        <w:top w:val="none" w:sz="0" w:space="0" w:color="auto"/>
        <w:left w:val="none" w:sz="0" w:space="0" w:color="auto"/>
        <w:bottom w:val="none" w:sz="0" w:space="0" w:color="auto"/>
        <w:right w:val="none" w:sz="0" w:space="0" w:color="auto"/>
      </w:divBdr>
      <w:divsChild>
        <w:div w:id="2119249632">
          <w:marLeft w:val="0"/>
          <w:marRight w:val="0"/>
          <w:marTop w:val="0"/>
          <w:marBottom w:val="0"/>
          <w:divBdr>
            <w:top w:val="none" w:sz="0" w:space="0" w:color="auto"/>
            <w:left w:val="none" w:sz="0" w:space="0" w:color="auto"/>
            <w:bottom w:val="none" w:sz="0" w:space="0" w:color="auto"/>
            <w:right w:val="none" w:sz="0" w:space="0" w:color="auto"/>
          </w:divBdr>
        </w:div>
      </w:divsChild>
    </w:div>
    <w:div w:id="1649895025">
      <w:marLeft w:val="4"/>
      <w:marRight w:val="0"/>
      <w:marTop w:val="120"/>
      <w:marBottom w:val="0"/>
      <w:divBdr>
        <w:top w:val="none" w:sz="0" w:space="0" w:color="auto"/>
        <w:left w:val="none" w:sz="0" w:space="0" w:color="auto"/>
        <w:bottom w:val="none" w:sz="0" w:space="0" w:color="auto"/>
        <w:right w:val="none" w:sz="0" w:space="0" w:color="auto"/>
      </w:divBdr>
      <w:divsChild>
        <w:div w:id="1576277730">
          <w:marLeft w:val="0"/>
          <w:marRight w:val="0"/>
          <w:marTop w:val="0"/>
          <w:marBottom w:val="0"/>
          <w:divBdr>
            <w:top w:val="none" w:sz="0" w:space="0" w:color="auto"/>
            <w:left w:val="none" w:sz="0" w:space="0" w:color="auto"/>
            <w:bottom w:val="none" w:sz="0" w:space="0" w:color="auto"/>
            <w:right w:val="none" w:sz="0" w:space="0" w:color="auto"/>
          </w:divBdr>
        </w:div>
      </w:divsChild>
    </w:div>
    <w:div w:id="1656568908">
      <w:marLeft w:val="4"/>
      <w:marRight w:val="0"/>
      <w:marTop w:val="120"/>
      <w:marBottom w:val="0"/>
      <w:divBdr>
        <w:top w:val="none" w:sz="0" w:space="0" w:color="auto"/>
        <w:left w:val="none" w:sz="0" w:space="0" w:color="auto"/>
        <w:bottom w:val="none" w:sz="0" w:space="0" w:color="auto"/>
        <w:right w:val="none" w:sz="0" w:space="0" w:color="auto"/>
      </w:divBdr>
      <w:divsChild>
        <w:div w:id="714810453">
          <w:marLeft w:val="0"/>
          <w:marRight w:val="0"/>
          <w:marTop w:val="0"/>
          <w:marBottom w:val="0"/>
          <w:divBdr>
            <w:top w:val="none" w:sz="0" w:space="0" w:color="auto"/>
            <w:left w:val="none" w:sz="0" w:space="0" w:color="auto"/>
            <w:bottom w:val="none" w:sz="0" w:space="0" w:color="auto"/>
            <w:right w:val="none" w:sz="0" w:space="0" w:color="auto"/>
          </w:divBdr>
        </w:div>
      </w:divsChild>
    </w:div>
    <w:div w:id="1656569163">
      <w:marLeft w:val="4"/>
      <w:marRight w:val="0"/>
      <w:marTop w:val="120"/>
      <w:marBottom w:val="0"/>
      <w:divBdr>
        <w:top w:val="none" w:sz="0" w:space="0" w:color="auto"/>
        <w:left w:val="none" w:sz="0" w:space="0" w:color="auto"/>
        <w:bottom w:val="none" w:sz="0" w:space="0" w:color="auto"/>
        <w:right w:val="none" w:sz="0" w:space="0" w:color="auto"/>
      </w:divBdr>
      <w:divsChild>
        <w:div w:id="409082451">
          <w:marLeft w:val="0"/>
          <w:marRight w:val="0"/>
          <w:marTop w:val="0"/>
          <w:marBottom w:val="0"/>
          <w:divBdr>
            <w:top w:val="none" w:sz="0" w:space="0" w:color="auto"/>
            <w:left w:val="none" w:sz="0" w:space="0" w:color="auto"/>
            <w:bottom w:val="none" w:sz="0" w:space="0" w:color="auto"/>
            <w:right w:val="none" w:sz="0" w:space="0" w:color="auto"/>
          </w:divBdr>
        </w:div>
      </w:divsChild>
    </w:div>
    <w:div w:id="1663192621">
      <w:marLeft w:val="4"/>
      <w:marRight w:val="0"/>
      <w:marTop w:val="120"/>
      <w:marBottom w:val="0"/>
      <w:divBdr>
        <w:top w:val="none" w:sz="0" w:space="0" w:color="auto"/>
        <w:left w:val="none" w:sz="0" w:space="0" w:color="auto"/>
        <w:bottom w:val="none" w:sz="0" w:space="0" w:color="auto"/>
        <w:right w:val="none" w:sz="0" w:space="0" w:color="auto"/>
      </w:divBdr>
      <w:divsChild>
        <w:div w:id="557206265">
          <w:marLeft w:val="0"/>
          <w:marRight w:val="0"/>
          <w:marTop w:val="0"/>
          <w:marBottom w:val="0"/>
          <w:divBdr>
            <w:top w:val="none" w:sz="0" w:space="0" w:color="auto"/>
            <w:left w:val="none" w:sz="0" w:space="0" w:color="auto"/>
            <w:bottom w:val="none" w:sz="0" w:space="0" w:color="auto"/>
            <w:right w:val="none" w:sz="0" w:space="0" w:color="auto"/>
          </w:divBdr>
        </w:div>
      </w:divsChild>
    </w:div>
    <w:div w:id="1675063254">
      <w:marLeft w:val="4"/>
      <w:marRight w:val="0"/>
      <w:marTop w:val="120"/>
      <w:marBottom w:val="0"/>
      <w:divBdr>
        <w:top w:val="none" w:sz="0" w:space="0" w:color="auto"/>
        <w:left w:val="none" w:sz="0" w:space="0" w:color="auto"/>
        <w:bottom w:val="none" w:sz="0" w:space="0" w:color="auto"/>
        <w:right w:val="none" w:sz="0" w:space="0" w:color="auto"/>
      </w:divBdr>
      <w:divsChild>
        <w:div w:id="1195465457">
          <w:marLeft w:val="0"/>
          <w:marRight w:val="0"/>
          <w:marTop w:val="0"/>
          <w:marBottom w:val="0"/>
          <w:divBdr>
            <w:top w:val="none" w:sz="0" w:space="0" w:color="auto"/>
            <w:left w:val="none" w:sz="0" w:space="0" w:color="auto"/>
            <w:bottom w:val="none" w:sz="0" w:space="0" w:color="auto"/>
            <w:right w:val="none" w:sz="0" w:space="0" w:color="auto"/>
          </w:divBdr>
        </w:div>
      </w:divsChild>
    </w:div>
    <w:div w:id="1682512275">
      <w:marLeft w:val="7"/>
      <w:marRight w:val="0"/>
      <w:marTop w:val="120"/>
      <w:marBottom w:val="0"/>
      <w:divBdr>
        <w:top w:val="none" w:sz="0" w:space="0" w:color="auto"/>
        <w:left w:val="none" w:sz="0" w:space="0" w:color="auto"/>
        <w:bottom w:val="none" w:sz="0" w:space="0" w:color="auto"/>
        <w:right w:val="none" w:sz="0" w:space="0" w:color="auto"/>
      </w:divBdr>
      <w:divsChild>
        <w:div w:id="907612944">
          <w:marLeft w:val="0"/>
          <w:marRight w:val="0"/>
          <w:marTop w:val="0"/>
          <w:marBottom w:val="0"/>
          <w:divBdr>
            <w:top w:val="none" w:sz="0" w:space="0" w:color="auto"/>
            <w:left w:val="none" w:sz="0" w:space="0" w:color="auto"/>
            <w:bottom w:val="none" w:sz="0" w:space="0" w:color="auto"/>
            <w:right w:val="none" w:sz="0" w:space="0" w:color="auto"/>
          </w:divBdr>
        </w:div>
      </w:divsChild>
    </w:div>
    <w:div w:id="1683388227">
      <w:marLeft w:val="4"/>
      <w:marRight w:val="0"/>
      <w:marTop w:val="120"/>
      <w:marBottom w:val="0"/>
      <w:divBdr>
        <w:top w:val="none" w:sz="0" w:space="0" w:color="auto"/>
        <w:left w:val="none" w:sz="0" w:space="0" w:color="auto"/>
        <w:bottom w:val="none" w:sz="0" w:space="0" w:color="auto"/>
        <w:right w:val="none" w:sz="0" w:space="0" w:color="auto"/>
      </w:divBdr>
      <w:divsChild>
        <w:div w:id="1500386738">
          <w:marLeft w:val="0"/>
          <w:marRight w:val="0"/>
          <w:marTop w:val="0"/>
          <w:marBottom w:val="0"/>
          <w:divBdr>
            <w:top w:val="none" w:sz="0" w:space="0" w:color="auto"/>
            <w:left w:val="none" w:sz="0" w:space="0" w:color="auto"/>
            <w:bottom w:val="none" w:sz="0" w:space="0" w:color="auto"/>
            <w:right w:val="none" w:sz="0" w:space="0" w:color="auto"/>
          </w:divBdr>
        </w:div>
      </w:divsChild>
    </w:div>
    <w:div w:id="1683819491">
      <w:marLeft w:val="4"/>
      <w:marRight w:val="0"/>
      <w:marTop w:val="120"/>
      <w:marBottom w:val="0"/>
      <w:divBdr>
        <w:top w:val="none" w:sz="0" w:space="0" w:color="auto"/>
        <w:left w:val="none" w:sz="0" w:space="0" w:color="auto"/>
        <w:bottom w:val="none" w:sz="0" w:space="0" w:color="auto"/>
        <w:right w:val="none" w:sz="0" w:space="0" w:color="auto"/>
      </w:divBdr>
      <w:divsChild>
        <w:div w:id="434057062">
          <w:marLeft w:val="0"/>
          <w:marRight w:val="0"/>
          <w:marTop w:val="0"/>
          <w:marBottom w:val="0"/>
          <w:divBdr>
            <w:top w:val="none" w:sz="0" w:space="0" w:color="auto"/>
            <w:left w:val="none" w:sz="0" w:space="0" w:color="auto"/>
            <w:bottom w:val="none" w:sz="0" w:space="0" w:color="auto"/>
            <w:right w:val="none" w:sz="0" w:space="0" w:color="auto"/>
          </w:divBdr>
        </w:div>
      </w:divsChild>
    </w:div>
    <w:div w:id="1684362297">
      <w:marLeft w:val="4"/>
      <w:marRight w:val="0"/>
      <w:marTop w:val="120"/>
      <w:marBottom w:val="0"/>
      <w:divBdr>
        <w:top w:val="none" w:sz="0" w:space="0" w:color="auto"/>
        <w:left w:val="none" w:sz="0" w:space="0" w:color="auto"/>
        <w:bottom w:val="none" w:sz="0" w:space="0" w:color="auto"/>
        <w:right w:val="none" w:sz="0" w:space="0" w:color="auto"/>
      </w:divBdr>
      <w:divsChild>
        <w:div w:id="2091543068">
          <w:marLeft w:val="0"/>
          <w:marRight w:val="0"/>
          <w:marTop w:val="0"/>
          <w:marBottom w:val="0"/>
          <w:divBdr>
            <w:top w:val="none" w:sz="0" w:space="0" w:color="auto"/>
            <w:left w:val="none" w:sz="0" w:space="0" w:color="auto"/>
            <w:bottom w:val="none" w:sz="0" w:space="0" w:color="auto"/>
            <w:right w:val="none" w:sz="0" w:space="0" w:color="auto"/>
          </w:divBdr>
        </w:div>
      </w:divsChild>
    </w:div>
    <w:div w:id="1689789236">
      <w:marLeft w:val="4"/>
      <w:marRight w:val="0"/>
      <w:marTop w:val="120"/>
      <w:marBottom w:val="0"/>
      <w:divBdr>
        <w:top w:val="none" w:sz="0" w:space="0" w:color="auto"/>
        <w:left w:val="none" w:sz="0" w:space="0" w:color="auto"/>
        <w:bottom w:val="none" w:sz="0" w:space="0" w:color="auto"/>
        <w:right w:val="none" w:sz="0" w:space="0" w:color="auto"/>
      </w:divBdr>
      <w:divsChild>
        <w:div w:id="1463883773">
          <w:marLeft w:val="0"/>
          <w:marRight w:val="0"/>
          <w:marTop w:val="0"/>
          <w:marBottom w:val="0"/>
          <w:divBdr>
            <w:top w:val="none" w:sz="0" w:space="0" w:color="auto"/>
            <w:left w:val="none" w:sz="0" w:space="0" w:color="auto"/>
            <w:bottom w:val="none" w:sz="0" w:space="0" w:color="auto"/>
            <w:right w:val="none" w:sz="0" w:space="0" w:color="auto"/>
          </w:divBdr>
        </w:div>
      </w:divsChild>
    </w:div>
    <w:div w:id="1691878419">
      <w:marLeft w:val="4"/>
      <w:marRight w:val="0"/>
      <w:marTop w:val="120"/>
      <w:marBottom w:val="0"/>
      <w:divBdr>
        <w:top w:val="none" w:sz="0" w:space="0" w:color="auto"/>
        <w:left w:val="none" w:sz="0" w:space="0" w:color="auto"/>
        <w:bottom w:val="none" w:sz="0" w:space="0" w:color="auto"/>
        <w:right w:val="none" w:sz="0" w:space="0" w:color="auto"/>
      </w:divBdr>
      <w:divsChild>
        <w:div w:id="2132747469">
          <w:marLeft w:val="0"/>
          <w:marRight w:val="0"/>
          <w:marTop w:val="0"/>
          <w:marBottom w:val="0"/>
          <w:divBdr>
            <w:top w:val="none" w:sz="0" w:space="0" w:color="auto"/>
            <w:left w:val="none" w:sz="0" w:space="0" w:color="auto"/>
            <w:bottom w:val="none" w:sz="0" w:space="0" w:color="auto"/>
            <w:right w:val="none" w:sz="0" w:space="0" w:color="auto"/>
          </w:divBdr>
        </w:div>
      </w:divsChild>
    </w:div>
    <w:div w:id="1704819408">
      <w:marLeft w:val="4"/>
      <w:marRight w:val="0"/>
      <w:marTop w:val="120"/>
      <w:marBottom w:val="0"/>
      <w:divBdr>
        <w:top w:val="none" w:sz="0" w:space="0" w:color="auto"/>
        <w:left w:val="none" w:sz="0" w:space="0" w:color="auto"/>
        <w:bottom w:val="none" w:sz="0" w:space="0" w:color="auto"/>
        <w:right w:val="none" w:sz="0" w:space="0" w:color="auto"/>
      </w:divBdr>
      <w:divsChild>
        <w:div w:id="1801991491">
          <w:marLeft w:val="0"/>
          <w:marRight w:val="0"/>
          <w:marTop w:val="0"/>
          <w:marBottom w:val="0"/>
          <w:divBdr>
            <w:top w:val="none" w:sz="0" w:space="0" w:color="auto"/>
            <w:left w:val="none" w:sz="0" w:space="0" w:color="auto"/>
            <w:bottom w:val="none" w:sz="0" w:space="0" w:color="auto"/>
            <w:right w:val="none" w:sz="0" w:space="0" w:color="auto"/>
          </w:divBdr>
        </w:div>
      </w:divsChild>
    </w:div>
    <w:div w:id="1718892525">
      <w:marLeft w:val="4"/>
      <w:marRight w:val="0"/>
      <w:marTop w:val="120"/>
      <w:marBottom w:val="0"/>
      <w:divBdr>
        <w:top w:val="none" w:sz="0" w:space="0" w:color="auto"/>
        <w:left w:val="none" w:sz="0" w:space="0" w:color="auto"/>
        <w:bottom w:val="none" w:sz="0" w:space="0" w:color="auto"/>
        <w:right w:val="none" w:sz="0" w:space="0" w:color="auto"/>
      </w:divBdr>
      <w:divsChild>
        <w:div w:id="620065933">
          <w:marLeft w:val="0"/>
          <w:marRight w:val="0"/>
          <w:marTop w:val="0"/>
          <w:marBottom w:val="0"/>
          <w:divBdr>
            <w:top w:val="none" w:sz="0" w:space="0" w:color="auto"/>
            <w:left w:val="none" w:sz="0" w:space="0" w:color="auto"/>
            <w:bottom w:val="none" w:sz="0" w:space="0" w:color="auto"/>
            <w:right w:val="none" w:sz="0" w:space="0" w:color="auto"/>
          </w:divBdr>
        </w:div>
      </w:divsChild>
    </w:div>
    <w:div w:id="1746108277">
      <w:marLeft w:val="4"/>
      <w:marRight w:val="0"/>
      <w:marTop w:val="120"/>
      <w:marBottom w:val="0"/>
      <w:divBdr>
        <w:top w:val="none" w:sz="0" w:space="0" w:color="auto"/>
        <w:left w:val="none" w:sz="0" w:space="0" w:color="auto"/>
        <w:bottom w:val="none" w:sz="0" w:space="0" w:color="auto"/>
        <w:right w:val="none" w:sz="0" w:space="0" w:color="auto"/>
      </w:divBdr>
      <w:divsChild>
        <w:div w:id="318005087">
          <w:marLeft w:val="0"/>
          <w:marRight w:val="0"/>
          <w:marTop w:val="0"/>
          <w:marBottom w:val="0"/>
          <w:divBdr>
            <w:top w:val="none" w:sz="0" w:space="0" w:color="auto"/>
            <w:left w:val="none" w:sz="0" w:space="0" w:color="auto"/>
            <w:bottom w:val="none" w:sz="0" w:space="0" w:color="auto"/>
            <w:right w:val="none" w:sz="0" w:space="0" w:color="auto"/>
          </w:divBdr>
        </w:div>
      </w:divsChild>
    </w:div>
    <w:div w:id="1747069016">
      <w:marLeft w:val="4"/>
      <w:marRight w:val="0"/>
      <w:marTop w:val="120"/>
      <w:marBottom w:val="0"/>
      <w:divBdr>
        <w:top w:val="none" w:sz="0" w:space="0" w:color="auto"/>
        <w:left w:val="none" w:sz="0" w:space="0" w:color="auto"/>
        <w:bottom w:val="none" w:sz="0" w:space="0" w:color="auto"/>
        <w:right w:val="none" w:sz="0" w:space="0" w:color="auto"/>
      </w:divBdr>
      <w:divsChild>
        <w:div w:id="1214267849">
          <w:marLeft w:val="0"/>
          <w:marRight w:val="0"/>
          <w:marTop w:val="0"/>
          <w:marBottom w:val="0"/>
          <w:divBdr>
            <w:top w:val="none" w:sz="0" w:space="0" w:color="auto"/>
            <w:left w:val="none" w:sz="0" w:space="0" w:color="auto"/>
            <w:bottom w:val="none" w:sz="0" w:space="0" w:color="auto"/>
            <w:right w:val="none" w:sz="0" w:space="0" w:color="auto"/>
          </w:divBdr>
        </w:div>
      </w:divsChild>
    </w:div>
    <w:div w:id="1756244019">
      <w:marLeft w:val="4"/>
      <w:marRight w:val="0"/>
      <w:marTop w:val="120"/>
      <w:marBottom w:val="0"/>
      <w:divBdr>
        <w:top w:val="none" w:sz="0" w:space="0" w:color="auto"/>
        <w:left w:val="none" w:sz="0" w:space="0" w:color="auto"/>
        <w:bottom w:val="none" w:sz="0" w:space="0" w:color="auto"/>
        <w:right w:val="none" w:sz="0" w:space="0" w:color="auto"/>
      </w:divBdr>
      <w:divsChild>
        <w:div w:id="1024743686">
          <w:marLeft w:val="0"/>
          <w:marRight w:val="0"/>
          <w:marTop w:val="0"/>
          <w:marBottom w:val="0"/>
          <w:divBdr>
            <w:top w:val="none" w:sz="0" w:space="0" w:color="auto"/>
            <w:left w:val="none" w:sz="0" w:space="0" w:color="auto"/>
            <w:bottom w:val="none" w:sz="0" w:space="0" w:color="auto"/>
            <w:right w:val="none" w:sz="0" w:space="0" w:color="auto"/>
          </w:divBdr>
        </w:div>
      </w:divsChild>
    </w:div>
    <w:div w:id="1759060487">
      <w:marLeft w:val="4"/>
      <w:marRight w:val="0"/>
      <w:marTop w:val="120"/>
      <w:marBottom w:val="0"/>
      <w:divBdr>
        <w:top w:val="none" w:sz="0" w:space="0" w:color="auto"/>
        <w:left w:val="none" w:sz="0" w:space="0" w:color="auto"/>
        <w:bottom w:val="none" w:sz="0" w:space="0" w:color="auto"/>
        <w:right w:val="none" w:sz="0" w:space="0" w:color="auto"/>
      </w:divBdr>
      <w:divsChild>
        <w:div w:id="335571211">
          <w:marLeft w:val="0"/>
          <w:marRight w:val="0"/>
          <w:marTop w:val="0"/>
          <w:marBottom w:val="0"/>
          <w:divBdr>
            <w:top w:val="none" w:sz="0" w:space="0" w:color="auto"/>
            <w:left w:val="none" w:sz="0" w:space="0" w:color="auto"/>
            <w:bottom w:val="none" w:sz="0" w:space="0" w:color="auto"/>
            <w:right w:val="none" w:sz="0" w:space="0" w:color="auto"/>
          </w:divBdr>
        </w:div>
      </w:divsChild>
    </w:div>
    <w:div w:id="1769425961">
      <w:marLeft w:val="4"/>
      <w:marRight w:val="0"/>
      <w:marTop w:val="120"/>
      <w:marBottom w:val="0"/>
      <w:divBdr>
        <w:top w:val="none" w:sz="0" w:space="0" w:color="auto"/>
        <w:left w:val="none" w:sz="0" w:space="0" w:color="auto"/>
        <w:bottom w:val="none" w:sz="0" w:space="0" w:color="auto"/>
        <w:right w:val="none" w:sz="0" w:space="0" w:color="auto"/>
      </w:divBdr>
      <w:divsChild>
        <w:div w:id="1997955719">
          <w:marLeft w:val="0"/>
          <w:marRight w:val="0"/>
          <w:marTop w:val="0"/>
          <w:marBottom w:val="0"/>
          <w:divBdr>
            <w:top w:val="none" w:sz="0" w:space="0" w:color="auto"/>
            <w:left w:val="none" w:sz="0" w:space="0" w:color="auto"/>
            <w:bottom w:val="none" w:sz="0" w:space="0" w:color="auto"/>
            <w:right w:val="none" w:sz="0" w:space="0" w:color="auto"/>
          </w:divBdr>
        </w:div>
      </w:divsChild>
    </w:div>
    <w:div w:id="1770349701">
      <w:marLeft w:val="4"/>
      <w:marRight w:val="0"/>
      <w:marTop w:val="120"/>
      <w:marBottom w:val="0"/>
      <w:divBdr>
        <w:top w:val="none" w:sz="0" w:space="0" w:color="auto"/>
        <w:left w:val="none" w:sz="0" w:space="0" w:color="auto"/>
        <w:bottom w:val="none" w:sz="0" w:space="0" w:color="auto"/>
        <w:right w:val="none" w:sz="0" w:space="0" w:color="auto"/>
      </w:divBdr>
      <w:divsChild>
        <w:div w:id="1917283729">
          <w:marLeft w:val="0"/>
          <w:marRight w:val="0"/>
          <w:marTop w:val="0"/>
          <w:marBottom w:val="0"/>
          <w:divBdr>
            <w:top w:val="none" w:sz="0" w:space="0" w:color="auto"/>
            <w:left w:val="none" w:sz="0" w:space="0" w:color="auto"/>
            <w:bottom w:val="none" w:sz="0" w:space="0" w:color="auto"/>
            <w:right w:val="none" w:sz="0" w:space="0" w:color="auto"/>
          </w:divBdr>
        </w:div>
      </w:divsChild>
    </w:div>
    <w:div w:id="1798059105">
      <w:marLeft w:val="4"/>
      <w:marRight w:val="0"/>
      <w:marTop w:val="120"/>
      <w:marBottom w:val="0"/>
      <w:divBdr>
        <w:top w:val="none" w:sz="0" w:space="0" w:color="auto"/>
        <w:left w:val="none" w:sz="0" w:space="0" w:color="auto"/>
        <w:bottom w:val="none" w:sz="0" w:space="0" w:color="auto"/>
        <w:right w:val="none" w:sz="0" w:space="0" w:color="auto"/>
      </w:divBdr>
      <w:divsChild>
        <w:div w:id="660080937">
          <w:marLeft w:val="0"/>
          <w:marRight w:val="0"/>
          <w:marTop w:val="0"/>
          <w:marBottom w:val="0"/>
          <w:divBdr>
            <w:top w:val="none" w:sz="0" w:space="0" w:color="auto"/>
            <w:left w:val="none" w:sz="0" w:space="0" w:color="auto"/>
            <w:bottom w:val="none" w:sz="0" w:space="0" w:color="auto"/>
            <w:right w:val="none" w:sz="0" w:space="0" w:color="auto"/>
          </w:divBdr>
        </w:div>
      </w:divsChild>
    </w:div>
    <w:div w:id="1814129844">
      <w:marLeft w:val="4"/>
      <w:marRight w:val="0"/>
      <w:marTop w:val="120"/>
      <w:marBottom w:val="0"/>
      <w:divBdr>
        <w:top w:val="none" w:sz="0" w:space="0" w:color="auto"/>
        <w:left w:val="none" w:sz="0" w:space="0" w:color="auto"/>
        <w:bottom w:val="none" w:sz="0" w:space="0" w:color="auto"/>
        <w:right w:val="none" w:sz="0" w:space="0" w:color="auto"/>
      </w:divBdr>
      <w:divsChild>
        <w:div w:id="517013824">
          <w:marLeft w:val="0"/>
          <w:marRight w:val="0"/>
          <w:marTop w:val="0"/>
          <w:marBottom w:val="0"/>
          <w:divBdr>
            <w:top w:val="none" w:sz="0" w:space="0" w:color="auto"/>
            <w:left w:val="none" w:sz="0" w:space="0" w:color="auto"/>
            <w:bottom w:val="none" w:sz="0" w:space="0" w:color="auto"/>
            <w:right w:val="none" w:sz="0" w:space="0" w:color="auto"/>
          </w:divBdr>
        </w:div>
      </w:divsChild>
    </w:div>
    <w:div w:id="1837912901">
      <w:marLeft w:val="9"/>
      <w:marRight w:val="0"/>
      <w:marTop w:val="120"/>
      <w:marBottom w:val="0"/>
      <w:divBdr>
        <w:top w:val="none" w:sz="0" w:space="0" w:color="auto"/>
        <w:left w:val="none" w:sz="0" w:space="0" w:color="auto"/>
        <w:bottom w:val="none" w:sz="0" w:space="0" w:color="auto"/>
        <w:right w:val="none" w:sz="0" w:space="0" w:color="auto"/>
      </w:divBdr>
      <w:divsChild>
        <w:div w:id="1743134581">
          <w:marLeft w:val="0"/>
          <w:marRight w:val="0"/>
          <w:marTop w:val="0"/>
          <w:marBottom w:val="0"/>
          <w:divBdr>
            <w:top w:val="none" w:sz="0" w:space="0" w:color="auto"/>
            <w:left w:val="none" w:sz="0" w:space="0" w:color="auto"/>
            <w:bottom w:val="none" w:sz="0" w:space="0" w:color="auto"/>
            <w:right w:val="none" w:sz="0" w:space="0" w:color="auto"/>
          </w:divBdr>
        </w:div>
      </w:divsChild>
    </w:div>
    <w:div w:id="1842504167">
      <w:marLeft w:val="4"/>
      <w:marRight w:val="0"/>
      <w:marTop w:val="120"/>
      <w:marBottom w:val="0"/>
      <w:divBdr>
        <w:top w:val="none" w:sz="0" w:space="0" w:color="auto"/>
        <w:left w:val="none" w:sz="0" w:space="0" w:color="auto"/>
        <w:bottom w:val="none" w:sz="0" w:space="0" w:color="auto"/>
        <w:right w:val="none" w:sz="0" w:space="0" w:color="auto"/>
      </w:divBdr>
      <w:divsChild>
        <w:div w:id="1014654259">
          <w:marLeft w:val="0"/>
          <w:marRight w:val="0"/>
          <w:marTop w:val="0"/>
          <w:marBottom w:val="0"/>
          <w:divBdr>
            <w:top w:val="none" w:sz="0" w:space="0" w:color="auto"/>
            <w:left w:val="none" w:sz="0" w:space="0" w:color="auto"/>
            <w:bottom w:val="none" w:sz="0" w:space="0" w:color="auto"/>
            <w:right w:val="none" w:sz="0" w:space="0" w:color="auto"/>
          </w:divBdr>
        </w:div>
      </w:divsChild>
    </w:div>
    <w:div w:id="1844203470">
      <w:marLeft w:val="4"/>
      <w:marRight w:val="0"/>
      <w:marTop w:val="120"/>
      <w:marBottom w:val="0"/>
      <w:divBdr>
        <w:top w:val="none" w:sz="0" w:space="0" w:color="auto"/>
        <w:left w:val="none" w:sz="0" w:space="0" w:color="auto"/>
        <w:bottom w:val="none" w:sz="0" w:space="0" w:color="auto"/>
        <w:right w:val="none" w:sz="0" w:space="0" w:color="auto"/>
      </w:divBdr>
      <w:divsChild>
        <w:div w:id="1263565205">
          <w:marLeft w:val="0"/>
          <w:marRight w:val="0"/>
          <w:marTop w:val="0"/>
          <w:marBottom w:val="0"/>
          <w:divBdr>
            <w:top w:val="none" w:sz="0" w:space="0" w:color="auto"/>
            <w:left w:val="none" w:sz="0" w:space="0" w:color="auto"/>
            <w:bottom w:val="none" w:sz="0" w:space="0" w:color="auto"/>
            <w:right w:val="none" w:sz="0" w:space="0" w:color="auto"/>
          </w:divBdr>
        </w:div>
      </w:divsChild>
    </w:div>
    <w:div w:id="1847286934">
      <w:marLeft w:val="0"/>
      <w:marRight w:val="0"/>
      <w:marTop w:val="0"/>
      <w:marBottom w:val="0"/>
      <w:divBdr>
        <w:top w:val="none" w:sz="0" w:space="0" w:color="auto"/>
        <w:left w:val="none" w:sz="0" w:space="0" w:color="auto"/>
        <w:bottom w:val="none" w:sz="0" w:space="0" w:color="auto"/>
        <w:right w:val="none" w:sz="0" w:space="0" w:color="auto"/>
      </w:divBdr>
      <w:divsChild>
        <w:div w:id="1989821577">
          <w:marLeft w:val="0"/>
          <w:marRight w:val="0"/>
          <w:marTop w:val="0"/>
          <w:marBottom w:val="0"/>
          <w:divBdr>
            <w:top w:val="none" w:sz="0" w:space="0" w:color="auto"/>
            <w:left w:val="none" w:sz="0" w:space="0" w:color="auto"/>
            <w:bottom w:val="none" w:sz="0" w:space="0" w:color="auto"/>
            <w:right w:val="none" w:sz="0" w:space="0" w:color="auto"/>
          </w:divBdr>
        </w:div>
        <w:div w:id="1167089153">
          <w:marLeft w:val="0"/>
          <w:marRight w:val="0"/>
          <w:marTop w:val="0"/>
          <w:marBottom w:val="0"/>
          <w:divBdr>
            <w:top w:val="none" w:sz="0" w:space="0" w:color="auto"/>
            <w:left w:val="none" w:sz="0" w:space="0" w:color="auto"/>
            <w:bottom w:val="none" w:sz="0" w:space="0" w:color="auto"/>
            <w:right w:val="none" w:sz="0" w:space="0" w:color="auto"/>
          </w:divBdr>
        </w:div>
        <w:div w:id="1895307569">
          <w:marLeft w:val="0"/>
          <w:marRight w:val="0"/>
          <w:marTop w:val="0"/>
          <w:marBottom w:val="0"/>
          <w:divBdr>
            <w:top w:val="none" w:sz="0" w:space="0" w:color="auto"/>
            <w:left w:val="none" w:sz="0" w:space="0" w:color="auto"/>
            <w:bottom w:val="none" w:sz="0" w:space="0" w:color="auto"/>
            <w:right w:val="none" w:sz="0" w:space="0" w:color="auto"/>
          </w:divBdr>
        </w:div>
      </w:divsChild>
    </w:div>
    <w:div w:id="1855339613">
      <w:marLeft w:val="4"/>
      <w:marRight w:val="0"/>
      <w:marTop w:val="120"/>
      <w:marBottom w:val="0"/>
      <w:divBdr>
        <w:top w:val="none" w:sz="0" w:space="0" w:color="auto"/>
        <w:left w:val="none" w:sz="0" w:space="0" w:color="auto"/>
        <w:bottom w:val="none" w:sz="0" w:space="0" w:color="auto"/>
        <w:right w:val="none" w:sz="0" w:space="0" w:color="auto"/>
      </w:divBdr>
      <w:divsChild>
        <w:div w:id="428503788">
          <w:marLeft w:val="0"/>
          <w:marRight w:val="0"/>
          <w:marTop w:val="0"/>
          <w:marBottom w:val="0"/>
          <w:divBdr>
            <w:top w:val="none" w:sz="0" w:space="0" w:color="auto"/>
            <w:left w:val="none" w:sz="0" w:space="0" w:color="auto"/>
            <w:bottom w:val="none" w:sz="0" w:space="0" w:color="auto"/>
            <w:right w:val="none" w:sz="0" w:space="0" w:color="auto"/>
          </w:divBdr>
        </w:div>
      </w:divsChild>
    </w:div>
    <w:div w:id="1867984554">
      <w:marLeft w:val="4"/>
      <w:marRight w:val="0"/>
      <w:marTop w:val="120"/>
      <w:marBottom w:val="0"/>
      <w:divBdr>
        <w:top w:val="none" w:sz="0" w:space="0" w:color="auto"/>
        <w:left w:val="none" w:sz="0" w:space="0" w:color="auto"/>
        <w:bottom w:val="none" w:sz="0" w:space="0" w:color="auto"/>
        <w:right w:val="none" w:sz="0" w:space="0" w:color="auto"/>
      </w:divBdr>
      <w:divsChild>
        <w:div w:id="1981114158">
          <w:marLeft w:val="0"/>
          <w:marRight w:val="0"/>
          <w:marTop w:val="0"/>
          <w:marBottom w:val="0"/>
          <w:divBdr>
            <w:top w:val="none" w:sz="0" w:space="0" w:color="auto"/>
            <w:left w:val="none" w:sz="0" w:space="0" w:color="auto"/>
            <w:bottom w:val="none" w:sz="0" w:space="0" w:color="auto"/>
            <w:right w:val="none" w:sz="0" w:space="0" w:color="auto"/>
          </w:divBdr>
        </w:div>
      </w:divsChild>
    </w:div>
    <w:div w:id="1870996280">
      <w:marLeft w:val="4"/>
      <w:marRight w:val="0"/>
      <w:marTop w:val="120"/>
      <w:marBottom w:val="0"/>
      <w:divBdr>
        <w:top w:val="none" w:sz="0" w:space="0" w:color="auto"/>
        <w:left w:val="none" w:sz="0" w:space="0" w:color="auto"/>
        <w:bottom w:val="none" w:sz="0" w:space="0" w:color="auto"/>
        <w:right w:val="none" w:sz="0" w:space="0" w:color="auto"/>
      </w:divBdr>
      <w:divsChild>
        <w:div w:id="1596088900">
          <w:marLeft w:val="0"/>
          <w:marRight w:val="0"/>
          <w:marTop w:val="0"/>
          <w:marBottom w:val="0"/>
          <w:divBdr>
            <w:top w:val="none" w:sz="0" w:space="0" w:color="auto"/>
            <w:left w:val="none" w:sz="0" w:space="0" w:color="auto"/>
            <w:bottom w:val="none" w:sz="0" w:space="0" w:color="auto"/>
            <w:right w:val="none" w:sz="0" w:space="0" w:color="auto"/>
          </w:divBdr>
        </w:div>
      </w:divsChild>
    </w:div>
    <w:div w:id="1891458499">
      <w:marLeft w:val="4"/>
      <w:marRight w:val="0"/>
      <w:marTop w:val="120"/>
      <w:marBottom w:val="0"/>
      <w:divBdr>
        <w:top w:val="none" w:sz="0" w:space="0" w:color="auto"/>
        <w:left w:val="none" w:sz="0" w:space="0" w:color="auto"/>
        <w:bottom w:val="none" w:sz="0" w:space="0" w:color="auto"/>
        <w:right w:val="none" w:sz="0" w:space="0" w:color="auto"/>
      </w:divBdr>
      <w:divsChild>
        <w:div w:id="176816134">
          <w:marLeft w:val="0"/>
          <w:marRight w:val="0"/>
          <w:marTop w:val="0"/>
          <w:marBottom w:val="0"/>
          <w:divBdr>
            <w:top w:val="none" w:sz="0" w:space="0" w:color="auto"/>
            <w:left w:val="none" w:sz="0" w:space="0" w:color="auto"/>
            <w:bottom w:val="none" w:sz="0" w:space="0" w:color="auto"/>
            <w:right w:val="none" w:sz="0" w:space="0" w:color="auto"/>
          </w:divBdr>
        </w:div>
      </w:divsChild>
    </w:div>
    <w:div w:id="1893732264">
      <w:marLeft w:val="4"/>
      <w:marRight w:val="0"/>
      <w:marTop w:val="120"/>
      <w:marBottom w:val="0"/>
      <w:divBdr>
        <w:top w:val="none" w:sz="0" w:space="0" w:color="auto"/>
        <w:left w:val="none" w:sz="0" w:space="0" w:color="auto"/>
        <w:bottom w:val="none" w:sz="0" w:space="0" w:color="auto"/>
        <w:right w:val="none" w:sz="0" w:space="0" w:color="auto"/>
      </w:divBdr>
      <w:divsChild>
        <w:div w:id="307367479">
          <w:marLeft w:val="0"/>
          <w:marRight w:val="0"/>
          <w:marTop w:val="0"/>
          <w:marBottom w:val="0"/>
          <w:divBdr>
            <w:top w:val="none" w:sz="0" w:space="0" w:color="auto"/>
            <w:left w:val="none" w:sz="0" w:space="0" w:color="auto"/>
            <w:bottom w:val="none" w:sz="0" w:space="0" w:color="auto"/>
            <w:right w:val="none" w:sz="0" w:space="0" w:color="auto"/>
          </w:divBdr>
        </w:div>
      </w:divsChild>
    </w:div>
    <w:div w:id="1902010596">
      <w:marLeft w:val="4"/>
      <w:marRight w:val="0"/>
      <w:marTop w:val="120"/>
      <w:marBottom w:val="0"/>
      <w:divBdr>
        <w:top w:val="none" w:sz="0" w:space="0" w:color="auto"/>
        <w:left w:val="none" w:sz="0" w:space="0" w:color="auto"/>
        <w:bottom w:val="none" w:sz="0" w:space="0" w:color="auto"/>
        <w:right w:val="none" w:sz="0" w:space="0" w:color="auto"/>
      </w:divBdr>
      <w:divsChild>
        <w:div w:id="1212838819">
          <w:marLeft w:val="0"/>
          <w:marRight w:val="0"/>
          <w:marTop w:val="0"/>
          <w:marBottom w:val="0"/>
          <w:divBdr>
            <w:top w:val="none" w:sz="0" w:space="0" w:color="auto"/>
            <w:left w:val="none" w:sz="0" w:space="0" w:color="auto"/>
            <w:bottom w:val="none" w:sz="0" w:space="0" w:color="auto"/>
            <w:right w:val="none" w:sz="0" w:space="0" w:color="auto"/>
          </w:divBdr>
        </w:div>
      </w:divsChild>
    </w:div>
    <w:div w:id="1902520557">
      <w:marLeft w:val="4"/>
      <w:marRight w:val="0"/>
      <w:marTop w:val="120"/>
      <w:marBottom w:val="0"/>
      <w:divBdr>
        <w:top w:val="none" w:sz="0" w:space="0" w:color="auto"/>
        <w:left w:val="none" w:sz="0" w:space="0" w:color="auto"/>
        <w:bottom w:val="none" w:sz="0" w:space="0" w:color="auto"/>
        <w:right w:val="none" w:sz="0" w:space="0" w:color="auto"/>
      </w:divBdr>
      <w:divsChild>
        <w:div w:id="695348934">
          <w:marLeft w:val="0"/>
          <w:marRight w:val="0"/>
          <w:marTop w:val="0"/>
          <w:marBottom w:val="0"/>
          <w:divBdr>
            <w:top w:val="none" w:sz="0" w:space="0" w:color="auto"/>
            <w:left w:val="none" w:sz="0" w:space="0" w:color="auto"/>
            <w:bottom w:val="none" w:sz="0" w:space="0" w:color="auto"/>
            <w:right w:val="none" w:sz="0" w:space="0" w:color="auto"/>
          </w:divBdr>
        </w:div>
      </w:divsChild>
    </w:div>
    <w:div w:id="1902860641">
      <w:marLeft w:val="4"/>
      <w:marRight w:val="0"/>
      <w:marTop w:val="120"/>
      <w:marBottom w:val="0"/>
      <w:divBdr>
        <w:top w:val="none" w:sz="0" w:space="0" w:color="auto"/>
        <w:left w:val="none" w:sz="0" w:space="0" w:color="auto"/>
        <w:bottom w:val="none" w:sz="0" w:space="0" w:color="auto"/>
        <w:right w:val="none" w:sz="0" w:space="0" w:color="auto"/>
      </w:divBdr>
      <w:divsChild>
        <w:div w:id="1468358352">
          <w:marLeft w:val="0"/>
          <w:marRight w:val="0"/>
          <w:marTop w:val="0"/>
          <w:marBottom w:val="0"/>
          <w:divBdr>
            <w:top w:val="none" w:sz="0" w:space="0" w:color="auto"/>
            <w:left w:val="none" w:sz="0" w:space="0" w:color="auto"/>
            <w:bottom w:val="none" w:sz="0" w:space="0" w:color="auto"/>
            <w:right w:val="none" w:sz="0" w:space="0" w:color="auto"/>
          </w:divBdr>
        </w:div>
      </w:divsChild>
    </w:div>
    <w:div w:id="1912959263">
      <w:marLeft w:val="9"/>
      <w:marRight w:val="0"/>
      <w:marTop w:val="120"/>
      <w:marBottom w:val="0"/>
      <w:divBdr>
        <w:top w:val="none" w:sz="0" w:space="0" w:color="auto"/>
        <w:left w:val="none" w:sz="0" w:space="0" w:color="auto"/>
        <w:bottom w:val="none" w:sz="0" w:space="0" w:color="auto"/>
        <w:right w:val="none" w:sz="0" w:space="0" w:color="auto"/>
      </w:divBdr>
      <w:divsChild>
        <w:div w:id="1085151160">
          <w:marLeft w:val="0"/>
          <w:marRight w:val="0"/>
          <w:marTop w:val="0"/>
          <w:marBottom w:val="0"/>
          <w:divBdr>
            <w:top w:val="none" w:sz="0" w:space="0" w:color="auto"/>
            <w:left w:val="none" w:sz="0" w:space="0" w:color="auto"/>
            <w:bottom w:val="none" w:sz="0" w:space="0" w:color="auto"/>
            <w:right w:val="none" w:sz="0" w:space="0" w:color="auto"/>
          </w:divBdr>
        </w:div>
      </w:divsChild>
    </w:div>
    <w:div w:id="1921405041">
      <w:marLeft w:val="0"/>
      <w:marRight w:val="0"/>
      <w:marTop w:val="0"/>
      <w:marBottom w:val="0"/>
      <w:divBdr>
        <w:top w:val="none" w:sz="0" w:space="0" w:color="auto"/>
        <w:left w:val="none" w:sz="0" w:space="0" w:color="auto"/>
        <w:bottom w:val="none" w:sz="0" w:space="0" w:color="auto"/>
        <w:right w:val="none" w:sz="0" w:space="0" w:color="auto"/>
      </w:divBdr>
      <w:divsChild>
        <w:div w:id="2004164747">
          <w:marLeft w:val="0"/>
          <w:marRight w:val="0"/>
          <w:marTop w:val="0"/>
          <w:marBottom w:val="0"/>
          <w:divBdr>
            <w:top w:val="none" w:sz="0" w:space="0" w:color="auto"/>
            <w:left w:val="none" w:sz="0" w:space="0" w:color="auto"/>
            <w:bottom w:val="none" w:sz="0" w:space="0" w:color="auto"/>
            <w:right w:val="none" w:sz="0" w:space="0" w:color="auto"/>
          </w:divBdr>
        </w:div>
        <w:div w:id="1756125417">
          <w:marLeft w:val="0"/>
          <w:marRight w:val="0"/>
          <w:marTop w:val="0"/>
          <w:marBottom w:val="0"/>
          <w:divBdr>
            <w:top w:val="none" w:sz="0" w:space="0" w:color="auto"/>
            <w:left w:val="none" w:sz="0" w:space="0" w:color="auto"/>
            <w:bottom w:val="none" w:sz="0" w:space="0" w:color="auto"/>
            <w:right w:val="none" w:sz="0" w:space="0" w:color="auto"/>
          </w:divBdr>
        </w:div>
        <w:div w:id="1584795205">
          <w:marLeft w:val="0"/>
          <w:marRight w:val="0"/>
          <w:marTop w:val="0"/>
          <w:marBottom w:val="0"/>
          <w:divBdr>
            <w:top w:val="none" w:sz="0" w:space="0" w:color="auto"/>
            <w:left w:val="none" w:sz="0" w:space="0" w:color="auto"/>
            <w:bottom w:val="none" w:sz="0" w:space="0" w:color="auto"/>
            <w:right w:val="none" w:sz="0" w:space="0" w:color="auto"/>
          </w:divBdr>
        </w:div>
        <w:div w:id="502279908">
          <w:marLeft w:val="0"/>
          <w:marRight w:val="0"/>
          <w:marTop w:val="0"/>
          <w:marBottom w:val="0"/>
          <w:divBdr>
            <w:top w:val="none" w:sz="0" w:space="0" w:color="auto"/>
            <w:left w:val="none" w:sz="0" w:space="0" w:color="auto"/>
            <w:bottom w:val="none" w:sz="0" w:space="0" w:color="auto"/>
            <w:right w:val="none" w:sz="0" w:space="0" w:color="auto"/>
          </w:divBdr>
        </w:div>
      </w:divsChild>
    </w:div>
    <w:div w:id="1921476025">
      <w:marLeft w:val="4"/>
      <w:marRight w:val="0"/>
      <w:marTop w:val="120"/>
      <w:marBottom w:val="0"/>
      <w:divBdr>
        <w:top w:val="none" w:sz="0" w:space="0" w:color="auto"/>
        <w:left w:val="none" w:sz="0" w:space="0" w:color="auto"/>
        <w:bottom w:val="none" w:sz="0" w:space="0" w:color="auto"/>
        <w:right w:val="none" w:sz="0" w:space="0" w:color="auto"/>
      </w:divBdr>
      <w:divsChild>
        <w:div w:id="927809613">
          <w:marLeft w:val="0"/>
          <w:marRight w:val="0"/>
          <w:marTop w:val="0"/>
          <w:marBottom w:val="0"/>
          <w:divBdr>
            <w:top w:val="none" w:sz="0" w:space="0" w:color="auto"/>
            <w:left w:val="none" w:sz="0" w:space="0" w:color="auto"/>
            <w:bottom w:val="none" w:sz="0" w:space="0" w:color="auto"/>
            <w:right w:val="none" w:sz="0" w:space="0" w:color="auto"/>
          </w:divBdr>
        </w:div>
      </w:divsChild>
    </w:div>
    <w:div w:id="1932811366">
      <w:marLeft w:val="4"/>
      <w:marRight w:val="0"/>
      <w:marTop w:val="120"/>
      <w:marBottom w:val="0"/>
      <w:divBdr>
        <w:top w:val="none" w:sz="0" w:space="0" w:color="auto"/>
        <w:left w:val="none" w:sz="0" w:space="0" w:color="auto"/>
        <w:bottom w:val="none" w:sz="0" w:space="0" w:color="auto"/>
        <w:right w:val="none" w:sz="0" w:space="0" w:color="auto"/>
      </w:divBdr>
      <w:divsChild>
        <w:div w:id="755172862">
          <w:marLeft w:val="0"/>
          <w:marRight w:val="0"/>
          <w:marTop w:val="0"/>
          <w:marBottom w:val="0"/>
          <w:divBdr>
            <w:top w:val="none" w:sz="0" w:space="0" w:color="auto"/>
            <w:left w:val="none" w:sz="0" w:space="0" w:color="auto"/>
            <w:bottom w:val="none" w:sz="0" w:space="0" w:color="auto"/>
            <w:right w:val="none" w:sz="0" w:space="0" w:color="auto"/>
          </w:divBdr>
        </w:div>
      </w:divsChild>
    </w:div>
    <w:div w:id="1933585204">
      <w:marLeft w:val="4"/>
      <w:marRight w:val="0"/>
      <w:marTop w:val="120"/>
      <w:marBottom w:val="0"/>
      <w:divBdr>
        <w:top w:val="none" w:sz="0" w:space="0" w:color="auto"/>
        <w:left w:val="none" w:sz="0" w:space="0" w:color="auto"/>
        <w:bottom w:val="none" w:sz="0" w:space="0" w:color="auto"/>
        <w:right w:val="none" w:sz="0" w:space="0" w:color="auto"/>
      </w:divBdr>
      <w:divsChild>
        <w:div w:id="21518775">
          <w:marLeft w:val="0"/>
          <w:marRight w:val="0"/>
          <w:marTop w:val="0"/>
          <w:marBottom w:val="0"/>
          <w:divBdr>
            <w:top w:val="none" w:sz="0" w:space="0" w:color="auto"/>
            <w:left w:val="none" w:sz="0" w:space="0" w:color="auto"/>
            <w:bottom w:val="none" w:sz="0" w:space="0" w:color="auto"/>
            <w:right w:val="none" w:sz="0" w:space="0" w:color="auto"/>
          </w:divBdr>
        </w:div>
      </w:divsChild>
    </w:div>
    <w:div w:id="1952395560">
      <w:marLeft w:val="4"/>
      <w:marRight w:val="0"/>
      <w:marTop w:val="120"/>
      <w:marBottom w:val="0"/>
      <w:divBdr>
        <w:top w:val="none" w:sz="0" w:space="0" w:color="auto"/>
        <w:left w:val="none" w:sz="0" w:space="0" w:color="auto"/>
        <w:bottom w:val="none" w:sz="0" w:space="0" w:color="auto"/>
        <w:right w:val="none" w:sz="0" w:space="0" w:color="auto"/>
      </w:divBdr>
      <w:divsChild>
        <w:div w:id="1033924502">
          <w:marLeft w:val="0"/>
          <w:marRight w:val="0"/>
          <w:marTop w:val="0"/>
          <w:marBottom w:val="0"/>
          <w:divBdr>
            <w:top w:val="none" w:sz="0" w:space="0" w:color="auto"/>
            <w:left w:val="none" w:sz="0" w:space="0" w:color="auto"/>
            <w:bottom w:val="none" w:sz="0" w:space="0" w:color="auto"/>
            <w:right w:val="none" w:sz="0" w:space="0" w:color="auto"/>
          </w:divBdr>
        </w:div>
      </w:divsChild>
    </w:div>
    <w:div w:id="1974938577">
      <w:marLeft w:val="4"/>
      <w:marRight w:val="0"/>
      <w:marTop w:val="120"/>
      <w:marBottom w:val="0"/>
      <w:divBdr>
        <w:top w:val="none" w:sz="0" w:space="0" w:color="auto"/>
        <w:left w:val="none" w:sz="0" w:space="0" w:color="auto"/>
        <w:bottom w:val="none" w:sz="0" w:space="0" w:color="auto"/>
        <w:right w:val="none" w:sz="0" w:space="0" w:color="auto"/>
      </w:divBdr>
      <w:divsChild>
        <w:div w:id="1629579678">
          <w:marLeft w:val="0"/>
          <w:marRight w:val="0"/>
          <w:marTop w:val="0"/>
          <w:marBottom w:val="0"/>
          <w:divBdr>
            <w:top w:val="none" w:sz="0" w:space="0" w:color="auto"/>
            <w:left w:val="none" w:sz="0" w:space="0" w:color="auto"/>
            <w:bottom w:val="none" w:sz="0" w:space="0" w:color="auto"/>
            <w:right w:val="none" w:sz="0" w:space="0" w:color="auto"/>
          </w:divBdr>
        </w:div>
      </w:divsChild>
    </w:div>
    <w:div w:id="1987201385">
      <w:marLeft w:val="4"/>
      <w:marRight w:val="0"/>
      <w:marTop w:val="120"/>
      <w:marBottom w:val="0"/>
      <w:divBdr>
        <w:top w:val="none" w:sz="0" w:space="0" w:color="auto"/>
        <w:left w:val="none" w:sz="0" w:space="0" w:color="auto"/>
        <w:bottom w:val="none" w:sz="0" w:space="0" w:color="auto"/>
        <w:right w:val="none" w:sz="0" w:space="0" w:color="auto"/>
      </w:divBdr>
      <w:divsChild>
        <w:div w:id="419300062">
          <w:marLeft w:val="0"/>
          <w:marRight w:val="0"/>
          <w:marTop w:val="0"/>
          <w:marBottom w:val="0"/>
          <w:divBdr>
            <w:top w:val="none" w:sz="0" w:space="0" w:color="auto"/>
            <w:left w:val="none" w:sz="0" w:space="0" w:color="auto"/>
            <w:bottom w:val="none" w:sz="0" w:space="0" w:color="auto"/>
            <w:right w:val="none" w:sz="0" w:space="0" w:color="auto"/>
          </w:divBdr>
        </w:div>
      </w:divsChild>
    </w:div>
    <w:div w:id="2013990732">
      <w:marLeft w:val="4"/>
      <w:marRight w:val="0"/>
      <w:marTop w:val="120"/>
      <w:marBottom w:val="0"/>
      <w:divBdr>
        <w:top w:val="none" w:sz="0" w:space="0" w:color="auto"/>
        <w:left w:val="none" w:sz="0" w:space="0" w:color="auto"/>
        <w:bottom w:val="none" w:sz="0" w:space="0" w:color="auto"/>
        <w:right w:val="none" w:sz="0" w:space="0" w:color="auto"/>
      </w:divBdr>
      <w:divsChild>
        <w:div w:id="1419137313">
          <w:marLeft w:val="0"/>
          <w:marRight w:val="0"/>
          <w:marTop w:val="0"/>
          <w:marBottom w:val="0"/>
          <w:divBdr>
            <w:top w:val="none" w:sz="0" w:space="0" w:color="auto"/>
            <w:left w:val="none" w:sz="0" w:space="0" w:color="auto"/>
            <w:bottom w:val="none" w:sz="0" w:space="0" w:color="auto"/>
            <w:right w:val="none" w:sz="0" w:space="0" w:color="auto"/>
          </w:divBdr>
        </w:div>
      </w:divsChild>
    </w:div>
    <w:div w:id="2014991011">
      <w:marLeft w:val="4"/>
      <w:marRight w:val="0"/>
      <w:marTop w:val="120"/>
      <w:marBottom w:val="0"/>
      <w:divBdr>
        <w:top w:val="none" w:sz="0" w:space="0" w:color="auto"/>
        <w:left w:val="none" w:sz="0" w:space="0" w:color="auto"/>
        <w:bottom w:val="none" w:sz="0" w:space="0" w:color="auto"/>
        <w:right w:val="none" w:sz="0" w:space="0" w:color="auto"/>
      </w:divBdr>
      <w:divsChild>
        <w:div w:id="246424915">
          <w:marLeft w:val="0"/>
          <w:marRight w:val="0"/>
          <w:marTop w:val="0"/>
          <w:marBottom w:val="0"/>
          <w:divBdr>
            <w:top w:val="none" w:sz="0" w:space="0" w:color="auto"/>
            <w:left w:val="none" w:sz="0" w:space="0" w:color="auto"/>
            <w:bottom w:val="none" w:sz="0" w:space="0" w:color="auto"/>
            <w:right w:val="none" w:sz="0" w:space="0" w:color="auto"/>
          </w:divBdr>
        </w:div>
      </w:divsChild>
    </w:div>
    <w:div w:id="2017073077">
      <w:marLeft w:val="4"/>
      <w:marRight w:val="0"/>
      <w:marTop w:val="120"/>
      <w:marBottom w:val="0"/>
      <w:divBdr>
        <w:top w:val="none" w:sz="0" w:space="0" w:color="auto"/>
        <w:left w:val="none" w:sz="0" w:space="0" w:color="auto"/>
        <w:bottom w:val="none" w:sz="0" w:space="0" w:color="auto"/>
        <w:right w:val="none" w:sz="0" w:space="0" w:color="auto"/>
      </w:divBdr>
      <w:divsChild>
        <w:div w:id="607808900">
          <w:marLeft w:val="0"/>
          <w:marRight w:val="0"/>
          <w:marTop w:val="0"/>
          <w:marBottom w:val="0"/>
          <w:divBdr>
            <w:top w:val="none" w:sz="0" w:space="0" w:color="auto"/>
            <w:left w:val="none" w:sz="0" w:space="0" w:color="auto"/>
            <w:bottom w:val="none" w:sz="0" w:space="0" w:color="auto"/>
            <w:right w:val="none" w:sz="0" w:space="0" w:color="auto"/>
          </w:divBdr>
        </w:div>
      </w:divsChild>
    </w:div>
    <w:div w:id="2018192154">
      <w:marLeft w:val="4"/>
      <w:marRight w:val="0"/>
      <w:marTop w:val="120"/>
      <w:marBottom w:val="0"/>
      <w:divBdr>
        <w:top w:val="none" w:sz="0" w:space="0" w:color="auto"/>
        <w:left w:val="none" w:sz="0" w:space="0" w:color="auto"/>
        <w:bottom w:val="none" w:sz="0" w:space="0" w:color="auto"/>
        <w:right w:val="none" w:sz="0" w:space="0" w:color="auto"/>
      </w:divBdr>
      <w:divsChild>
        <w:div w:id="605305296">
          <w:marLeft w:val="0"/>
          <w:marRight w:val="0"/>
          <w:marTop w:val="0"/>
          <w:marBottom w:val="0"/>
          <w:divBdr>
            <w:top w:val="none" w:sz="0" w:space="0" w:color="auto"/>
            <w:left w:val="none" w:sz="0" w:space="0" w:color="auto"/>
            <w:bottom w:val="none" w:sz="0" w:space="0" w:color="auto"/>
            <w:right w:val="none" w:sz="0" w:space="0" w:color="auto"/>
          </w:divBdr>
        </w:div>
      </w:divsChild>
    </w:div>
    <w:div w:id="2029288606">
      <w:marLeft w:val="4"/>
      <w:marRight w:val="0"/>
      <w:marTop w:val="120"/>
      <w:marBottom w:val="0"/>
      <w:divBdr>
        <w:top w:val="none" w:sz="0" w:space="0" w:color="auto"/>
        <w:left w:val="none" w:sz="0" w:space="0" w:color="auto"/>
        <w:bottom w:val="none" w:sz="0" w:space="0" w:color="auto"/>
        <w:right w:val="none" w:sz="0" w:space="0" w:color="auto"/>
      </w:divBdr>
      <w:divsChild>
        <w:div w:id="67046087">
          <w:marLeft w:val="0"/>
          <w:marRight w:val="0"/>
          <w:marTop w:val="0"/>
          <w:marBottom w:val="0"/>
          <w:divBdr>
            <w:top w:val="none" w:sz="0" w:space="0" w:color="auto"/>
            <w:left w:val="none" w:sz="0" w:space="0" w:color="auto"/>
            <w:bottom w:val="none" w:sz="0" w:space="0" w:color="auto"/>
            <w:right w:val="none" w:sz="0" w:space="0" w:color="auto"/>
          </w:divBdr>
        </w:div>
      </w:divsChild>
    </w:div>
    <w:div w:id="2043237441">
      <w:marLeft w:val="4"/>
      <w:marRight w:val="0"/>
      <w:marTop w:val="120"/>
      <w:marBottom w:val="0"/>
      <w:divBdr>
        <w:top w:val="none" w:sz="0" w:space="0" w:color="auto"/>
        <w:left w:val="none" w:sz="0" w:space="0" w:color="auto"/>
        <w:bottom w:val="none" w:sz="0" w:space="0" w:color="auto"/>
        <w:right w:val="none" w:sz="0" w:space="0" w:color="auto"/>
      </w:divBdr>
      <w:divsChild>
        <w:div w:id="1922370257">
          <w:marLeft w:val="0"/>
          <w:marRight w:val="0"/>
          <w:marTop w:val="0"/>
          <w:marBottom w:val="0"/>
          <w:divBdr>
            <w:top w:val="none" w:sz="0" w:space="0" w:color="auto"/>
            <w:left w:val="none" w:sz="0" w:space="0" w:color="auto"/>
            <w:bottom w:val="none" w:sz="0" w:space="0" w:color="auto"/>
            <w:right w:val="none" w:sz="0" w:space="0" w:color="auto"/>
          </w:divBdr>
        </w:div>
      </w:divsChild>
    </w:div>
    <w:div w:id="2047677578">
      <w:marLeft w:val="0"/>
      <w:marRight w:val="0"/>
      <w:marTop w:val="0"/>
      <w:marBottom w:val="0"/>
      <w:divBdr>
        <w:top w:val="none" w:sz="0" w:space="0" w:color="auto"/>
        <w:left w:val="none" w:sz="0" w:space="0" w:color="auto"/>
        <w:bottom w:val="none" w:sz="0" w:space="0" w:color="auto"/>
        <w:right w:val="none" w:sz="0" w:space="0" w:color="auto"/>
      </w:divBdr>
      <w:divsChild>
        <w:div w:id="1173304827">
          <w:marLeft w:val="0"/>
          <w:marRight w:val="0"/>
          <w:marTop w:val="0"/>
          <w:marBottom w:val="0"/>
          <w:divBdr>
            <w:top w:val="none" w:sz="0" w:space="0" w:color="auto"/>
            <w:left w:val="none" w:sz="0" w:space="0" w:color="auto"/>
            <w:bottom w:val="none" w:sz="0" w:space="0" w:color="auto"/>
            <w:right w:val="none" w:sz="0" w:space="0" w:color="auto"/>
          </w:divBdr>
        </w:div>
      </w:divsChild>
    </w:div>
    <w:div w:id="2050909328">
      <w:marLeft w:val="4"/>
      <w:marRight w:val="0"/>
      <w:marTop w:val="120"/>
      <w:marBottom w:val="0"/>
      <w:divBdr>
        <w:top w:val="none" w:sz="0" w:space="0" w:color="auto"/>
        <w:left w:val="none" w:sz="0" w:space="0" w:color="auto"/>
        <w:bottom w:val="none" w:sz="0" w:space="0" w:color="auto"/>
        <w:right w:val="none" w:sz="0" w:space="0" w:color="auto"/>
      </w:divBdr>
      <w:divsChild>
        <w:div w:id="1363747725">
          <w:marLeft w:val="0"/>
          <w:marRight w:val="0"/>
          <w:marTop w:val="0"/>
          <w:marBottom w:val="0"/>
          <w:divBdr>
            <w:top w:val="none" w:sz="0" w:space="0" w:color="auto"/>
            <w:left w:val="none" w:sz="0" w:space="0" w:color="auto"/>
            <w:bottom w:val="none" w:sz="0" w:space="0" w:color="auto"/>
            <w:right w:val="none" w:sz="0" w:space="0" w:color="auto"/>
          </w:divBdr>
        </w:div>
      </w:divsChild>
    </w:div>
    <w:div w:id="2052025385">
      <w:marLeft w:val="4"/>
      <w:marRight w:val="0"/>
      <w:marTop w:val="120"/>
      <w:marBottom w:val="0"/>
      <w:divBdr>
        <w:top w:val="none" w:sz="0" w:space="0" w:color="auto"/>
        <w:left w:val="none" w:sz="0" w:space="0" w:color="auto"/>
        <w:bottom w:val="none" w:sz="0" w:space="0" w:color="auto"/>
        <w:right w:val="none" w:sz="0" w:space="0" w:color="auto"/>
      </w:divBdr>
      <w:divsChild>
        <w:div w:id="923495908">
          <w:marLeft w:val="0"/>
          <w:marRight w:val="0"/>
          <w:marTop w:val="0"/>
          <w:marBottom w:val="0"/>
          <w:divBdr>
            <w:top w:val="none" w:sz="0" w:space="0" w:color="auto"/>
            <w:left w:val="none" w:sz="0" w:space="0" w:color="auto"/>
            <w:bottom w:val="none" w:sz="0" w:space="0" w:color="auto"/>
            <w:right w:val="none" w:sz="0" w:space="0" w:color="auto"/>
          </w:divBdr>
        </w:div>
      </w:divsChild>
    </w:div>
    <w:div w:id="2053074121">
      <w:marLeft w:val="4"/>
      <w:marRight w:val="0"/>
      <w:marTop w:val="120"/>
      <w:marBottom w:val="0"/>
      <w:divBdr>
        <w:top w:val="none" w:sz="0" w:space="0" w:color="auto"/>
        <w:left w:val="none" w:sz="0" w:space="0" w:color="auto"/>
        <w:bottom w:val="none" w:sz="0" w:space="0" w:color="auto"/>
        <w:right w:val="none" w:sz="0" w:space="0" w:color="auto"/>
      </w:divBdr>
      <w:divsChild>
        <w:div w:id="1905410005">
          <w:marLeft w:val="0"/>
          <w:marRight w:val="0"/>
          <w:marTop w:val="0"/>
          <w:marBottom w:val="0"/>
          <w:divBdr>
            <w:top w:val="none" w:sz="0" w:space="0" w:color="auto"/>
            <w:left w:val="none" w:sz="0" w:space="0" w:color="auto"/>
            <w:bottom w:val="none" w:sz="0" w:space="0" w:color="auto"/>
            <w:right w:val="none" w:sz="0" w:space="0" w:color="auto"/>
          </w:divBdr>
        </w:div>
      </w:divsChild>
    </w:div>
    <w:div w:id="2055810210">
      <w:marLeft w:val="4"/>
      <w:marRight w:val="0"/>
      <w:marTop w:val="120"/>
      <w:marBottom w:val="0"/>
      <w:divBdr>
        <w:top w:val="none" w:sz="0" w:space="0" w:color="auto"/>
        <w:left w:val="none" w:sz="0" w:space="0" w:color="auto"/>
        <w:bottom w:val="none" w:sz="0" w:space="0" w:color="auto"/>
        <w:right w:val="none" w:sz="0" w:space="0" w:color="auto"/>
      </w:divBdr>
      <w:divsChild>
        <w:div w:id="1613826719">
          <w:marLeft w:val="0"/>
          <w:marRight w:val="0"/>
          <w:marTop w:val="0"/>
          <w:marBottom w:val="0"/>
          <w:divBdr>
            <w:top w:val="none" w:sz="0" w:space="0" w:color="auto"/>
            <w:left w:val="none" w:sz="0" w:space="0" w:color="auto"/>
            <w:bottom w:val="none" w:sz="0" w:space="0" w:color="auto"/>
            <w:right w:val="none" w:sz="0" w:space="0" w:color="auto"/>
          </w:divBdr>
        </w:div>
      </w:divsChild>
    </w:div>
    <w:div w:id="2065637831">
      <w:marLeft w:val="0"/>
      <w:marRight w:val="0"/>
      <w:marTop w:val="0"/>
      <w:marBottom w:val="0"/>
      <w:divBdr>
        <w:top w:val="none" w:sz="0" w:space="0" w:color="auto"/>
        <w:left w:val="none" w:sz="0" w:space="0" w:color="auto"/>
        <w:bottom w:val="none" w:sz="0" w:space="0" w:color="auto"/>
        <w:right w:val="none" w:sz="0" w:space="0" w:color="auto"/>
      </w:divBdr>
    </w:div>
    <w:div w:id="2081051445">
      <w:marLeft w:val="4"/>
      <w:marRight w:val="0"/>
      <w:marTop w:val="120"/>
      <w:marBottom w:val="0"/>
      <w:divBdr>
        <w:top w:val="none" w:sz="0" w:space="0" w:color="auto"/>
        <w:left w:val="none" w:sz="0" w:space="0" w:color="auto"/>
        <w:bottom w:val="none" w:sz="0" w:space="0" w:color="auto"/>
        <w:right w:val="none" w:sz="0" w:space="0" w:color="auto"/>
      </w:divBdr>
      <w:divsChild>
        <w:div w:id="1215119187">
          <w:marLeft w:val="0"/>
          <w:marRight w:val="0"/>
          <w:marTop w:val="0"/>
          <w:marBottom w:val="0"/>
          <w:divBdr>
            <w:top w:val="none" w:sz="0" w:space="0" w:color="auto"/>
            <w:left w:val="none" w:sz="0" w:space="0" w:color="auto"/>
            <w:bottom w:val="none" w:sz="0" w:space="0" w:color="auto"/>
            <w:right w:val="none" w:sz="0" w:space="0" w:color="auto"/>
          </w:divBdr>
        </w:div>
      </w:divsChild>
    </w:div>
    <w:div w:id="2101291179">
      <w:marLeft w:val="4"/>
      <w:marRight w:val="0"/>
      <w:marTop w:val="120"/>
      <w:marBottom w:val="0"/>
      <w:divBdr>
        <w:top w:val="none" w:sz="0" w:space="0" w:color="auto"/>
        <w:left w:val="none" w:sz="0" w:space="0" w:color="auto"/>
        <w:bottom w:val="none" w:sz="0" w:space="0" w:color="auto"/>
        <w:right w:val="none" w:sz="0" w:space="0" w:color="auto"/>
      </w:divBdr>
      <w:divsChild>
        <w:div w:id="1935437114">
          <w:marLeft w:val="0"/>
          <w:marRight w:val="0"/>
          <w:marTop w:val="0"/>
          <w:marBottom w:val="0"/>
          <w:divBdr>
            <w:top w:val="none" w:sz="0" w:space="0" w:color="auto"/>
            <w:left w:val="none" w:sz="0" w:space="0" w:color="auto"/>
            <w:bottom w:val="none" w:sz="0" w:space="0" w:color="auto"/>
            <w:right w:val="none" w:sz="0" w:space="0" w:color="auto"/>
          </w:divBdr>
        </w:div>
      </w:divsChild>
    </w:div>
    <w:div w:id="2114788095">
      <w:marLeft w:val="9"/>
      <w:marRight w:val="0"/>
      <w:marTop w:val="120"/>
      <w:marBottom w:val="0"/>
      <w:divBdr>
        <w:top w:val="none" w:sz="0" w:space="0" w:color="auto"/>
        <w:left w:val="none" w:sz="0" w:space="0" w:color="auto"/>
        <w:bottom w:val="none" w:sz="0" w:space="0" w:color="auto"/>
        <w:right w:val="none" w:sz="0" w:space="0" w:color="auto"/>
      </w:divBdr>
      <w:divsChild>
        <w:div w:id="1409956818">
          <w:marLeft w:val="0"/>
          <w:marRight w:val="0"/>
          <w:marTop w:val="0"/>
          <w:marBottom w:val="0"/>
          <w:divBdr>
            <w:top w:val="none" w:sz="0" w:space="0" w:color="auto"/>
            <w:left w:val="none" w:sz="0" w:space="0" w:color="auto"/>
            <w:bottom w:val="none" w:sz="0" w:space="0" w:color="auto"/>
            <w:right w:val="none" w:sz="0" w:space="0" w:color="auto"/>
          </w:divBdr>
        </w:div>
      </w:divsChild>
    </w:div>
    <w:div w:id="2118015280">
      <w:marLeft w:val="4"/>
      <w:marRight w:val="0"/>
      <w:marTop w:val="120"/>
      <w:marBottom w:val="0"/>
      <w:divBdr>
        <w:top w:val="none" w:sz="0" w:space="0" w:color="auto"/>
        <w:left w:val="none" w:sz="0" w:space="0" w:color="auto"/>
        <w:bottom w:val="none" w:sz="0" w:space="0" w:color="auto"/>
        <w:right w:val="none" w:sz="0" w:space="0" w:color="auto"/>
      </w:divBdr>
      <w:divsChild>
        <w:div w:id="1253323209">
          <w:marLeft w:val="0"/>
          <w:marRight w:val="0"/>
          <w:marTop w:val="0"/>
          <w:marBottom w:val="0"/>
          <w:divBdr>
            <w:top w:val="none" w:sz="0" w:space="0" w:color="auto"/>
            <w:left w:val="none" w:sz="0" w:space="0" w:color="auto"/>
            <w:bottom w:val="none" w:sz="0" w:space="0" w:color="auto"/>
            <w:right w:val="none" w:sz="0" w:space="0" w:color="auto"/>
          </w:divBdr>
        </w:div>
      </w:divsChild>
    </w:div>
    <w:div w:id="2132287853">
      <w:marLeft w:val="4"/>
      <w:marRight w:val="0"/>
      <w:marTop w:val="120"/>
      <w:marBottom w:val="0"/>
      <w:divBdr>
        <w:top w:val="none" w:sz="0" w:space="0" w:color="auto"/>
        <w:left w:val="none" w:sz="0" w:space="0" w:color="auto"/>
        <w:bottom w:val="none" w:sz="0" w:space="0" w:color="auto"/>
        <w:right w:val="none" w:sz="0" w:space="0" w:color="auto"/>
      </w:divBdr>
      <w:divsChild>
        <w:div w:id="1146051877">
          <w:marLeft w:val="0"/>
          <w:marRight w:val="0"/>
          <w:marTop w:val="0"/>
          <w:marBottom w:val="0"/>
          <w:divBdr>
            <w:top w:val="none" w:sz="0" w:space="0" w:color="auto"/>
            <w:left w:val="none" w:sz="0" w:space="0" w:color="auto"/>
            <w:bottom w:val="none" w:sz="0" w:space="0" w:color="auto"/>
            <w:right w:val="none" w:sz="0" w:space="0" w:color="auto"/>
          </w:divBdr>
        </w:div>
      </w:divsChild>
    </w:div>
    <w:div w:id="2134664387">
      <w:marLeft w:val="4"/>
      <w:marRight w:val="0"/>
      <w:marTop w:val="120"/>
      <w:marBottom w:val="0"/>
      <w:divBdr>
        <w:top w:val="none" w:sz="0" w:space="0" w:color="auto"/>
        <w:left w:val="none" w:sz="0" w:space="0" w:color="auto"/>
        <w:bottom w:val="none" w:sz="0" w:space="0" w:color="auto"/>
        <w:right w:val="none" w:sz="0" w:space="0" w:color="auto"/>
      </w:divBdr>
      <w:divsChild>
        <w:div w:id="1893348599">
          <w:marLeft w:val="0"/>
          <w:marRight w:val="0"/>
          <w:marTop w:val="0"/>
          <w:marBottom w:val="0"/>
          <w:divBdr>
            <w:top w:val="none" w:sz="0" w:space="0" w:color="auto"/>
            <w:left w:val="none" w:sz="0" w:space="0" w:color="auto"/>
            <w:bottom w:val="none" w:sz="0" w:space="0" w:color="auto"/>
            <w:right w:val="none" w:sz="0" w:space="0" w:color="auto"/>
          </w:divBdr>
        </w:div>
      </w:divsChild>
    </w:div>
    <w:div w:id="2142990515">
      <w:marLeft w:val="4"/>
      <w:marRight w:val="0"/>
      <w:marTop w:val="120"/>
      <w:marBottom w:val="0"/>
      <w:divBdr>
        <w:top w:val="none" w:sz="0" w:space="0" w:color="auto"/>
        <w:left w:val="none" w:sz="0" w:space="0" w:color="auto"/>
        <w:bottom w:val="none" w:sz="0" w:space="0" w:color="auto"/>
        <w:right w:val="none" w:sz="0" w:space="0" w:color="auto"/>
      </w:divBdr>
      <w:divsChild>
        <w:div w:id="13284429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36651/000119312517135563/d286200dex41.htm" TargetMode="External"/><Relationship Id="rId13" Type="http://schemas.openxmlformats.org/officeDocument/2006/relationships/hyperlink" Target="ovid-ex31_2.htm" TargetMode="External"/><Relationship Id="rId3" Type="http://schemas.openxmlformats.org/officeDocument/2006/relationships/webSettings" Target="webSettings.xml"/><Relationship Id="rId7" Type="http://schemas.openxmlformats.org/officeDocument/2006/relationships/hyperlink" Target="https://www.sec.gov/Archives/edgar/data/1636651/000119312517166080/d382437dex32.htm" TargetMode="External"/><Relationship Id="rId12" Type="http://schemas.openxmlformats.org/officeDocument/2006/relationships/hyperlink" Target="ovid-ex31_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c.gov/Archives/edgar/data/1636651/000156459019035235/ovid-ex31_6.htm" TargetMode="External"/><Relationship Id="rId11" Type="http://schemas.openxmlformats.org/officeDocument/2006/relationships/hyperlink" Target="ovid-ex10_1.htm" TargetMode="External"/><Relationship Id="rId5" Type="http://schemas.openxmlformats.org/officeDocument/2006/relationships/hyperlink" Target="https://www.sec.gov/Archives/edgar/data/1636651/000119312517166080/d382437dex31.htm" TargetMode="External"/><Relationship Id="rId15" Type="http://schemas.openxmlformats.org/officeDocument/2006/relationships/fontTable" Target="fontTable.xml"/><Relationship Id="rId10" Type="http://schemas.openxmlformats.org/officeDocument/2006/relationships/hyperlink" Target="https://www.sec.gov/Archives/edgar/data/1636651/000119312517118846/d286200dex42.htm" TargetMode="External"/><Relationship Id="rId4" Type="http://schemas.openxmlformats.org/officeDocument/2006/relationships/image" Target="file:///E:\projects\LLMs\new_data_collection\data_new\htm\Ovid%20Therapeutics%20Inc\img42364362_0.gif" TargetMode="External"/><Relationship Id="rId9" Type="http://schemas.openxmlformats.org/officeDocument/2006/relationships/hyperlink" Target="https://www.sec.gov/Archives/edgar/data/1636651/000119312519047109/d714860dex41.htm" TargetMode="External"/><Relationship Id="rId14" Type="http://schemas.openxmlformats.org/officeDocument/2006/relationships/hyperlink" Target="ovid-ex32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46579</Words>
  <Characters>265505</Characters>
  <Application>Microsoft Office Word</Application>
  <DocSecurity>0</DocSecurity>
  <Lines>2212</Lines>
  <Paragraphs>622</Paragraphs>
  <ScaleCrop>false</ScaleCrop>
  <Company/>
  <LinksUpToDate>false</LinksUpToDate>
  <CharactersWithSpaces>311462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